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6A3A" w:rsidRDefault="00CA6A3A" w:rsidP="00CA6A3A">
      <w:pPr>
        <w:spacing w:line="240" w:lineRule="auto"/>
        <w:jc w:val="both"/>
        <w:rPr>
          <w:rFonts w:ascii="Times New Roman" w:hAnsi="Times New Roman" w:cs="Times New Roman"/>
          <w:b/>
          <w:sz w:val="24"/>
          <w:szCs w:val="24"/>
        </w:rPr>
      </w:pPr>
      <w:r w:rsidRPr="00B203B2">
        <w:rPr>
          <w:rFonts w:ascii="Times New Roman" w:hAnsi="Times New Roman" w:cs="Times New Roman"/>
          <w:b/>
          <w:sz w:val="24"/>
          <w:szCs w:val="24"/>
        </w:rPr>
        <w:t>Paper -</w:t>
      </w:r>
      <w:r>
        <w:rPr>
          <w:rFonts w:ascii="Times New Roman" w:hAnsi="Times New Roman" w:cs="Times New Roman"/>
          <w:b/>
          <w:sz w:val="24"/>
          <w:szCs w:val="24"/>
        </w:rPr>
        <w:t xml:space="preserve"> El fracaso de una</w:t>
      </w:r>
      <w:r w:rsidRPr="00B203B2">
        <w:rPr>
          <w:rFonts w:ascii="Times New Roman" w:hAnsi="Times New Roman" w:cs="Times New Roman"/>
          <w:b/>
          <w:sz w:val="24"/>
          <w:szCs w:val="24"/>
        </w:rPr>
        <w:t xml:space="preserve"> economía de</w:t>
      </w:r>
      <w:r>
        <w:rPr>
          <w:rFonts w:ascii="Times New Roman" w:hAnsi="Times New Roman" w:cs="Times New Roman"/>
          <w:b/>
          <w:sz w:val="24"/>
          <w:szCs w:val="24"/>
        </w:rPr>
        <w:t xml:space="preserve"> “algoritmos”, </w:t>
      </w:r>
      <w:r w:rsidRPr="00B203B2">
        <w:rPr>
          <w:rFonts w:ascii="Times New Roman" w:hAnsi="Times New Roman" w:cs="Times New Roman"/>
          <w:b/>
          <w:sz w:val="24"/>
          <w:szCs w:val="24"/>
        </w:rPr>
        <w:t>donde la far</w:t>
      </w:r>
      <w:r>
        <w:rPr>
          <w:rFonts w:ascii="Times New Roman" w:hAnsi="Times New Roman" w:cs="Times New Roman"/>
          <w:b/>
          <w:sz w:val="24"/>
          <w:szCs w:val="24"/>
        </w:rPr>
        <w:t xml:space="preserve">sa ha coronado a la infamia (una </w:t>
      </w:r>
      <w:r w:rsidRPr="00B203B2">
        <w:rPr>
          <w:rFonts w:ascii="Times New Roman" w:hAnsi="Times New Roman" w:cs="Times New Roman"/>
          <w:b/>
          <w:sz w:val="24"/>
          <w:szCs w:val="24"/>
        </w:rPr>
        <w:t>era de</w:t>
      </w:r>
      <w:r w:rsidR="00E27BFB">
        <w:rPr>
          <w:rFonts w:ascii="Times New Roman" w:hAnsi="Times New Roman" w:cs="Times New Roman"/>
          <w:b/>
          <w:sz w:val="24"/>
          <w:szCs w:val="24"/>
        </w:rPr>
        <w:t xml:space="preserve"> </w:t>
      </w:r>
      <w:r w:rsidRPr="00B203B2">
        <w:rPr>
          <w:rFonts w:ascii="Times New Roman" w:hAnsi="Times New Roman" w:cs="Times New Roman"/>
          <w:b/>
          <w:sz w:val="24"/>
          <w:szCs w:val="24"/>
        </w:rPr>
        <w:t xml:space="preserve">excesos, </w:t>
      </w:r>
      <w:r>
        <w:rPr>
          <w:rFonts w:ascii="Times New Roman" w:hAnsi="Times New Roman" w:cs="Times New Roman"/>
          <w:b/>
          <w:sz w:val="24"/>
          <w:szCs w:val="24"/>
        </w:rPr>
        <w:t xml:space="preserve">desregulación, </w:t>
      </w:r>
      <w:proofErr w:type="spellStart"/>
      <w:r w:rsidRPr="00B203B2">
        <w:rPr>
          <w:rFonts w:ascii="Times New Roman" w:hAnsi="Times New Roman" w:cs="Times New Roman"/>
          <w:b/>
          <w:sz w:val="24"/>
          <w:szCs w:val="24"/>
        </w:rPr>
        <w:t>financierización</w:t>
      </w:r>
      <w:proofErr w:type="spellEnd"/>
      <w:r w:rsidRPr="00B203B2">
        <w:rPr>
          <w:rFonts w:ascii="Times New Roman" w:hAnsi="Times New Roman" w:cs="Times New Roman"/>
          <w:b/>
          <w:sz w:val="24"/>
          <w:szCs w:val="24"/>
        </w:rPr>
        <w:t>,</w:t>
      </w:r>
      <w:r>
        <w:rPr>
          <w:rFonts w:ascii="Times New Roman" w:hAnsi="Times New Roman" w:cs="Times New Roman"/>
          <w:b/>
          <w:sz w:val="24"/>
          <w:szCs w:val="24"/>
        </w:rPr>
        <w:t xml:space="preserve"> operativa de alta frecuencia, especulación, burbujas, rescat</w:t>
      </w:r>
      <w:r w:rsidR="00F5326B">
        <w:rPr>
          <w:rFonts w:ascii="Times New Roman" w:hAnsi="Times New Roman" w:cs="Times New Roman"/>
          <w:b/>
          <w:sz w:val="24"/>
          <w:szCs w:val="24"/>
        </w:rPr>
        <w:t>es indiscri</w:t>
      </w:r>
      <w:r w:rsidR="00C80D8A">
        <w:rPr>
          <w:rFonts w:ascii="Times New Roman" w:hAnsi="Times New Roman" w:cs="Times New Roman"/>
          <w:b/>
          <w:sz w:val="24"/>
          <w:szCs w:val="24"/>
        </w:rPr>
        <w:t>minados a la banca, flexibilización</w:t>
      </w:r>
      <w:r w:rsidR="00E27BFB">
        <w:rPr>
          <w:rFonts w:ascii="Times New Roman" w:hAnsi="Times New Roman" w:cs="Times New Roman"/>
          <w:b/>
          <w:sz w:val="24"/>
          <w:szCs w:val="24"/>
        </w:rPr>
        <w:t xml:space="preserve"> </w:t>
      </w:r>
      <w:r w:rsidR="00C80D8A">
        <w:rPr>
          <w:rFonts w:ascii="Times New Roman" w:hAnsi="Times New Roman" w:cs="Times New Roman"/>
          <w:b/>
          <w:sz w:val="24"/>
          <w:szCs w:val="24"/>
        </w:rPr>
        <w:t>cuantitativa</w:t>
      </w:r>
      <w:r w:rsidR="00F5326B">
        <w:rPr>
          <w:rFonts w:ascii="Times New Roman" w:hAnsi="Times New Roman" w:cs="Times New Roman"/>
          <w:b/>
          <w:sz w:val="24"/>
          <w:szCs w:val="24"/>
        </w:rPr>
        <w:t xml:space="preserve"> -QE-</w:t>
      </w:r>
      <w:r>
        <w:rPr>
          <w:rFonts w:ascii="Times New Roman" w:hAnsi="Times New Roman" w:cs="Times New Roman"/>
          <w:b/>
          <w:sz w:val="24"/>
          <w:szCs w:val="24"/>
        </w:rPr>
        <w:t xml:space="preserve">, monetización de la deuda, privatización de las ganancias, </w:t>
      </w:r>
      <w:r w:rsidR="0028448A">
        <w:rPr>
          <w:rFonts w:ascii="Times New Roman" w:hAnsi="Times New Roman" w:cs="Times New Roman"/>
          <w:b/>
          <w:sz w:val="24"/>
          <w:szCs w:val="24"/>
        </w:rPr>
        <w:t xml:space="preserve">socialización de las pérdidas, </w:t>
      </w:r>
      <w:r>
        <w:rPr>
          <w:rFonts w:ascii="Times New Roman" w:hAnsi="Times New Roman" w:cs="Times New Roman"/>
          <w:b/>
          <w:sz w:val="24"/>
          <w:szCs w:val="24"/>
        </w:rPr>
        <w:t>represión financiera,</w:t>
      </w:r>
      <w:r w:rsidR="0028448A">
        <w:rPr>
          <w:rFonts w:ascii="Times New Roman" w:hAnsi="Times New Roman" w:cs="Times New Roman"/>
          <w:b/>
          <w:sz w:val="24"/>
          <w:szCs w:val="24"/>
        </w:rPr>
        <w:t xml:space="preserve"> ingeniería fiscal,</w:t>
      </w:r>
      <w:r>
        <w:rPr>
          <w:rFonts w:ascii="Times New Roman" w:hAnsi="Times New Roman" w:cs="Times New Roman"/>
          <w:b/>
          <w:sz w:val="24"/>
          <w:szCs w:val="24"/>
        </w:rPr>
        <w:t xml:space="preserve"> estancamient</w:t>
      </w:r>
      <w:r w:rsidR="00F931BE">
        <w:rPr>
          <w:rFonts w:ascii="Times New Roman" w:hAnsi="Times New Roman" w:cs="Times New Roman"/>
          <w:b/>
          <w:sz w:val="24"/>
          <w:szCs w:val="24"/>
        </w:rPr>
        <w:t>o secular, alto desempleo</w:t>
      </w:r>
      <w:r>
        <w:rPr>
          <w:rFonts w:ascii="Times New Roman" w:hAnsi="Times New Roman" w:cs="Times New Roman"/>
          <w:b/>
          <w:sz w:val="24"/>
          <w:szCs w:val="24"/>
        </w:rPr>
        <w:t>,</w:t>
      </w:r>
      <w:r w:rsidR="00F931BE">
        <w:rPr>
          <w:rFonts w:ascii="Times New Roman" w:hAnsi="Times New Roman" w:cs="Times New Roman"/>
          <w:b/>
          <w:sz w:val="24"/>
          <w:szCs w:val="24"/>
        </w:rPr>
        <w:t xml:space="preserve"> élites extractivas,</w:t>
      </w:r>
      <w:r>
        <w:rPr>
          <w:rFonts w:ascii="Times New Roman" w:hAnsi="Times New Roman" w:cs="Times New Roman"/>
          <w:b/>
          <w:sz w:val="24"/>
          <w:szCs w:val="24"/>
        </w:rPr>
        <w:t xml:space="preserve"> creciente desigualdad, realidad virtual, entretenimiento banal</w:t>
      </w:r>
      <w:r w:rsidRPr="00B203B2">
        <w:rPr>
          <w:rFonts w:ascii="Times New Roman" w:hAnsi="Times New Roman" w:cs="Times New Roman"/>
          <w:b/>
          <w:sz w:val="24"/>
          <w:szCs w:val="24"/>
        </w:rPr>
        <w:t xml:space="preserve"> y</w:t>
      </w:r>
      <w:r>
        <w:rPr>
          <w:rFonts w:ascii="Times New Roman" w:hAnsi="Times New Roman" w:cs="Times New Roman"/>
          <w:b/>
          <w:sz w:val="24"/>
          <w:szCs w:val="24"/>
        </w:rPr>
        <w:t>,…</w:t>
      </w:r>
      <w:r w:rsidRPr="00B203B2">
        <w:rPr>
          <w:rFonts w:ascii="Times New Roman" w:hAnsi="Times New Roman" w:cs="Times New Roman"/>
          <w:b/>
          <w:sz w:val="24"/>
          <w:szCs w:val="24"/>
        </w:rPr>
        <w:t xml:space="preserve"> otras </w:t>
      </w:r>
      <w:r>
        <w:rPr>
          <w:rFonts w:ascii="Times New Roman" w:hAnsi="Times New Roman" w:cs="Times New Roman"/>
          <w:b/>
          <w:sz w:val="24"/>
          <w:szCs w:val="24"/>
        </w:rPr>
        <w:t>“</w:t>
      </w:r>
      <w:r w:rsidRPr="00B203B2">
        <w:rPr>
          <w:rFonts w:ascii="Times New Roman" w:hAnsi="Times New Roman" w:cs="Times New Roman"/>
          <w:b/>
          <w:sz w:val="24"/>
          <w:szCs w:val="24"/>
        </w:rPr>
        <w:t>dis</w:t>
      </w:r>
      <w:r>
        <w:rPr>
          <w:rFonts w:ascii="Times New Roman" w:hAnsi="Times New Roman" w:cs="Times New Roman"/>
          <w:b/>
          <w:sz w:val="24"/>
          <w:szCs w:val="24"/>
        </w:rPr>
        <w:t>rupciones” fraudulentas)</w:t>
      </w:r>
    </w:p>
    <w:p w:rsidR="00CA6A3A" w:rsidRDefault="00CA6A3A" w:rsidP="00CA6A3A">
      <w:pPr>
        <w:spacing w:line="240" w:lineRule="auto"/>
        <w:jc w:val="both"/>
        <w:rPr>
          <w:rFonts w:ascii="Times New Roman" w:hAnsi="Times New Roman" w:cs="Times New Roman"/>
          <w:b/>
          <w:sz w:val="24"/>
          <w:szCs w:val="24"/>
        </w:rPr>
      </w:pPr>
      <w:r>
        <w:rPr>
          <w:noProof/>
          <w:lang w:val="en-GB" w:eastAsia="en-GB"/>
        </w:rPr>
        <w:drawing>
          <wp:inline distT="0" distB="0" distL="0" distR="0">
            <wp:extent cx="5397500" cy="2343150"/>
            <wp:effectExtent l="0" t="0" r="0" b="0"/>
            <wp:docPr id="2" name="Imagen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344253"/>
                    </a:xfrm>
                    <a:prstGeom prst="rect">
                      <a:avLst/>
                    </a:prstGeom>
                    <a:noFill/>
                    <a:ln>
                      <a:noFill/>
                    </a:ln>
                  </pic:spPr>
                </pic:pic>
              </a:graphicData>
            </a:graphic>
          </wp:inline>
        </w:drawing>
      </w:r>
    </w:p>
    <w:p w:rsidR="00CA6A3A" w:rsidRDefault="00CA6A3A" w:rsidP="00CA6A3A">
      <w:pPr>
        <w:spacing w:line="240" w:lineRule="auto"/>
        <w:jc w:val="both"/>
        <w:rPr>
          <w:rFonts w:ascii="Times New Roman" w:hAnsi="Times New Roman" w:cs="Times New Roman"/>
          <w:b/>
          <w:sz w:val="24"/>
          <w:szCs w:val="24"/>
        </w:rPr>
      </w:pPr>
      <w:r>
        <w:rPr>
          <w:rFonts w:ascii="Arial" w:hAnsi="Arial" w:cs="Arial"/>
          <w:noProof/>
          <w:color w:val="6484B0"/>
          <w:sz w:val="18"/>
          <w:szCs w:val="18"/>
          <w:bdr w:val="none" w:sz="0" w:space="0" w:color="auto" w:frame="1"/>
          <w:lang w:val="en-GB" w:eastAsia="en-GB"/>
        </w:rPr>
        <w:drawing>
          <wp:inline distT="0" distB="0" distL="0" distR="0">
            <wp:extent cx="5270169" cy="2216505"/>
            <wp:effectExtent l="19050" t="0" r="6681" b="0"/>
            <wp:docPr id="1" name="fotoPrincipal" descr="http://estaticos02.expansion.com/assets/multimedia/imagenes/2016/01/10/14524628979945.jpg">
              <a:hlinkClick xmlns:a="http://schemas.openxmlformats.org/drawingml/2006/main" r:id="rId6" tgtFrame="&quot;_sel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staticos02.expansion.com/assets/multimedia/imagenes/2016/01/10/14524628979945.jpg">
                      <a:hlinkClick r:id="rId6" tgtFrame="&quot;_self&quot;"/>
                    </pic:cNvPr>
                    <pic:cNvPicPr>
                      <a:picLocks noChangeAspect="1" noChangeArrowheads="1"/>
                    </pic:cNvPicPr>
                  </pic:nvPicPr>
                  <pic:blipFill>
                    <a:blip r:embed="rId7"/>
                    <a:srcRect/>
                    <a:stretch>
                      <a:fillRect/>
                    </a:stretch>
                  </pic:blipFill>
                  <pic:spPr bwMode="auto">
                    <a:xfrm>
                      <a:off x="0" y="0"/>
                      <a:ext cx="5273122" cy="2217747"/>
                    </a:xfrm>
                    <a:prstGeom prst="rect">
                      <a:avLst/>
                    </a:prstGeom>
                    <a:noFill/>
                    <a:ln w="9525">
                      <a:noFill/>
                      <a:miter lim="800000"/>
                      <a:headEnd/>
                      <a:tailEnd/>
                    </a:ln>
                  </pic:spPr>
                </pic:pic>
              </a:graphicData>
            </a:graphic>
          </wp:inline>
        </w:drawing>
      </w:r>
    </w:p>
    <w:p w:rsidR="00CA6A3A" w:rsidRDefault="00CA6A3A" w:rsidP="00CA6A3A">
      <w:pPr>
        <w:spacing w:before="150" w:after="150" w:line="240" w:lineRule="auto"/>
        <w:rPr>
          <w:rFonts w:ascii="Times New Roman" w:hAnsi="Times New Roman" w:cs="Times New Roman"/>
          <w:b/>
          <w:color w:val="FF0000"/>
          <w:sz w:val="24"/>
          <w:szCs w:val="24"/>
        </w:rPr>
      </w:pPr>
      <w:r>
        <w:rPr>
          <w:rFonts w:ascii="Times New Roman" w:hAnsi="Times New Roman" w:cs="Times New Roman"/>
          <w:b/>
          <w:color w:val="FF0000"/>
          <w:sz w:val="24"/>
          <w:szCs w:val="24"/>
        </w:rPr>
        <w:t>Los principales fracasos del modelo económico que provocó la crisis (2008-2016)</w:t>
      </w:r>
    </w:p>
    <w:p w:rsidR="00BE6562" w:rsidRDefault="00CA6A3A" w:rsidP="00CA6A3A">
      <w:pPr>
        <w:spacing w:before="150" w:after="150" w:line="240" w:lineRule="auto"/>
        <w:rPr>
          <w:rFonts w:ascii="Times New Roman" w:hAnsi="Times New Roman" w:cs="Times New Roman"/>
          <w:b/>
          <w:sz w:val="24"/>
          <w:szCs w:val="24"/>
        </w:rPr>
      </w:pPr>
      <w:r w:rsidRPr="00891078">
        <w:rPr>
          <w:rFonts w:ascii="Times New Roman" w:hAnsi="Times New Roman" w:cs="Times New Roman"/>
          <w:b/>
          <w:sz w:val="24"/>
          <w:szCs w:val="24"/>
        </w:rPr>
        <w:t>- Introducción</w:t>
      </w:r>
      <w:r w:rsidR="00BE6562">
        <w:rPr>
          <w:rFonts w:ascii="Times New Roman" w:hAnsi="Times New Roman" w:cs="Times New Roman"/>
          <w:b/>
          <w:sz w:val="24"/>
          <w:szCs w:val="24"/>
        </w:rPr>
        <w:t>: vivir para ver…</w:t>
      </w:r>
    </w:p>
    <w:p w:rsidR="00CA6A3A" w:rsidRPr="002C503F" w:rsidRDefault="00BE6562" w:rsidP="00CA6A3A">
      <w:pPr>
        <w:spacing w:before="150" w:after="150" w:line="240" w:lineRule="auto"/>
        <w:rPr>
          <w:rFonts w:ascii="Times New Roman" w:hAnsi="Times New Roman" w:cs="Times New Roman"/>
          <w:b/>
          <w:color w:val="FF0000"/>
          <w:sz w:val="24"/>
          <w:szCs w:val="24"/>
        </w:rPr>
      </w:pPr>
      <w:r w:rsidRPr="002C503F">
        <w:rPr>
          <w:rFonts w:ascii="Times New Roman" w:hAnsi="Times New Roman" w:cs="Times New Roman"/>
          <w:b/>
          <w:sz w:val="24"/>
          <w:szCs w:val="24"/>
        </w:rPr>
        <w:t>¿Quién ha dicho esto?</w:t>
      </w:r>
    </w:p>
    <w:p w:rsidR="00CA6A3A" w:rsidRDefault="00CA6A3A" w:rsidP="00CA6A3A">
      <w:pPr>
        <w:pStyle w:val="NormalWeb"/>
        <w:spacing w:after="0"/>
        <w:jc w:val="both"/>
        <w:textAlignment w:val="baseline"/>
        <w:rPr>
          <w:color w:val="FF0000"/>
        </w:rPr>
      </w:pPr>
      <w:r w:rsidRPr="00BE6562">
        <w:rPr>
          <w:color w:val="FF0000"/>
        </w:rPr>
        <w:t>“En vez de llevar al crecimiento, algunas políticas neoliberales han aumentado la desigualdad, a la vez que ponen en peligro la expansión duradera”</w:t>
      </w:r>
      <w:r w:rsidR="00B47930">
        <w:rPr>
          <w:color w:val="FF0000"/>
        </w:rPr>
        <w:t>…</w:t>
      </w:r>
    </w:p>
    <w:p w:rsidR="00B47930" w:rsidRDefault="00B47930" w:rsidP="00B47930">
      <w:pPr>
        <w:pStyle w:val="NormalWeb"/>
        <w:spacing w:after="0"/>
        <w:jc w:val="both"/>
        <w:textAlignment w:val="baseline"/>
        <w:rPr>
          <w:color w:val="FF0000"/>
        </w:rPr>
      </w:pPr>
      <w:r w:rsidRPr="00BE6562">
        <w:rPr>
          <w:color w:val="FF0000"/>
        </w:rPr>
        <w:t>“Hay aspectos de la agenda neoliberal que no han funcionado como se esperaba”</w:t>
      </w:r>
      <w:r>
        <w:rPr>
          <w:color w:val="FF0000"/>
        </w:rPr>
        <w:t xml:space="preserve">… </w:t>
      </w:r>
      <w:r w:rsidRPr="00BE6562">
        <w:rPr>
          <w:color w:val="FF0000"/>
        </w:rPr>
        <w:t>“los costos en términos de aumento de desigualdad son prominentes”</w:t>
      </w:r>
      <w:r>
        <w:rPr>
          <w:color w:val="FF0000"/>
        </w:rPr>
        <w:t>…</w:t>
      </w:r>
      <w:r w:rsidRPr="00BE6562">
        <w:rPr>
          <w:color w:val="FF0000"/>
        </w:rPr>
        <w:t>“le hace daño al nivel y la sustentabilidad del crecimiento”</w:t>
      </w:r>
      <w:r>
        <w:rPr>
          <w:color w:val="FF0000"/>
        </w:rPr>
        <w:t>…</w:t>
      </w:r>
    </w:p>
    <w:p w:rsidR="00CA6A3A" w:rsidRPr="00B47930" w:rsidRDefault="00CA6A3A" w:rsidP="00CA6A3A">
      <w:pPr>
        <w:pStyle w:val="NormalWeb"/>
        <w:spacing w:after="0"/>
        <w:jc w:val="both"/>
        <w:textAlignment w:val="baseline"/>
      </w:pPr>
      <w:r w:rsidRPr="00B47930">
        <w:t>La declaración, insólita para el organismo que, más que ningún otro, es asociado en la imaginación popular con la expansión de políticas econ</w:t>
      </w:r>
      <w:r w:rsidR="00BE6562" w:rsidRPr="00B47930">
        <w:t>ómicas ortodoxas o neoliberales</w:t>
      </w:r>
      <w:r w:rsidRPr="00B47930">
        <w:t xml:space="preserve">, corresponde a un artículo de Jonathan D. Ostry, Prakash Loungani y Davide Furceri, </w:t>
      </w:r>
      <w:r w:rsidRPr="00B47930">
        <w:lastRenderedPageBreak/>
        <w:t>to</w:t>
      </w:r>
      <w:r w:rsidR="00B47930" w:rsidRPr="00B47930">
        <w:t xml:space="preserve">dos ellos funcionarios del FMI. </w:t>
      </w:r>
      <w:r w:rsidRPr="00B47930">
        <w:t>Ostry es subdirector del Departamento de Investigaciones del organismo. Loungani es jefe de división y Furceri es economista en la misma dependencia.</w:t>
      </w:r>
    </w:p>
    <w:p w:rsidR="00CA6A3A" w:rsidRPr="00B47930" w:rsidRDefault="001C4DB4" w:rsidP="00CA6A3A">
      <w:pPr>
        <w:pStyle w:val="NormalWeb"/>
        <w:spacing w:after="0"/>
        <w:jc w:val="both"/>
        <w:textAlignment w:val="baseline"/>
      </w:pPr>
      <w:r>
        <w:t>El escrito sorprende</w:t>
      </w:r>
      <w:r w:rsidR="00CA6A3A" w:rsidRPr="00B47930">
        <w:t xml:space="preserve"> por ser una aparente admisión de error por parte de expertos del FMI a las políticas que contra viento y marea buscó imponer la entidad a lo largo del mundo. Y que, según sus críticos, fueron adoptadas con un elevado costo social.</w:t>
      </w:r>
    </w:p>
    <w:p w:rsidR="00CA6A3A" w:rsidRPr="00B47930" w:rsidRDefault="00B47930" w:rsidP="00CA6A3A">
      <w:pPr>
        <w:pStyle w:val="NormalWeb"/>
        <w:spacing w:after="0"/>
        <w:jc w:val="both"/>
        <w:textAlignment w:val="baseline"/>
      </w:pPr>
      <w:r w:rsidRPr="00B47930">
        <w:t>A</w:t>
      </w:r>
      <w:r w:rsidR="00CA6A3A" w:rsidRPr="00B47930">
        <w:t xml:space="preserve"> lo largo de las décadas, y en particular en América Latina, el organismo se hizo especialmente conocido (y frecuentemente criticado) por los planes de ajuste que imponía a los paí</w:t>
      </w:r>
      <w:r w:rsidRPr="00B47930">
        <w:t>ses receptores de sus créditos. E</w:t>
      </w:r>
      <w:r w:rsidR="00CA6A3A" w:rsidRPr="00B47930">
        <w:t>so tuvo su expresión máxima durante la crisis de la deuda de la década de 1980.</w:t>
      </w:r>
    </w:p>
    <w:p w:rsidR="00CA6A3A" w:rsidRPr="00B47930" w:rsidRDefault="00CA6A3A" w:rsidP="00CA6A3A">
      <w:pPr>
        <w:pStyle w:val="NormalWeb"/>
        <w:spacing w:after="0"/>
        <w:jc w:val="both"/>
        <w:textAlignment w:val="baseline"/>
      </w:pPr>
      <w:r w:rsidRPr="00B47930">
        <w:t>La ma</w:t>
      </w:r>
      <w:r w:rsidR="00B47930" w:rsidRPr="00B47930">
        <w:t>yoría de los países de América Latina</w:t>
      </w:r>
      <w:r w:rsidRPr="00B47930">
        <w:t xml:space="preserve"> no pudieron seguir honrando la elevada deuda externa que habían adquirido en años de bonanza. Por lo que uno tras otro tuvieron que solicitar prést</w:t>
      </w:r>
      <w:r w:rsidR="00B47930" w:rsidRPr="00B47930">
        <w:t xml:space="preserve">amos de emergencia ante el FMI. </w:t>
      </w:r>
      <w:r w:rsidRPr="00B47930">
        <w:t>Los que eran concedidos a cambio de compromisos en torno a planes de ajuste.</w:t>
      </w:r>
    </w:p>
    <w:p w:rsidR="00CA6A3A" w:rsidRPr="00B47930" w:rsidRDefault="00CA6A3A" w:rsidP="00CA6A3A">
      <w:pPr>
        <w:pStyle w:val="NormalWeb"/>
        <w:spacing w:after="0"/>
        <w:jc w:val="both"/>
        <w:textAlignment w:val="baseline"/>
      </w:pPr>
      <w:r w:rsidRPr="00B47930">
        <w:t>Estos planes requerían el desmantelamiento de entidades estatales, la apertura al libre comercio y la inversión extranjera, las privatizaciones y las disminuciones del gasto público en rubros que incluían mu</w:t>
      </w:r>
      <w:r w:rsidR="00B47930" w:rsidRPr="00B47930">
        <w:t xml:space="preserve">chas veces la inversión social. </w:t>
      </w:r>
      <w:r w:rsidRPr="00B47930">
        <w:t>En no pocos casos, las políticas de ajuste pusieron fin a la inestabilidad macroeconómica extrema que vivían esos países sitiados por la deuda y la hiperinflación.</w:t>
      </w:r>
    </w:p>
    <w:p w:rsidR="00CA6A3A" w:rsidRPr="00B47930" w:rsidRDefault="00CA6A3A" w:rsidP="00CA6A3A">
      <w:pPr>
        <w:pStyle w:val="NormalWeb"/>
        <w:spacing w:after="0"/>
        <w:jc w:val="both"/>
        <w:textAlignment w:val="baseline"/>
      </w:pPr>
      <w:r w:rsidRPr="00B47930">
        <w:t>Pero también son asociados, especialmente en los 1980, con un desempleo disparado y un deterioro tal en los niveles de vida, que muchos se refieren</w:t>
      </w:r>
      <w:r w:rsidR="00BE6562" w:rsidRPr="00B47930">
        <w:t xml:space="preserve"> a ese periodo todavía como la “década perdida”</w:t>
      </w:r>
      <w:r w:rsidR="00B47930" w:rsidRPr="00B47930">
        <w:t>de la economía latinoamericana.</w:t>
      </w:r>
    </w:p>
    <w:p w:rsidR="00CA6A3A" w:rsidRPr="00B47930" w:rsidRDefault="00CA6A3A" w:rsidP="00CA6A3A">
      <w:pPr>
        <w:pStyle w:val="NormalWeb"/>
        <w:spacing w:after="0"/>
        <w:jc w:val="both"/>
        <w:textAlignment w:val="baseline"/>
      </w:pPr>
      <w:r w:rsidRPr="00B47930">
        <w:t>Pocos discutían en ese entonces la existencia de costos d</w:t>
      </w:r>
      <w:r w:rsidR="00BE6562" w:rsidRPr="00B47930">
        <w:t>e corto plazo en esas llamadas “terapias de choque”</w:t>
      </w:r>
      <w:r w:rsidRPr="00B47930">
        <w:t xml:space="preserve"> en las que el Estado despedía a miles de empleados y sometía súbitamente a los productores locales a la competencia externa.</w:t>
      </w:r>
    </w:p>
    <w:p w:rsidR="00CA6A3A" w:rsidRDefault="00CA6A3A" w:rsidP="00CA6A3A">
      <w:pPr>
        <w:pStyle w:val="NormalWeb"/>
        <w:spacing w:after="0"/>
        <w:jc w:val="both"/>
        <w:textAlignment w:val="baseline"/>
      </w:pPr>
      <w:r w:rsidRPr="00B47930">
        <w:t xml:space="preserve">Pero todo lo anterior, aseguraba el FMI, aumentaría en el largo plazo la eficiencia de la economía, y le permitiría a los países no solamente pagar sus deudas sino mejorar el crecimiento y </w:t>
      </w:r>
      <w:r w:rsidR="001C4DB4">
        <w:t xml:space="preserve">el bienestar de sus habitantes. </w:t>
      </w:r>
      <w:r w:rsidRPr="00B47930">
        <w:t xml:space="preserve">El ajuste se defendía como el remedio doloroso, más necesario, para garantizar el éxito </w:t>
      </w:r>
      <w:r w:rsidR="00B47930" w:rsidRPr="00B47930">
        <w:t xml:space="preserve">económico futuro de los países. </w:t>
      </w:r>
      <w:r w:rsidRPr="00B47930">
        <w:t>Un precepto que han puesto en duda los investigadores del FMI con su reciente artículo.</w:t>
      </w:r>
    </w:p>
    <w:p w:rsidR="001C4DB4" w:rsidRPr="001C4DB4" w:rsidRDefault="001C4DB4" w:rsidP="001C4DB4">
      <w:pPr>
        <w:pStyle w:val="NormalWeb"/>
        <w:shd w:val="clear" w:color="auto" w:fill="FFFFFF"/>
        <w:spacing w:after="0"/>
        <w:jc w:val="both"/>
        <w:textAlignment w:val="baseline"/>
        <w:rPr>
          <w:color w:val="FF0000"/>
          <w:u w:val="single"/>
        </w:rPr>
      </w:pPr>
      <w:r>
        <w:rPr>
          <w:color w:val="FF0000"/>
          <w:u w:val="single"/>
        </w:rPr>
        <w:t>“</w:t>
      </w:r>
      <w:r w:rsidRPr="00770EFA">
        <w:rPr>
          <w:color w:val="FF0000"/>
          <w:u w:val="single"/>
        </w:rPr>
        <w:t>El FMI se une a las críticas al neoliberalismo. ¿Qué demonios está pasando?</w:t>
      </w:r>
      <w:r>
        <w:rPr>
          <w:color w:val="FF0000"/>
          <w:u w:val="single"/>
        </w:rPr>
        <w:t>”</w:t>
      </w:r>
      <w:r w:rsidRPr="00770EFA">
        <w:rPr>
          <w:color w:val="FF0000"/>
          <w:u w:val="single"/>
        </w:rPr>
        <w:t>, afirmó en su cuenta de Twitter Dani Rodrik, profesor de Economía Política Internacional de la Universidad de Harvard y conocido por su posición crítica ante los efectos de la globalización.</w:t>
      </w:r>
    </w:p>
    <w:p w:rsidR="001C4DB4" w:rsidRPr="00770EFA" w:rsidRDefault="001C4DB4" w:rsidP="001C4DB4">
      <w:pPr>
        <w:pStyle w:val="NormalWeb"/>
        <w:shd w:val="clear" w:color="auto" w:fill="FFFFFF"/>
        <w:spacing w:after="0"/>
        <w:jc w:val="both"/>
        <w:textAlignment w:val="baseline"/>
        <w:rPr>
          <w:color w:val="FF0000"/>
          <w:u w:val="single"/>
        </w:rPr>
      </w:pPr>
      <w:r w:rsidRPr="00770EFA">
        <w:rPr>
          <w:color w:val="FF0000"/>
          <w:u w:val="single"/>
        </w:rPr>
        <w:t xml:space="preserve">Asimismo, la activista canadiense </w:t>
      </w:r>
      <w:r>
        <w:rPr>
          <w:color w:val="FF0000"/>
          <w:u w:val="single"/>
        </w:rPr>
        <w:t>Naomi Klein y autora del libro “No Logo”</w:t>
      </w:r>
      <w:r w:rsidRPr="00770EFA">
        <w:rPr>
          <w:color w:val="FF0000"/>
          <w:u w:val="single"/>
        </w:rPr>
        <w:t xml:space="preserve">, en el que carga contra la cultura del consumo, señaló en la misma red </w:t>
      </w:r>
      <w:r>
        <w:rPr>
          <w:color w:val="FF0000"/>
          <w:u w:val="single"/>
        </w:rPr>
        <w:t>social con ironía que dado que “</w:t>
      </w:r>
      <w:r w:rsidRPr="00770EFA">
        <w:rPr>
          <w:color w:val="FF0000"/>
          <w:u w:val="single"/>
        </w:rPr>
        <w:t>el FMI admite que el neoliberalismo es un fracaso, ahora todos los multimillonarios que ha ayudado a crear van</w:t>
      </w:r>
      <w:r>
        <w:rPr>
          <w:color w:val="FF0000"/>
          <w:u w:val="single"/>
        </w:rPr>
        <w:t xml:space="preserve"> a devolver su dinero, ¿verdad?”</w:t>
      </w:r>
      <w:r w:rsidRPr="00770EFA">
        <w:rPr>
          <w:color w:val="FF0000"/>
          <w:u w:val="single"/>
        </w:rPr>
        <w:t>.</w:t>
      </w:r>
    </w:p>
    <w:p w:rsidR="00B47930" w:rsidRDefault="00B47930" w:rsidP="00B47930">
      <w:pPr>
        <w:pStyle w:val="NormalWeb"/>
        <w:spacing w:after="0"/>
        <w:jc w:val="both"/>
        <w:textAlignment w:val="baseline"/>
      </w:pPr>
      <w:r>
        <w:t xml:space="preserve">Fuente: </w:t>
      </w:r>
      <w:r w:rsidRPr="00891078">
        <w:rPr>
          <w:u w:val="single"/>
        </w:rPr>
        <w:t>El insólito día en que el Fondo Monetario Internacional criticó el neoliberalismo</w:t>
      </w:r>
      <w:r w:rsidRPr="00891078">
        <w:t xml:space="preserve"> (BBCMundo - </w:t>
      </w:r>
      <w:r w:rsidRPr="00891078">
        <w:rPr>
          <w:b/>
        </w:rPr>
        <w:t>29/6/16</w:t>
      </w:r>
      <w:r w:rsidRPr="00891078">
        <w:t>)</w:t>
      </w:r>
    </w:p>
    <w:p w:rsidR="00182967" w:rsidRPr="00264972" w:rsidRDefault="00182967" w:rsidP="00182967">
      <w:pPr>
        <w:spacing w:after="0" w:line="240" w:lineRule="auto"/>
        <w:jc w:val="both"/>
        <w:rPr>
          <w:rFonts w:ascii="Times New Roman" w:eastAsia="Times New Roman" w:hAnsi="Times New Roman"/>
          <w:b/>
          <w:sz w:val="24"/>
          <w:szCs w:val="24"/>
        </w:rPr>
      </w:pPr>
      <w:r w:rsidRPr="00264972">
        <w:rPr>
          <w:rFonts w:ascii="Times New Roman" w:eastAsia="Times New Roman" w:hAnsi="Times New Roman"/>
          <w:b/>
          <w:sz w:val="24"/>
          <w:szCs w:val="24"/>
        </w:rPr>
        <w:lastRenderedPageBreak/>
        <w:t xml:space="preserve">“Colapso” y “miserias” de la </w:t>
      </w:r>
      <w:r>
        <w:rPr>
          <w:rFonts w:ascii="Times New Roman" w:eastAsia="Times New Roman" w:hAnsi="Times New Roman"/>
          <w:b/>
          <w:sz w:val="24"/>
          <w:szCs w:val="24"/>
        </w:rPr>
        <w:t>“</w:t>
      </w:r>
      <w:r w:rsidRPr="00264972">
        <w:rPr>
          <w:rFonts w:ascii="Times New Roman" w:eastAsia="Times New Roman" w:hAnsi="Times New Roman"/>
          <w:b/>
          <w:sz w:val="24"/>
          <w:szCs w:val="24"/>
        </w:rPr>
        <w:t>era de los excesos</w:t>
      </w:r>
      <w:r>
        <w:rPr>
          <w:rFonts w:ascii="Times New Roman" w:eastAsia="Times New Roman" w:hAnsi="Times New Roman"/>
          <w:b/>
          <w:sz w:val="24"/>
          <w:szCs w:val="24"/>
        </w:rPr>
        <w:t>”</w:t>
      </w:r>
      <w:r w:rsidRPr="00264972">
        <w:rPr>
          <w:rFonts w:ascii="Times New Roman" w:eastAsia="Times New Roman" w:hAnsi="Times New Roman"/>
          <w:b/>
          <w:sz w:val="24"/>
          <w:szCs w:val="24"/>
        </w:rPr>
        <w:t xml:space="preserve"> (una historia lamentable)</w:t>
      </w:r>
    </w:p>
    <w:p w:rsidR="00182967" w:rsidRDefault="00182967" w:rsidP="00182967">
      <w:pPr>
        <w:spacing w:after="0" w:line="240" w:lineRule="auto"/>
        <w:jc w:val="both"/>
        <w:rPr>
          <w:rFonts w:ascii="Times New Roman" w:eastAsia="Times New Roman" w:hAnsi="Times New Roman"/>
          <w:sz w:val="24"/>
          <w:szCs w:val="24"/>
        </w:rPr>
      </w:pPr>
    </w:p>
    <w:p w:rsidR="00182967" w:rsidRDefault="00182967"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Cumplidos 8 años desde la quiebra de Lehman Brothers: ¿qué ha quedado después del “tsunami financiero”? Innumerables cretinos subsidiados. Una economía de “alta frecuencia”.</w:t>
      </w:r>
      <w:r w:rsidR="005D439A">
        <w:rPr>
          <w:rFonts w:ascii="Times New Roman" w:eastAsia="Times New Roman" w:hAnsi="Times New Roman"/>
          <w:sz w:val="24"/>
          <w:szCs w:val="24"/>
        </w:rPr>
        <w:t xml:space="preserve"> El casino sigue abierto.</w:t>
      </w:r>
      <w:r>
        <w:rPr>
          <w:rFonts w:ascii="Times New Roman" w:eastAsia="Times New Roman" w:hAnsi="Times New Roman"/>
          <w:sz w:val="24"/>
          <w:szCs w:val="24"/>
        </w:rPr>
        <w:t xml:space="preserve"> Ganar dinero sin importar cómo. Especulación desenfrenada. Juguetización. Gamificación… ¿Un regreso a 2008?</w:t>
      </w:r>
    </w:p>
    <w:p w:rsidR="00182967" w:rsidRDefault="00182967" w:rsidP="00182967">
      <w:pPr>
        <w:spacing w:after="0" w:line="240" w:lineRule="auto"/>
        <w:jc w:val="both"/>
        <w:rPr>
          <w:rFonts w:ascii="Times New Roman" w:eastAsia="Times New Roman" w:hAnsi="Times New Roman"/>
          <w:sz w:val="24"/>
          <w:szCs w:val="24"/>
        </w:rPr>
      </w:pPr>
    </w:p>
    <w:p w:rsidR="00182967" w:rsidRDefault="00182967"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La “historia” después d</w:t>
      </w:r>
      <w:r w:rsidR="00A82B98">
        <w:rPr>
          <w:rFonts w:ascii="Times New Roman" w:eastAsia="Times New Roman" w:hAnsi="Times New Roman"/>
          <w:sz w:val="24"/>
          <w:szCs w:val="24"/>
        </w:rPr>
        <w:t>el “F</w:t>
      </w:r>
      <w:r w:rsidR="00C173C9">
        <w:rPr>
          <w:rFonts w:ascii="Times New Roman" w:eastAsia="Times New Roman" w:hAnsi="Times New Roman"/>
          <w:sz w:val="24"/>
          <w:szCs w:val="24"/>
        </w:rPr>
        <w:t>inal de la Historia” (que profetizó</w:t>
      </w:r>
      <w:r>
        <w:rPr>
          <w:rFonts w:ascii="Times New Roman" w:eastAsia="Times New Roman" w:hAnsi="Times New Roman"/>
          <w:sz w:val="24"/>
          <w:szCs w:val="24"/>
        </w:rPr>
        <w:t>Fukuyama): fracaso de la globalización, el librecambio, la financierización, la desregulación, la privatización, el multiculturalismo, la integración, la ciberestupidez, las redes sociales (engendro totalitario)… estancamiento secular, una gran parte de la juventud que “ni” estudia, “ni” trabaja, “ni” p</w:t>
      </w:r>
      <w:r w:rsidR="0090347C">
        <w:rPr>
          <w:rFonts w:ascii="Times New Roman" w:eastAsia="Times New Roman" w:hAnsi="Times New Roman"/>
          <w:sz w:val="24"/>
          <w:szCs w:val="24"/>
        </w:rPr>
        <w:t>iensa, “ni” les interesa…  y</w:t>
      </w:r>
      <w:r>
        <w:rPr>
          <w:rFonts w:ascii="Times New Roman" w:eastAsia="Times New Roman" w:hAnsi="Times New Roman"/>
          <w:sz w:val="24"/>
          <w:szCs w:val="24"/>
        </w:rPr>
        <w:t xml:space="preserve"> al final, “sombras</w:t>
      </w:r>
      <w:r w:rsidR="00303E2C">
        <w:rPr>
          <w:rFonts w:ascii="Times New Roman" w:eastAsia="Times New Roman" w:hAnsi="Times New Roman"/>
          <w:sz w:val="24"/>
          <w:szCs w:val="24"/>
        </w:rPr>
        <w:t>,</w:t>
      </w:r>
      <w:r>
        <w:rPr>
          <w:rFonts w:ascii="Times New Roman" w:eastAsia="Times New Roman" w:hAnsi="Times New Roman"/>
          <w:sz w:val="24"/>
          <w:szCs w:val="24"/>
        </w:rPr>
        <w:t xml:space="preserve"> nada más”…</w:t>
      </w:r>
    </w:p>
    <w:p w:rsidR="00182967" w:rsidRDefault="00182967" w:rsidP="00182967">
      <w:pPr>
        <w:spacing w:after="0" w:line="240" w:lineRule="auto"/>
        <w:jc w:val="both"/>
        <w:rPr>
          <w:rFonts w:ascii="Times New Roman" w:eastAsia="Times New Roman" w:hAnsi="Times New Roman"/>
          <w:sz w:val="24"/>
          <w:szCs w:val="24"/>
        </w:rPr>
      </w:pPr>
    </w:p>
    <w:p w:rsidR="00182967" w:rsidRDefault="00182967"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De la “tierra de las oportunidades” se ha pasado a “dejar a la Tierra</w:t>
      </w:r>
      <w:r w:rsidR="0090347C">
        <w:rPr>
          <w:rFonts w:ascii="Times New Roman" w:eastAsia="Times New Roman" w:hAnsi="Times New Roman"/>
          <w:sz w:val="24"/>
          <w:szCs w:val="24"/>
        </w:rPr>
        <w:t>,</w:t>
      </w:r>
      <w:r>
        <w:rPr>
          <w:rFonts w:ascii="Times New Roman" w:eastAsia="Times New Roman" w:hAnsi="Times New Roman"/>
          <w:sz w:val="24"/>
          <w:szCs w:val="24"/>
        </w:rPr>
        <w:t xml:space="preserve"> sin oportunidad”.</w:t>
      </w:r>
    </w:p>
    <w:p w:rsidR="00182967" w:rsidRDefault="00182967" w:rsidP="00182967">
      <w:pPr>
        <w:spacing w:after="0" w:line="240" w:lineRule="auto"/>
        <w:jc w:val="both"/>
        <w:rPr>
          <w:rFonts w:ascii="Times New Roman" w:eastAsia="Times New Roman" w:hAnsi="Times New Roman"/>
          <w:sz w:val="24"/>
          <w:szCs w:val="24"/>
        </w:rPr>
      </w:pPr>
    </w:p>
    <w:p w:rsidR="00182967" w:rsidRDefault="005D439A"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Entre el e</w:t>
      </w:r>
      <w:r w:rsidR="00182967">
        <w:rPr>
          <w:rFonts w:ascii="Times New Roman" w:eastAsia="Times New Roman" w:hAnsi="Times New Roman"/>
          <w:sz w:val="24"/>
          <w:szCs w:val="24"/>
        </w:rPr>
        <w:t>sperpento goyesco y surrealismo daliniano, este modelo económico (de saqueo y depredación) no deja nada malo, para que lo acomentan futuras generaciones. Todos los daños imaginables quedan consumados. Actúan</w:t>
      </w:r>
      <w:r>
        <w:rPr>
          <w:rFonts w:ascii="Times New Roman" w:eastAsia="Times New Roman" w:hAnsi="Times New Roman"/>
          <w:sz w:val="24"/>
          <w:szCs w:val="24"/>
        </w:rPr>
        <w:t>,</w:t>
      </w:r>
      <w:r w:rsidR="00182967">
        <w:rPr>
          <w:rFonts w:ascii="Times New Roman" w:eastAsia="Times New Roman" w:hAnsi="Times New Roman"/>
          <w:sz w:val="24"/>
          <w:szCs w:val="24"/>
        </w:rPr>
        <w:t xml:space="preserve"> como si fueran los últimos…</w:t>
      </w:r>
    </w:p>
    <w:p w:rsidR="00182967" w:rsidRDefault="00182967" w:rsidP="00182967">
      <w:pPr>
        <w:spacing w:after="0" w:line="240" w:lineRule="auto"/>
        <w:jc w:val="both"/>
        <w:rPr>
          <w:rFonts w:ascii="Times New Roman" w:eastAsia="Times New Roman" w:hAnsi="Times New Roman"/>
          <w:sz w:val="24"/>
          <w:szCs w:val="24"/>
        </w:rPr>
      </w:pPr>
    </w:p>
    <w:p w:rsidR="00182967" w:rsidRDefault="00182967"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Las autoridades de control trasmutadas en monos amnésicos de los que se tapan los ojos, los oídos y la boca.</w:t>
      </w:r>
      <w:r w:rsidR="00A82B98">
        <w:rPr>
          <w:rFonts w:ascii="Times New Roman" w:eastAsia="Times New Roman" w:hAnsi="Times New Roman"/>
          <w:sz w:val="24"/>
          <w:szCs w:val="24"/>
        </w:rPr>
        <w:t xml:space="preserve">Han </w:t>
      </w:r>
      <w:r w:rsidR="00C173C9">
        <w:rPr>
          <w:rFonts w:ascii="Times New Roman" w:eastAsia="Times New Roman" w:hAnsi="Times New Roman"/>
          <w:sz w:val="24"/>
          <w:szCs w:val="24"/>
        </w:rPr>
        <w:t>prevaricado</w:t>
      </w:r>
      <w:r w:rsidR="00A82B98">
        <w:rPr>
          <w:rFonts w:ascii="Times New Roman" w:eastAsia="Times New Roman" w:hAnsi="Times New Roman"/>
          <w:sz w:val="24"/>
          <w:szCs w:val="24"/>
        </w:rPr>
        <w:t xml:space="preserve"> al paso del amo, del traficante, de la dorada canalla… En vez de actuar de servidores del Estado, se sirvieron de él</w:t>
      </w:r>
      <w:r w:rsidR="00303E2C">
        <w:rPr>
          <w:rFonts w:ascii="Times New Roman" w:eastAsia="Times New Roman" w:hAnsi="Times New Roman"/>
          <w:sz w:val="24"/>
          <w:szCs w:val="24"/>
        </w:rPr>
        <w:t>,</w:t>
      </w:r>
      <w:r w:rsidR="00C173C9">
        <w:rPr>
          <w:rFonts w:ascii="Times New Roman" w:eastAsia="Times New Roman" w:hAnsi="Times New Roman"/>
          <w:sz w:val="24"/>
          <w:szCs w:val="24"/>
        </w:rPr>
        <w:t xml:space="preserve"> para beneficiar a</w:t>
      </w:r>
      <w:r w:rsidR="00A82B98">
        <w:rPr>
          <w:rFonts w:ascii="Times New Roman" w:eastAsia="Times New Roman" w:hAnsi="Times New Roman"/>
          <w:sz w:val="24"/>
          <w:szCs w:val="24"/>
        </w:rPr>
        <w:t xml:space="preserve"> los ricos y poderosos.</w:t>
      </w:r>
      <w:r w:rsidR="0090226E">
        <w:rPr>
          <w:rFonts w:ascii="Times New Roman" w:eastAsia="Times New Roman" w:hAnsi="Times New Roman"/>
          <w:sz w:val="24"/>
          <w:szCs w:val="24"/>
        </w:rPr>
        <w:t>S</w:t>
      </w:r>
      <w:r w:rsidR="00A93470">
        <w:rPr>
          <w:rFonts w:ascii="Times New Roman" w:eastAsia="Times New Roman" w:hAnsi="Times New Roman"/>
          <w:sz w:val="24"/>
          <w:szCs w:val="24"/>
        </w:rPr>
        <w:t>umergidos e</w:t>
      </w:r>
      <w:r w:rsidR="0090226E">
        <w:rPr>
          <w:rFonts w:ascii="Times New Roman" w:eastAsia="Times New Roman" w:hAnsi="Times New Roman"/>
          <w:sz w:val="24"/>
          <w:szCs w:val="24"/>
        </w:rPr>
        <w:t>n sus cálculos de ganancias y pé</w:t>
      </w:r>
      <w:r w:rsidR="00A93470">
        <w:rPr>
          <w:rFonts w:ascii="Times New Roman" w:eastAsia="Times New Roman" w:hAnsi="Times New Roman"/>
          <w:sz w:val="24"/>
          <w:szCs w:val="24"/>
        </w:rPr>
        <w:t>rdidas</w:t>
      </w:r>
      <w:r w:rsidR="0090226E">
        <w:rPr>
          <w:rFonts w:ascii="Times New Roman" w:eastAsia="Times New Roman" w:hAnsi="Times New Roman"/>
          <w:sz w:val="24"/>
          <w:szCs w:val="24"/>
        </w:rPr>
        <w:t>, las contracuentas en el</w:t>
      </w:r>
      <w:r w:rsidR="00A93470">
        <w:rPr>
          <w:rFonts w:ascii="Times New Roman" w:eastAsia="Times New Roman" w:hAnsi="Times New Roman"/>
          <w:sz w:val="24"/>
          <w:szCs w:val="24"/>
        </w:rPr>
        <w:t xml:space="preserve"> Haber so</w:t>
      </w:r>
      <w:r w:rsidR="0090226E">
        <w:rPr>
          <w:rFonts w:ascii="Times New Roman" w:eastAsia="Times New Roman" w:hAnsi="Times New Roman"/>
          <w:sz w:val="24"/>
          <w:szCs w:val="24"/>
        </w:rPr>
        <w:t>n más claras que las cuentas en el</w:t>
      </w:r>
      <w:r w:rsidR="00A93470">
        <w:rPr>
          <w:rFonts w:ascii="Times New Roman" w:eastAsia="Times New Roman" w:hAnsi="Times New Roman"/>
          <w:sz w:val="24"/>
          <w:szCs w:val="24"/>
        </w:rPr>
        <w:t xml:space="preserve"> Debe.</w:t>
      </w:r>
    </w:p>
    <w:p w:rsidR="00A82B98" w:rsidRDefault="00A82B98" w:rsidP="00182967">
      <w:pPr>
        <w:spacing w:after="0" w:line="240" w:lineRule="auto"/>
        <w:jc w:val="both"/>
        <w:rPr>
          <w:rFonts w:ascii="Times New Roman" w:eastAsia="Times New Roman" w:hAnsi="Times New Roman"/>
          <w:sz w:val="24"/>
          <w:szCs w:val="24"/>
        </w:rPr>
      </w:pPr>
    </w:p>
    <w:p w:rsidR="00303E2C" w:rsidRDefault="000F5946"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Los “g</w:t>
      </w:r>
      <w:r w:rsidR="00E25319">
        <w:rPr>
          <w:rFonts w:ascii="Times New Roman" w:eastAsia="Times New Roman" w:hAnsi="Times New Roman"/>
          <w:sz w:val="24"/>
          <w:szCs w:val="24"/>
        </w:rPr>
        <w:t xml:space="preserve">lobal </w:t>
      </w:r>
      <w:r>
        <w:rPr>
          <w:rFonts w:ascii="Times New Roman" w:eastAsia="Times New Roman" w:hAnsi="Times New Roman"/>
          <w:sz w:val="24"/>
          <w:szCs w:val="24"/>
        </w:rPr>
        <w:t>p</w:t>
      </w:r>
      <w:r w:rsidR="00303E2C">
        <w:rPr>
          <w:rFonts w:ascii="Times New Roman" w:eastAsia="Times New Roman" w:hAnsi="Times New Roman"/>
          <w:sz w:val="24"/>
          <w:szCs w:val="24"/>
        </w:rPr>
        <w:t>layers</w:t>
      </w:r>
      <w:r>
        <w:rPr>
          <w:rFonts w:ascii="Times New Roman" w:eastAsia="Times New Roman" w:hAnsi="Times New Roman"/>
          <w:sz w:val="24"/>
          <w:szCs w:val="24"/>
        </w:rPr>
        <w:t>” (hacedores de mercado)</w:t>
      </w:r>
      <w:r w:rsidR="00303E2C">
        <w:rPr>
          <w:rFonts w:ascii="Times New Roman" w:eastAsia="Times New Roman" w:hAnsi="Times New Roman"/>
          <w:sz w:val="24"/>
          <w:szCs w:val="24"/>
        </w:rPr>
        <w:t xml:space="preserve"> aparentemente celebraban</w:t>
      </w:r>
      <w:r w:rsidR="00A82B98">
        <w:rPr>
          <w:rFonts w:ascii="Times New Roman" w:eastAsia="Times New Roman" w:hAnsi="Times New Roman"/>
          <w:sz w:val="24"/>
          <w:szCs w:val="24"/>
        </w:rPr>
        <w:t xml:space="preserve"> el oficio r</w:t>
      </w:r>
      <w:r w:rsidR="00E25319">
        <w:rPr>
          <w:rFonts w:ascii="Times New Roman" w:eastAsia="Times New Roman" w:hAnsi="Times New Roman"/>
          <w:sz w:val="24"/>
          <w:szCs w:val="24"/>
        </w:rPr>
        <w:t xml:space="preserve">evestidos de suprema autoridad, </w:t>
      </w:r>
      <w:r w:rsidR="003D690B">
        <w:rPr>
          <w:rFonts w:ascii="Times New Roman" w:eastAsia="Times New Roman" w:hAnsi="Times New Roman"/>
          <w:sz w:val="24"/>
          <w:szCs w:val="24"/>
        </w:rPr>
        <w:t>masturbándose</w:t>
      </w:r>
      <w:r w:rsidR="00A82B98">
        <w:rPr>
          <w:rFonts w:ascii="Times New Roman" w:eastAsia="Times New Roman" w:hAnsi="Times New Roman"/>
          <w:sz w:val="24"/>
          <w:szCs w:val="24"/>
        </w:rPr>
        <w:t xml:space="preserve"> ante las figuras salida</w:t>
      </w:r>
      <w:r w:rsidR="00E25319">
        <w:rPr>
          <w:rFonts w:ascii="Times New Roman" w:eastAsia="Times New Roman" w:hAnsi="Times New Roman"/>
          <w:sz w:val="24"/>
          <w:szCs w:val="24"/>
        </w:rPr>
        <w:t>s de sus manos, que creyeron crear</w:t>
      </w:r>
      <w:r w:rsidR="00A82B98">
        <w:rPr>
          <w:rFonts w:ascii="Times New Roman" w:eastAsia="Times New Roman" w:hAnsi="Times New Roman"/>
          <w:sz w:val="24"/>
          <w:szCs w:val="24"/>
        </w:rPr>
        <w:t>.</w:t>
      </w:r>
      <w:r w:rsidR="00303E2C">
        <w:rPr>
          <w:rFonts w:ascii="Times New Roman" w:eastAsia="Times New Roman" w:hAnsi="Times New Roman"/>
          <w:sz w:val="24"/>
          <w:szCs w:val="24"/>
        </w:rPr>
        <w:t xml:space="preserve"> El </w:t>
      </w:r>
      <w:r>
        <w:rPr>
          <w:rFonts w:ascii="Times New Roman" w:eastAsia="Times New Roman" w:hAnsi="Times New Roman"/>
          <w:sz w:val="24"/>
          <w:szCs w:val="24"/>
        </w:rPr>
        <w:t>pantagruélico</w:t>
      </w:r>
      <w:r w:rsidR="00303E2C">
        <w:rPr>
          <w:rFonts w:ascii="Times New Roman" w:eastAsia="Times New Roman" w:hAnsi="Times New Roman"/>
          <w:sz w:val="24"/>
          <w:szCs w:val="24"/>
        </w:rPr>
        <w:t xml:space="preserve"> imperio de</w:t>
      </w:r>
      <w:r w:rsidR="0090347C">
        <w:rPr>
          <w:rFonts w:ascii="Times New Roman" w:eastAsia="Times New Roman" w:hAnsi="Times New Roman"/>
          <w:sz w:val="24"/>
          <w:szCs w:val="24"/>
        </w:rPr>
        <w:t xml:space="preserve"> la</w:t>
      </w:r>
      <w:r w:rsidR="00303E2C">
        <w:rPr>
          <w:rFonts w:ascii="Times New Roman" w:eastAsia="Times New Roman" w:hAnsi="Times New Roman"/>
          <w:sz w:val="24"/>
          <w:szCs w:val="24"/>
        </w:rPr>
        <w:t xml:space="preserve"> voracidad insaciable soñó con tragarse países y continentes enteros, igual que un manso cordero. </w:t>
      </w:r>
    </w:p>
    <w:p w:rsidR="00A82B98" w:rsidRDefault="00A82B98" w:rsidP="00182967">
      <w:pPr>
        <w:spacing w:after="0" w:line="240" w:lineRule="auto"/>
        <w:jc w:val="both"/>
        <w:rPr>
          <w:rFonts w:ascii="Times New Roman" w:eastAsia="Times New Roman" w:hAnsi="Times New Roman"/>
          <w:sz w:val="24"/>
          <w:szCs w:val="24"/>
        </w:rPr>
      </w:pPr>
    </w:p>
    <w:p w:rsidR="00182967" w:rsidRPr="00884027" w:rsidRDefault="00182967" w:rsidP="00182967">
      <w:pPr>
        <w:spacing w:after="0" w:line="240" w:lineRule="auto"/>
        <w:jc w:val="both"/>
        <w:rPr>
          <w:rFonts w:ascii="Times New Roman" w:eastAsia="Times New Roman" w:hAnsi="Times New Roman"/>
          <w:i/>
          <w:sz w:val="24"/>
          <w:szCs w:val="24"/>
        </w:rPr>
      </w:pPr>
      <w:r>
        <w:rPr>
          <w:rFonts w:ascii="Times New Roman" w:eastAsia="Times New Roman" w:hAnsi="Times New Roman"/>
          <w:sz w:val="24"/>
          <w:szCs w:val="24"/>
        </w:rPr>
        <w:t xml:space="preserve">Como dice Jorge Manrique en su insuperado poema mortuorio: </w:t>
      </w:r>
      <w:r w:rsidRPr="00884027">
        <w:rPr>
          <w:rFonts w:ascii="Times New Roman" w:eastAsia="Times New Roman" w:hAnsi="Times New Roman"/>
          <w:i/>
          <w:sz w:val="24"/>
          <w:szCs w:val="24"/>
        </w:rPr>
        <w:t>¿qué fue de tanto galán, qué fue de tanta invención como trajeron?</w:t>
      </w:r>
    </w:p>
    <w:p w:rsidR="004679C4" w:rsidRDefault="004679C4" w:rsidP="00182967">
      <w:pPr>
        <w:spacing w:after="0" w:line="240" w:lineRule="auto"/>
        <w:jc w:val="both"/>
        <w:rPr>
          <w:rFonts w:ascii="Times New Roman" w:eastAsia="Times New Roman" w:hAnsi="Times New Roman"/>
          <w:sz w:val="24"/>
          <w:szCs w:val="24"/>
        </w:rPr>
      </w:pPr>
    </w:p>
    <w:p w:rsidR="00303E2C" w:rsidRDefault="004679C4"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Unos </w:t>
      </w:r>
      <w:r w:rsidR="00884027">
        <w:rPr>
          <w:rFonts w:ascii="Times New Roman" w:eastAsia="Times New Roman" w:hAnsi="Times New Roman"/>
          <w:sz w:val="24"/>
          <w:szCs w:val="24"/>
        </w:rPr>
        <w:t>arrogantes</w:t>
      </w:r>
      <w:r>
        <w:rPr>
          <w:rFonts w:ascii="Times New Roman" w:eastAsia="Times New Roman" w:hAnsi="Times New Roman"/>
          <w:sz w:val="24"/>
          <w:szCs w:val="24"/>
        </w:rPr>
        <w:t xml:space="preserve"> del poder que niegan u olvidan las evidencias en sus análisis económicos corrientes. </w:t>
      </w:r>
      <w:r w:rsidR="00303E2C">
        <w:rPr>
          <w:rFonts w:ascii="Times New Roman" w:eastAsia="Times New Roman" w:hAnsi="Times New Roman"/>
          <w:sz w:val="24"/>
          <w:szCs w:val="24"/>
        </w:rPr>
        <w:t>Unos bárbaros que no res</w:t>
      </w:r>
      <w:r w:rsidR="000F5946">
        <w:rPr>
          <w:rFonts w:ascii="Times New Roman" w:eastAsia="Times New Roman" w:hAnsi="Times New Roman"/>
          <w:sz w:val="24"/>
          <w:szCs w:val="24"/>
        </w:rPr>
        <w:t>ultan acreedores a la compasión</w:t>
      </w:r>
      <w:r w:rsidR="003624B3">
        <w:rPr>
          <w:rFonts w:ascii="Times New Roman" w:eastAsia="Times New Roman" w:hAnsi="Times New Roman"/>
          <w:sz w:val="24"/>
          <w:szCs w:val="24"/>
        </w:rPr>
        <w:t>,</w:t>
      </w:r>
      <w:r w:rsidR="00303E2C">
        <w:rPr>
          <w:rFonts w:ascii="Times New Roman" w:eastAsia="Times New Roman" w:hAnsi="Times New Roman"/>
          <w:sz w:val="24"/>
          <w:szCs w:val="24"/>
        </w:rPr>
        <w:t xml:space="preserve"> sino al castigo.</w:t>
      </w:r>
    </w:p>
    <w:p w:rsidR="00C173C9" w:rsidRDefault="00C173C9" w:rsidP="00182967">
      <w:pPr>
        <w:spacing w:after="0" w:line="240" w:lineRule="auto"/>
        <w:jc w:val="both"/>
        <w:rPr>
          <w:rFonts w:ascii="Times New Roman" w:eastAsia="Times New Roman" w:hAnsi="Times New Roman"/>
          <w:sz w:val="24"/>
          <w:szCs w:val="24"/>
        </w:rPr>
      </w:pPr>
    </w:p>
    <w:p w:rsidR="00C173C9" w:rsidRDefault="00C173C9"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Aunque no desaparezca la razón que los hace miserables, aunque</w:t>
      </w:r>
      <w:r w:rsidR="004679C4">
        <w:rPr>
          <w:rFonts w:ascii="Times New Roman" w:eastAsia="Times New Roman" w:hAnsi="Times New Roman"/>
          <w:sz w:val="24"/>
          <w:szCs w:val="24"/>
        </w:rPr>
        <w:t xml:space="preserve"> no los detenga ningún sentimiento de culpa, llegará un momento en que, ante la cruda realidad, el reconocimiento del mal hará inevitable el cambio.</w:t>
      </w:r>
    </w:p>
    <w:p w:rsidR="00B73717" w:rsidRDefault="00B73717" w:rsidP="00182967">
      <w:pPr>
        <w:spacing w:after="0" w:line="240" w:lineRule="auto"/>
        <w:jc w:val="both"/>
        <w:rPr>
          <w:rFonts w:ascii="Times New Roman" w:eastAsia="Times New Roman" w:hAnsi="Times New Roman"/>
          <w:sz w:val="24"/>
          <w:szCs w:val="24"/>
        </w:rPr>
      </w:pPr>
    </w:p>
    <w:p w:rsidR="00B73717" w:rsidRDefault="00B73717"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Fue </w:t>
      </w:r>
      <w:r w:rsidR="005A6694">
        <w:rPr>
          <w:rFonts w:ascii="Times New Roman" w:eastAsia="Times New Roman" w:hAnsi="Times New Roman"/>
          <w:sz w:val="24"/>
          <w:szCs w:val="24"/>
        </w:rPr>
        <w:t>Nietzsche</w:t>
      </w:r>
      <w:r>
        <w:rPr>
          <w:rFonts w:ascii="Times New Roman" w:eastAsia="Times New Roman" w:hAnsi="Times New Roman"/>
          <w:sz w:val="24"/>
          <w:szCs w:val="24"/>
        </w:rPr>
        <w:t xml:space="preserve"> quien dijo que </w:t>
      </w:r>
      <w:r w:rsidRPr="00884027">
        <w:rPr>
          <w:rFonts w:ascii="Times New Roman" w:eastAsia="Times New Roman" w:hAnsi="Times New Roman"/>
          <w:i/>
          <w:sz w:val="24"/>
          <w:szCs w:val="24"/>
        </w:rPr>
        <w:t>“permitir que el pasado ocupe el presente y bloquee el futuro es una forma segura de llevarse mal con uno mismo”…</w:t>
      </w:r>
      <w:r>
        <w:rPr>
          <w:rFonts w:ascii="Times New Roman" w:eastAsia="Times New Roman" w:hAnsi="Times New Roman"/>
          <w:sz w:val="24"/>
          <w:szCs w:val="24"/>
        </w:rPr>
        <w:t>(con uno mismo</w:t>
      </w:r>
      <w:r w:rsidR="00A93470">
        <w:rPr>
          <w:rFonts w:ascii="Times New Roman" w:eastAsia="Times New Roman" w:hAnsi="Times New Roman"/>
          <w:sz w:val="24"/>
          <w:szCs w:val="24"/>
        </w:rPr>
        <w:t>,</w:t>
      </w:r>
      <w:r>
        <w:rPr>
          <w:rFonts w:ascii="Times New Roman" w:eastAsia="Times New Roman" w:hAnsi="Times New Roman"/>
          <w:sz w:val="24"/>
          <w:szCs w:val="24"/>
        </w:rPr>
        <w:t xml:space="preserve"> y con los demás, me animaría a agregar).</w:t>
      </w:r>
    </w:p>
    <w:p w:rsidR="00B73717" w:rsidRDefault="00B73717" w:rsidP="00182967">
      <w:pPr>
        <w:spacing w:after="0" w:line="240" w:lineRule="auto"/>
        <w:jc w:val="both"/>
        <w:rPr>
          <w:rFonts w:ascii="Times New Roman" w:eastAsia="Times New Roman" w:hAnsi="Times New Roman"/>
          <w:sz w:val="24"/>
          <w:szCs w:val="24"/>
        </w:rPr>
      </w:pPr>
    </w:p>
    <w:p w:rsidR="00B73717" w:rsidRDefault="00B73717" w:rsidP="00182967">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Sin embargo, por la estulticia de</w:t>
      </w:r>
      <w:r w:rsidR="0090347C">
        <w:rPr>
          <w:rFonts w:ascii="Times New Roman" w:eastAsia="Times New Roman" w:hAnsi="Times New Roman"/>
          <w:sz w:val="24"/>
          <w:szCs w:val="24"/>
        </w:rPr>
        <w:t xml:space="preserve"> los</w:t>
      </w:r>
      <w:r>
        <w:rPr>
          <w:rFonts w:ascii="Times New Roman" w:eastAsia="Times New Roman" w:hAnsi="Times New Roman"/>
          <w:sz w:val="24"/>
          <w:szCs w:val="24"/>
        </w:rPr>
        <w:t xml:space="preserve"> unos</w:t>
      </w:r>
      <w:r w:rsidR="0090226E">
        <w:rPr>
          <w:rFonts w:ascii="Times New Roman" w:eastAsia="Times New Roman" w:hAnsi="Times New Roman"/>
          <w:sz w:val="24"/>
          <w:szCs w:val="24"/>
        </w:rPr>
        <w:t xml:space="preserve"> (gobierno</w:t>
      </w:r>
      <w:r w:rsidR="0090347C">
        <w:rPr>
          <w:rFonts w:ascii="Times New Roman" w:eastAsia="Times New Roman" w:hAnsi="Times New Roman"/>
          <w:sz w:val="24"/>
          <w:szCs w:val="24"/>
        </w:rPr>
        <w:t>s</w:t>
      </w:r>
      <w:r w:rsidR="0090226E">
        <w:rPr>
          <w:rFonts w:ascii="Times New Roman" w:eastAsia="Times New Roman" w:hAnsi="Times New Roman"/>
          <w:sz w:val="24"/>
          <w:szCs w:val="24"/>
        </w:rPr>
        <w:t xml:space="preserve"> y órganos de control)</w:t>
      </w:r>
      <w:r>
        <w:rPr>
          <w:rFonts w:ascii="Times New Roman" w:eastAsia="Times New Roman" w:hAnsi="Times New Roman"/>
          <w:sz w:val="24"/>
          <w:szCs w:val="24"/>
        </w:rPr>
        <w:t xml:space="preserve"> y la desvergüenza de</w:t>
      </w:r>
      <w:r w:rsidR="0090347C">
        <w:rPr>
          <w:rFonts w:ascii="Times New Roman" w:eastAsia="Times New Roman" w:hAnsi="Times New Roman"/>
          <w:sz w:val="24"/>
          <w:szCs w:val="24"/>
        </w:rPr>
        <w:t xml:space="preserve"> los</w:t>
      </w:r>
      <w:r>
        <w:rPr>
          <w:rFonts w:ascii="Times New Roman" w:eastAsia="Times New Roman" w:hAnsi="Times New Roman"/>
          <w:sz w:val="24"/>
          <w:szCs w:val="24"/>
        </w:rPr>
        <w:t xml:space="preserve"> otros</w:t>
      </w:r>
      <w:r w:rsidR="0090226E">
        <w:rPr>
          <w:rFonts w:ascii="Times New Roman" w:eastAsia="Times New Roman" w:hAnsi="Times New Roman"/>
          <w:sz w:val="24"/>
          <w:szCs w:val="24"/>
        </w:rPr>
        <w:t xml:space="preserve"> (banqueros y especuladores)</w:t>
      </w:r>
      <w:r>
        <w:rPr>
          <w:rFonts w:ascii="Times New Roman" w:eastAsia="Times New Roman" w:hAnsi="Times New Roman"/>
          <w:sz w:val="24"/>
          <w:szCs w:val="24"/>
        </w:rPr>
        <w:t>, contra toda lógica, estamos cerca (muy cerca) de volver a empezar la</w:t>
      </w:r>
      <w:r w:rsidR="0090226E">
        <w:rPr>
          <w:rFonts w:ascii="Times New Roman" w:eastAsia="Times New Roman" w:hAnsi="Times New Roman"/>
          <w:sz w:val="24"/>
          <w:szCs w:val="24"/>
        </w:rPr>
        <w:t xml:space="preserve"> misma (o muy parecida) crisis. ¡</w:t>
      </w:r>
      <w:r>
        <w:rPr>
          <w:rFonts w:ascii="Times New Roman" w:eastAsia="Times New Roman" w:hAnsi="Times New Roman"/>
          <w:sz w:val="24"/>
          <w:szCs w:val="24"/>
        </w:rPr>
        <w:t>No deberíamos permitirlo</w:t>
      </w:r>
      <w:r w:rsidR="0090226E">
        <w:rPr>
          <w:rFonts w:ascii="Times New Roman" w:eastAsia="Times New Roman" w:hAnsi="Times New Roman"/>
          <w:sz w:val="24"/>
          <w:szCs w:val="24"/>
        </w:rPr>
        <w:t>!</w:t>
      </w:r>
    </w:p>
    <w:p w:rsidR="00977509" w:rsidRPr="002C503F" w:rsidRDefault="00977509" w:rsidP="00B47930">
      <w:pPr>
        <w:pStyle w:val="NormalWeb"/>
        <w:spacing w:after="0"/>
        <w:jc w:val="both"/>
        <w:textAlignment w:val="baseline"/>
        <w:rPr>
          <w:b/>
        </w:rPr>
      </w:pPr>
      <w:r w:rsidRPr="002C503F">
        <w:rPr>
          <w:b/>
        </w:rPr>
        <w:lastRenderedPageBreak/>
        <w:t xml:space="preserve">¿Habrá llegado </w:t>
      </w:r>
      <w:r w:rsidR="002C503F">
        <w:rPr>
          <w:b/>
        </w:rPr>
        <w:t xml:space="preserve">la hora </w:t>
      </w:r>
      <w:r w:rsidRPr="002C503F">
        <w:rPr>
          <w:b/>
        </w:rPr>
        <w:t>que la economía se comport</w:t>
      </w:r>
      <w:r w:rsidR="002C503F">
        <w:rPr>
          <w:b/>
        </w:rPr>
        <w:t>e ‘como si la gente importara’</w:t>
      </w:r>
      <w:r w:rsidRPr="002C503F">
        <w:rPr>
          <w:b/>
        </w:rPr>
        <w:t>?</w:t>
      </w:r>
    </w:p>
    <w:p w:rsidR="00977509" w:rsidRPr="00C1324C" w:rsidRDefault="00182967" w:rsidP="0097750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¿Es “lo pequeño” </w:t>
      </w:r>
      <w:r w:rsidR="00977509" w:rsidRPr="00C1324C">
        <w:rPr>
          <w:rFonts w:ascii="Times New Roman" w:eastAsia="Times New Roman" w:hAnsi="Times New Roman"/>
          <w:sz w:val="24"/>
          <w:szCs w:val="24"/>
        </w:rPr>
        <w:t>el próximo gran tema en la economía? ¿Será que las ideas visionarias de Ernst Friedrich Schuma</w:t>
      </w:r>
      <w:r>
        <w:rPr>
          <w:rFonts w:ascii="Times New Roman" w:eastAsia="Times New Roman" w:hAnsi="Times New Roman"/>
          <w:sz w:val="24"/>
          <w:szCs w:val="24"/>
        </w:rPr>
        <w:t xml:space="preserve">cher, autor de culto </w:t>
      </w:r>
      <w:r w:rsidR="00977509" w:rsidRPr="00C1324C">
        <w:rPr>
          <w:rFonts w:ascii="Times New Roman" w:eastAsia="Times New Roman" w:hAnsi="Times New Roman"/>
          <w:sz w:val="24"/>
          <w:szCs w:val="24"/>
        </w:rPr>
        <w:t>de la década de los 70, están a punto de entrar en la corriente dominante?</w:t>
      </w:r>
    </w:p>
    <w:p w:rsidR="00977509" w:rsidRPr="00C1324C" w:rsidRDefault="00977509" w:rsidP="00977509">
      <w:pPr>
        <w:spacing w:after="0" w:line="240" w:lineRule="auto"/>
        <w:jc w:val="both"/>
        <w:rPr>
          <w:rFonts w:ascii="Times New Roman" w:eastAsia="Times New Roman" w:hAnsi="Times New Roman"/>
          <w:sz w:val="24"/>
          <w:szCs w:val="24"/>
        </w:rPr>
      </w:pPr>
    </w:p>
    <w:p w:rsidR="00977509" w:rsidRPr="00C1324C"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Schumacher, el economista y estadístico que nació en 1911 en</w:t>
      </w:r>
      <w:r w:rsidR="000C185D">
        <w:rPr>
          <w:rFonts w:ascii="Times New Roman" w:eastAsia="Times New Roman" w:hAnsi="Times New Roman"/>
          <w:sz w:val="24"/>
          <w:szCs w:val="24"/>
        </w:rPr>
        <w:t xml:space="preserve"> lo que fue el Imperio alemán, </w:t>
      </w:r>
      <w:r w:rsidRPr="00C1324C">
        <w:rPr>
          <w:rFonts w:ascii="Times New Roman" w:eastAsia="Times New Roman" w:hAnsi="Times New Roman"/>
          <w:sz w:val="24"/>
          <w:szCs w:val="24"/>
        </w:rPr>
        <w:t>llegó a ser un influyente intelectual a nivel internacional.Era el favorito de John Maynard Keynes, quien notó su potencial cuando leyó un trabajo que escribió cuando estaba internado en una aislada gra</w:t>
      </w:r>
      <w:r w:rsidR="000C185D">
        <w:rPr>
          <w:rFonts w:ascii="Times New Roman" w:eastAsia="Times New Roman" w:hAnsi="Times New Roman"/>
          <w:sz w:val="24"/>
          <w:szCs w:val="24"/>
        </w:rPr>
        <w:t>nja en Inglaterra</w:t>
      </w:r>
      <w:r w:rsidR="003D7A1F">
        <w:rPr>
          <w:rFonts w:ascii="Times New Roman" w:eastAsia="Times New Roman" w:hAnsi="Times New Roman"/>
          <w:sz w:val="24"/>
          <w:szCs w:val="24"/>
        </w:rPr>
        <w:t>,</w:t>
      </w:r>
      <w:r w:rsidR="000C185D">
        <w:rPr>
          <w:rFonts w:ascii="Times New Roman" w:eastAsia="Times New Roman" w:hAnsi="Times New Roman"/>
          <w:sz w:val="24"/>
          <w:szCs w:val="24"/>
        </w:rPr>
        <w:t xml:space="preserve"> como “extranjero enemigo”</w:t>
      </w:r>
      <w:r w:rsidRPr="00C1324C">
        <w:rPr>
          <w:rFonts w:ascii="Times New Roman" w:eastAsia="Times New Roman" w:hAnsi="Times New Roman"/>
          <w:sz w:val="24"/>
          <w:szCs w:val="24"/>
        </w:rPr>
        <w:t xml:space="preserve"> durante la Segunda Guerra Mundial</w:t>
      </w:r>
      <w:r w:rsidR="003D7A1F">
        <w:rPr>
          <w:rFonts w:ascii="Times New Roman" w:eastAsia="Times New Roman" w:hAnsi="Times New Roman"/>
          <w:sz w:val="24"/>
          <w:szCs w:val="24"/>
        </w:rPr>
        <w:t>,</w:t>
      </w:r>
      <w:r w:rsidRPr="00C1324C">
        <w:rPr>
          <w:rFonts w:ascii="Times New Roman" w:eastAsia="Times New Roman" w:hAnsi="Times New Roman"/>
          <w:sz w:val="24"/>
          <w:szCs w:val="24"/>
        </w:rPr>
        <w:t xml:space="preserve"> y logró que lo liberaran.</w:t>
      </w:r>
    </w:p>
    <w:p w:rsidR="00977509" w:rsidRPr="00C1324C" w:rsidRDefault="00977509" w:rsidP="00977509">
      <w:pPr>
        <w:spacing w:after="0" w:line="240" w:lineRule="auto"/>
        <w:jc w:val="both"/>
        <w:rPr>
          <w:rFonts w:ascii="Times New Roman" w:eastAsia="Times New Roman" w:hAnsi="Times New Roman"/>
          <w:sz w:val="24"/>
          <w:szCs w:val="24"/>
        </w:rPr>
      </w:pPr>
    </w:p>
    <w:p w:rsidR="00977509" w:rsidRPr="00C1324C"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Acto seguido, Schumacher ayudó al gobierno británico con las finanzas y la economía</w:t>
      </w:r>
      <w:r w:rsidR="003D7A1F">
        <w:rPr>
          <w:rFonts w:ascii="Times New Roman" w:eastAsia="Times New Roman" w:hAnsi="Times New Roman"/>
          <w:sz w:val="24"/>
          <w:szCs w:val="24"/>
        </w:rPr>
        <w:t>,</w:t>
      </w:r>
      <w:r w:rsidRPr="00C1324C">
        <w:rPr>
          <w:rFonts w:ascii="Times New Roman" w:eastAsia="Times New Roman" w:hAnsi="Times New Roman"/>
          <w:sz w:val="24"/>
          <w:szCs w:val="24"/>
        </w:rPr>
        <w:t xml:space="preserve"> mientras su nación adoptiva luchaba contra su país nativo.Además, escribió una colección de ensayos que pusieron de cabeza a la economía convencional.</w:t>
      </w:r>
    </w:p>
    <w:p w:rsidR="00303E2C" w:rsidRDefault="00303E2C" w:rsidP="00977509">
      <w:pPr>
        <w:spacing w:after="0" w:line="240" w:lineRule="auto"/>
        <w:jc w:val="both"/>
        <w:rPr>
          <w:rFonts w:ascii="Times New Roman" w:eastAsia="Times New Roman" w:hAnsi="Times New Roman"/>
          <w:sz w:val="24"/>
          <w:szCs w:val="24"/>
        </w:rPr>
      </w:pPr>
    </w:p>
    <w:p w:rsidR="000C185D"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¿Cuál era la percepción central de Schumacher?Para él, nuestra economía está basada en el culto de lo grande, rayando en la adoración del gigantismo.</w:t>
      </w:r>
      <w:r w:rsidR="000C185D">
        <w:rPr>
          <w:rFonts w:ascii="Times New Roman" w:eastAsia="Times New Roman" w:hAnsi="Times New Roman"/>
          <w:sz w:val="24"/>
          <w:szCs w:val="24"/>
        </w:rPr>
        <w:t>“</w:t>
      </w:r>
      <w:r w:rsidRPr="00C1324C">
        <w:rPr>
          <w:rFonts w:ascii="Times New Roman" w:eastAsia="Times New Roman" w:hAnsi="Times New Roman"/>
          <w:sz w:val="24"/>
          <w:szCs w:val="24"/>
        </w:rPr>
        <w:t>Existe</w:t>
      </w:r>
      <w:r w:rsidR="000C185D">
        <w:rPr>
          <w:rFonts w:ascii="Times New Roman" w:eastAsia="Times New Roman" w:hAnsi="Times New Roman"/>
          <w:sz w:val="24"/>
          <w:szCs w:val="24"/>
        </w:rPr>
        <w:t xml:space="preserve"> una </w:t>
      </w:r>
      <w:r w:rsidR="00182967">
        <w:rPr>
          <w:rFonts w:ascii="Times New Roman" w:eastAsia="Times New Roman" w:hAnsi="Times New Roman"/>
          <w:sz w:val="24"/>
          <w:szCs w:val="24"/>
        </w:rPr>
        <w:t>filosofía generalizada de “Cuanto</w:t>
      </w:r>
      <w:r w:rsidR="000C185D">
        <w:rPr>
          <w:rFonts w:ascii="Times New Roman" w:eastAsia="Times New Roman" w:hAnsi="Times New Roman"/>
          <w:sz w:val="24"/>
          <w:szCs w:val="24"/>
        </w:rPr>
        <w:t xml:space="preserve"> más grande, mejor”</w:t>
      </w:r>
      <w:r w:rsidRPr="00C1324C">
        <w:rPr>
          <w:rFonts w:ascii="Times New Roman" w:eastAsia="Times New Roman" w:hAnsi="Times New Roman"/>
          <w:sz w:val="24"/>
          <w:szCs w:val="24"/>
        </w:rPr>
        <w:t>: el mercado, las organizaciones, las máquinas. Y con lo más grande va lo más rápido, más complejo, más hambriento de capital y a menudo una batal</w:t>
      </w:r>
      <w:r w:rsidR="000C185D">
        <w:rPr>
          <w:rFonts w:ascii="Times New Roman" w:eastAsia="Times New Roman" w:hAnsi="Times New Roman"/>
          <w:sz w:val="24"/>
          <w:szCs w:val="24"/>
        </w:rPr>
        <w:t>la más masiva con la naturaleza”</w:t>
      </w:r>
      <w:r w:rsidRPr="00C1324C">
        <w:rPr>
          <w:rFonts w:ascii="Times New Roman" w:eastAsia="Times New Roman" w:hAnsi="Times New Roman"/>
          <w:sz w:val="24"/>
          <w:szCs w:val="24"/>
        </w:rPr>
        <w:t>, escribió.</w:t>
      </w:r>
    </w:p>
    <w:p w:rsidR="00E25319" w:rsidRDefault="00E25319" w:rsidP="00977509">
      <w:pPr>
        <w:spacing w:after="0" w:line="240" w:lineRule="auto"/>
        <w:jc w:val="both"/>
        <w:rPr>
          <w:rFonts w:ascii="Times New Roman" w:eastAsia="Times New Roman" w:hAnsi="Times New Roman"/>
          <w:sz w:val="24"/>
          <w:szCs w:val="24"/>
        </w:rPr>
      </w:pPr>
    </w:p>
    <w:p w:rsidR="00884027"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Y lo grande, por supuesto, era grandioso en muchos aspectos: la producción masiva había sacado a millones de la pobreza artesanal.Pero tenía efectos secundarios: arduo trabajo para lo</w:t>
      </w:r>
      <w:r w:rsidR="003D7A1F">
        <w:rPr>
          <w:rFonts w:ascii="Times New Roman" w:eastAsia="Times New Roman" w:hAnsi="Times New Roman"/>
          <w:sz w:val="24"/>
          <w:szCs w:val="24"/>
        </w:rPr>
        <w:t>s</w:t>
      </w:r>
      <w:r w:rsidRPr="00C1324C">
        <w:rPr>
          <w:rFonts w:ascii="Times New Roman" w:eastAsia="Times New Roman" w:hAnsi="Times New Roman"/>
          <w:sz w:val="24"/>
          <w:szCs w:val="24"/>
        </w:rPr>
        <w:t xml:space="preserve"> que lo tenían, estampidas a las ciudades, comunidades fragmentadas y desempleadas, aumento de inequidad y cr</w:t>
      </w:r>
      <w:r w:rsidR="00884027">
        <w:rPr>
          <w:rFonts w:ascii="Times New Roman" w:eastAsia="Times New Roman" w:hAnsi="Times New Roman"/>
          <w:sz w:val="24"/>
          <w:szCs w:val="24"/>
        </w:rPr>
        <w:t xml:space="preserve">ecimiento sostenido con deudas. </w:t>
      </w:r>
    </w:p>
    <w:p w:rsidR="00884027" w:rsidRDefault="00884027" w:rsidP="00977509">
      <w:pPr>
        <w:spacing w:after="0" w:line="240" w:lineRule="auto"/>
        <w:jc w:val="both"/>
        <w:rPr>
          <w:rFonts w:ascii="Times New Roman" w:eastAsia="Times New Roman" w:hAnsi="Times New Roman"/>
          <w:sz w:val="24"/>
          <w:szCs w:val="24"/>
        </w:rPr>
      </w:pPr>
    </w:p>
    <w:p w:rsidR="00977509" w:rsidRPr="00C1324C"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Schumacher no sólo señaló los problemas; dejó también un modelo para una economía distinta.</w:t>
      </w:r>
    </w:p>
    <w:p w:rsidR="00977509" w:rsidRPr="00C1324C" w:rsidRDefault="00977509" w:rsidP="00977509">
      <w:pPr>
        <w:spacing w:after="0" w:line="240" w:lineRule="auto"/>
        <w:jc w:val="both"/>
        <w:rPr>
          <w:rFonts w:ascii="Times New Roman" w:eastAsia="Times New Roman" w:hAnsi="Times New Roman"/>
          <w:sz w:val="24"/>
          <w:szCs w:val="24"/>
        </w:rPr>
      </w:pPr>
    </w:p>
    <w:p w:rsidR="00977509" w:rsidRPr="00C1324C" w:rsidRDefault="000C185D" w:rsidP="0097750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Según relata para la BBC </w:t>
      </w:r>
      <w:r w:rsidRPr="00C1324C">
        <w:rPr>
          <w:rFonts w:ascii="Times New Roman" w:eastAsia="Times New Roman" w:hAnsi="Times New Roman"/>
          <w:sz w:val="24"/>
          <w:szCs w:val="24"/>
        </w:rPr>
        <w:t>Leo Johnson</w:t>
      </w:r>
      <w:r>
        <w:rPr>
          <w:rFonts w:ascii="Times New Roman" w:eastAsia="Times New Roman" w:hAnsi="Times New Roman"/>
          <w:sz w:val="24"/>
          <w:szCs w:val="24"/>
        </w:rPr>
        <w:t xml:space="preserve"> (</w:t>
      </w:r>
      <w:r w:rsidR="003D7A1F">
        <w:rPr>
          <w:rFonts w:ascii="Times New Roman" w:eastAsia="Times New Roman" w:hAnsi="Times New Roman"/>
          <w:sz w:val="24"/>
          <w:szCs w:val="24"/>
        </w:rPr>
        <w:t>e</w:t>
      </w:r>
      <w:r w:rsidRPr="00C1324C">
        <w:rPr>
          <w:rFonts w:ascii="Times New Roman" w:eastAsia="Times New Roman" w:hAnsi="Times New Roman"/>
          <w:sz w:val="24"/>
          <w:szCs w:val="24"/>
        </w:rPr>
        <w:t>xperto en sustentabilidad, especializado en megatendencias</w:t>
      </w:r>
      <w:r>
        <w:rPr>
          <w:rFonts w:ascii="Times New Roman" w:eastAsia="Times New Roman" w:hAnsi="Times New Roman"/>
          <w:sz w:val="24"/>
          <w:szCs w:val="24"/>
        </w:rPr>
        <w:t>), e</w:t>
      </w:r>
      <w:r w:rsidR="003D7A1F">
        <w:rPr>
          <w:rFonts w:ascii="Times New Roman" w:eastAsia="Times New Roman" w:hAnsi="Times New Roman"/>
          <w:sz w:val="24"/>
          <w:szCs w:val="24"/>
        </w:rPr>
        <w:t>l Handels</w:t>
      </w:r>
      <w:r w:rsidR="00977509" w:rsidRPr="00C1324C">
        <w:rPr>
          <w:rFonts w:ascii="Times New Roman" w:eastAsia="Times New Roman" w:hAnsi="Times New Roman"/>
          <w:sz w:val="24"/>
          <w:szCs w:val="24"/>
        </w:rPr>
        <w:t xml:space="preserve">banken es un banco con una obsesión casi mística de mantenerse pequeño. Además, según </w:t>
      </w:r>
      <w:smartTag w:uri="urn:schemas-microsoft-com:office:smarttags" w:element="PersonName">
        <w:smartTagPr>
          <w:attr w:name="ProductID" w:val="la Escuela"/>
        </w:smartTagPr>
        <w:r w:rsidR="00977509" w:rsidRPr="00C1324C">
          <w:rPr>
            <w:rFonts w:ascii="Times New Roman" w:eastAsia="Times New Roman" w:hAnsi="Times New Roman"/>
            <w:sz w:val="24"/>
            <w:szCs w:val="24"/>
          </w:rPr>
          <w:t>la Escuela</w:t>
        </w:r>
      </w:smartTag>
      <w:r w:rsidR="00977509" w:rsidRPr="00C1324C">
        <w:rPr>
          <w:rFonts w:ascii="Times New Roman" w:eastAsia="Times New Roman" w:hAnsi="Times New Roman"/>
          <w:sz w:val="24"/>
          <w:szCs w:val="24"/>
        </w:rPr>
        <w:t xml:space="preserve"> de Negocios de Londres, es uno de los que tienen las acciones con mejor desempeño del mundo.</w:t>
      </w:r>
    </w:p>
    <w:p w:rsidR="00977509" w:rsidRPr="00C1324C" w:rsidRDefault="00977509" w:rsidP="00977509">
      <w:pPr>
        <w:spacing w:after="0" w:line="240" w:lineRule="auto"/>
        <w:jc w:val="both"/>
        <w:rPr>
          <w:rFonts w:ascii="Times New Roman" w:eastAsia="Times New Roman" w:hAnsi="Times New Roman"/>
          <w:sz w:val="24"/>
          <w:szCs w:val="24"/>
        </w:rPr>
      </w:pPr>
    </w:p>
    <w:p w:rsidR="00977509" w:rsidRPr="00A93470" w:rsidRDefault="000C185D" w:rsidP="00977509">
      <w:pPr>
        <w:spacing w:after="0" w:line="240" w:lineRule="auto"/>
        <w:jc w:val="both"/>
        <w:rPr>
          <w:rFonts w:ascii="Times New Roman" w:eastAsia="Times New Roman" w:hAnsi="Times New Roman"/>
          <w:sz w:val="24"/>
          <w:szCs w:val="24"/>
        </w:rPr>
      </w:pPr>
      <w:r w:rsidRPr="000C185D">
        <w:rPr>
          <w:rFonts w:ascii="Times New Roman" w:eastAsia="Times New Roman" w:hAnsi="Times New Roman"/>
          <w:color w:val="FF0000"/>
          <w:sz w:val="24"/>
          <w:szCs w:val="24"/>
        </w:rPr>
        <w:t>“</w:t>
      </w:r>
      <w:r w:rsidR="00977509" w:rsidRPr="000C185D">
        <w:rPr>
          <w:rFonts w:ascii="Times New Roman" w:eastAsia="Times New Roman" w:hAnsi="Times New Roman"/>
          <w:color w:val="FF0000"/>
          <w:sz w:val="24"/>
          <w:szCs w:val="24"/>
        </w:rPr>
        <w:t xml:space="preserve">En retrospectiva, en general se reconoce que los modelos basados en fijar metas de volumen y amarrarlos a los incentivos </w:t>
      </w:r>
      <w:r w:rsidRPr="000C185D">
        <w:rPr>
          <w:rFonts w:ascii="Times New Roman" w:eastAsia="Times New Roman" w:hAnsi="Times New Roman"/>
          <w:color w:val="FF0000"/>
          <w:sz w:val="24"/>
          <w:szCs w:val="24"/>
        </w:rPr>
        <w:t>resultó ser un coctel peligroso”</w:t>
      </w:r>
      <w:r w:rsidR="00977509" w:rsidRPr="000C185D">
        <w:rPr>
          <w:rFonts w:ascii="Times New Roman" w:eastAsia="Times New Roman" w:hAnsi="Times New Roman"/>
          <w:color w:val="FF0000"/>
          <w:sz w:val="24"/>
          <w:szCs w:val="24"/>
        </w:rPr>
        <w:t xml:space="preserve">, </w:t>
      </w:r>
      <w:r w:rsidR="00977509" w:rsidRPr="00C1324C">
        <w:rPr>
          <w:rFonts w:ascii="Times New Roman" w:eastAsia="Times New Roman" w:hAnsi="Times New Roman"/>
          <w:sz w:val="24"/>
          <w:szCs w:val="24"/>
        </w:rPr>
        <w:t>le dice a la BBC su director ejecutivo en la ca</w:t>
      </w:r>
      <w:r w:rsidR="00A93470">
        <w:rPr>
          <w:rFonts w:ascii="Times New Roman" w:eastAsia="Times New Roman" w:hAnsi="Times New Roman"/>
          <w:sz w:val="24"/>
          <w:szCs w:val="24"/>
        </w:rPr>
        <w:t xml:space="preserve">pital británica, Anders Bouvin. </w:t>
      </w:r>
      <w:r w:rsidRPr="000C185D">
        <w:rPr>
          <w:rFonts w:ascii="Times New Roman" w:eastAsia="Times New Roman" w:hAnsi="Times New Roman"/>
          <w:color w:val="FF0000"/>
          <w:sz w:val="24"/>
          <w:szCs w:val="24"/>
        </w:rPr>
        <w:t>“</w:t>
      </w:r>
      <w:r w:rsidR="00977509" w:rsidRPr="000C185D">
        <w:rPr>
          <w:rFonts w:ascii="Times New Roman" w:eastAsia="Times New Roman" w:hAnsi="Times New Roman"/>
          <w:color w:val="FF0000"/>
          <w:sz w:val="24"/>
          <w:szCs w:val="24"/>
        </w:rPr>
        <w:t>Los bancos grandes alienan, el poder de los altos mandos tiende a aumentar, hasta que las sucursales y los empleados que están en contacto con los clientes terminan siendo considerad</w:t>
      </w:r>
      <w:r w:rsidRPr="000C185D">
        <w:rPr>
          <w:rFonts w:ascii="Times New Roman" w:eastAsia="Times New Roman" w:hAnsi="Times New Roman"/>
          <w:color w:val="FF0000"/>
          <w:sz w:val="24"/>
          <w:szCs w:val="24"/>
        </w:rPr>
        <w:t>os como canales de distribución”</w:t>
      </w:r>
      <w:r w:rsidR="00977509" w:rsidRPr="000C185D">
        <w:rPr>
          <w:rFonts w:ascii="Times New Roman" w:eastAsia="Times New Roman" w:hAnsi="Times New Roman"/>
          <w:color w:val="FF0000"/>
          <w:sz w:val="24"/>
          <w:szCs w:val="24"/>
        </w:rPr>
        <w:t>.</w:t>
      </w:r>
      <w:r w:rsidRPr="000C185D">
        <w:rPr>
          <w:rFonts w:ascii="Times New Roman" w:eastAsia="Times New Roman" w:hAnsi="Times New Roman"/>
          <w:color w:val="FF0000"/>
          <w:sz w:val="24"/>
          <w:szCs w:val="24"/>
        </w:rPr>
        <w:t>“</w:t>
      </w:r>
      <w:r w:rsidR="00977509" w:rsidRPr="000C185D">
        <w:rPr>
          <w:rFonts w:ascii="Times New Roman" w:eastAsia="Times New Roman" w:hAnsi="Times New Roman"/>
          <w:color w:val="FF0000"/>
          <w:sz w:val="24"/>
          <w:szCs w:val="24"/>
        </w:rPr>
        <w:t>Yo creo que para tener éxito, hay que descomponer esas enormes organizaciones. En nuestro banco n</w:t>
      </w:r>
      <w:r w:rsidRPr="000C185D">
        <w:rPr>
          <w:rFonts w:ascii="Times New Roman" w:eastAsia="Times New Roman" w:hAnsi="Times New Roman"/>
          <w:color w:val="FF0000"/>
          <w:sz w:val="24"/>
          <w:szCs w:val="24"/>
        </w:rPr>
        <w:t>o fijamos metas desde el centro”</w:t>
      </w:r>
      <w:r w:rsidR="00977509" w:rsidRPr="000C185D">
        <w:rPr>
          <w:rFonts w:ascii="Times New Roman" w:eastAsia="Times New Roman" w:hAnsi="Times New Roman"/>
          <w:color w:val="FF0000"/>
          <w:sz w:val="24"/>
          <w:szCs w:val="24"/>
        </w:rPr>
        <w:t>.</w:t>
      </w:r>
    </w:p>
    <w:p w:rsidR="00977509" w:rsidRPr="00C1324C" w:rsidRDefault="00977509" w:rsidP="00977509">
      <w:pPr>
        <w:spacing w:after="0" w:line="240" w:lineRule="auto"/>
        <w:jc w:val="both"/>
        <w:rPr>
          <w:rFonts w:ascii="Times New Roman" w:eastAsia="Times New Roman" w:hAnsi="Times New Roman"/>
          <w:sz w:val="24"/>
          <w:szCs w:val="24"/>
        </w:rPr>
      </w:pPr>
    </w:p>
    <w:p w:rsidR="00884027"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Uno de sus accionistas institucionales algu</w:t>
      </w:r>
      <w:r w:rsidR="000C185D">
        <w:rPr>
          <w:rFonts w:ascii="Times New Roman" w:eastAsia="Times New Roman" w:hAnsi="Times New Roman"/>
          <w:sz w:val="24"/>
          <w:szCs w:val="24"/>
        </w:rPr>
        <w:t xml:space="preserve">na vez describió al grupo como </w:t>
      </w:r>
      <w:r w:rsidR="000C185D" w:rsidRPr="0088338F">
        <w:rPr>
          <w:rFonts w:ascii="Times New Roman" w:eastAsia="Times New Roman" w:hAnsi="Times New Roman"/>
          <w:color w:val="FF0000"/>
          <w:sz w:val="24"/>
          <w:szCs w:val="24"/>
        </w:rPr>
        <w:t>“emocionantemente aburrido”</w:t>
      </w:r>
      <w:r w:rsidRPr="0088338F">
        <w:rPr>
          <w:rFonts w:ascii="Times New Roman" w:eastAsia="Times New Roman" w:hAnsi="Times New Roman"/>
          <w:color w:val="FF0000"/>
          <w:sz w:val="24"/>
          <w:szCs w:val="24"/>
        </w:rPr>
        <w:t>.</w:t>
      </w:r>
      <w:r w:rsidR="0088338F" w:rsidRPr="0088338F">
        <w:rPr>
          <w:rFonts w:ascii="Times New Roman" w:eastAsia="Times New Roman" w:hAnsi="Times New Roman"/>
          <w:color w:val="FF0000"/>
          <w:sz w:val="24"/>
          <w:szCs w:val="24"/>
        </w:rPr>
        <w:t>“Aburrido”</w:t>
      </w:r>
      <w:r w:rsidRPr="00C1324C">
        <w:rPr>
          <w:rFonts w:ascii="Times New Roman" w:eastAsia="Times New Roman" w:hAnsi="Times New Roman"/>
          <w:sz w:val="24"/>
          <w:szCs w:val="24"/>
        </w:rPr>
        <w:t>quizás, porque este banco valora la planificación a largo plazo y la descentrali</w:t>
      </w:r>
      <w:r w:rsidR="000C185D">
        <w:rPr>
          <w:rFonts w:ascii="Times New Roman" w:eastAsia="Times New Roman" w:hAnsi="Times New Roman"/>
          <w:sz w:val="24"/>
          <w:szCs w:val="24"/>
        </w:rPr>
        <w:t xml:space="preserve">zación, encapsulada en el lema </w:t>
      </w:r>
      <w:r w:rsidR="000C185D" w:rsidRPr="0088338F">
        <w:rPr>
          <w:rFonts w:ascii="Times New Roman" w:eastAsia="Times New Roman" w:hAnsi="Times New Roman"/>
          <w:color w:val="FF0000"/>
          <w:sz w:val="24"/>
          <w:szCs w:val="24"/>
        </w:rPr>
        <w:t>“la sucursal es el banco”</w:t>
      </w:r>
      <w:r w:rsidRPr="0088338F">
        <w:rPr>
          <w:rFonts w:ascii="Times New Roman" w:eastAsia="Times New Roman" w:hAnsi="Times New Roman"/>
          <w:color w:val="FF0000"/>
          <w:sz w:val="24"/>
          <w:szCs w:val="24"/>
        </w:rPr>
        <w:t>.</w:t>
      </w:r>
      <w:r w:rsidR="0088338F" w:rsidRPr="0088338F">
        <w:rPr>
          <w:rFonts w:ascii="Times New Roman" w:eastAsia="Times New Roman" w:hAnsi="Times New Roman"/>
          <w:color w:val="FF0000"/>
          <w:sz w:val="24"/>
          <w:szCs w:val="24"/>
        </w:rPr>
        <w:t>“</w:t>
      </w:r>
      <w:r w:rsidRPr="0088338F">
        <w:rPr>
          <w:rFonts w:ascii="Times New Roman" w:eastAsia="Times New Roman" w:hAnsi="Times New Roman"/>
          <w:color w:val="FF0000"/>
          <w:sz w:val="24"/>
          <w:szCs w:val="24"/>
        </w:rPr>
        <w:t>Cada sucursal es responsable del área que le rodea, digamos que de lo que se puede v</w:t>
      </w:r>
      <w:r w:rsidR="0088338F" w:rsidRPr="0088338F">
        <w:rPr>
          <w:rFonts w:ascii="Times New Roman" w:eastAsia="Times New Roman" w:hAnsi="Times New Roman"/>
          <w:color w:val="FF0000"/>
          <w:sz w:val="24"/>
          <w:szCs w:val="24"/>
        </w:rPr>
        <w:t>er desde la torre de la iglesia”</w:t>
      </w:r>
      <w:r w:rsidRPr="0088338F">
        <w:rPr>
          <w:rFonts w:ascii="Times New Roman" w:eastAsia="Times New Roman" w:hAnsi="Times New Roman"/>
          <w:color w:val="FF0000"/>
          <w:sz w:val="24"/>
          <w:szCs w:val="24"/>
        </w:rPr>
        <w:t xml:space="preserve">, </w:t>
      </w:r>
      <w:r w:rsidR="00A93470">
        <w:rPr>
          <w:rFonts w:ascii="Times New Roman" w:eastAsia="Times New Roman" w:hAnsi="Times New Roman"/>
          <w:sz w:val="24"/>
          <w:szCs w:val="24"/>
        </w:rPr>
        <w:t xml:space="preserve">le explica Bouvin a la BBC. </w:t>
      </w:r>
      <w:r w:rsidRPr="00C1324C">
        <w:rPr>
          <w:rFonts w:ascii="Times New Roman" w:eastAsia="Times New Roman" w:hAnsi="Times New Roman"/>
          <w:sz w:val="24"/>
          <w:szCs w:val="24"/>
        </w:rPr>
        <w:t>Al pedirle que resumiera la filosofía de Han</w:t>
      </w:r>
      <w:r w:rsidR="005337CB">
        <w:rPr>
          <w:rFonts w:ascii="Times New Roman" w:eastAsia="Times New Roman" w:hAnsi="Times New Roman"/>
          <w:sz w:val="24"/>
          <w:szCs w:val="24"/>
        </w:rPr>
        <w:t>del</w:t>
      </w:r>
      <w:r w:rsidR="0088338F">
        <w:rPr>
          <w:rFonts w:ascii="Times New Roman" w:eastAsia="Times New Roman" w:hAnsi="Times New Roman"/>
          <w:sz w:val="24"/>
          <w:szCs w:val="24"/>
        </w:rPr>
        <w:t xml:space="preserve">sbanken en una frase, dijo: </w:t>
      </w:r>
      <w:r w:rsidR="0088338F" w:rsidRPr="0088338F">
        <w:rPr>
          <w:rFonts w:ascii="Times New Roman" w:eastAsia="Times New Roman" w:hAnsi="Times New Roman"/>
          <w:color w:val="FF0000"/>
          <w:sz w:val="24"/>
          <w:szCs w:val="24"/>
        </w:rPr>
        <w:t>“</w:t>
      </w:r>
      <w:r w:rsidRPr="0088338F">
        <w:rPr>
          <w:rFonts w:ascii="Times New Roman" w:eastAsia="Times New Roman" w:hAnsi="Times New Roman"/>
          <w:color w:val="FF0000"/>
          <w:sz w:val="24"/>
          <w:szCs w:val="24"/>
        </w:rPr>
        <w:t>Trabajar con la naturaleza hum</w:t>
      </w:r>
      <w:r w:rsidR="0088338F" w:rsidRPr="0088338F">
        <w:rPr>
          <w:rFonts w:ascii="Times New Roman" w:eastAsia="Times New Roman" w:hAnsi="Times New Roman"/>
          <w:color w:val="FF0000"/>
          <w:sz w:val="24"/>
          <w:szCs w:val="24"/>
        </w:rPr>
        <w:t>ana en vez de en contra de ella”</w:t>
      </w:r>
      <w:r w:rsidRPr="0088338F">
        <w:rPr>
          <w:rFonts w:ascii="Times New Roman" w:eastAsia="Times New Roman" w:hAnsi="Times New Roman"/>
          <w:color w:val="FF0000"/>
          <w:sz w:val="24"/>
          <w:szCs w:val="24"/>
        </w:rPr>
        <w:t>.</w:t>
      </w:r>
    </w:p>
    <w:p w:rsidR="00977509" w:rsidRPr="00C1324C"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lastRenderedPageBreak/>
        <w:t>Ese era uno de los puntos de Schumacher: en una organización pequeña, en la que confías en el personal y lo facultas, ahorras todo el costo de tratar de controlarlo y éste produce mejores resultados.</w:t>
      </w:r>
    </w:p>
    <w:p w:rsidR="00977509" w:rsidRPr="00C1324C" w:rsidRDefault="00977509" w:rsidP="00977509">
      <w:pPr>
        <w:spacing w:after="0" w:line="240" w:lineRule="auto"/>
        <w:jc w:val="both"/>
        <w:rPr>
          <w:rFonts w:ascii="Times New Roman" w:eastAsia="Times New Roman" w:hAnsi="Times New Roman"/>
          <w:sz w:val="24"/>
          <w:szCs w:val="24"/>
        </w:rPr>
      </w:pPr>
    </w:p>
    <w:p w:rsidR="00977509"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En la más reciente crisis financiera, causada en gran parte -según la narrativa popular- por los grandes bancos, Handelsbanken emergió con un balance financiero lo suficientemente fuerte como para hacer que los reguladores de la banca europea ronronearan de placer.</w:t>
      </w:r>
    </w:p>
    <w:p w:rsidR="00A93470" w:rsidRPr="00C1324C" w:rsidRDefault="00A93470" w:rsidP="00977509">
      <w:pPr>
        <w:spacing w:after="0" w:line="240" w:lineRule="auto"/>
        <w:jc w:val="both"/>
        <w:rPr>
          <w:rFonts w:ascii="Times New Roman" w:eastAsia="Times New Roman" w:hAnsi="Times New Roman"/>
          <w:sz w:val="24"/>
          <w:szCs w:val="24"/>
        </w:rPr>
      </w:pPr>
    </w:p>
    <w:p w:rsidR="00977509" w:rsidRPr="00C1324C"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Para ver cómo se traducen su</w:t>
      </w:r>
      <w:r w:rsidR="00E25319">
        <w:rPr>
          <w:rFonts w:ascii="Times New Roman" w:eastAsia="Times New Roman" w:hAnsi="Times New Roman"/>
          <w:sz w:val="24"/>
          <w:szCs w:val="24"/>
        </w:rPr>
        <w:t xml:space="preserve">s ideas fuera de los bancos, Leo </w:t>
      </w:r>
      <w:r w:rsidR="00E25319" w:rsidRPr="00C1324C">
        <w:rPr>
          <w:rFonts w:ascii="Times New Roman" w:eastAsia="Times New Roman" w:hAnsi="Times New Roman"/>
          <w:sz w:val="24"/>
          <w:szCs w:val="24"/>
        </w:rPr>
        <w:t>Johnson</w:t>
      </w:r>
      <w:r w:rsidR="00E25319">
        <w:rPr>
          <w:rFonts w:ascii="Times New Roman" w:eastAsia="Times New Roman" w:hAnsi="Times New Roman"/>
          <w:sz w:val="24"/>
          <w:szCs w:val="24"/>
        </w:rPr>
        <w:t xml:space="preserve"> fue </w:t>
      </w:r>
      <w:r w:rsidRPr="00C1324C">
        <w:rPr>
          <w:rFonts w:ascii="Times New Roman" w:eastAsia="Times New Roman" w:hAnsi="Times New Roman"/>
          <w:sz w:val="24"/>
          <w:szCs w:val="24"/>
        </w:rPr>
        <w:t xml:space="preserve"> al barrio londinense Brixton, donde la New Economics Foundation, un grupo de expertos que es parte del círculo de Schumacher, ayudó a poner en c</w:t>
      </w:r>
      <w:r w:rsidR="00884027">
        <w:rPr>
          <w:rFonts w:ascii="Times New Roman" w:eastAsia="Times New Roman" w:hAnsi="Times New Roman"/>
          <w:sz w:val="24"/>
          <w:szCs w:val="24"/>
        </w:rPr>
        <w:t xml:space="preserve">irculación la libra de Brixton. </w:t>
      </w:r>
      <w:r w:rsidRPr="00C1324C">
        <w:rPr>
          <w:rFonts w:ascii="Times New Roman" w:eastAsia="Times New Roman" w:hAnsi="Times New Roman"/>
          <w:sz w:val="24"/>
          <w:szCs w:val="24"/>
        </w:rPr>
        <w:t>L</w:t>
      </w:r>
      <w:r w:rsidR="0088338F">
        <w:rPr>
          <w:rFonts w:ascii="Times New Roman" w:eastAsia="Times New Roman" w:hAnsi="Times New Roman"/>
          <w:sz w:val="24"/>
          <w:szCs w:val="24"/>
        </w:rPr>
        <w:t>a idea es poner en práctica la “</w:t>
      </w:r>
      <w:r w:rsidRPr="00C1324C">
        <w:rPr>
          <w:rFonts w:ascii="Times New Roman" w:eastAsia="Times New Roman" w:hAnsi="Times New Roman"/>
          <w:sz w:val="24"/>
          <w:szCs w:val="24"/>
        </w:rPr>
        <w:t>econ</w:t>
      </w:r>
      <w:r w:rsidR="0088338F">
        <w:rPr>
          <w:rFonts w:ascii="Times New Roman" w:eastAsia="Times New Roman" w:hAnsi="Times New Roman"/>
          <w:sz w:val="24"/>
          <w:szCs w:val="24"/>
        </w:rPr>
        <w:t>omía como si la gente importara”</w:t>
      </w:r>
      <w:r w:rsidR="00E25319">
        <w:rPr>
          <w:rFonts w:ascii="Times New Roman" w:eastAsia="Times New Roman" w:hAnsi="Times New Roman"/>
          <w:sz w:val="24"/>
          <w:szCs w:val="24"/>
        </w:rPr>
        <w:t xml:space="preserve">. </w:t>
      </w:r>
      <w:r w:rsidR="0088338F">
        <w:rPr>
          <w:rFonts w:ascii="Times New Roman" w:eastAsia="Times New Roman" w:hAnsi="Times New Roman"/>
          <w:sz w:val="24"/>
          <w:szCs w:val="24"/>
        </w:rPr>
        <w:t>“</w:t>
      </w:r>
      <w:r w:rsidRPr="00C1324C">
        <w:rPr>
          <w:rFonts w:ascii="Times New Roman" w:eastAsia="Times New Roman" w:hAnsi="Times New Roman"/>
          <w:sz w:val="24"/>
          <w:szCs w:val="24"/>
        </w:rPr>
        <w:t xml:space="preserve">Exactamente. Siempre decimos que la libra </w:t>
      </w:r>
      <w:r w:rsidR="0088338F">
        <w:rPr>
          <w:rFonts w:ascii="Times New Roman" w:eastAsia="Times New Roman" w:hAnsi="Times New Roman"/>
          <w:sz w:val="24"/>
          <w:szCs w:val="24"/>
        </w:rPr>
        <w:t>de Brixton es una moneda social”</w:t>
      </w:r>
      <w:r w:rsidR="00E25319">
        <w:rPr>
          <w:rFonts w:ascii="Times New Roman" w:eastAsia="Times New Roman" w:hAnsi="Times New Roman"/>
          <w:sz w:val="24"/>
          <w:szCs w:val="24"/>
        </w:rPr>
        <w:t>,</w:t>
      </w:r>
      <w:r w:rsidRPr="00C1324C">
        <w:rPr>
          <w:rFonts w:ascii="Times New Roman" w:eastAsia="Times New Roman" w:hAnsi="Times New Roman"/>
          <w:sz w:val="24"/>
          <w:szCs w:val="24"/>
        </w:rPr>
        <w:t xml:space="preserve"> explica uno de los</w:t>
      </w:r>
      <w:r w:rsidR="00A93470">
        <w:rPr>
          <w:rFonts w:ascii="Times New Roman" w:eastAsia="Times New Roman" w:hAnsi="Times New Roman"/>
          <w:sz w:val="24"/>
          <w:szCs w:val="24"/>
        </w:rPr>
        <w:t xml:space="preserve"> impulsadores de la iniciativa. </w:t>
      </w:r>
      <w:r w:rsidRPr="00C1324C">
        <w:rPr>
          <w:rFonts w:ascii="Times New Roman" w:eastAsia="Times New Roman" w:hAnsi="Times New Roman"/>
          <w:sz w:val="24"/>
          <w:szCs w:val="24"/>
        </w:rPr>
        <w:t>La pregunta es si puede funcionar a escala mayor para ayudar a crear comunidades vibrantes en las que la gente quiera quedarse.</w:t>
      </w:r>
    </w:p>
    <w:p w:rsidR="00977509" w:rsidRPr="00C1324C" w:rsidRDefault="00977509" w:rsidP="00977509">
      <w:pPr>
        <w:spacing w:after="0" w:line="240" w:lineRule="auto"/>
        <w:jc w:val="both"/>
        <w:rPr>
          <w:rFonts w:ascii="Times New Roman" w:eastAsia="Times New Roman" w:hAnsi="Times New Roman"/>
          <w:sz w:val="24"/>
          <w:szCs w:val="24"/>
        </w:rPr>
      </w:pPr>
    </w:p>
    <w:p w:rsidR="00977509" w:rsidRPr="00C1324C" w:rsidRDefault="00884027" w:rsidP="0097750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¿Será </w:t>
      </w:r>
      <w:r w:rsidR="0088338F" w:rsidRPr="00C1324C">
        <w:rPr>
          <w:rFonts w:ascii="Times New Roman" w:eastAsia="Times New Roman" w:hAnsi="Times New Roman"/>
          <w:sz w:val="24"/>
          <w:szCs w:val="24"/>
        </w:rPr>
        <w:t xml:space="preserve">la visión de Schumacher de la </w:t>
      </w:r>
      <w:r w:rsidR="0088338F">
        <w:rPr>
          <w:rFonts w:ascii="Times New Roman" w:eastAsia="Times New Roman" w:hAnsi="Times New Roman"/>
          <w:sz w:val="24"/>
          <w:szCs w:val="24"/>
        </w:rPr>
        <w:t>“</w:t>
      </w:r>
      <w:r w:rsidR="0088338F" w:rsidRPr="00C1324C">
        <w:rPr>
          <w:rFonts w:ascii="Times New Roman" w:eastAsia="Times New Roman" w:hAnsi="Times New Roman"/>
          <w:sz w:val="24"/>
          <w:szCs w:val="24"/>
        </w:rPr>
        <w:t>fabricación distribuida</w:t>
      </w:r>
      <w:r w:rsidR="0088338F">
        <w:rPr>
          <w:rFonts w:ascii="Times New Roman" w:eastAsia="Times New Roman" w:hAnsi="Times New Roman"/>
          <w:sz w:val="24"/>
          <w:szCs w:val="24"/>
        </w:rPr>
        <w:t>”</w:t>
      </w:r>
      <w:r w:rsidR="0088338F" w:rsidRPr="00C1324C">
        <w:rPr>
          <w:rFonts w:ascii="Times New Roman" w:eastAsia="Times New Roman" w:hAnsi="Times New Roman"/>
          <w:sz w:val="24"/>
          <w:szCs w:val="24"/>
        </w:rPr>
        <w:t xml:space="preserve"> la próxima ola de </w:t>
      </w:r>
      <w:r w:rsidR="00A93470">
        <w:rPr>
          <w:rFonts w:ascii="Times New Roman" w:eastAsia="Times New Roman" w:hAnsi="Times New Roman"/>
          <w:sz w:val="24"/>
          <w:szCs w:val="24"/>
        </w:rPr>
        <w:t xml:space="preserve">tecnología que está por romper? </w:t>
      </w:r>
      <w:r w:rsidR="0088338F">
        <w:rPr>
          <w:rFonts w:ascii="Times New Roman" w:eastAsia="Times New Roman" w:hAnsi="Times New Roman"/>
          <w:sz w:val="24"/>
          <w:szCs w:val="24"/>
        </w:rPr>
        <w:t>Hacer que los a</w:t>
      </w:r>
      <w:r w:rsidR="00977509" w:rsidRPr="00C1324C">
        <w:rPr>
          <w:rFonts w:ascii="Times New Roman" w:eastAsia="Times New Roman" w:hAnsi="Times New Roman"/>
          <w:sz w:val="24"/>
          <w:szCs w:val="24"/>
        </w:rPr>
        <w:t>vanc</w:t>
      </w:r>
      <w:r>
        <w:rPr>
          <w:rFonts w:ascii="Times New Roman" w:eastAsia="Times New Roman" w:hAnsi="Times New Roman"/>
          <w:sz w:val="24"/>
          <w:szCs w:val="24"/>
        </w:rPr>
        <w:t xml:space="preserve">es en tecnología </w:t>
      </w:r>
      <w:r w:rsidR="0088338F">
        <w:rPr>
          <w:rFonts w:ascii="Times New Roman" w:eastAsia="Times New Roman" w:hAnsi="Times New Roman"/>
          <w:sz w:val="24"/>
          <w:szCs w:val="24"/>
        </w:rPr>
        <w:t xml:space="preserve">le </w:t>
      </w:r>
      <w:r w:rsidR="005337CB">
        <w:rPr>
          <w:rFonts w:ascii="Times New Roman" w:eastAsia="Times New Roman" w:hAnsi="Times New Roman"/>
          <w:sz w:val="24"/>
          <w:szCs w:val="24"/>
        </w:rPr>
        <w:t>devuelva</w:t>
      </w:r>
      <w:r>
        <w:rPr>
          <w:rFonts w:ascii="Times New Roman" w:eastAsia="Times New Roman" w:hAnsi="Times New Roman"/>
          <w:sz w:val="24"/>
          <w:szCs w:val="24"/>
        </w:rPr>
        <w:t>n</w:t>
      </w:r>
      <w:r w:rsidR="00977509" w:rsidRPr="00C1324C">
        <w:rPr>
          <w:rFonts w:ascii="Times New Roman" w:eastAsia="Times New Roman" w:hAnsi="Times New Roman"/>
          <w:sz w:val="24"/>
          <w:szCs w:val="24"/>
        </w:rPr>
        <w:t xml:space="preserve"> el poder a la gente de todo el mundo para que pueda volver a hacer cosas.</w:t>
      </w:r>
    </w:p>
    <w:p w:rsidR="00977509" w:rsidRPr="00C1324C" w:rsidRDefault="00977509" w:rsidP="00977509">
      <w:pPr>
        <w:spacing w:after="0" w:line="240" w:lineRule="auto"/>
        <w:jc w:val="both"/>
        <w:rPr>
          <w:rFonts w:ascii="Times New Roman" w:eastAsia="Times New Roman" w:hAnsi="Times New Roman"/>
          <w:sz w:val="24"/>
          <w:szCs w:val="24"/>
        </w:rPr>
      </w:pPr>
    </w:p>
    <w:p w:rsidR="00977509" w:rsidRPr="00C1324C" w:rsidRDefault="0088338F" w:rsidP="0097750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00977509" w:rsidRPr="00C1324C">
        <w:rPr>
          <w:rFonts w:ascii="Times New Roman" w:eastAsia="Times New Roman" w:hAnsi="Times New Roman"/>
          <w:sz w:val="24"/>
          <w:szCs w:val="24"/>
        </w:rPr>
        <w:t>La manufactura está retornando, pero no en la forma de grandes plantas sino de experimentos diversos, en los que produces algo en bajas cantidades, lo ofreces por internet y a medida que sube la demanda, vas fabricando más. Eso e</w:t>
      </w:r>
      <w:r>
        <w:rPr>
          <w:rFonts w:ascii="Times New Roman" w:eastAsia="Times New Roman" w:hAnsi="Times New Roman"/>
          <w:sz w:val="24"/>
          <w:szCs w:val="24"/>
        </w:rPr>
        <w:t xml:space="preserve">ra de lo que Schumacher hablaba”, </w:t>
      </w:r>
      <w:r w:rsidR="00977509" w:rsidRPr="00C1324C">
        <w:rPr>
          <w:rFonts w:ascii="Times New Roman" w:eastAsia="Times New Roman" w:hAnsi="Times New Roman"/>
          <w:sz w:val="24"/>
          <w:szCs w:val="24"/>
        </w:rPr>
        <w:t>dice Peter Hir</w:t>
      </w:r>
      <w:r>
        <w:rPr>
          <w:rFonts w:ascii="Times New Roman" w:eastAsia="Times New Roman" w:hAnsi="Times New Roman"/>
          <w:sz w:val="24"/>
          <w:szCs w:val="24"/>
        </w:rPr>
        <w:t>shberg, autor de “Haz una ciudad”</w:t>
      </w:r>
      <w:r w:rsidR="00977509" w:rsidRPr="00C1324C">
        <w:rPr>
          <w:rFonts w:ascii="Times New Roman" w:eastAsia="Times New Roman" w:hAnsi="Times New Roman"/>
          <w:sz w:val="24"/>
          <w:szCs w:val="24"/>
        </w:rPr>
        <w:t xml:space="preserve"> y padrino del Maker Movement, que planetea crear ecosistemas de mercado propios.</w:t>
      </w:r>
    </w:p>
    <w:p w:rsidR="00977509" w:rsidRDefault="00977509" w:rsidP="00977509">
      <w:pPr>
        <w:spacing w:after="0" w:line="240" w:lineRule="auto"/>
        <w:jc w:val="both"/>
        <w:rPr>
          <w:rFonts w:ascii="Times New Roman" w:eastAsia="Times New Roman" w:hAnsi="Times New Roman"/>
          <w:sz w:val="24"/>
          <w:szCs w:val="24"/>
        </w:rPr>
      </w:pPr>
    </w:p>
    <w:p w:rsidR="00977509" w:rsidRPr="00C1324C"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La producción masiva no desaparecerá como por arte de magia pero muchas de las nuevas iniciativas apuntan a producciones más pequeñas. Sin embargo, Schumacher no estaba hablando de tecnología sino de intención.</w:t>
      </w:r>
    </w:p>
    <w:p w:rsidR="00977509" w:rsidRPr="00C1324C" w:rsidRDefault="00977509" w:rsidP="00977509">
      <w:pPr>
        <w:spacing w:after="0" w:line="240" w:lineRule="auto"/>
        <w:jc w:val="both"/>
        <w:rPr>
          <w:rFonts w:ascii="Times New Roman" w:eastAsia="Times New Roman" w:hAnsi="Times New Roman"/>
          <w:sz w:val="24"/>
          <w:szCs w:val="24"/>
        </w:rPr>
      </w:pPr>
    </w:p>
    <w:p w:rsidR="00977509" w:rsidRPr="00C1324C"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El siguien</w:t>
      </w:r>
      <w:r w:rsidR="0088338F">
        <w:rPr>
          <w:rFonts w:ascii="Times New Roman" w:eastAsia="Times New Roman" w:hAnsi="Times New Roman"/>
          <w:sz w:val="24"/>
          <w:szCs w:val="24"/>
        </w:rPr>
        <w:t>te libro que escribió se llamó “Buen trabajo”</w:t>
      </w:r>
      <w:r w:rsidRPr="00C1324C">
        <w:rPr>
          <w:rFonts w:ascii="Times New Roman" w:eastAsia="Times New Roman" w:hAnsi="Times New Roman"/>
          <w:sz w:val="24"/>
          <w:szCs w:val="24"/>
        </w:rPr>
        <w:t>. La idea central era que somos lo que hacemos, nuestro trabajo nos moldea; nos puede tornar en herramientas o seres humanos.</w:t>
      </w:r>
    </w:p>
    <w:p w:rsidR="00977509" w:rsidRPr="00C1324C" w:rsidRDefault="00977509" w:rsidP="00977509">
      <w:pPr>
        <w:spacing w:after="0" w:line="240" w:lineRule="auto"/>
        <w:jc w:val="both"/>
        <w:rPr>
          <w:rFonts w:ascii="Times New Roman" w:eastAsia="Times New Roman" w:hAnsi="Times New Roman"/>
          <w:sz w:val="24"/>
          <w:szCs w:val="24"/>
        </w:rPr>
      </w:pPr>
    </w:p>
    <w:p w:rsidR="00977509" w:rsidRPr="00C1324C" w:rsidRDefault="0088338F" w:rsidP="0097750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“La palabra “poeta” significa “hacer”</w:t>
      </w:r>
      <w:r w:rsidR="00977509" w:rsidRPr="00C1324C">
        <w:rPr>
          <w:rFonts w:ascii="Times New Roman" w:eastAsia="Times New Roman" w:hAnsi="Times New Roman"/>
          <w:sz w:val="24"/>
          <w:szCs w:val="24"/>
        </w:rPr>
        <w:t xml:space="preserve"> -del griego poíēsis-. Si hacemos algo con creatividad e imaginación, un jardín, una cena</w:t>
      </w:r>
      <w:r w:rsidR="00977509">
        <w:rPr>
          <w:rFonts w:ascii="Times New Roman" w:eastAsia="Times New Roman" w:hAnsi="Times New Roman"/>
          <w:sz w:val="24"/>
          <w:szCs w:val="24"/>
        </w:rPr>
        <w:t>,</w:t>
      </w:r>
      <w:r w:rsidR="00977509" w:rsidRPr="00C1324C">
        <w:rPr>
          <w:rFonts w:ascii="Times New Roman" w:eastAsia="Times New Roman" w:hAnsi="Times New Roman"/>
          <w:sz w:val="24"/>
          <w:szCs w:val="24"/>
        </w:rPr>
        <w:t xml:space="preserve"> pueden ser poesía. Además, el trabajo es</w:t>
      </w:r>
      <w:r>
        <w:rPr>
          <w:rFonts w:ascii="Times New Roman" w:eastAsia="Times New Roman" w:hAnsi="Times New Roman"/>
          <w:sz w:val="24"/>
          <w:szCs w:val="24"/>
        </w:rPr>
        <w:t xml:space="preserve"> una fuente de placer y alegría”</w:t>
      </w:r>
      <w:r w:rsidR="00977509" w:rsidRPr="00C1324C">
        <w:rPr>
          <w:rFonts w:ascii="Times New Roman" w:eastAsia="Times New Roman" w:hAnsi="Times New Roman"/>
          <w:sz w:val="24"/>
          <w:szCs w:val="24"/>
        </w:rPr>
        <w:t>, dice Satish Kumar, fundador del Schumacher College, re</w:t>
      </w:r>
      <w:r>
        <w:rPr>
          <w:rFonts w:ascii="Times New Roman" w:eastAsia="Times New Roman" w:hAnsi="Times New Roman"/>
          <w:sz w:val="24"/>
          <w:szCs w:val="24"/>
        </w:rPr>
        <w:t>firiéndose al mensaje de “Buen trabajo”</w:t>
      </w:r>
      <w:r w:rsidR="00884027">
        <w:rPr>
          <w:rFonts w:ascii="Times New Roman" w:eastAsia="Times New Roman" w:hAnsi="Times New Roman"/>
          <w:sz w:val="24"/>
          <w:szCs w:val="24"/>
        </w:rPr>
        <w:t xml:space="preserve">. </w:t>
      </w:r>
      <w:r w:rsidR="001C4DB4">
        <w:rPr>
          <w:rFonts w:ascii="Times New Roman" w:eastAsia="Times New Roman" w:hAnsi="Times New Roman"/>
          <w:sz w:val="24"/>
          <w:szCs w:val="24"/>
        </w:rPr>
        <w:t>“</w:t>
      </w:r>
      <w:r w:rsidR="00977509" w:rsidRPr="00C1324C">
        <w:rPr>
          <w:rFonts w:ascii="Times New Roman" w:eastAsia="Times New Roman" w:hAnsi="Times New Roman"/>
          <w:sz w:val="24"/>
          <w:szCs w:val="24"/>
        </w:rPr>
        <w:t>El problema que tenemos es de filosofía, no de economía. El materialismo, el consumismo, la separación, la desconexión. La idea de que los seres humanos están separados de la naturaleza y cada comunidad separada d</w:t>
      </w:r>
      <w:r w:rsidR="001C4DB4">
        <w:rPr>
          <w:rFonts w:ascii="Times New Roman" w:eastAsia="Times New Roman" w:hAnsi="Times New Roman"/>
          <w:sz w:val="24"/>
          <w:szCs w:val="24"/>
        </w:rPr>
        <w:t>e las demás”</w:t>
      </w:r>
      <w:r w:rsidR="00977509" w:rsidRPr="00C1324C">
        <w:rPr>
          <w:rFonts w:ascii="Times New Roman" w:eastAsia="Times New Roman" w:hAnsi="Times New Roman"/>
          <w:sz w:val="24"/>
          <w:szCs w:val="24"/>
        </w:rPr>
        <w:t>.</w:t>
      </w:r>
    </w:p>
    <w:p w:rsidR="00977509" w:rsidRPr="00C1324C" w:rsidRDefault="00977509" w:rsidP="00977509">
      <w:pPr>
        <w:spacing w:after="0" w:line="240" w:lineRule="auto"/>
        <w:jc w:val="both"/>
        <w:rPr>
          <w:rFonts w:ascii="Times New Roman" w:eastAsia="Times New Roman" w:hAnsi="Times New Roman"/>
          <w:sz w:val="24"/>
          <w:szCs w:val="24"/>
        </w:rPr>
      </w:pPr>
    </w:p>
    <w:p w:rsidR="00884027" w:rsidRDefault="00977509" w:rsidP="00977509">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El principio es que si hacemos un buen trabajo, que nos conecte con la gente y los lugares, nos daremos cuenta de que tenemos gran parte de la felicidad que buscamos.Y Schumacher adoraba esa idea: no quería que se maximizaran los recursos sino que se maximizara la felicidad eficientemente usando los recursos con los que contamos.</w:t>
      </w:r>
    </w:p>
    <w:p w:rsidR="00884027" w:rsidRDefault="00884027" w:rsidP="00977509">
      <w:pPr>
        <w:spacing w:after="0" w:line="240" w:lineRule="auto"/>
        <w:jc w:val="both"/>
        <w:rPr>
          <w:rFonts w:ascii="Times New Roman" w:eastAsia="Times New Roman" w:hAnsi="Times New Roman"/>
          <w:sz w:val="24"/>
          <w:szCs w:val="24"/>
        </w:rPr>
      </w:pPr>
    </w:p>
    <w:p w:rsidR="00977509" w:rsidRDefault="001C4DB4" w:rsidP="0097750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Fuente:</w:t>
      </w:r>
      <w:r w:rsidR="00977509" w:rsidRPr="00C1324C">
        <w:rPr>
          <w:rFonts w:ascii="Times New Roman" w:eastAsia="Times New Roman" w:hAnsi="Times New Roman"/>
          <w:sz w:val="24"/>
          <w:szCs w:val="24"/>
        </w:rPr>
        <w:t>¿</w:t>
      </w:r>
      <w:r w:rsidR="00977509" w:rsidRPr="00C1324C">
        <w:rPr>
          <w:rFonts w:ascii="Times New Roman" w:eastAsia="Times New Roman" w:hAnsi="Times New Roman"/>
          <w:sz w:val="24"/>
          <w:szCs w:val="24"/>
          <w:u w:val="single"/>
        </w:rPr>
        <w:t>Llegó la hora de que la economía se comport</w:t>
      </w:r>
      <w:r>
        <w:rPr>
          <w:rFonts w:ascii="Times New Roman" w:eastAsia="Times New Roman" w:hAnsi="Times New Roman"/>
          <w:sz w:val="24"/>
          <w:szCs w:val="24"/>
          <w:u w:val="single"/>
        </w:rPr>
        <w:t>e “como si la gente importara”</w:t>
      </w:r>
      <w:r w:rsidR="00977509" w:rsidRPr="00C1324C">
        <w:rPr>
          <w:rFonts w:ascii="Times New Roman" w:eastAsia="Times New Roman" w:hAnsi="Times New Roman"/>
          <w:sz w:val="24"/>
          <w:szCs w:val="24"/>
        </w:rPr>
        <w:t>?</w:t>
      </w:r>
      <w:r w:rsidR="00977509">
        <w:rPr>
          <w:rFonts w:ascii="Times New Roman" w:eastAsia="Times New Roman" w:hAnsi="Times New Roman"/>
          <w:sz w:val="24"/>
          <w:szCs w:val="24"/>
        </w:rPr>
        <w:t xml:space="preserve"> (BBCMundo - </w:t>
      </w:r>
      <w:r w:rsidR="00977509" w:rsidRPr="00C1324C">
        <w:rPr>
          <w:rFonts w:ascii="Times New Roman" w:eastAsia="Times New Roman" w:hAnsi="Times New Roman"/>
          <w:b/>
          <w:sz w:val="24"/>
          <w:szCs w:val="24"/>
        </w:rPr>
        <w:t>21/5/16</w:t>
      </w:r>
      <w:r w:rsidR="00977509">
        <w:rPr>
          <w:rFonts w:ascii="Times New Roman" w:eastAsia="Times New Roman" w:hAnsi="Times New Roman"/>
          <w:sz w:val="24"/>
          <w:szCs w:val="24"/>
        </w:rPr>
        <w:t>)</w:t>
      </w:r>
    </w:p>
    <w:p w:rsidR="00CA6A3A" w:rsidRPr="005337CB" w:rsidRDefault="00CA6A3A" w:rsidP="005337CB">
      <w:pPr>
        <w:spacing w:line="240" w:lineRule="auto"/>
        <w:jc w:val="both"/>
        <w:rPr>
          <w:rFonts w:ascii="Times New Roman" w:hAnsi="Times New Roman"/>
          <w:color w:val="FF0000"/>
          <w:sz w:val="24"/>
          <w:szCs w:val="24"/>
        </w:rPr>
      </w:pPr>
      <w:r w:rsidRPr="00A62FE0">
        <w:rPr>
          <w:rFonts w:ascii="Times New Roman" w:hAnsi="Times New Roman" w:cs="Times New Roman"/>
          <w:b/>
          <w:sz w:val="24"/>
          <w:szCs w:val="24"/>
        </w:rPr>
        <w:lastRenderedPageBreak/>
        <w:t xml:space="preserve">(Septiembre 2016) Balance de situación </w:t>
      </w:r>
    </w:p>
    <w:p w:rsidR="00CA6A3A" w:rsidRDefault="00CA6A3A" w:rsidP="00CA6A3A">
      <w:pPr>
        <w:spacing w:before="150" w:after="150"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w:t>
      </w:r>
      <w:r w:rsidRPr="00A62FE0">
        <w:rPr>
          <w:rFonts w:ascii="Times New Roman" w:hAnsi="Times New Roman" w:cs="Times New Roman"/>
          <w:b/>
          <w:sz w:val="24"/>
          <w:szCs w:val="24"/>
        </w:rPr>
        <w:t>Bajemos al quiosco</w:t>
      </w:r>
      <w:r>
        <w:rPr>
          <w:rFonts w:ascii="Times New Roman" w:hAnsi="Times New Roman" w:cs="Times New Roman"/>
          <w:b/>
          <w:sz w:val="24"/>
          <w:szCs w:val="24"/>
        </w:rPr>
        <w:t>”</w:t>
      </w:r>
      <w:r w:rsidRPr="00A62FE0">
        <w:rPr>
          <w:rFonts w:ascii="Times New Roman" w:hAnsi="Times New Roman" w:cs="Times New Roman"/>
          <w:b/>
          <w:sz w:val="24"/>
          <w:szCs w:val="24"/>
        </w:rPr>
        <w:t xml:space="preserve"> (un recorrido por la “maldita hemeroteca”</w:t>
      </w:r>
      <w:r>
        <w:rPr>
          <w:rFonts w:ascii="Times New Roman" w:hAnsi="Times New Roman" w:cs="Times New Roman"/>
          <w:b/>
          <w:sz w:val="24"/>
          <w:szCs w:val="24"/>
        </w:rPr>
        <w:t>,</w:t>
      </w:r>
      <w:r w:rsidRPr="00A62FE0">
        <w:rPr>
          <w:rFonts w:ascii="Times New Roman" w:hAnsi="Times New Roman" w:cs="Times New Roman"/>
          <w:b/>
          <w:sz w:val="24"/>
          <w:szCs w:val="24"/>
        </w:rPr>
        <w:t xml:space="preserve"> desde enero a septiembre de 2016)</w:t>
      </w:r>
      <w:r>
        <w:rPr>
          <w:rFonts w:ascii="Times New Roman" w:hAnsi="Times New Roman" w:cs="Times New Roman"/>
          <w:b/>
          <w:sz w:val="24"/>
          <w:szCs w:val="24"/>
        </w:rPr>
        <w:t>:s</w:t>
      </w:r>
      <w:r w:rsidRPr="00A62FE0">
        <w:rPr>
          <w:rFonts w:ascii="Times New Roman" w:hAnsi="Times New Roman" w:cs="Times New Roman"/>
          <w:b/>
          <w:sz w:val="24"/>
          <w:szCs w:val="24"/>
        </w:rPr>
        <w:t>i no “están” todos los que son, sí “son” todos los que están…</w:t>
      </w:r>
    </w:p>
    <w:p w:rsidR="00CA6A3A" w:rsidRPr="00A62FE0" w:rsidRDefault="00CA6A3A" w:rsidP="00CA6A3A">
      <w:pPr>
        <w:spacing w:before="150" w:after="150"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 Fracaso económico: estancamiento secular</w:t>
      </w:r>
    </w:p>
    <w:p w:rsidR="00CA6A3A" w:rsidRPr="00CA6A3A" w:rsidRDefault="00CA6A3A" w:rsidP="00CA6A3A">
      <w:pPr>
        <w:shd w:val="clear" w:color="auto" w:fill="FFFFFF"/>
        <w:spacing w:line="240" w:lineRule="auto"/>
        <w:jc w:val="both"/>
        <w:textAlignment w:val="baseline"/>
        <w:rPr>
          <w:rFonts w:ascii="Times New Roman" w:hAnsi="Times New Roman" w:cs="Times New Roman"/>
          <w:i/>
          <w:sz w:val="24"/>
          <w:szCs w:val="24"/>
        </w:rPr>
      </w:pPr>
      <w:r>
        <w:rPr>
          <w:rFonts w:ascii="Times New Roman" w:hAnsi="Times New Roman" w:cs="Times New Roman"/>
          <w:i/>
          <w:sz w:val="24"/>
          <w:szCs w:val="24"/>
        </w:rPr>
        <w:t>“</w:t>
      </w:r>
      <w:r w:rsidRPr="00CA6A3A">
        <w:rPr>
          <w:rFonts w:ascii="Times New Roman" w:hAnsi="Times New Roman" w:cs="Times New Roman"/>
          <w:i/>
          <w:sz w:val="24"/>
          <w:szCs w:val="24"/>
        </w:rPr>
        <w:t>El fin no está cerca. Sí, hay grandes pérdidas, luego de que los mercados financieros extendieron el viernes una brutal venta masiva que ha repercutido en todo el mundo desde principios de año. La destrucción se ha vuelto tan pronunciada que ha engendrado temores de que se repita la crisis global de 2008.</w:t>
      </w:r>
    </w:p>
    <w:p w:rsidR="00CA6A3A" w:rsidRDefault="00CA6A3A" w:rsidP="00CA6A3A">
      <w:pPr>
        <w:shd w:val="clear" w:color="auto" w:fill="FFFFFF"/>
        <w:spacing w:line="240" w:lineRule="auto"/>
        <w:jc w:val="both"/>
        <w:textAlignment w:val="baseline"/>
        <w:rPr>
          <w:rFonts w:ascii="Times New Roman" w:hAnsi="Times New Roman" w:cs="Times New Roman"/>
          <w:color w:val="333333"/>
          <w:sz w:val="24"/>
          <w:szCs w:val="24"/>
        </w:rPr>
      </w:pPr>
      <w:r w:rsidRPr="00CA6A3A">
        <w:rPr>
          <w:rFonts w:ascii="Times New Roman" w:hAnsi="Times New Roman" w:cs="Times New Roman"/>
          <w:i/>
          <w:sz w:val="24"/>
          <w:szCs w:val="24"/>
        </w:rPr>
        <w:t>No obstante, hay diferencias cruciales entre lo que sucede ahora y aquellos días aciagos, al menos para Estados Unidos. Aunque las pérdidas continuarán, EEUU parece, al menos de momento, estar en una mejor posición para soportarlas. Eso podría evitar que un descenso del mercado se transforme en una crisis financiera con todas las de la ley que, a su vez, se transforme en una económica</w:t>
      </w:r>
      <w:r>
        <w:rPr>
          <w:rFonts w:ascii="Times New Roman" w:hAnsi="Times New Roman" w:cs="Times New Roman"/>
          <w:i/>
          <w:sz w:val="24"/>
          <w:szCs w:val="24"/>
        </w:rPr>
        <w:t>”..</w:t>
      </w:r>
      <w:r w:rsidRPr="00CA6A3A">
        <w:rPr>
          <w:rFonts w:ascii="Times New Roman" w:hAnsi="Times New Roman" w:cs="Times New Roman"/>
          <w:i/>
          <w:sz w:val="24"/>
          <w:szCs w:val="24"/>
        </w:rPr>
        <w:t>.</w:t>
      </w:r>
      <w:r w:rsidRPr="007F288B">
        <w:rPr>
          <w:rFonts w:ascii="Times New Roman" w:hAnsi="Times New Roman" w:cs="Times New Roman"/>
          <w:sz w:val="24"/>
          <w:szCs w:val="24"/>
          <w:u w:val="single"/>
        </w:rPr>
        <w:t>Los síntomas son parecidos, pero esta crisis es diferente a la de 2008</w:t>
      </w:r>
      <w:r w:rsidRPr="007F288B">
        <w:rPr>
          <w:rFonts w:ascii="Times New Roman" w:hAnsi="Times New Roman" w:cs="Times New Roman"/>
          <w:sz w:val="24"/>
          <w:szCs w:val="24"/>
        </w:rPr>
        <w:t xml:space="preserve"> (The Wall Street Journal </w:t>
      </w:r>
      <w:r>
        <w:rPr>
          <w:rFonts w:ascii="Times New Roman" w:hAnsi="Times New Roman" w:cs="Times New Roman"/>
          <w:color w:val="333333"/>
          <w:sz w:val="24"/>
          <w:szCs w:val="24"/>
        </w:rPr>
        <w:t xml:space="preserve">- </w:t>
      </w:r>
      <w:r w:rsidRPr="003024FE">
        <w:rPr>
          <w:rFonts w:ascii="Times New Roman" w:hAnsi="Times New Roman" w:cs="Times New Roman"/>
          <w:b/>
          <w:color w:val="333333"/>
          <w:sz w:val="24"/>
          <w:szCs w:val="24"/>
        </w:rPr>
        <w:t>18/1/16</w:t>
      </w:r>
      <w:r>
        <w:rPr>
          <w:rFonts w:ascii="Times New Roman" w:hAnsi="Times New Roman" w:cs="Times New Roman"/>
          <w:color w:val="333333"/>
          <w:sz w:val="24"/>
          <w:szCs w:val="24"/>
        </w:rPr>
        <w:t>)</w:t>
      </w:r>
    </w:p>
    <w:p w:rsidR="00CA6A3A" w:rsidRDefault="00CA6A3A" w:rsidP="00CA6A3A">
      <w:pPr>
        <w:shd w:val="clear" w:color="auto" w:fill="FFFFFF"/>
        <w:spacing w:line="240" w:lineRule="auto"/>
        <w:jc w:val="both"/>
        <w:textAlignment w:val="baseline"/>
        <w:rPr>
          <w:rFonts w:ascii="Times New Roman" w:hAnsi="Times New Roman" w:cs="Times New Roman"/>
          <w:i/>
          <w:sz w:val="24"/>
          <w:szCs w:val="24"/>
        </w:rPr>
      </w:pPr>
      <w:r>
        <w:rPr>
          <w:rFonts w:ascii="Arial" w:eastAsia="Times New Roman" w:hAnsi="Arial" w:cs="Arial"/>
          <w:noProof/>
          <w:color w:val="333333"/>
          <w:sz w:val="12"/>
          <w:szCs w:val="12"/>
          <w:lang w:val="en-GB" w:eastAsia="en-GB"/>
        </w:rPr>
        <w:drawing>
          <wp:inline distT="0" distB="0" distL="0" distR="0">
            <wp:extent cx="5392390" cy="2779776"/>
            <wp:effectExtent l="19050" t="0" r="0" b="0"/>
            <wp:docPr id="65" name="Imagen 6" descr="http://si.wsj.net/public/resources/images/OA-BD087_wsjamb_NS_20160117183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wsj.net/public/resources/images/OA-BD087_wsjamb_NS_20160117183232.jpg"/>
                    <pic:cNvPicPr>
                      <a:picLocks noChangeAspect="1" noChangeArrowheads="1"/>
                    </pic:cNvPicPr>
                  </pic:nvPicPr>
                  <pic:blipFill>
                    <a:blip r:embed="rId8"/>
                    <a:srcRect/>
                    <a:stretch>
                      <a:fillRect/>
                    </a:stretch>
                  </pic:blipFill>
                  <pic:spPr bwMode="auto">
                    <a:xfrm>
                      <a:off x="0" y="0"/>
                      <a:ext cx="5392502" cy="2779834"/>
                    </a:xfrm>
                    <a:prstGeom prst="rect">
                      <a:avLst/>
                    </a:prstGeom>
                    <a:noFill/>
                    <a:ln w="9525">
                      <a:noFill/>
                      <a:miter lim="800000"/>
                      <a:headEnd/>
                      <a:tailEnd/>
                    </a:ln>
                  </pic:spPr>
                </pic:pic>
              </a:graphicData>
            </a:graphic>
          </wp:inline>
        </w:drawing>
      </w:r>
    </w:p>
    <w:p w:rsidR="00CA6A3A" w:rsidRPr="00CA6A3A" w:rsidRDefault="00CA6A3A" w:rsidP="00CA6A3A">
      <w:pPr>
        <w:shd w:val="clear" w:color="auto" w:fill="FFFFFF"/>
        <w:spacing w:after="18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CA6A3A">
        <w:rPr>
          <w:rFonts w:ascii="Times New Roman" w:eastAsia="Times New Roman" w:hAnsi="Times New Roman" w:cs="Times New Roman"/>
          <w:i/>
          <w:sz w:val="24"/>
          <w:szCs w:val="24"/>
        </w:rPr>
        <w:t>Hace cinco años, las mayores economías en desarrollo del mundo y su acelerado crecimiento generaban temores en los países desarrollados sobre la llegada de un nuevo orden mundial.</w:t>
      </w:r>
    </w:p>
    <w:p w:rsidR="00CA6A3A" w:rsidRPr="00CA6A3A" w:rsidRDefault="00CA6A3A" w:rsidP="00CA6A3A">
      <w:pPr>
        <w:shd w:val="clear" w:color="auto" w:fill="FFFFFF"/>
        <w:spacing w:after="180" w:line="240" w:lineRule="auto"/>
        <w:jc w:val="both"/>
        <w:textAlignment w:val="baseline"/>
        <w:rPr>
          <w:rFonts w:ascii="Times New Roman" w:eastAsia="Times New Roman" w:hAnsi="Times New Roman" w:cs="Times New Roman"/>
          <w:i/>
          <w:sz w:val="24"/>
          <w:szCs w:val="24"/>
        </w:rPr>
      </w:pPr>
      <w:r w:rsidRPr="00CA6A3A">
        <w:rPr>
          <w:rFonts w:ascii="Times New Roman" w:eastAsia="Times New Roman" w:hAnsi="Times New Roman" w:cs="Times New Roman"/>
          <w:i/>
          <w:sz w:val="24"/>
          <w:szCs w:val="24"/>
        </w:rPr>
        <w:t>Sin embargo, en lugar de conducir a la economía mundial por un cauce más calmado, los llamados Brics -Brasil, Rusia, India, China y Sudáfrica- podrían hundirla.</w:t>
      </w:r>
    </w:p>
    <w:p w:rsidR="00CA6A3A" w:rsidRDefault="00CA6A3A" w:rsidP="00CA6A3A">
      <w:pPr>
        <w:shd w:val="clear" w:color="auto" w:fill="FFFFFF"/>
        <w:spacing w:line="240" w:lineRule="auto"/>
        <w:jc w:val="both"/>
        <w:textAlignment w:val="baseline"/>
        <w:rPr>
          <w:rFonts w:ascii="Times New Roman" w:hAnsi="Times New Roman" w:cs="Times New Roman"/>
          <w:sz w:val="24"/>
          <w:szCs w:val="24"/>
        </w:rPr>
      </w:pPr>
      <w:r w:rsidRPr="00CA6A3A">
        <w:rPr>
          <w:rFonts w:ascii="Times New Roman" w:eastAsia="Times New Roman" w:hAnsi="Times New Roman" w:cs="Times New Roman"/>
          <w:i/>
          <w:sz w:val="24"/>
          <w:szCs w:val="24"/>
        </w:rPr>
        <w:t>La debilidad del consumo global, el derrumbe de los precios de las materias primas y un conjunto de problemas económicos y políticos han hecho que dos miembros, Rusia y Brasil, caigan en recesión. Esto a su vez ha desatado la mayor fuga de capitales en los mercados emergentes en más de dos décadas. Los inversionistas han retirado cerca de US$ 500.000 millones de esos países en los últimos 12 meses</w:t>
      </w:r>
      <w:r>
        <w:rPr>
          <w:rFonts w:ascii="Times New Roman" w:eastAsia="Times New Roman" w:hAnsi="Times New Roman" w:cs="Times New Roman"/>
          <w:i/>
          <w:sz w:val="24"/>
          <w:szCs w:val="24"/>
        </w:rPr>
        <w:t>”..</w:t>
      </w:r>
      <w:r w:rsidRPr="00CA6A3A">
        <w:rPr>
          <w:rFonts w:ascii="Times New Roman" w:eastAsia="Times New Roman" w:hAnsi="Times New Roman" w:cs="Times New Roman"/>
          <w:i/>
          <w:sz w:val="24"/>
          <w:szCs w:val="24"/>
        </w:rPr>
        <w:t>.</w:t>
      </w:r>
      <w:r w:rsidRPr="003D2C55">
        <w:rPr>
          <w:rFonts w:ascii="Times New Roman" w:hAnsi="Times New Roman" w:cs="Times New Roman"/>
          <w:sz w:val="24"/>
          <w:szCs w:val="24"/>
          <w:u w:val="single"/>
        </w:rPr>
        <w:t>Los Brics pasan del brillo a las sombras</w:t>
      </w:r>
      <w:r>
        <w:rPr>
          <w:rFonts w:ascii="Times New Roman" w:hAnsi="Times New Roman" w:cs="Times New Roman"/>
          <w:sz w:val="24"/>
          <w:szCs w:val="24"/>
        </w:rPr>
        <w:t xml:space="preserve"> (The Wall Street Journal - </w:t>
      </w:r>
      <w:r w:rsidRPr="003D2C55">
        <w:rPr>
          <w:rFonts w:ascii="Times New Roman" w:hAnsi="Times New Roman" w:cs="Times New Roman"/>
          <w:b/>
          <w:sz w:val="24"/>
          <w:szCs w:val="24"/>
        </w:rPr>
        <w:t>20/1/16</w:t>
      </w:r>
      <w:r>
        <w:rPr>
          <w:rFonts w:ascii="Times New Roman" w:hAnsi="Times New Roman" w:cs="Times New Roman"/>
          <w:sz w:val="24"/>
          <w:szCs w:val="24"/>
        </w:rPr>
        <w:t>)</w:t>
      </w:r>
    </w:p>
    <w:p w:rsidR="00CA6A3A" w:rsidRDefault="00CA6A3A" w:rsidP="00CA6A3A">
      <w:pPr>
        <w:shd w:val="clear" w:color="auto" w:fill="FFFFFF"/>
        <w:spacing w:line="240" w:lineRule="auto"/>
        <w:jc w:val="both"/>
        <w:textAlignment w:val="baseline"/>
        <w:rPr>
          <w:rFonts w:ascii="Times New Roman" w:hAnsi="Times New Roman" w:cs="Times New Roman"/>
          <w:sz w:val="24"/>
          <w:szCs w:val="24"/>
        </w:rPr>
      </w:pPr>
      <w:r w:rsidRPr="003D2C55">
        <w:rPr>
          <w:rFonts w:ascii="Times New Roman" w:eastAsia="Times New Roman" w:hAnsi="Times New Roman" w:cs="Times New Roman"/>
          <w:noProof/>
          <w:color w:val="333333"/>
          <w:sz w:val="24"/>
          <w:szCs w:val="24"/>
          <w:lang w:val="en-GB" w:eastAsia="en-GB"/>
        </w:rPr>
        <w:lastRenderedPageBreak/>
        <w:drawing>
          <wp:inline distT="0" distB="0" distL="0" distR="0">
            <wp:extent cx="5289550" cy="3530600"/>
            <wp:effectExtent l="0" t="0" r="6350" b="0"/>
            <wp:docPr id="66" name="Imagen 1" descr="http://si.wsj.net/public/resources/images/AO-AA719_wsjamd_NS_20160119191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719_wsjamd_NS_20160119191220.jpg"/>
                    <pic:cNvPicPr>
                      <a:picLocks noChangeAspect="1" noChangeArrowheads="1"/>
                    </pic:cNvPicPr>
                  </pic:nvPicPr>
                  <pic:blipFill>
                    <a:blip r:embed="rId9"/>
                    <a:srcRect/>
                    <a:stretch>
                      <a:fillRect/>
                    </a:stretch>
                  </pic:blipFill>
                  <pic:spPr bwMode="auto">
                    <a:xfrm>
                      <a:off x="0" y="0"/>
                      <a:ext cx="5289550" cy="3530600"/>
                    </a:xfrm>
                    <a:prstGeom prst="rect">
                      <a:avLst/>
                    </a:prstGeom>
                    <a:noFill/>
                    <a:ln w="9525">
                      <a:noFill/>
                      <a:miter lim="800000"/>
                      <a:headEnd/>
                      <a:tailEnd/>
                    </a:ln>
                  </pic:spPr>
                </pic:pic>
              </a:graphicData>
            </a:graphic>
          </wp:inline>
        </w:drawing>
      </w:r>
    </w:p>
    <w:p w:rsidR="00CA6A3A" w:rsidRPr="00E27BFB" w:rsidRDefault="00CA6A3A" w:rsidP="00CA6A3A">
      <w:pPr>
        <w:spacing w:line="240" w:lineRule="auto"/>
        <w:jc w:val="both"/>
        <w:rPr>
          <w:rFonts w:ascii="Times New Roman" w:hAnsi="Times New Roman" w:cs="Times New Roman"/>
          <w:i/>
          <w:sz w:val="24"/>
          <w:szCs w:val="24"/>
          <w:lang w:val="es-ES_tradnl"/>
        </w:rPr>
      </w:pPr>
      <w:r w:rsidRPr="00E27BFB">
        <w:rPr>
          <w:rFonts w:ascii="Times New Roman" w:hAnsi="Times New Roman" w:cs="Times New Roman"/>
          <w:i/>
          <w:sz w:val="24"/>
          <w:szCs w:val="24"/>
          <w:lang w:val="es-ES_tradnl"/>
        </w:rPr>
        <w:t>““</w:t>
      </w:r>
      <w:proofErr w:type="spellStart"/>
      <w:r w:rsidRPr="00E27BFB">
        <w:rPr>
          <w:rFonts w:ascii="Times New Roman" w:hAnsi="Times New Roman" w:cs="Times New Roman"/>
          <w:i/>
          <w:sz w:val="24"/>
          <w:szCs w:val="24"/>
          <w:lang w:val="es-ES_tradnl"/>
        </w:rPr>
        <w:t>Postcapitalismo</w:t>
      </w:r>
      <w:proofErr w:type="spellEnd"/>
      <w:r w:rsidRPr="00E27BFB">
        <w:rPr>
          <w:rFonts w:ascii="Times New Roman" w:hAnsi="Times New Roman" w:cs="Times New Roman"/>
          <w:i/>
          <w:sz w:val="24"/>
          <w:szCs w:val="24"/>
          <w:lang w:val="es-ES_tradnl"/>
        </w:rPr>
        <w:t>” (</w:t>
      </w:r>
      <w:proofErr w:type="spellStart"/>
      <w:r w:rsidRPr="00E27BFB">
        <w:rPr>
          <w:rFonts w:ascii="Times New Roman" w:hAnsi="Times New Roman" w:cs="Times New Roman"/>
          <w:i/>
          <w:sz w:val="24"/>
          <w:szCs w:val="24"/>
          <w:lang w:val="es-ES_tradnl"/>
        </w:rPr>
        <w:t>Paidós</w:t>
      </w:r>
      <w:proofErr w:type="spellEnd"/>
      <w:r w:rsidRPr="00E27BFB">
        <w:rPr>
          <w:rFonts w:ascii="Times New Roman" w:hAnsi="Times New Roman" w:cs="Times New Roman"/>
          <w:i/>
          <w:sz w:val="24"/>
          <w:szCs w:val="24"/>
          <w:lang w:val="es-ES_tradnl"/>
        </w:rPr>
        <w:t xml:space="preserve">), el libro que acaba de editar en España Paul Mason, el responsable de economía de </w:t>
      </w:r>
      <w:proofErr w:type="spellStart"/>
      <w:r w:rsidRPr="00E27BFB">
        <w:rPr>
          <w:rFonts w:ascii="Times New Roman" w:hAnsi="Times New Roman" w:cs="Times New Roman"/>
          <w:i/>
          <w:sz w:val="24"/>
          <w:szCs w:val="24"/>
          <w:lang w:val="es-ES_tradnl"/>
        </w:rPr>
        <w:t>Channel</w:t>
      </w:r>
      <w:proofErr w:type="spellEnd"/>
      <w:r w:rsidRPr="00E27BFB">
        <w:rPr>
          <w:rFonts w:ascii="Times New Roman" w:hAnsi="Times New Roman" w:cs="Times New Roman"/>
          <w:i/>
          <w:sz w:val="24"/>
          <w:szCs w:val="24"/>
          <w:lang w:val="es-ES_tradnl"/>
        </w:rPr>
        <w:t xml:space="preserve"> 4 News, se ha convertido en el ensayo de moda en el Reino Unido, hasta el punto que “</w:t>
      </w:r>
      <w:proofErr w:type="spellStart"/>
      <w:r w:rsidRPr="00E27BFB">
        <w:rPr>
          <w:rFonts w:ascii="Times New Roman" w:hAnsi="Times New Roman" w:cs="Times New Roman"/>
          <w:i/>
          <w:sz w:val="24"/>
          <w:szCs w:val="24"/>
          <w:lang w:val="es-ES_tradnl"/>
        </w:rPr>
        <w:t>The</w:t>
      </w:r>
      <w:proofErr w:type="spellEnd"/>
      <w:r w:rsidRPr="00E27BFB">
        <w:rPr>
          <w:rFonts w:ascii="Times New Roman" w:hAnsi="Times New Roman" w:cs="Times New Roman"/>
          <w:i/>
          <w:sz w:val="24"/>
          <w:szCs w:val="24"/>
          <w:lang w:val="es-ES_tradnl"/>
        </w:rPr>
        <w:t xml:space="preserve"> </w:t>
      </w:r>
      <w:proofErr w:type="spellStart"/>
      <w:r w:rsidRPr="00E27BFB">
        <w:rPr>
          <w:rFonts w:ascii="Times New Roman" w:hAnsi="Times New Roman" w:cs="Times New Roman"/>
          <w:i/>
          <w:sz w:val="24"/>
          <w:szCs w:val="24"/>
          <w:lang w:val="es-ES_tradnl"/>
        </w:rPr>
        <w:t>Guardian</w:t>
      </w:r>
      <w:proofErr w:type="spellEnd"/>
      <w:r w:rsidRPr="00E27BFB">
        <w:rPr>
          <w:rFonts w:ascii="Times New Roman" w:hAnsi="Times New Roman" w:cs="Times New Roman"/>
          <w:i/>
          <w:sz w:val="24"/>
          <w:szCs w:val="24"/>
          <w:lang w:val="es-ES_tradnl"/>
        </w:rPr>
        <w:t xml:space="preserve">” ha llegado a afirmar que Mason es un digno sucesor de Marx. El texto contiene profundos análisis económicos, pero también una lectura sobre los tiempos que vienen desde una perspectiva que los activistas de la nueva izquierda, esa que ha nacido de las casas </w:t>
      </w:r>
      <w:proofErr w:type="spellStart"/>
      <w:r w:rsidRPr="00E27BFB">
        <w:rPr>
          <w:rFonts w:ascii="Times New Roman" w:hAnsi="Times New Roman" w:cs="Times New Roman"/>
          <w:i/>
          <w:sz w:val="24"/>
          <w:szCs w:val="24"/>
          <w:lang w:val="es-ES_tradnl"/>
        </w:rPr>
        <w:t>okupadas</w:t>
      </w:r>
      <w:proofErr w:type="spellEnd"/>
      <w:r w:rsidRPr="00E27BFB">
        <w:rPr>
          <w:rFonts w:ascii="Times New Roman" w:hAnsi="Times New Roman" w:cs="Times New Roman"/>
          <w:i/>
          <w:sz w:val="24"/>
          <w:szCs w:val="24"/>
          <w:lang w:val="es-ES_tradnl"/>
        </w:rPr>
        <w:t xml:space="preserve">, de Toni </w:t>
      </w:r>
      <w:proofErr w:type="spellStart"/>
      <w:r w:rsidRPr="00E27BFB">
        <w:rPr>
          <w:rFonts w:ascii="Times New Roman" w:hAnsi="Times New Roman" w:cs="Times New Roman"/>
          <w:i/>
          <w:sz w:val="24"/>
          <w:szCs w:val="24"/>
          <w:lang w:val="es-ES_tradnl"/>
        </w:rPr>
        <w:t>Negri</w:t>
      </w:r>
      <w:proofErr w:type="spellEnd"/>
      <w:r w:rsidRPr="00E27BFB">
        <w:rPr>
          <w:rFonts w:ascii="Times New Roman" w:hAnsi="Times New Roman" w:cs="Times New Roman"/>
          <w:i/>
          <w:sz w:val="24"/>
          <w:szCs w:val="24"/>
          <w:lang w:val="es-ES_tradnl"/>
        </w:rPr>
        <w:t xml:space="preserve"> y del entorno colaborativo, acogen con entusiasmo.</w:t>
      </w:r>
    </w:p>
    <w:p w:rsidR="00CA6A3A" w:rsidRPr="00E27BFB" w:rsidRDefault="00CA6A3A" w:rsidP="00CA6A3A">
      <w:pPr>
        <w:spacing w:line="240" w:lineRule="auto"/>
        <w:jc w:val="both"/>
        <w:rPr>
          <w:rFonts w:ascii="Times New Roman" w:hAnsi="Times New Roman" w:cs="Times New Roman"/>
          <w:i/>
          <w:sz w:val="24"/>
          <w:szCs w:val="24"/>
          <w:lang w:val="es-ES_tradnl"/>
        </w:rPr>
      </w:pPr>
      <w:r w:rsidRPr="00E27BFB">
        <w:rPr>
          <w:rFonts w:ascii="Times New Roman" w:hAnsi="Times New Roman" w:cs="Times New Roman"/>
          <w:i/>
          <w:sz w:val="24"/>
          <w:szCs w:val="24"/>
          <w:lang w:val="es-ES_tradnl"/>
        </w:rPr>
        <w:t xml:space="preserve">En el texto, Mason recoge ideas de Adam Smith y de Marx y muestra el mismo entusiasmo que </w:t>
      </w:r>
      <w:proofErr w:type="spellStart"/>
      <w:r w:rsidRPr="00E27BFB">
        <w:rPr>
          <w:rFonts w:ascii="Times New Roman" w:hAnsi="Times New Roman" w:cs="Times New Roman"/>
          <w:i/>
          <w:sz w:val="24"/>
          <w:szCs w:val="24"/>
          <w:lang w:val="es-ES_tradnl"/>
        </w:rPr>
        <w:t>Silicon</w:t>
      </w:r>
      <w:proofErr w:type="spellEnd"/>
      <w:r w:rsidRPr="00E27BFB">
        <w:rPr>
          <w:rFonts w:ascii="Times New Roman" w:hAnsi="Times New Roman" w:cs="Times New Roman"/>
          <w:i/>
          <w:sz w:val="24"/>
          <w:szCs w:val="24"/>
          <w:lang w:val="es-ES_tradnl"/>
        </w:rPr>
        <w:t xml:space="preserve"> Valley respecto de la tecnología, ya que está convencido de que las posibilidades de la automatización nos llevarán a una sociedad mejor, muy alejada del neoliberalismo reinante. Insiste además en que el capitalismo colapsará y abrirá las puertas a un mundo </w:t>
      </w:r>
      <w:proofErr w:type="spellStart"/>
      <w:r w:rsidRPr="00E27BFB">
        <w:rPr>
          <w:rFonts w:ascii="Times New Roman" w:hAnsi="Times New Roman" w:cs="Times New Roman"/>
          <w:i/>
          <w:sz w:val="24"/>
          <w:szCs w:val="24"/>
          <w:lang w:val="es-ES_tradnl"/>
        </w:rPr>
        <w:t>poscapitalista</w:t>
      </w:r>
      <w:proofErr w:type="spellEnd"/>
      <w:r w:rsidRPr="00E27BFB">
        <w:rPr>
          <w:rFonts w:ascii="Times New Roman" w:hAnsi="Times New Roman" w:cs="Times New Roman"/>
          <w:i/>
          <w:sz w:val="24"/>
          <w:szCs w:val="24"/>
          <w:lang w:val="es-ES_tradnl"/>
        </w:rPr>
        <w:t xml:space="preserve"> mucho más adecuado a las necesidades del ser humano actual.</w:t>
      </w:r>
    </w:p>
    <w:p w:rsidR="00CA6A3A" w:rsidRPr="00E27BFB" w:rsidRDefault="00CA6A3A" w:rsidP="00CA6A3A">
      <w:pPr>
        <w:spacing w:line="240" w:lineRule="auto"/>
        <w:jc w:val="both"/>
        <w:rPr>
          <w:rFonts w:ascii="Times New Roman" w:hAnsi="Times New Roman" w:cs="Times New Roman"/>
          <w:sz w:val="24"/>
          <w:szCs w:val="24"/>
          <w:lang w:val="es-ES_tradnl"/>
        </w:rPr>
      </w:pPr>
      <w:r w:rsidRPr="00E27BFB">
        <w:rPr>
          <w:rFonts w:ascii="Times New Roman" w:hAnsi="Times New Roman" w:cs="Times New Roman"/>
          <w:i/>
          <w:sz w:val="24"/>
          <w:szCs w:val="24"/>
          <w:lang w:val="es-ES_tradnl"/>
        </w:rPr>
        <w:t>La transición de un modelo a otro tiene nombre, “Proyecto Cero”, y consiste en lograr los siguientes objetivos: un sistema energético de cero emisiones de carbono, la producción de máquinas, productos y servicios con costes marginales cero y la reducción del tiempo de trabajo necesario hasta aproximarlo también a cero. Y cuenta con una advertencia: ya no que nuestros roles como consumidores, amantes o comunicadores son tan importantes para nosotros como el papel que desempeñamos en nuestro trabajo, este proyecto no puede basarse puramente en la justicia económica y social”...</w:t>
      </w:r>
      <w:r w:rsidRPr="00E27BFB">
        <w:rPr>
          <w:rFonts w:ascii="Times New Roman" w:hAnsi="Times New Roman" w:cs="Times New Roman"/>
          <w:sz w:val="24"/>
          <w:szCs w:val="24"/>
          <w:u w:val="single"/>
          <w:lang w:val="es-ES_tradnl"/>
        </w:rPr>
        <w:t>Proyecto Cero, el sistema que provocará que el capitalismo colapse</w:t>
      </w:r>
      <w:r w:rsidRPr="00E27BFB">
        <w:rPr>
          <w:rFonts w:ascii="Times New Roman" w:hAnsi="Times New Roman" w:cs="Times New Roman"/>
          <w:sz w:val="24"/>
          <w:szCs w:val="24"/>
          <w:lang w:val="es-ES_tradnl"/>
        </w:rPr>
        <w:t xml:space="preserve"> (El Confidencial - </w:t>
      </w:r>
      <w:r w:rsidRPr="00E27BFB">
        <w:rPr>
          <w:rFonts w:ascii="Times New Roman" w:hAnsi="Times New Roman" w:cs="Times New Roman"/>
          <w:b/>
          <w:sz w:val="24"/>
          <w:szCs w:val="24"/>
          <w:lang w:val="es-ES_tradnl"/>
        </w:rPr>
        <w:t>29/2/16</w:t>
      </w:r>
      <w:r w:rsidRPr="00E27BFB">
        <w:rPr>
          <w:rFonts w:ascii="Times New Roman" w:hAnsi="Times New Roman" w:cs="Times New Roman"/>
          <w:sz w:val="24"/>
          <w:szCs w:val="24"/>
          <w:lang w:val="es-ES_tradnl"/>
        </w:rPr>
        <w:t>)</w:t>
      </w:r>
    </w:p>
    <w:p w:rsidR="00CA6A3A" w:rsidRPr="00CA6A3A" w:rsidRDefault="00CA6A3A" w:rsidP="00CA6A3A">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CA6A3A">
        <w:rPr>
          <w:rFonts w:ascii="Times New Roman" w:hAnsi="Times New Roman" w:cs="Times New Roman"/>
          <w:i/>
          <w:sz w:val="24"/>
          <w:szCs w:val="24"/>
        </w:rPr>
        <w:t>Una gran parte del debate económico y de mercados se centra en la idea de que se pueda repetir la crisis de 2008. Sin ser un optimista recalcitrante de los de “los fundamentales no han cambiado”, si debemos analizar varias diferencias que nos pueden llevar a hacer un diagnóstico incorrecto de lo que es una evidente ralentización global.</w:t>
      </w:r>
    </w:p>
    <w:p w:rsidR="00CA6A3A" w:rsidRDefault="00CA6A3A" w:rsidP="00CA6A3A">
      <w:pPr>
        <w:spacing w:line="240" w:lineRule="auto"/>
        <w:jc w:val="both"/>
        <w:rPr>
          <w:rFonts w:ascii="Times New Roman" w:hAnsi="Times New Roman" w:cs="Times New Roman"/>
          <w:sz w:val="24"/>
          <w:szCs w:val="24"/>
        </w:rPr>
      </w:pPr>
      <w:r w:rsidRPr="00CA6A3A">
        <w:rPr>
          <w:rFonts w:ascii="Times New Roman" w:hAnsi="Times New Roman" w:cs="Times New Roman"/>
          <w:i/>
          <w:sz w:val="24"/>
          <w:szCs w:val="24"/>
        </w:rPr>
        <w:lastRenderedPageBreak/>
        <w:t>Esta no es una ralentización por desplome de demanda y ahogar el crédito, sino de exceso de oferta. Vivimos lo que es una obvia saturación de estímulos, tras $20 billones de expansión monetaria y bajos tipos, que han llevado a perpetuar y extender el problema de sobrecapacidad desde los países desarrollados a muchas economías emergentes. Es evidente que el consumo sigue comportándose de manera sólida a pesar de las revisiones a la baja del crecimiento global. Eso es por exceso de capacidad y de estímulos. En un excelente documento reciente, Christopher Donay, de Pictet, lo llamaba “post crisis stimulus exhaustion”</w:t>
      </w:r>
      <w:r>
        <w:rPr>
          <w:rFonts w:ascii="Times New Roman" w:hAnsi="Times New Roman" w:cs="Times New Roman"/>
          <w:i/>
          <w:sz w:val="24"/>
          <w:szCs w:val="24"/>
        </w:rPr>
        <w:t>”..</w:t>
      </w:r>
      <w:r w:rsidRPr="00CA6A3A">
        <w:rPr>
          <w:rFonts w:ascii="Times New Roman" w:hAnsi="Times New Roman" w:cs="Times New Roman"/>
          <w:i/>
          <w:sz w:val="24"/>
          <w:szCs w:val="24"/>
        </w:rPr>
        <w:t>.</w:t>
      </w:r>
      <w:r w:rsidRPr="00465B88">
        <w:rPr>
          <w:rFonts w:ascii="Times New Roman" w:hAnsi="Times New Roman" w:cs="Times New Roman"/>
          <w:sz w:val="24"/>
          <w:szCs w:val="24"/>
          <w:u w:val="single"/>
        </w:rPr>
        <w:t>No estamos en 2008: similitudes y diferencias con la gran crisis</w:t>
      </w:r>
      <w:r>
        <w:rPr>
          <w:rFonts w:ascii="Times New Roman" w:hAnsi="Times New Roman" w:cs="Times New Roman"/>
          <w:sz w:val="24"/>
          <w:szCs w:val="24"/>
        </w:rPr>
        <w:t xml:space="preserve"> (El Confidencial - </w:t>
      </w:r>
      <w:r w:rsidRPr="00465B88">
        <w:rPr>
          <w:rFonts w:ascii="Times New Roman" w:hAnsi="Times New Roman" w:cs="Times New Roman"/>
          <w:b/>
          <w:sz w:val="24"/>
          <w:szCs w:val="24"/>
        </w:rPr>
        <w:t>4/3/16</w:t>
      </w:r>
      <w:r>
        <w:rPr>
          <w:rFonts w:ascii="Times New Roman" w:hAnsi="Times New Roman" w:cs="Times New Roman"/>
          <w:sz w:val="24"/>
          <w:szCs w:val="24"/>
        </w:rPr>
        <w:t>)</w:t>
      </w:r>
    </w:p>
    <w:p w:rsidR="00C16842" w:rsidRPr="00C16842" w:rsidRDefault="00C16842" w:rsidP="00C16842">
      <w:pPr>
        <w:pStyle w:val="NormalWeb"/>
        <w:shd w:val="clear" w:color="auto" w:fill="FFFFFF"/>
        <w:spacing w:before="0" w:beforeAutospacing="0" w:after="270" w:afterAutospacing="0"/>
        <w:jc w:val="both"/>
        <w:textAlignment w:val="baseline"/>
        <w:rPr>
          <w:i/>
        </w:rPr>
      </w:pPr>
      <w:r>
        <w:rPr>
          <w:i/>
        </w:rPr>
        <w:t>“</w:t>
      </w:r>
      <w:r w:rsidRPr="00C16842">
        <w:rPr>
          <w:i/>
        </w:rPr>
        <w:t>El BCE recortó las tasas de interés, aceleró y expandió su programa de compra de bonos y ofreció a los bancos nuevas líneas de crédito bajo condiciones tan generosas que algunos de ellos podrían cobrar por endeudarse.</w:t>
      </w:r>
    </w:p>
    <w:p w:rsidR="00C16842" w:rsidRDefault="00C16842" w:rsidP="00C16842">
      <w:pPr>
        <w:spacing w:line="240" w:lineRule="auto"/>
        <w:jc w:val="both"/>
        <w:rPr>
          <w:rFonts w:ascii="Times New Roman" w:hAnsi="Times New Roman" w:cs="Times New Roman"/>
          <w:sz w:val="24"/>
          <w:szCs w:val="24"/>
        </w:rPr>
      </w:pPr>
      <w:r w:rsidRPr="00C16842">
        <w:rPr>
          <w:rFonts w:ascii="Times New Roman" w:hAnsi="Times New Roman" w:cs="Times New Roman"/>
          <w:i/>
          <w:sz w:val="24"/>
          <w:szCs w:val="24"/>
        </w:rPr>
        <w:t>Aunque el BCE llegó tarde a la ola de los masivos programas de compra de bonos que fueron implementados primero por Estados Unidos, el Reino Unido y Japón, ha sido más osado al llevar las tasas de interés a territorio negativo como una estrategia para abaratar el costo del dinero”...</w:t>
      </w:r>
      <w:r w:rsidRPr="00D97765">
        <w:rPr>
          <w:rFonts w:ascii="Times New Roman" w:hAnsi="Times New Roman" w:cs="Times New Roman"/>
          <w:sz w:val="24"/>
          <w:szCs w:val="24"/>
          <w:u w:val="single"/>
        </w:rPr>
        <w:t>Los inversionistas ponen en duda la efectividad del BCE</w:t>
      </w:r>
      <w:r>
        <w:rPr>
          <w:rFonts w:ascii="Times New Roman" w:hAnsi="Times New Roman" w:cs="Times New Roman"/>
          <w:sz w:val="24"/>
          <w:szCs w:val="24"/>
        </w:rPr>
        <w:t xml:space="preserve"> (The Wall Street Journal - </w:t>
      </w:r>
      <w:r w:rsidRPr="00D97765">
        <w:rPr>
          <w:rFonts w:ascii="Times New Roman" w:hAnsi="Times New Roman" w:cs="Times New Roman"/>
          <w:b/>
          <w:sz w:val="24"/>
          <w:szCs w:val="24"/>
        </w:rPr>
        <w:t>10/3/16</w:t>
      </w:r>
      <w:r>
        <w:rPr>
          <w:rFonts w:ascii="Times New Roman" w:hAnsi="Times New Roman" w:cs="Times New Roman"/>
          <w:sz w:val="24"/>
          <w:szCs w:val="24"/>
        </w:rPr>
        <w:t>)</w:t>
      </w:r>
    </w:p>
    <w:p w:rsidR="00C16842" w:rsidRDefault="00C16842" w:rsidP="00C16842">
      <w:pPr>
        <w:spacing w:line="240" w:lineRule="auto"/>
        <w:jc w:val="both"/>
        <w:rPr>
          <w:rFonts w:ascii="Times New Roman" w:hAnsi="Times New Roman" w:cs="Times New Roman"/>
          <w:sz w:val="24"/>
          <w:szCs w:val="24"/>
        </w:rPr>
      </w:pPr>
      <w:r w:rsidRPr="00D97765">
        <w:rPr>
          <w:noProof/>
          <w:lang w:val="en-GB" w:eastAsia="en-GB"/>
        </w:rPr>
        <w:drawing>
          <wp:inline distT="0" distB="0" distL="0" distR="0">
            <wp:extent cx="5314950" cy="4838700"/>
            <wp:effectExtent l="0" t="0" r="0" b="0"/>
            <wp:docPr id="106" name="Imagen 106" descr="http://si.wsj.net/public/resources/images/AO-AA826_wsjamd_NS_20160310191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826_wsjamd_NS_20160310191052.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4950" cy="4838700"/>
                    </a:xfrm>
                    <a:prstGeom prst="rect">
                      <a:avLst/>
                    </a:prstGeom>
                    <a:noFill/>
                    <a:ln>
                      <a:noFill/>
                    </a:ln>
                  </pic:spPr>
                </pic:pic>
              </a:graphicData>
            </a:graphic>
          </wp:inline>
        </w:drawing>
      </w:r>
    </w:p>
    <w:p w:rsidR="00C16842" w:rsidRPr="00C16842" w:rsidRDefault="00C16842" w:rsidP="00C16842">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C16842">
        <w:rPr>
          <w:rFonts w:ascii="Times New Roman" w:hAnsi="Times New Roman" w:cs="Times New Roman"/>
          <w:i/>
          <w:sz w:val="24"/>
          <w:szCs w:val="24"/>
        </w:rPr>
        <w:t xml:space="preserve">El problema de Europa no es de liquidez, es de sobrecapacidad, endeudamiento y estados deficitarios. De falta de reformas. La política del avestruz, que llevamos </w:t>
      </w:r>
      <w:r w:rsidRPr="00C16842">
        <w:rPr>
          <w:rFonts w:ascii="Times New Roman" w:hAnsi="Times New Roman" w:cs="Times New Roman"/>
          <w:i/>
          <w:sz w:val="24"/>
          <w:szCs w:val="24"/>
        </w:rPr>
        <w:lastRenderedPageBreak/>
        <w:t>comentando en esta columna desde 2011 y que lo fía todo a la magia de un banco central que ya no puede hacer más, porque no es un problema monetario, sino estructural.</w:t>
      </w:r>
    </w:p>
    <w:p w:rsidR="00C16842" w:rsidRDefault="00C16842" w:rsidP="00C16842">
      <w:pPr>
        <w:spacing w:line="240" w:lineRule="auto"/>
        <w:jc w:val="both"/>
        <w:rPr>
          <w:rFonts w:ascii="Times New Roman" w:hAnsi="Times New Roman" w:cs="Times New Roman"/>
          <w:sz w:val="24"/>
          <w:szCs w:val="24"/>
        </w:rPr>
      </w:pPr>
      <w:r w:rsidRPr="00C16842">
        <w:rPr>
          <w:rFonts w:ascii="Times New Roman" w:hAnsi="Times New Roman" w:cs="Times New Roman"/>
          <w:i/>
          <w:sz w:val="24"/>
          <w:szCs w:val="24"/>
        </w:rPr>
        <w:t>Lo siento. Aunque el Banco Central Europeo lo niegue, estamos repitiendo los errores de Japón paso a paso</w:t>
      </w:r>
      <w:r>
        <w:rPr>
          <w:i/>
        </w:rPr>
        <w:t>”..</w:t>
      </w:r>
      <w:r w:rsidRPr="00C16842">
        <w:rPr>
          <w:rFonts w:ascii="Times New Roman" w:hAnsi="Times New Roman" w:cs="Times New Roman"/>
          <w:i/>
          <w:sz w:val="24"/>
          <w:szCs w:val="24"/>
        </w:rPr>
        <w:t>.</w:t>
      </w:r>
      <w:r w:rsidRPr="00542331">
        <w:rPr>
          <w:rFonts w:ascii="Times New Roman" w:hAnsi="Times New Roman" w:cs="Times New Roman"/>
          <w:sz w:val="24"/>
          <w:szCs w:val="24"/>
          <w:u w:val="single"/>
        </w:rPr>
        <w:t>Zombificando la economía. Repitiendo los errores de Japón</w:t>
      </w:r>
      <w:r>
        <w:rPr>
          <w:rFonts w:ascii="Times New Roman" w:hAnsi="Times New Roman" w:cs="Times New Roman"/>
          <w:sz w:val="24"/>
          <w:szCs w:val="24"/>
        </w:rPr>
        <w:t xml:space="preserve"> (El Confidencial - </w:t>
      </w:r>
      <w:r>
        <w:rPr>
          <w:rFonts w:ascii="Times New Roman" w:hAnsi="Times New Roman" w:cs="Times New Roman"/>
          <w:b/>
          <w:sz w:val="24"/>
          <w:szCs w:val="24"/>
        </w:rPr>
        <w:t>10</w:t>
      </w:r>
      <w:r w:rsidRPr="00542331">
        <w:rPr>
          <w:rFonts w:ascii="Times New Roman" w:hAnsi="Times New Roman" w:cs="Times New Roman"/>
          <w:b/>
          <w:sz w:val="24"/>
          <w:szCs w:val="24"/>
        </w:rPr>
        <w:t>/3/16</w:t>
      </w:r>
      <w:r>
        <w:rPr>
          <w:rFonts w:ascii="Times New Roman" w:hAnsi="Times New Roman" w:cs="Times New Roman"/>
          <w:sz w:val="24"/>
          <w:szCs w:val="24"/>
        </w:rPr>
        <w:t>)</w:t>
      </w:r>
    </w:p>
    <w:p w:rsidR="00C16842" w:rsidRPr="00C16842" w:rsidRDefault="00C16842" w:rsidP="00C16842">
      <w:pPr>
        <w:pStyle w:val="NormalWeb"/>
        <w:spacing w:before="0" w:beforeAutospacing="0" w:after="360" w:afterAutospacing="0"/>
        <w:jc w:val="both"/>
        <w:textAlignment w:val="baseline"/>
        <w:rPr>
          <w:i/>
          <w:bdr w:val="none" w:sz="0" w:space="0" w:color="auto" w:frame="1"/>
          <w:shd w:val="clear" w:color="auto" w:fill="FFFFFF"/>
        </w:rPr>
      </w:pPr>
      <w:r>
        <w:rPr>
          <w:i/>
          <w:bdr w:val="none" w:sz="0" w:space="0" w:color="auto" w:frame="1"/>
          <w:shd w:val="clear" w:color="auto" w:fill="FFFFFF"/>
        </w:rPr>
        <w:t>“</w:t>
      </w:r>
      <w:r w:rsidRPr="00C16842">
        <w:rPr>
          <w:i/>
          <w:bdr w:val="none" w:sz="0" w:space="0" w:color="auto" w:frame="1"/>
          <w:shd w:val="clear" w:color="auto" w:fill="FFFFFF"/>
        </w:rPr>
        <w:t>El</w:t>
      </w:r>
      <w:r w:rsidRPr="00C16842">
        <w:rPr>
          <w:rStyle w:val="apple-converted-space"/>
          <w:i/>
          <w:bdr w:val="none" w:sz="0" w:space="0" w:color="auto" w:frame="1"/>
          <w:shd w:val="clear" w:color="auto" w:fill="FFFFFF"/>
        </w:rPr>
        <w:t> </w:t>
      </w:r>
      <w:r w:rsidRPr="00C16842">
        <w:rPr>
          <w:rStyle w:val="Textoennegrita"/>
          <w:rFonts w:eastAsiaTheme="minorEastAsia"/>
          <w:b w:val="0"/>
          <w:i/>
          <w:bdr w:val="none" w:sz="0" w:space="0" w:color="auto" w:frame="1"/>
          <w:shd w:val="clear" w:color="auto" w:fill="FFFFFF"/>
        </w:rPr>
        <w:t>Banco Central Europeo (BCE)</w:t>
      </w:r>
      <w:r w:rsidRPr="00C16842">
        <w:rPr>
          <w:rStyle w:val="apple-converted-space"/>
          <w:i/>
          <w:bdr w:val="none" w:sz="0" w:space="0" w:color="auto" w:frame="1"/>
          <w:shd w:val="clear" w:color="auto" w:fill="FFFFFF"/>
        </w:rPr>
        <w:t> </w:t>
      </w:r>
      <w:r w:rsidRPr="00C16842">
        <w:rPr>
          <w:i/>
          <w:bdr w:val="none" w:sz="0" w:space="0" w:color="auto" w:frame="1"/>
          <w:shd w:val="clear" w:color="auto" w:fill="FFFFFF"/>
        </w:rPr>
        <w:t>decidió hace casi dos años seguir los pasos de la Reserva Federal de los Estados Unidos y lanzarse al mercado con</w:t>
      </w:r>
      <w:r w:rsidRPr="00C16842">
        <w:rPr>
          <w:rStyle w:val="apple-converted-space"/>
          <w:i/>
          <w:bdr w:val="none" w:sz="0" w:space="0" w:color="auto" w:frame="1"/>
          <w:shd w:val="clear" w:color="auto" w:fill="FFFFFF"/>
        </w:rPr>
        <w:t> </w:t>
      </w:r>
      <w:r w:rsidRPr="00C16842">
        <w:rPr>
          <w:rStyle w:val="Textoennegrita"/>
          <w:rFonts w:eastAsiaTheme="minorEastAsia"/>
          <w:b w:val="0"/>
          <w:i/>
          <w:bdr w:val="none" w:sz="0" w:space="0" w:color="auto" w:frame="1"/>
          <w:shd w:val="clear" w:color="auto" w:fill="FFFFFF"/>
        </w:rPr>
        <w:t>fuertes medidas de expansión monetaria.</w:t>
      </w:r>
      <w:r w:rsidRPr="00C16842">
        <w:rPr>
          <w:rStyle w:val="apple-converted-space"/>
          <w:i/>
          <w:bdr w:val="none" w:sz="0" w:space="0" w:color="auto" w:frame="1"/>
          <w:shd w:val="clear" w:color="auto" w:fill="FFFFFF"/>
        </w:rPr>
        <w:t> </w:t>
      </w:r>
      <w:r w:rsidRPr="00C16842">
        <w:rPr>
          <w:i/>
          <w:bdr w:val="none" w:sz="0" w:space="0" w:color="auto" w:frame="1"/>
          <w:shd w:val="clear" w:color="auto" w:fill="FFFFFF"/>
        </w:rPr>
        <w:t>Atrás dejó la época en la que el BCE era el banco central más conservador de su entorno y la dinámica del crecimiento monetario acorde a lo que crecía en cada momento la economía de la zona euro.</w:t>
      </w:r>
    </w:p>
    <w:p w:rsidR="00C16842" w:rsidRPr="00C16842" w:rsidRDefault="00C16842" w:rsidP="00C16842">
      <w:pPr>
        <w:pStyle w:val="NormalWeb"/>
        <w:spacing w:before="0" w:beforeAutospacing="0" w:after="360" w:afterAutospacing="0"/>
        <w:jc w:val="both"/>
        <w:textAlignment w:val="baseline"/>
        <w:rPr>
          <w:i/>
          <w:bdr w:val="none" w:sz="0" w:space="0" w:color="auto" w:frame="1"/>
          <w:shd w:val="clear" w:color="auto" w:fill="FFFFFF"/>
        </w:rPr>
      </w:pPr>
      <w:r w:rsidRPr="00C16842">
        <w:rPr>
          <w:i/>
          <w:bdr w:val="none" w:sz="0" w:space="0" w:color="auto" w:frame="1"/>
          <w:shd w:val="clear" w:color="auto" w:fill="FFFFFF"/>
        </w:rPr>
        <w:t>Primero con</w:t>
      </w:r>
      <w:r w:rsidRPr="00C16842">
        <w:rPr>
          <w:rStyle w:val="apple-converted-space"/>
          <w:i/>
          <w:bdr w:val="none" w:sz="0" w:space="0" w:color="auto" w:frame="1"/>
          <w:shd w:val="clear" w:color="auto" w:fill="FFFFFF"/>
        </w:rPr>
        <w:t> </w:t>
      </w:r>
      <w:r w:rsidRPr="00C16842">
        <w:rPr>
          <w:rStyle w:val="Textoennegrita"/>
          <w:rFonts w:eastAsiaTheme="minorEastAsia"/>
          <w:b w:val="0"/>
          <w:i/>
          <w:bdr w:val="none" w:sz="0" w:space="0" w:color="auto" w:frame="1"/>
          <w:shd w:val="clear" w:color="auto" w:fill="FFFFFF"/>
        </w:rPr>
        <w:t>inyecciones masivas de liquidez</w:t>
      </w:r>
      <w:r w:rsidRPr="00C16842">
        <w:rPr>
          <w:rStyle w:val="apple-converted-space"/>
          <w:i/>
          <w:bdr w:val="none" w:sz="0" w:space="0" w:color="auto" w:frame="1"/>
          <w:shd w:val="clear" w:color="auto" w:fill="FFFFFF"/>
        </w:rPr>
        <w:t> </w:t>
      </w:r>
      <w:r w:rsidRPr="00C16842">
        <w:rPr>
          <w:i/>
          <w:bdr w:val="none" w:sz="0" w:space="0" w:color="auto" w:frame="1"/>
          <w:shd w:val="clear" w:color="auto" w:fill="FFFFFF"/>
        </w:rPr>
        <w:t xml:space="preserve">condicionadas (las llamadas TLTROs) y después con </w:t>
      </w:r>
      <w:r w:rsidRPr="00C16842">
        <w:rPr>
          <w:b/>
          <w:i/>
          <w:bdr w:val="none" w:sz="0" w:space="0" w:color="auto" w:frame="1"/>
          <w:shd w:val="clear" w:color="auto" w:fill="FFFFFF"/>
        </w:rPr>
        <w:t>c</w:t>
      </w:r>
      <w:r w:rsidRPr="00C16842">
        <w:rPr>
          <w:rStyle w:val="Textoennegrita"/>
          <w:rFonts w:eastAsiaTheme="minorEastAsia"/>
          <w:b w:val="0"/>
          <w:i/>
          <w:bdr w:val="none" w:sz="0" w:space="0" w:color="auto" w:frame="1"/>
          <w:shd w:val="clear" w:color="auto" w:fill="FFFFFF"/>
        </w:rPr>
        <w:t>ompra directa de bonos públicos y cédulas</w:t>
      </w:r>
      <w:r w:rsidRPr="00C16842">
        <w:rPr>
          <w:rStyle w:val="apple-converted-space"/>
          <w:i/>
          <w:bdr w:val="none" w:sz="0" w:space="0" w:color="auto" w:frame="1"/>
          <w:shd w:val="clear" w:color="auto" w:fill="FFFFFF"/>
        </w:rPr>
        <w:t> </w:t>
      </w:r>
      <w:r w:rsidRPr="00C16842">
        <w:rPr>
          <w:i/>
          <w:bdr w:val="none" w:sz="0" w:space="0" w:color="auto" w:frame="1"/>
          <w:shd w:val="clear" w:color="auto" w:fill="FFFFFF"/>
        </w:rPr>
        <w:t>hipotecarias, el BCE se ha sumado a la</w:t>
      </w:r>
      <w:r w:rsidRPr="00C16842">
        <w:rPr>
          <w:rStyle w:val="apple-converted-space"/>
          <w:i/>
          <w:bdr w:val="none" w:sz="0" w:space="0" w:color="auto" w:frame="1"/>
          <w:shd w:val="clear" w:color="auto" w:fill="FFFFFF"/>
        </w:rPr>
        <w:t> </w:t>
      </w:r>
      <w:r w:rsidRPr="00C16842">
        <w:rPr>
          <w:rStyle w:val="Textoennegrita"/>
          <w:rFonts w:eastAsiaTheme="minorEastAsia"/>
          <w:b w:val="0"/>
          <w:i/>
          <w:bdr w:val="none" w:sz="0" w:space="0" w:color="auto" w:frame="1"/>
          <w:shd w:val="clear" w:color="auto" w:fill="FFFFFF"/>
        </w:rPr>
        <w:t>“guerra de divisas”</w:t>
      </w:r>
      <w:r w:rsidRPr="00C16842">
        <w:rPr>
          <w:i/>
          <w:bdr w:val="none" w:sz="0" w:space="0" w:color="auto" w:frame="1"/>
          <w:shd w:val="clear" w:color="auto" w:fill="FFFFFF"/>
        </w:rPr>
        <w:t>iniciada por los más importantes bancos centrales del mundo para intentar estimular la economía vía crédito gratis, condiciones nunca vistas en la financiación de las empresas y financiación regalada para los Estados.</w:t>
      </w:r>
    </w:p>
    <w:p w:rsidR="00C16842" w:rsidRDefault="00C16842" w:rsidP="00C16842">
      <w:pPr>
        <w:spacing w:line="240" w:lineRule="auto"/>
        <w:jc w:val="both"/>
        <w:rPr>
          <w:rFonts w:ascii="Times New Roman" w:hAnsi="Times New Roman" w:cs="Times New Roman"/>
          <w:sz w:val="24"/>
          <w:szCs w:val="24"/>
        </w:rPr>
      </w:pPr>
      <w:r w:rsidRPr="00C16842">
        <w:rPr>
          <w:rFonts w:ascii="Times New Roman" w:hAnsi="Times New Roman" w:cs="Times New Roman"/>
          <w:i/>
          <w:sz w:val="24"/>
          <w:szCs w:val="24"/>
          <w:bdr w:val="none" w:sz="0" w:space="0" w:color="auto" w:frame="1"/>
          <w:shd w:val="clear" w:color="auto" w:fill="FFFFFF"/>
        </w:rPr>
        <w:t>En resumen, el BCE</w:t>
      </w:r>
      <w:r w:rsidRPr="00C16842">
        <w:rPr>
          <w:rStyle w:val="apple-converted-space"/>
          <w:rFonts w:ascii="Times New Roman" w:hAnsi="Times New Roman" w:cs="Times New Roman"/>
          <w:i/>
          <w:sz w:val="24"/>
          <w:szCs w:val="24"/>
          <w:bdr w:val="none" w:sz="0" w:space="0" w:color="auto" w:frame="1"/>
          <w:shd w:val="clear" w:color="auto" w:fill="FFFFFF"/>
        </w:rPr>
        <w:t> </w:t>
      </w:r>
      <w:r w:rsidRPr="00C16842">
        <w:rPr>
          <w:rStyle w:val="Textoennegrita"/>
          <w:rFonts w:ascii="Times New Roman" w:eastAsiaTheme="minorEastAsia" w:hAnsi="Times New Roman" w:cs="Times New Roman"/>
          <w:b w:val="0"/>
          <w:i/>
          <w:sz w:val="24"/>
          <w:szCs w:val="24"/>
          <w:bdr w:val="none" w:sz="0" w:space="0" w:color="auto" w:frame="1"/>
          <w:shd w:val="clear" w:color="auto" w:fill="FFFFFF"/>
        </w:rPr>
        <w:t>quiere forzar la concesión de crédito a cualquier coste</w:t>
      </w:r>
      <w:r w:rsidRPr="00C16842">
        <w:rPr>
          <w:rStyle w:val="Textoennegrita"/>
          <w:rFonts w:ascii="Times New Roman" w:eastAsiaTheme="minorEastAsia" w:hAnsi="Times New Roman" w:cs="Times New Roman"/>
          <w:i/>
          <w:sz w:val="24"/>
          <w:szCs w:val="24"/>
          <w:bdr w:val="none" w:sz="0" w:space="0" w:color="auto" w:frame="1"/>
          <w:shd w:val="clear" w:color="auto" w:fill="FFFFFF"/>
        </w:rPr>
        <w:t>,</w:t>
      </w:r>
      <w:r w:rsidRPr="00C16842">
        <w:rPr>
          <w:rStyle w:val="apple-converted-space"/>
          <w:rFonts w:ascii="Times New Roman" w:hAnsi="Times New Roman" w:cs="Times New Roman"/>
          <w:i/>
          <w:sz w:val="24"/>
          <w:szCs w:val="24"/>
          <w:bdr w:val="none" w:sz="0" w:space="0" w:color="auto" w:frame="1"/>
          <w:shd w:val="clear" w:color="auto" w:fill="FFFFFF"/>
        </w:rPr>
        <w:t> </w:t>
      </w:r>
      <w:r w:rsidRPr="00C16842">
        <w:rPr>
          <w:rFonts w:ascii="Times New Roman" w:hAnsi="Times New Roman" w:cs="Times New Roman"/>
          <w:i/>
          <w:sz w:val="24"/>
          <w:szCs w:val="24"/>
          <w:bdr w:val="none" w:sz="0" w:space="0" w:color="auto" w:frame="1"/>
          <w:shd w:val="clear" w:color="auto" w:fill="FFFFFF"/>
        </w:rPr>
        <w:t>mientras por otro lado, presiona a los bancos para que estén</w:t>
      </w:r>
      <w:r w:rsidRPr="00C16842">
        <w:rPr>
          <w:rStyle w:val="apple-converted-space"/>
          <w:rFonts w:ascii="Times New Roman" w:hAnsi="Times New Roman" w:cs="Times New Roman"/>
          <w:i/>
          <w:sz w:val="24"/>
          <w:szCs w:val="24"/>
          <w:bdr w:val="none" w:sz="0" w:space="0" w:color="auto" w:frame="1"/>
          <w:shd w:val="clear" w:color="auto" w:fill="FFFFFF"/>
        </w:rPr>
        <w:t> </w:t>
      </w:r>
      <w:r w:rsidRPr="00C16842">
        <w:rPr>
          <w:rStyle w:val="Textoennegrita"/>
          <w:rFonts w:ascii="Times New Roman" w:eastAsiaTheme="minorEastAsia" w:hAnsi="Times New Roman" w:cs="Times New Roman"/>
          <w:b w:val="0"/>
          <w:i/>
          <w:sz w:val="24"/>
          <w:szCs w:val="24"/>
          <w:bdr w:val="none" w:sz="0" w:space="0" w:color="auto" w:frame="1"/>
          <w:shd w:val="clear" w:color="auto" w:fill="FFFFFF"/>
        </w:rPr>
        <w:t>más capitalizados</w:t>
      </w:r>
      <w:r w:rsidRPr="00C16842">
        <w:rPr>
          <w:rFonts w:ascii="Times New Roman" w:hAnsi="Times New Roman" w:cs="Times New Roman"/>
          <w:i/>
          <w:sz w:val="24"/>
          <w:szCs w:val="24"/>
          <w:bdr w:val="none" w:sz="0" w:space="0" w:color="auto" w:frame="1"/>
          <w:shd w:val="clear" w:color="auto" w:fill="FFFFFF"/>
        </w:rPr>
        <w:t xml:space="preserve">, a que constituyan más provisiones y blindar el negocio bancario ante futuras crisis financieras. Es decir, que un banco al mismo tiempo preste sin límite y, a la vez, refuerce capital con más provisiones. </w:t>
      </w:r>
      <w:r w:rsidRPr="00C16842">
        <w:rPr>
          <w:rStyle w:val="Textoennegrita"/>
          <w:rFonts w:ascii="Times New Roman" w:eastAsiaTheme="minorEastAsia" w:hAnsi="Times New Roman" w:cs="Times New Roman"/>
          <w:b w:val="0"/>
          <w:i/>
          <w:sz w:val="24"/>
          <w:szCs w:val="24"/>
          <w:bdr w:val="none" w:sz="0" w:space="0" w:color="auto" w:frame="1"/>
          <w:shd w:val="clear" w:color="auto" w:fill="FFFFFF"/>
        </w:rPr>
        <w:t>Soplar y sorber a la vez</w:t>
      </w:r>
      <w:r w:rsidRPr="00C16842">
        <w:rPr>
          <w:rStyle w:val="Textoennegrita"/>
          <w:rFonts w:ascii="Times New Roman" w:eastAsiaTheme="minorEastAsia" w:hAnsi="Times New Roman" w:cs="Times New Roman"/>
          <w:i/>
          <w:sz w:val="24"/>
          <w:szCs w:val="24"/>
          <w:bdr w:val="none" w:sz="0" w:space="0" w:color="auto" w:frame="1"/>
          <w:shd w:val="clear" w:color="auto" w:fill="FFFFFF"/>
        </w:rPr>
        <w:t>,</w:t>
      </w:r>
      <w:r w:rsidRPr="00C16842">
        <w:rPr>
          <w:rStyle w:val="apple-converted-space"/>
          <w:rFonts w:ascii="Times New Roman" w:hAnsi="Times New Roman" w:cs="Times New Roman"/>
          <w:i/>
          <w:sz w:val="24"/>
          <w:szCs w:val="24"/>
          <w:bdr w:val="none" w:sz="0" w:space="0" w:color="auto" w:frame="1"/>
          <w:shd w:val="clear" w:color="auto" w:fill="FFFFFF"/>
        </w:rPr>
        <w:t> </w:t>
      </w:r>
      <w:r w:rsidRPr="00C16842">
        <w:rPr>
          <w:rFonts w:ascii="Times New Roman" w:hAnsi="Times New Roman" w:cs="Times New Roman"/>
          <w:i/>
          <w:sz w:val="24"/>
          <w:szCs w:val="24"/>
          <w:bdr w:val="none" w:sz="0" w:space="0" w:color="auto" w:frame="1"/>
          <w:shd w:val="clear" w:color="auto" w:fill="FFFFFF"/>
        </w:rPr>
        <w:t>en román paladino”...</w:t>
      </w:r>
      <w:r w:rsidRPr="00DB3B05">
        <w:rPr>
          <w:rFonts w:ascii="Times New Roman" w:hAnsi="Times New Roman" w:cs="Times New Roman"/>
          <w:sz w:val="24"/>
          <w:szCs w:val="24"/>
          <w:u w:val="single"/>
        </w:rPr>
        <w:t>Europa avanza un paso más para ser Japón</w:t>
      </w:r>
      <w:r>
        <w:rPr>
          <w:rFonts w:ascii="Times New Roman" w:hAnsi="Times New Roman" w:cs="Times New Roman"/>
          <w:sz w:val="24"/>
          <w:szCs w:val="24"/>
        </w:rPr>
        <w:t xml:space="preserve"> (Libertad Digital - </w:t>
      </w:r>
      <w:r>
        <w:rPr>
          <w:rFonts w:ascii="Times New Roman" w:hAnsi="Times New Roman" w:cs="Times New Roman"/>
          <w:b/>
          <w:sz w:val="24"/>
          <w:szCs w:val="24"/>
        </w:rPr>
        <w:t>11</w:t>
      </w:r>
      <w:r w:rsidRPr="00DB3B05">
        <w:rPr>
          <w:rFonts w:ascii="Times New Roman" w:hAnsi="Times New Roman" w:cs="Times New Roman"/>
          <w:b/>
          <w:sz w:val="24"/>
          <w:szCs w:val="24"/>
        </w:rPr>
        <w:t>/3/16</w:t>
      </w:r>
      <w:r>
        <w:rPr>
          <w:rFonts w:ascii="Times New Roman" w:hAnsi="Times New Roman" w:cs="Times New Roman"/>
          <w:sz w:val="24"/>
          <w:szCs w:val="24"/>
        </w:rPr>
        <w:t>)</w:t>
      </w:r>
    </w:p>
    <w:p w:rsidR="00C16842" w:rsidRPr="00C16842" w:rsidRDefault="00C16842" w:rsidP="00C16842">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C16842">
        <w:rPr>
          <w:rFonts w:ascii="Times New Roman" w:hAnsi="Times New Roman" w:cs="Times New Roman"/>
          <w:i/>
          <w:sz w:val="24"/>
          <w:szCs w:val="24"/>
        </w:rPr>
        <w:t>Los bancos centrales de las economías desarrolladas han perseguido durante las últimas dos décadas una inflación de 2% como una especie de temperatura ideal: ni muy caliente, ni excesivamente fría. Los precios al consumidor, no obstante, han permanecido por debajo de esa cifra durante varios años y algunos economistas piensan que es hora de ajustar la meta.</w:t>
      </w:r>
    </w:p>
    <w:p w:rsidR="00C16842" w:rsidRPr="00C16842" w:rsidRDefault="00C16842" w:rsidP="00C16842">
      <w:pPr>
        <w:spacing w:line="240" w:lineRule="auto"/>
        <w:jc w:val="both"/>
        <w:rPr>
          <w:rFonts w:ascii="Times New Roman" w:hAnsi="Times New Roman" w:cs="Times New Roman"/>
          <w:i/>
          <w:sz w:val="24"/>
          <w:szCs w:val="24"/>
        </w:rPr>
      </w:pPr>
      <w:r w:rsidRPr="00C16842">
        <w:rPr>
          <w:rFonts w:ascii="Times New Roman" w:hAnsi="Times New Roman" w:cs="Times New Roman"/>
          <w:i/>
          <w:sz w:val="24"/>
          <w:szCs w:val="24"/>
        </w:rPr>
        <w:t>El problema es que no se ponen de acuerdo sobre si debería ser más alta o más baja.</w:t>
      </w:r>
    </w:p>
    <w:p w:rsidR="00C16842" w:rsidRPr="00C16842" w:rsidRDefault="00C16842" w:rsidP="00C16842">
      <w:pPr>
        <w:spacing w:line="240" w:lineRule="auto"/>
        <w:jc w:val="both"/>
        <w:rPr>
          <w:rFonts w:ascii="Times New Roman" w:hAnsi="Times New Roman" w:cs="Times New Roman"/>
          <w:i/>
          <w:sz w:val="24"/>
          <w:szCs w:val="24"/>
        </w:rPr>
      </w:pPr>
      <w:r w:rsidRPr="00C16842">
        <w:rPr>
          <w:rFonts w:ascii="Times New Roman" w:hAnsi="Times New Roman" w:cs="Times New Roman"/>
          <w:i/>
          <w:sz w:val="24"/>
          <w:szCs w:val="24"/>
        </w:rPr>
        <w:t>Un bando señala que las tasas de inflación ultrabajas son el resultado de tendencias de largo plazo, como la globalización y el envejecimiento de la población, que están reduciendo los precios en todas partes y que los bancos centrales combaten por su cuenta y riesgo.</w:t>
      </w:r>
    </w:p>
    <w:p w:rsidR="00C16842" w:rsidRPr="00C16842" w:rsidRDefault="00C16842" w:rsidP="00C16842">
      <w:pPr>
        <w:spacing w:line="240" w:lineRule="auto"/>
        <w:jc w:val="both"/>
        <w:rPr>
          <w:rFonts w:ascii="Times New Roman" w:hAnsi="Times New Roman" w:cs="Times New Roman"/>
          <w:i/>
          <w:sz w:val="24"/>
          <w:szCs w:val="24"/>
        </w:rPr>
      </w:pPr>
      <w:r w:rsidRPr="00C16842">
        <w:rPr>
          <w:rFonts w:ascii="Times New Roman" w:hAnsi="Times New Roman" w:cs="Times New Roman"/>
          <w:i/>
          <w:sz w:val="24"/>
          <w:szCs w:val="24"/>
        </w:rPr>
        <w:t>Otro grupo enfatiza que la meta de inflación debería elevarse para ayudar a los bancos centrales a eludir su actual encrucijada: con las tasas de interés en o cerca de cero y la inflación baja, no pueden reducir la tasa de interés real -después de restarle la inflación- todo lo que les gustaría por debajo de cero para estimular la economía.</w:t>
      </w:r>
    </w:p>
    <w:p w:rsidR="00C16842" w:rsidRDefault="00C16842" w:rsidP="00C16842">
      <w:pPr>
        <w:spacing w:line="240" w:lineRule="auto"/>
        <w:jc w:val="both"/>
        <w:rPr>
          <w:rFonts w:ascii="Times New Roman" w:hAnsi="Times New Roman" w:cs="Times New Roman"/>
          <w:sz w:val="24"/>
          <w:szCs w:val="24"/>
        </w:rPr>
      </w:pPr>
      <w:r w:rsidRPr="00C16842">
        <w:rPr>
          <w:rFonts w:ascii="Times New Roman" w:hAnsi="Times New Roman" w:cs="Times New Roman"/>
          <w:i/>
          <w:sz w:val="24"/>
          <w:szCs w:val="24"/>
        </w:rPr>
        <w:t>Una tercera facción advierte que el debate es tóxico. “Credibilidad significa mantener la meta fija, no reducirla porque no se puede alcanzar”, dice Peter Tillmann, profesor de economía monetaria de la Universidad de Giessen, en Alemania</w:t>
      </w:r>
      <w:r>
        <w:rPr>
          <w:rFonts w:ascii="Times New Roman" w:hAnsi="Times New Roman" w:cs="Times New Roman"/>
          <w:i/>
          <w:sz w:val="24"/>
          <w:szCs w:val="24"/>
        </w:rPr>
        <w:t>”..</w:t>
      </w:r>
      <w:r w:rsidRPr="00C16842">
        <w:rPr>
          <w:rFonts w:ascii="Times New Roman" w:hAnsi="Times New Roman" w:cs="Times New Roman"/>
          <w:i/>
          <w:sz w:val="24"/>
          <w:szCs w:val="24"/>
        </w:rPr>
        <w:t>.</w:t>
      </w:r>
      <w:r w:rsidRPr="00E119C3">
        <w:rPr>
          <w:rFonts w:ascii="Times New Roman" w:hAnsi="Times New Roman" w:cs="Times New Roman"/>
          <w:sz w:val="24"/>
          <w:szCs w:val="24"/>
          <w:u w:val="single"/>
        </w:rPr>
        <w:t>La meta de inflación genera un intenso debate</w:t>
      </w:r>
      <w:r>
        <w:rPr>
          <w:rFonts w:ascii="Times New Roman" w:hAnsi="Times New Roman" w:cs="Times New Roman"/>
          <w:sz w:val="24"/>
          <w:szCs w:val="24"/>
        </w:rPr>
        <w:t xml:space="preserve"> (The Wall Street Journal - </w:t>
      </w:r>
      <w:r w:rsidRPr="00E119C3">
        <w:rPr>
          <w:rFonts w:ascii="Times New Roman" w:hAnsi="Times New Roman" w:cs="Times New Roman"/>
          <w:b/>
          <w:sz w:val="24"/>
          <w:szCs w:val="24"/>
        </w:rPr>
        <w:t>14/3/16</w:t>
      </w:r>
      <w:r>
        <w:rPr>
          <w:rFonts w:ascii="Times New Roman" w:hAnsi="Times New Roman" w:cs="Times New Roman"/>
          <w:sz w:val="24"/>
          <w:szCs w:val="24"/>
        </w:rPr>
        <w:t>)</w:t>
      </w:r>
    </w:p>
    <w:p w:rsidR="00C16842" w:rsidRDefault="00C16842" w:rsidP="00C16842">
      <w:pPr>
        <w:spacing w:line="240" w:lineRule="auto"/>
        <w:jc w:val="both"/>
        <w:rPr>
          <w:rFonts w:ascii="Times New Roman" w:hAnsi="Times New Roman" w:cs="Times New Roman"/>
          <w:sz w:val="24"/>
          <w:szCs w:val="24"/>
        </w:rPr>
      </w:pPr>
      <w:r>
        <w:rPr>
          <w:rFonts w:ascii="Arial" w:eastAsia="Times New Roman" w:hAnsi="Arial" w:cs="Arial"/>
          <w:noProof/>
          <w:color w:val="333333"/>
          <w:sz w:val="15"/>
          <w:szCs w:val="15"/>
          <w:lang w:val="en-GB" w:eastAsia="en-GB"/>
        </w:rPr>
        <w:lastRenderedPageBreak/>
        <w:drawing>
          <wp:inline distT="0" distB="0" distL="0" distR="0">
            <wp:extent cx="5397500" cy="3435350"/>
            <wp:effectExtent l="0" t="0" r="0" b="0"/>
            <wp:docPr id="108" name="Imagen 108" descr="http://si.wsj.net/public/resources/images/AO-AA835_wsjamd_NS_20160314194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835_wsjamd_NS_20160314194008.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3436967"/>
                    </a:xfrm>
                    <a:prstGeom prst="rect">
                      <a:avLst/>
                    </a:prstGeom>
                    <a:noFill/>
                    <a:ln>
                      <a:noFill/>
                    </a:ln>
                  </pic:spPr>
                </pic:pic>
              </a:graphicData>
            </a:graphic>
          </wp:inline>
        </w:drawing>
      </w:r>
    </w:p>
    <w:p w:rsidR="00FC1EDB" w:rsidRPr="00FC1EDB" w:rsidRDefault="00FC1EDB" w:rsidP="00FC1EDB">
      <w:pPr>
        <w:spacing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FC1EDB">
        <w:rPr>
          <w:rFonts w:ascii="Times New Roman" w:eastAsia="Times New Roman" w:hAnsi="Times New Roman" w:cs="Times New Roman"/>
          <w:i/>
          <w:sz w:val="24"/>
          <w:szCs w:val="24"/>
        </w:rPr>
        <w:t>Hace 40 años, los gobiernos desesperados por controlar una inflación de dos dígitos recurrieron a los controles de salarios y precios. La idea quedó desacreditada, pero ahora ha resucitado. En esta ocasión, sin embargo, el objetivo es aumentar los sueldos y los precios en lugar de contenerlos.</w:t>
      </w:r>
    </w:p>
    <w:p w:rsidR="00FC1EDB" w:rsidRDefault="00FC1EDB" w:rsidP="00FC1EDB">
      <w:pPr>
        <w:spacing w:line="240" w:lineRule="auto"/>
        <w:jc w:val="both"/>
        <w:rPr>
          <w:rFonts w:ascii="Times New Roman" w:eastAsia="Times New Roman" w:hAnsi="Times New Roman" w:cs="Times New Roman"/>
          <w:sz w:val="24"/>
          <w:szCs w:val="24"/>
        </w:rPr>
      </w:pPr>
      <w:r w:rsidRPr="00FC1EDB">
        <w:rPr>
          <w:rFonts w:ascii="Times New Roman" w:eastAsia="Times New Roman" w:hAnsi="Times New Roman" w:cs="Times New Roman"/>
          <w:i/>
          <w:sz w:val="24"/>
          <w:szCs w:val="24"/>
        </w:rPr>
        <w:t>La intervención directa es la clase de medida radical que las autoridades adoptan cuando han agotado el resto de las opciones para aumentar una inflación considerada demasiado baja. Japón lo ha intentado</w:t>
      </w:r>
      <w:r>
        <w:rPr>
          <w:rFonts w:ascii="Times New Roman" w:eastAsia="Times New Roman" w:hAnsi="Times New Roman" w:cs="Times New Roman"/>
          <w:i/>
          <w:sz w:val="24"/>
          <w:szCs w:val="24"/>
        </w:rPr>
        <w:t>”..</w:t>
      </w:r>
      <w:r w:rsidRPr="00FC1EDB">
        <w:rPr>
          <w:rFonts w:ascii="Times New Roman" w:eastAsia="Times New Roman" w:hAnsi="Times New Roman" w:cs="Times New Roman"/>
          <w:i/>
          <w:sz w:val="24"/>
          <w:szCs w:val="24"/>
        </w:rPr>
        <w:t>.</w:t>
      </w:r>
      <w:r w:rsidRPr="00AE31F6">
        <w:rPr>
          <w:rFonts w:ascii="Times New Roman" w:eastAsia="Times New Roman" w:hAnsi="Times New Roman" w:cs="Times New Roman"/>
          <w:sz w:val="24"/>
          <w:szCs w:val="24"/>
          <w:u w:val="single"/>
        </w:rPr>
        <w:t>En medio de una inflación demasiado baja, resurgen ideas de políticas radicales</w:t>
      </w:r>
      <w:r>
        <w:rPr>
          <w:rFonts w:ascii="Times New Roman" w:eastAsia="Times New Roman" w:hAnsi="Times New Roman" w:cs="Times New Roman"/>
          <w:sz w:val="24"/>
          <w:szCs w:val="24"/>
        </w:rPr>
        <w:t xml:space="preserve"> (The Wall Street Journal - </w:t>
      </w:r>
      <w:r w:rsidRPr="00AE31F6">
        <w:rPr>
          <w:rFonts w:ascii="Times New Roman" w:eastAsia="Times New Roman" w:hAnsi="Times New Roman" w:cs="Times New Roman"/>
          <w:b/>
          <w:sz w:val="24"/>
          <w:szCs w:val="24"/>
        </w:rPr>
        <w:t>21/3/16</w:t>
      </w:r>
      <w:r>
        <w:rPr>
          <w:rFonts w:ascii="Times New Roman" w:eastAsia="Times New Roman" w:hAnsi="Times New Roman" w:cs="Times New Roman"/>
          <w:sz w:val="24"/>
          <w:szCs w:val="24"/>
        </w:rPr>
        <w:t>)</w:t>
      </w:r>
    </w:p>
    <w:p w:rsidR="00FC1EDB" w:rsidRPr="00FC1EDB" w:rsidRDefault="00FC1EDB" w:rsidP="00FC1EDB">
      <w:pPr>
        <w:spacing w:before="150" w:after="150"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FC1EDB">
        <w:rPr>
          <w:rFonts w:ascii="Times New Roman" w:hAnsi="Times New Roman" w:cs="Times New Roman"/>
          <w:i/>
          <w:sz w:val="24"/>
          <w:szCs w:val="24"/>
        </w:rPr>
        <w:t>“La interconexión de todas las personas y todas las cosas en una red mundial impulsada por una productividad extrema nos acerca a una era de bienes y servicios casi gratuitos”, escribe, “y, con ello, a la contracción del capitalismo” y al auge de un paradigma basado en el trueque y queJeremy Rifkin ha bautizado como “procomún colaborativo”.</w:t>
      </w:r>
    </w:p>
    <w:p w:rsidR="00FC1EDB" w:rsidRPr="00FC1EDB" w:rsidRDefault="00FC1EDB" w:rsidP="00FC1EDB">
      <w:pPr>
        <w:spacing w:before="150" w:after="150" w:line="240" w:lineRule="auto"/>
        <w:jc w:val="both"/>
        <w:rPr>
          <w:rFonts w:ascii="Times New Roman" w:hAnsi="Times New Roman" w:cs="Times New Roman"/>
          <w:i/>
          <w:sz w:val="24"/>
          <w:szCs w:val="24"/>
        </w:rPr>
      </w:pPr>
      <w:r w:rsidRPr="00FC1EDB">
        <w:rPr>
          <w:rFonts w:ascii="Times New Roman" w:hAnsi="Times New Roman" w:cs="Times New Roman"/>
          <w:i/>
          <w:sz w:val="24"/>
          <w:szCs w:val="24"/>
        </w:rPr>
        <w:t>Las generaciones más jóvenes “se identifican con lo que se empieza a llamar colaboratismo”. Se mueven por “una clase nueva de aliciente que se basa más en el deseo de fomentar el bienestar social de la humanidad que en la expectativa de una recompensa económica. Y su éxito es innegable”.</w:t>
      </w:r>
    </w:p>
    <w:p w:rsidR="00FC1EDB" w:rsidRPr="00EF75C5" w:rsidRDefault="00FC1EDB" w:rsidP="00FC1EDB">
      <w:pPr>
        <w:spacing w:before="150" w:after="150" w:line="240" w:lineRule="auto"/>
        <w:jc w:val="both"/>
        <w:rPr>
          <w:rFonts w:ascii="Times New Roman" w:hAnsi="Times New Roman" w:cs="Times New Roman"/>
          <w:sz w:val="24"/>
          <w:szCs w:val="24"/>
        </w:rPr>
      </w:pPr>
      <w:r w:rsidRPr="00FC1EDB">
        <w:rPr>
          <w:rFonts w:ascii="Times New Roman" w:hAnsi="Times New Roman" w:cs="Times New Roman"/>
          <w:i/>
          <w:sz w:val="24"/>
          <w:szCs w:val="24"/>
        </w:rPr>
        <w:t>Las señales están por todas partes. “El beneficio de las empresas se seca, los derechos de propiedad se debilitan” y hasta “el coste marginal del trabajo (...) se desplomará” a medida que las máquinas reemplacen a los humanos en todas y cada una de sus tareas</w:t>
      </w:r>
      <w:r>
        <w:rPr>
          <w:rFonts w:ascii="Times New Roman" w:hAnsi="Times New Roman" w:cs="Times New Roman"/>
          <w:i/>
          <w:sz w:val="24"/>
          <w:szCs w:val="24"/>
        </w:rPr>
        <w:t>”..</w:t>
      </w:r>
      <w:r w:rsidRPr="00FC1EDB">
        <w:rPr>
          <w:rFonts w:ascii="Times New Roman" w:hAnsi="Times New Roman" w:cs="Times New Roman"/>
          <w:i/>
          <w:sz w:val="24"/>
          <w:szCs w:val="24"/>
        </w:rPr>
        <w:t>.</w:t>
      </w:r>
      <w:r w:rsidRPr="00EF75C5">
        <w:rPr>
          <w:rFonts w:ascii="Times New Roman" w:hAnsi="Times New Roman" w:cs="Times New Roman"/>
          <w:sz w:val="24"/>
          <w:szCs w:val="24"/>
        </w:rPr>
        <w:t>¿</w:t>
      </w:r>
      <w:r w:rsidRPr="00EF75C5">
        <w:rPr>
          <w:rFonts w:ascii="Times New Roman" w:hAnsi="Times New Roman" w:cs="Times New Roman"/>
          <w:sz w:val="24"/>
          <w:szCs w:val="24"/>
          <w:u w:val="single"/>
        </w:rPr>
        <w:t>Vamos a una economía donde todo será gratis</w:t>
      </w:r>
      <w:r w:rsidRPr="00EF75C5">
        <w:rPr>
          <w:rFonts w:ascii="Times New Roman" w:hAnsi="Times New Roman" w:cs="Times New Roman"/>
          <w:sz w:val="24"/>
          <w:szCs w:val="24"/>
        </w:rPr>
        <w:t xml:space="preserve">? (Expansión - </w:t>
      </w:r>
      <w:r w:rsidRPr="00EF75C5">
        <w:rPr>
          <w:rFonts w:ascii="Times New Roman" w:hAnsi="Times New Roman" w:cs="Times New Roman"/>
          <w:b/>
          <w:sz w:val="24"/>
          <w:szCs w:val="24"/>
        </w:rPr>
        <w:t>30/3/16</w:t>
      </w:r>
      <w:r w:rsidRPr="00EF75C5">
        <w:rPr>
          <w:rFonts w:ascii="Times New Roman" w:hAnsi="Times New Roman" w:cs="Times New Roman"/>
          <w:sz w:val="24"/>
          <w:szCs w:val="24"/>
        </w:rPr>
        <w:t>)</w:t>
      </w:r>
    </w:p>
    <w:p w:rsidR="00FC1EDB" w:rsidRPr="00FC1EDB" w:rsidRDefault="00FC1EDB" w:rsidP="00FC1EDB">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FC1EDB">
        <w:rPr>
          <w:rFonts w:ascii="Times New Roman" w:hAnsi="Times New Roman" w:cs="Times New Roman"/>
          <w:i/>
          <w:sz w:val="24"/>
          <w:szCs w:val="24"/>
        </w:rPr>
        <w:t>En sus campañas, los candidatos presidenciales de los partidos Demócrata y Republicano presentan una situación de Estados Unidos como víctima de las importaciones baratas, una globalización que roba empleos o las oleadas de inmigrantes indocumentados.</w:t>
      </w:r>
    </w:p>
    <w:p w:rsidR="00FC1EDB" w:rsidRPr="00FC1EDB" w:rsidRDefault="00FC1EDB" w:rsidP="00FC1EDB">
      <w:pPr>
        <w:spacing w:line="240" w:lineRule="auto"/>
        <w:jc w:val="both"/>
        <w:rPr>
          <w:rFonts w:ascii="Times New Roman" w:hAnsi="Times New Roman" w:cs="Times New Roman"/>
          <w:i/>
          <w:sz w:val="24"/>
          <w:szCs w:val="24"/>
        </w:rPr>
      </w:pPr>
      <w:r w:rsidRPr="00FC1EDB">
        <w:rPr>
          <w:rFonts w:ascii="Times New Roman" w:hAnsi="Times New Roman" w:cs="Times New Roman"/>
          <w:i/>
          <w:sz w:val="24"/>
          <w:szCs w:val="24"/>
        </w:rPr>
        <w:lastRenderedPageBreak/>
        <w:t>La realidad desde la recesión global de 2008 es mucho más complicada. Las fuerzas que alguna vez apuntaron a la internacionalización inexorable de la economía mundial se han desacelerado o incluso revertido.</w:t>
      </w:r>
    </w:p>
    <w:p w:rsidR="00FC1EDB" w:rsidRPr="00FC1EDB" w:rsidRDefault="00FC1EDB" w:rsidP="00FC1EDB">
      <w:pPr>
        <w:spacing w:line="240" w:lineRule="auto"/>
        <w:jc w:val="both"/>
        <w:rPr>
          <w:rFonts w:ascii="Times New Roman" w:hAnsi="Times New Roman" w:cs="Times New Roman"/>
          <w:i/>
          <w:sz w:val="24"/>
          <w:szCs w:val="24"/>
        </w:rPr>
      </w:pPr>
      <w:r w:rsidRPr="00FC1EDB">
        <w:rPr>
          <w:rFonts w:ascii="Times New Roman" w:hAnsi="Times New Roman" w:cs="Times New Roman"/>
          <w:i/>
          <w:sz w:val="24"/>
          <w:szCs w:val="24"/>
        </w:rPr>
        <w:t>El enfriamiento apunta a desafíos económicos muy distintos a los que suenan las alarmas políticas. Gran parte del mundo trata de superar un aletargamiento que nubla las perspectivas de la economía estadounidense, impulsado por el envejecimiento de la población, un derrumbe de la productividad laboral y la falta de las herramientas o la voluntad de las autoridades para inyectar nuevos bríos a la economía global.</w:t>
      </w:r>
    </w:p>
    <w:p w:rsidR="00FC1EDB" w:rsidRPr="00FC1EDB" w:rsidRDefault="00FC1EDB" w:rsidP="00FC1EDB">
      <w:pPr>
        <w:spacing w:line="240" w:lineRule="auto"/>
        <w:jc w:val="both"/>
        <w:rPr>
          <w:rFonts w:ascii="Times New Roman" w:hAnsi="Times New Roman" w:cs="Times New Roman"/>
          <w:sz w:val="24"/>
          <w:szCs w:val="24"/>
        </w:rPr>
      </w:pPr>
      <w:r w:rsidRPr="00FC1EDB">
        <w:rPr>
          <w:rFonts w:ascii="Times New Roman" w:hAnsi="Times New Roman" w:cs="Times New Roman"/>
          <w:i/>
          <w:sz w:val="24"/>
          <w:szCs w:val="24"/>
        </w:rPr>
        <w:t>Cualesquiera sean las causas, abundan las señales de que las fuerzas de la globalización se han desacelerado</w:t>
      </w:r>
      <w:r>
        <w:rPr>
          <w:rFonts w:ascii="Times New Roman" w:hAnsi="Times New Roman" w:cs="Times New Roman"/>
          <w:i/>
          <w:sz w:val="24"/>
          <w:szCs w:val="24"/>
        </w:rPr>
        <w:t>”..</w:t>
      </w:r>
      <w:r w:rsidRPr="00FC1EDB">
        <w:rPr>
          <w:rFonts w:ascii="Times New Roman" w:hAnsi="Times New Roman" w:cs="Times New Roman"/>
          <w:i/>
          <w:sz w:val="24"/>
          <w:szCs w:val="24"/>
        </w:rPr>
        <w:t>.</w:t>
      </w:r>
      <w:r w:rsidRPr="000D27C7">
        <w:rPr>
          <w:rFonts w:ascii="Times New Roman" w:hAnsi="Times New Roman" w:cs="Times New Roman"/>
          <w:sz w:val="24"/>
          <w:szCs w:val="24"/>
          <w:u w:val="single"/>
        </w:rPr>
        <w:t>La globalización se en</w:t>
      </w:r>
      <w:r>
        <w:rPr>
          <w:rFonts w:ascii="Times New Roman" w:hAnsi="Times New Roman" w:cs="Times New Roman"/>
          <w:sz w:val="24"/>
          <w:szCs w:val="24"/>
          <w:u w:val="single"/>
        </w:rPr>
        <w:t>fría, pero los candidatos en EEUU</w:t>
      </w:r>
      <w:r w:rsidRPr="000D27C7">
        <w:rPr>
          <w:rFonts w:ascii="Times New Roman" w:hAnsi="Times New Roman" w:cs="Times New Roman"/>
          <w:sz w:val="24"/>
          <w:szCs w:val="24"/>
          <w:u w:val="single"/>
        </w:rPr>
        <w:t xml:space="preserve"> no se enteran</w:t>
      </w:r>
      <w:r>
        <w:rPr>
          <w:rFonts w:ascii="Times New Roman" w:hAnsi="Times New Roman" w:cs="Times New Roman"/>
          <w:sz w:val="24"/>
          <w:szCs w:val="24"/>
        </w:rPr>
        <w:t xml:space="preserve"> (The Wall Street Journal - </w:t>
      </w:r>
      <w:r w:rsidRPr="000D27C7">
        <w:rPr>
          <w:rFonts w:ascii="Times New Roman" w:hAnsi="Times New Roman" w:cs="Times New Roman"/>
          <w:b/>
          <w:sz w:val="24"/>
          <w:szCs w:val="24"/>
        </w:rPr>
        <w:t>3/4/16</w:t>
      </w:r>
      <w:r>
        <w:rPr>
          <w:rFonts w:ascii="Times New Roman" w:hAnsi="Times New Roman" w:cs="Times New Roman"/>
          <w:sz w:val="24"/>
          <w:szCs w:val="24"/>
        </w:rPr>
        <w:t>)</w:t>
      </w:r>
    </w:p>
    <w:p w:rsidR="00FC1EDB" w:rsidRPr="002B5DD8" w:rsidRDefault="00FC1EDB" w:rsidP="00FC1EDB">
      <w:pPr>
        <w:spacing w:line="240" w:lineRule="auto"/>
        <w:jc w:val="both"/>
        <w:rPr>
          <w:rFonts w:ascii="Times New Roman" w:hAnsi="Times New Roman" w:cs="Times New Roman"/>
          <w:sz w:val="24"/>
          <w:szCs w:val="24"/>
          <w:u w:val="single"/>
        </w:rPr>
      </w:pPr>
      <w:r>
        <w:rPr>
          <w:rFonts w:ascii="Arial" w:eastAsia="Times New Roman" w:hAnsi="Arial" w:cs="Arial"/>
          <w:noProof/>
          <w:color w:val="333333"/>
          <w:sz w:val="15"/>
          <w:szCs w:val="15"/>
          <w:lang w:val="en-GB" w:eastAsia="en-GB"/>
        </w:rPr>
        <w:drawing>
          <wp:inline distT="0" distB="0" distL="0" distR="0">
            <wp:extent cx="5276850" cy="3778250"/>
            <wp:effectExtent l="0" t="0" r="0" b="0"/>
            <wp:docPr id="5" name="Imagen 5" descr="https://si.wsj.net/public/resources/images/AO-AA877_wsjamd_NS_2016040320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A877_wsjamd_NS_20160403201031.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6850" cy="3778250"/>
                    </a:xfrm>
                    <a:prstGeom prst="rect">
                      <a:avLst/>
                    </a:prstGeom>
                    <a:noFill/>
                    <a:ln>
                      <a:noFill/>
                    </a:ln>
                  </pic:spPr>
                </pic:pic>
              </a:graphicData>
            </a:graphic>
          </wp:inline>
        </w:drawing>
      </w:r>
    </w:p>
    <w:p w:rsidR="00FC1EDB" w:rsidRPr="00FC1EDB" w:rsidRDefault="00FC1EDB" w:rsidP="00FC1EDB">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FC1EDB">
        <w:rPr>
          <w:rFonts w:ascii="Times New Roman" w:hAnsi="Times New Roman" w:cs="Times New Roman"/>
          <w:i/>
          <w:sz w:val="24"/>
          <w:szCs w:val="24"/>
        </w:rPr>
        <w:t>Las bazucas, cargadas. Los helicópteros de ataque, con el depósito lleno y listos para volar. El arsenal, completo con armas nuevas y espantosas, nunca antes vistas. Tal vez no sorprenda que los bancos centrales recurran a metáforas militares para describir su lucha contra la deflación. En su opinión, están librando una guerra y, como los generales en el campo de batalla, sus tácticas son tanto psicológicas como económicas.</w:t>
      </w:r>
    </w:p>
    <w:p w:rsidR="00FC1EDB" w:rsidRPr="00FC1EDB" w:rsidRDefault="00FC1EDB" w:rsidP="00FC1EDB">
      <w:pPr>
        <w:spacing w:line="240" w:lineRule="auto"/>
        <w:jc w:val="both"/>
        <w:rPr>
          <w:rFonts w:ascii="Times New Roman" w:hAnsi="Times New Roman" w:cs="Times New Roman"/>
          <w:i/>
          <w:sz w:val="24"/>
          <w:szCs w:val="24"/>
        </w:rPr>
      </w:pPr>
      <w:r w:rsidRPr="00FC1EDB">
        <w:rPr>
          <w:rFonts w:ascii="Times New Roman" w:hAnsi="Times New Roman" w:cs="Times New Roman"/>
          <w:i/>
          <w:sz w:val="24"/>
          <w:szCs w:val="24"/>
        </w:rPr>
        <w:t>En las últimas semanas, a raíz de la enésima ronda de medidas políticas extraordinarias de los bancos centrales en Europa y Japón, los altos responsables han dedicado mucho tiempo a decir a los mercados que aún les queda mucha munición en el armario. ¿Qué iban a decir si no?</w:t>
      </w:r>
    </w:p>
    <w:p w:rsidR="00FC1EDB" w:rsidRPr="00F166CF" w:rsidRDefault="00FC1EDB" w:rsidP="00FC1EDB">
      <w:pPr>
        <w:spacing w:line="240" w:lineRule="auto"/>
        <w:jc w:val="both"/>
        <w:rPr>
          <w:rFonts w:ascii="Times New Roman" w:hAnsi="Times New Roman" w:cs="Times New Roman"/>
          <w:sz w:val="24"/>
          <w:szCs w:val="24"/>
        </w:rPr>
      </w:pPr>
      <w:r w:rsidRPr="00FC1EDB">
        <w:rPr>
          <w:rFonts w:ascii="Times New Roman" w:hAnsi="Times New Roman" w:cs="Times New Roman"/>
          <w:i/>
          <w:sz w:val="24"/>
          <w:szCs w:val="24"/>
        </w:rPr>
        <w:t xml:space="preserve">Como un general que nunca admitiría estar quedándose sin armas ni munición, aunque fuese cierto, un banquero central jamás reconocería que se le acaban las herramientas para que la economía vuelva a crecer. La verdad es muy distinta. Así es. Puede que contemplen muchas ideas nuevas, desde lanzar dinero del aire a cambiar de base las </w:t>
      </w:r>
      <w:r w:rsidRPr="00FC1EDB">
        <w:rPr>
          <w:rFonts w:ascii="Times New Roman" w:hAnsi="Times New Roman" w:cs="Times New Roman"/>
          <w:i/>
          <w:sz w:val="24"/>
          <w:szCs w:val="24"/>
        </w:rPr>
        <w:lastRenderedPageBreak/>
        <w:t>monedas, pero ninguna tiene visos de funcionar. Más vale que pronto lo admitan</w:t>
      </w:r>
      <w:r>
        <w:rPr>
          <w:rFonts w:ascii="Times New Roman" w:hAnsi="Times New Roman" w:cs="Times New Roman"/>
          <w:i/>
          <w:sz w:val="24"/>
          <w:szCs w:val="24"/>
        </w:rPr>
        <w:t>”..</w:t>
      </w:r>
      <w:r w:rsidRPr="00FC1EDB">
        <w:rPr>
          <w:rFonts w:ascii="Times New Roman" w:hAnsi="Times New Roman" w:cs="Times New Roman"/>
          <w:i/>
          <w:sz w:val="24"/>
          <w:szCs w:val="24"/>
        </w:rPr>
        <w:t>.</w:t>
      </w:r>
      <w:r w:rsidRPr="00F166CF">
        <w:rPr>
          <w:rFonts w:ascii="Times New Roman" w:hAnsi="Times New Roman" w:cs="Times New Roman"/>
          <w:sz w:val="24"/>
          <w:szCs w:val="24"/>
          <w:u w:val="single"/>
        </w:rPr>
        <w:t>Los bancos centrales no admitirán haberse quedado sin munición</w:t>
      </w:r>
      <w:r>
        <w:rPr>
          <w:rFonts w:ascii="Times New Roman" w:hAnsi="Times New Roman" w:cs="Times New Roman"/>
          <w:sz w:val="24"/>
          <w:szCs w:val="24"/>
        </w:rPr>
        <w:t xml:space="preserve"> (El Economista - </w:t>
      </w:r>
      <w:r w:rsidRPr="00F166CF">
        <w:rPr>
          <w:rFonts w:ascii="Times New Roman" w:hAnsi="Times New Roman" w:cs="Times New Roman"/>
          <w:b/>
          <w:sz w:val="24"/>
          <w:szCs w:val="24"/>
        </w:rPr>
        <w:t>4/4/16</w:t>
      </w:r>
      <w:r>
        <w:rPr>
          <w:rFonts w:ascii="Times New Roman" w:hAnsi="Times New Roman" w:cs="Times New Roman"/>
          <w:sz w:val="24"/>
          <w:szCs w:val="24"/>
        </w:rPr>
        <w:t>)</w:t>
      </w:r>
    </w:p>
    <w:p w:rsidR="00FC1EDB" w:rsidRPr="00C85397" w:rsidRDefault="00C85397" w:rsidP="00FC1EDB">
      <w:pPr>
        <w:spacing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00FC1EDB" w:rsidRPr="00C85397">
        <w:rPr>
          <w:rFonts w:ascii="Times New Roman" w:eastAsia="Times New Roman" w:hAnsi="Times New Roman" w:cs="Times New Roman"/>
          <w:i/>
          <w:sz w:val="24"/>
          <w:szCs w:val="24"/>
        </w:rPr>
        <w:t>Durante las últimas décadas ha existido un consenso casi total entre los economistas sobre los beneficios del libre comercio: si tu vecino puede fabricar algo más barato y mejor que tú, por qué no importarlo y permitir al consumidor ahorrarse unas monedas. Sin embargo, en los últimos años parece que el proteccionismo está volviendo a ganar fuerza, no sólo entre políticos como Donald Trump, Bernie Sanders o Marine Le Pen, también algunos economistas creen que en este preciso momento ciertas dosis de proteccionismo podrían ser útiles para la economía.</w:t>
      </w:r>
    </w:p>
    <w:p w:rsidR="00FC1EDB" w:rsidRPr="00C85397" w:rsidRDefault="00FC1EDB" w:rsidP="00FC1EDB">
      <w:pPr>
        <w:spacing w:line="240" w:lineRule="auto"/>
        <w:jc w:val="both"/>
        <w:rPr>
          <w:rFonts w:ascii="Times New Roman" w:eastAsia="Times New Roman" w:hAnsi="Times New Roman" w:cs="Times New Roman"/>
          <w:i/>
          <w:sz w:val="24"/>
          <w:szCs w:val="24"/>
        </w:rPr>
      </w:pPr>
      <w:r w:rsidRPr="00C85397">
        <w:rPr>
          <w:rFonts w:ascii="Times New Roman" w:eastAsia="Times New Roman" w:hAnsi="Times New Roman" w:cs="Times New Roman"/>
          <w:i/>
          <w:sz w:val="24"/>
          <w:szCs w:val="24"/>
        </w:rPr>
        <w:t>El ex secretario del Tesoro de EEUU, Larry Summers, el Nobel de Economía, Paul Krugman, o el profesor de la Universidad de Pekín, Michael Pettis, se han mostrado favorables a proteger ciertos bienes e industrias para resolver algunos problemas crónicos que encara la economía a día de hoy en Occidente, como el estancamiento de los salarios o unas tasas de paro superiores a las vistas antes de 2008</w:t>
      </w:r>
      <w:r w:rsidR="00C85397" w:rsidRPr="00C85397">
        <w:rPr>
          <w:rFonts w:ascii="Times New Roman" w:eastAsia="Times New Roman" w:hAnsi="Times New Roman" w:cs="Times New Roman"/>
          <w:i/>
          <w:sz w:val="24"/>
          <w:szCs w:val="24"/>
        </w:rPr>
        <w:t>…</w:t>
      </w:r>
    </w:p>
    <w:p w:rsidR="00FC1EDB" w:rsidRPr="00C85397" w:rsidRDefault="00FC1EDB" w:rsidP="00FC1EDB">
      <w:pPr>
        <w:spacing w:line="240" w:lineRule="auto"/>
        <w:jc w:val="both"/>
        <w:rPr>
          <w:rFonts w:ascii="Times New Roman" w:eastAsia="Times New Roman" w:hAnsi="Times New Roman" w:cs="Times New Roman"/>
          <w:i/>
          <w:sz w:val="24"/>
          <w:szCs w:val="24"/>
        </w:rPr>
      </w:pPr>
      <w:r w:rsidRPr="00C85397">
        <w:rPr>
          <w:rFonts w:ascii="Times New Roman" w:eastAsia="Times New Roman" w:hAnsi="Times New Roman" w:cs="Times New Roman"/>
          <w:i/>
          <w:sz w:val="24"/>
          <w:szCs w:val="24"/>
        </w:rPr>
        <w:t>Summers y otros autores del documento en el que se analiza estos nuevos postulados señalan que los déficits comerciales agravan algunos problemas de las economías occidentales. Las políticas monetarias ult</w:t>
      </w:r>
      <w:r w:rsidR="00C85397" w:rsidRPr="00C85397">
        <w:rPr>
          <w:rFonts w:ascii="Times New Roman" w:eastAsia="Times New Roman" w:hAnsi="Times New Roman" w:cs="Times New Roman"/>
          <w:i/>
          <w:sz w:val="24"/>
          <w:szCs w:val="24"/>
        </w:rPr>
        <w:t>ra-expansivas sólo sirven para “empobrecer al vecino”</w:t>
      </w:r>
      <w:r w:rsidRPr="00C85397">
        <w:rPr>
          <w:rFonts w:ascii="Times New Roman" w:eastAsia="Times New Roman" w:hAnsi="Times New Roman" w:cs="Times New Roman"/>
          <w:i/>
          <w:sz w:val="24"/>
          <w:szCs w:val="24"/>
        </w:rPr>
        <w:t xml:space="preserve">, puesto que deprecian la divisa del país que las implementa perjudicando a los socios comerciales de la región económica. Es decir, es un juego de suma cero en el que lo que gana un país lo pierde el otro. </w:t>
      </w:r>
    </w:p>
    <w:p w:rsidR="00C85397" w:rsidRDefault="00FC1EDB" w:rsidP="00C85397">
      <w:pPr>
        <w:spacing w:line="240" w:lineRule="auto"/>
        <w:jc w:val="both"/>
        <w:rPr>
          <w:rFonts w:ascii="Times New Roman" w:eastAsia="Times New Roman" w:hAnsi="Times New Roman" w:cs="Times New Roman"/>
          <w:color w:val="000000"/>
          <w:sz w:val="24"/>
          <w:szCs w:val="24"/>
        </w:rPr>
      </w:pPr>
      <w:r w:rsidRPr="00C85397">
        <w:rPr>
          <w:rFonts w:ascii="Times New Roman" w:eastAsia="Times New Roman" w:hAnsi="Times New Roman" w:cs="Times New Roman"/>
          <w:i/>
          <w:sz w:val="24"/>
          <w:szCs w:val="24"/>
        </w:rPr>
        <w:t>El déficit comercial puede agravar la situación de los mercados laborales que sufren esta carencia. Mientras que los bancos centrales no logran impulsar la demanda interna lo suficiente como para que estos desempleados recuperen sus puestos de trabajo, por lo que unos aranceles que hagan menos atra</w:t>
      </w:r>
      <w:r w:rsidR="00C85397" w:rsidRPr="00C85397">
        <w:rPr>
          <w:rFonts w:ascii="Times New Roman" w:eastAsia="Times New Roman" w:hAnsi="Times New Roman" w:cs="Times New Roman"/>
          <w:i/>
          <w:sz w:val="24"/>
          <w:szCs w:val="24"/>
        </w:rPr>
        <w:t>ctivas las importaciones puede “obligar”</w:t>
      </w:r>
      <w:r w:rsidRPr="00C85397">
        <w:rPr>
          <w:rFonts w:ascii="Times New Roman" w:eastAsia="Times New Roman" w:hAnsi="Times New Roman" w:cs="Times New Roman"/>
          <w:i/>
          <w:sz w:val="24"/>
          <w:szCs w:val="24"/>
        </w:rPr>
        <w:t xml:space="preserve"> a los consumidores a comprar bienes y servicios nacionales impulsando la demanda interna y creando puestos de trabajo dentro del país</w:t>
      </w:r>
      <w:r w:rsidR="00C85397">
        <w:rPr>
          <w:rFonts w:ascii="Times New Roman" w:eastAsia="Times New Roman" w:hAnsi="Times New Roman" w:cs="Times New Roman"/>
          <w:i/>
          <w:sz w:val="24"/>
          <w:szCs w:val="24"/>
        </w:rPr>
        <w:t>”..</w:t>
      </w:r>
      <w:r w:rsidRPr="00C85397">
        <w:rPr>
          <w:rFonts w:ascii="Times New Roman" w:eastAsia="Times New Roman" w:hAnsi="Times New Roman" w:cs="Times New Roman"/>
          <w:i/>
          <w:sz w:val="24"/>
          <w:szCs w:val="24"/>
        </w:rPr>
        <w:t>.</w:t>
      </w:r>
      <w:r w:rsidR="00C85397" w:rsidRPr="00B21133">
        <w:rPr>
          <w:rFonts w:ascii="Times New Roman" w:eastAsia="Times New Roman" w:hAnsi="Times New Roman" w:cs="Times New Roman"/>
          <w:color w:val="000000"/>
          <w:sz w:val="24"/>
          <w:szCs w:val="24"/>
        </w:rPr>
        <w:t>¿</w:t>
      </w:r>
      <w:r w:rsidR="00C85397" w:rsidRPr="00B21133">
        <w:rPr>
          <w:rFonts w:ascii="Times New Roman" w:eastAsia="Times New Roman" w:hAnsi="Times New Roman" w:cs="Times New Roman"/>
          <w:color w:val="000000"/>
          <w:sz w:val="24"/>
          <w:szCs w:val="24"/>
          <w:u w:val="single"/>
        </w:rPr>
        <w:t>Un cambio de doctrina históric</w:t>
      </w:r>
      <w:r w:rsidR="00C85397">
        <w:rPr>
          <w:rFonts w:ascii="Times New Roman" w:eastAsia="Times New Roman" w:hAnsi="Times New Roman" w:cs="Times New Roman"/>
          <w:color w:val="000000"/>
          <w:sz w:val="24"/>
          <w:szCs w:val="24"/>
          <w:u w:val="single"/>
        </w:rPr>
        <w:t>o? El proteccionismo empieza a “comerse”</w:t>
      </w:r>
      <w:r w:rsidR="00C85397" w:rsidRPr="00B21133">
        <w:rPr>
          <w:rFonts w:ascii="Times New Roman" w:eastAsia="Times New Roman" w:hAnsi="Times New Roman" w:cs="Times New Roman"/>
          <w:color w:val="000000"/>
          <w:sz w:val="24"/>
          <w:szCs w:val="24"/>
          <w:u w:val="single"/>
        </w:rPr>
        <w:t xml:space="preserve"> al libre comercio </w:t>
      </w:r>
      <w:r w:rsidR="00C85397">
        <w:rPr>
          <w:rFonts w:ascii="Times New Roman" w:eastAsia="Times New Roman" w:hAnsi="Times New Roman" w:cs="Times New Roman"/>
          <w:color w:val="000000"/>
          <w:sz w:val="24"/>
          <w:szCs w:val="24"/>
        </w:rPr>
        <w:t xml:space="preserve">(El Economista - </w:t>
      </w:r>
      <w:r w:rsidR="00C85397" w:rsidRPr="00B21133">
        <w:rPr>
          <w:rFonts w:ascii="Times New Roman" w:eastAsia="Times New Roman" w:hAnsi="Times New Roman" w:cs="Times New Roman"/>
          <w:b/>
          <w:color w:val="000000"/>
          <w:sz w:val="24"/>
          <w:szCs w:val="24"/>
        </w:rPr>
        <w:t>12/4/16</w:t>
      </w:r>
      <w:r w:rsidR="00C85397">
        <w:rPr>
          <w:rFonts w:ascii="Times New Roman" w:eastAsia="Times New Roman" w:hAnsi="Times New Roman" w:cs="Times New Roman"/>
          <w:color w:val="000000"/>
          <w:sz w:val="24"/>
          <w:szCs w:val="24"/>
        </w:rPr>
        <w:t>)</w:t>
      </w:r>
    </w:p>
    <w:p w:rsidR="00C85397" w:rsidRDefault="00C85397" w:rsidP="00C85397">
      <w:pPr>
        <w:pStyle w:val="NormalWeb"/>
        <w:spacing w:before="0" w:beforeAutospacing="0" w:after="300" w:afterAutospacing="0"/>
        <w:jc w:val="both"/>
        <w:textAlignment w:val="baseline"/>
        <w:rPr>
          <w:i/>
        </w:rPr>
      </w:pPr>
      <w:r w:rsidRPr="00C85397">
        <w:rPr>
          <w:i/>
        </w:rPr>
        <w:t>“Demasiado lento durante demasiado tiempo”. Es el significativo título que ha escogido el Fondo Monetario Internacional (FMI) para su último informe sobre las perspectivas de crecimiento mundiales, que se ha publicado este martes. El organismo dirigido por Christine Lagarde empeora sus pronósticos para la mayoría de economías del mundo, avisa del creciente riesgo de “estancamiento secular” en un entorno deflacionista y reclama una “respuesta inmediata” de los gobiernos</w:t>
      </w:r>
      <w:r>
        <w:rPr>
          <w:i/>
        </w:rPr>
        <w:t>…</w:t>
      </w:r>
    </w:p>
    <w:p w:rsidR="00C85397" w:rsidRPr="00C85397" w:rsidRDefault="00C85397" w:rsidP="00C85397">
      <w:pPr>
        <w:pStyle w:val="NormalWeb"/>
        <w:spacing w:before="0" w:beforeAutospacing="0" w:after="300" w:afterAutospacing="0"/>
        <w:jc w:val="both"/>
        <w:textAlignment w:val="baseline"/>
        <w:rPr>
          <w:i/>
        </w:rPr>
      </w:pPr>
      <w:r w:rsidRPr="00C85397">
        <w:rPr>
          <w:i/>
        </w:rPr>
        <w:t>“La recuperación mundial continúa, pero a un ritmo cada vez más lento y frágil”, escribe el economista jefe del Fondo, Maurice Obstfeld.</w:t>
      </w:r>
    </w:p>
    <w:p w:rsidR="00C85397" w:rsidRDefault="00C85397" w:rsidP="00C85397">
      <w:pPr>
        <w:spacing w:line="240" w:lineRule="auto"/>
        <w:jc w:val="both"/>
        <w:rPr>
          <w:rFonts w:ascii="Times New Roman" w:hAnsi="Times New Roman" w:cs="Times New Roman"/>
          <w:sz w:val="24"/>
          <w:szCs w:val="24"/>
        </w:rPr>
      </w:pPr>
      <w:r w:rsidRPr="00C85397">
        <w:rPr>
          <w:rFonts w:ascii="Times New Roman" w:hAnsi="Times New Roman" w:cs="Times New Roman"/>
          <w:i/>
          <w:sz w:val="24"/>
          <w:szCs w:val="24"/>
        </w:rPr>
        <w:t>La tendencia ha empeorado en los últimos meses debido a “un nuevo episodio de volatilidad en los mercados mundiales, una pérdida del impulso de crecimiento en las economías avanzadas y continuos vientos en contra para las emergentes y los países con bajos ingresos”. El crecimiento mundial se mantendrá en niveles modestos en 2016 (en el 3,2%) y subirá al 3,5% en 2017”...</w:t>
      </w:r>
      <w:r w:rsidRPr="00655AA7">
        <w:rPr>
          <w:rFonts w:ascii="Times New Roman" w:hAnsi="Times New Roman" w:cs="Times New Roman"/>
          <w:sz w:val="24"/>
          <w:szCs w:val="24"/>
          <w:u w:val="single"/>
        </w:rPr>
        <w:t>El FMI rebaja su previsión de crecimiento para España y ve una ralentización económica</w:t>
      </w:r>
      <w:r w:rsidRPr="00655AA7">
        <w:rPr>
          <w:rFonts w:ascii="Times New Roman" w:hAnsi="Times New Roman" w:cs="Times New Roman"/>
          <w:sz w:val="24"/>
          <w:szCs w:val="24"/>
        </w:rPr>
        <w:t xml:space="preserve"> (El Español - </w:t>
      </w:r>
      <w:r w:rsidRPr="00655AA7">
        <w:rPr>
          <w:rFonts w:ascii="Times New Roman" w:hAnsi="Times New Roman" w:cs="Times New Roman"/>
          <w:b/>
          <w:sz w:val="24"/>
          <w:szCs w:val="24"/>
        </w:rPr>
        <w:t>13/4/16</w:t>
      </w:r>
      <w:r w:rsidRPr="00655AA7">
        <w:rPr>
          <w:rFonts w:ascii="Times New Roman" w:hAnsi="Times New Roman" w:cs="Times New Roman"/>
          <w:sz w:val="24"/>
          <w:szCs w:val="24"/>
        </w:rPr>
        <w:t>)</w:t>
      </w:r>
    </w:p>
    <w:p w:rsidR="00C85397" w:rsidRDefault="00C85397" w:rsidP="00C85397">
      <w:pPr>
        <w:spacing w:line="240" w:lineRule="auto"/>
        <w:jc w:val="both"/>
        <w:rPr>
          <w:rFonts w:ascii="Times New Roman" w:hAnsi="Times New Roman" w:cs="Times New Roman"/>
          <w:sz w:val="24"/>
          <w:szCs w:val="24"/>
        </w:rPr>
      </w:pPr>
      <w:r w:rsidRPr="00655AA7">
        <w:rPr>
          <w:rFonts w:ascii="Times New Roman" w:hAnsi="Times New Roman" w:cs="Times New Roman"/>
          <w:noProof/>
          <w:sz w:val="24"/>
          <w:szCs w:val="24"/>
          <w:bdr w:val="none" w:sz="0" w:space="0" w:color="auto" w:frame="1"/>
          <w:lang w:val="en-GB" w:eastAsia="en-GB"/>
        </w:rPr>
        <w:lastRenderedPageBreak/>
        <w:drawing>
          <wp:inline distT="0" distB="0" distL="0" distR="0">
            <wp:extent cx="5400040" cy="4678404"/>
            <wp:effectExtent l="0" t="0" r="0" b="8255"/>
            <wp:docPr id="111" name="Imagen 111" descr="Gráfico de Patricia Lóp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áfico de Patricia López"/>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678404"/>
                    </a:xfrm>
                    <a:prstGeom prst="rect">
                      <a:avLst/>
                    </a:prstGeom>
                    <a:noFill/>
                    <a:ln>
                      <a:noFill/>
                    </a:ln>
                  </pic:spPr>
                </pic:pic>
              </a:graphicData>
            </a:graphic>
          </wp:inline>
        </w:drawing>
      </w:r>
    </w:p>
    <w:p w:rsidR="00C85397" w:rsidRDefault="00C85397" w:rsidP="00C85397">
      <w:pPr>
        <w:pStyle w:val="NormalWeb"/>
        <w:shd w:val="clear" w:color="auto" w:fill="FFFFFF"/>
        <w:spacing w:before="0" w:beforeAutospacing="0" w:after="300" w:afterAutospacing="0"/>
        <w:jc w:val="both"/>
        <w:textAlignment w:val="baseline"/>
        <w:rPr>
          <w:i/>
        </w:rPr>
      </w:pPr>
    </w:p>
    <w:p w:rsidR="00C85397" w:rsidRPr="00C85397" w:rsidRDefault="00C85397" w:rsidP="00C85397">
      <w:pPr>
        <w:pStyle w:val="NormalWeb"/>
        <w:shd w:val="clear" w:color="auto" w:fill="FFFFFF"/>
        <w:spacing w:before="0" w:beforeAutospacing="0" w:after="300" w:afterAutospacing="0"/>
        <w:jc w:val="both"/>
        <w:textAlignment w:val="baseline"/>
        <w:rPr>
          <w:i/>
        </w:rPr>
      </w:pPr>
      <w:r>
        <w:rPr>
          <w:i/>
        </w:rPr>
        <w:t>“</w:t>
      </w:r>
      <w:r w:rsidRPr="00C85397">
        <w:rPr>
          <w:i/>
        </w:rPr>
        <w:t>Mientras el programa de estímulos cuantitativos duró en Estados Unidos se inyectaron casi cuatro billones y la economía creció menos de dos billones. Así, los expertos alertan de la poca efectividad que tiene el programa sin reformas estructurales.</w:t>
      </w:r>
    </w:p>
    <w:p w:rsidR="00C85397" w:rsidRPr="00C85397" w:rsidRDefault="00C85397" w:rsidP="00C85397">
      <w:pPr>
        <w:pStyle w:val="NormalWeb"/>
        <w:shd w:val="clear" w:color="auto" w:fill="FFFFFF"/>
        <w:spacing w:before="0" w:beforeAutospacing="0" w:after="300" w:afterAutospacing="0"/>
        <w:jc w:val="both"/>
        <w:textAlignment w:val="baseline"/>
        <w:rPr>
          <w:i/>
        </w:rPr>
      </w:pPr>
      <w:r w:rsidRPr="00C85397">
        <w:rPr>
          <w:i/>
        </w:rPr>
        <w:t>El QE del Banco Central Europeo -BCE- no está dando los frutos esperados. Durante los 52 meses que ha estado Mario Draghi como presidente de la entidad, sólo ha conseguido mantener la inflación por encima del 2% durante 14 meses, cerca de un cuarto de su mandato…</w:t>
      </w:r>
    </w:p>
    <w:p w:rsidR="00C85397" w:rsidRPr="00F740BF" w:rsidRDefault="00C85397" w:rsidP="00C85397">
      <w:pPr>
        <w:pStyle w:val="NormalWeb"/>
        <w:spacing w:after="360"/>
        <w:jc w:val="both"/>
        <w:textAlignment w:val="baseline"/>
        <w:rPr>
          <w:color w:val="000000"/>
          <w:bdr w:val="none" w:sz="0" w:space="0" w:color="auto" w:frame="1"/>
          <w:shd w:val="clear" w:color="auto" w:fill="FFFFFF"/>
        </w:rPr>
      </w:pPr>
      <w:r w:rsidRPr="00C85397">
        <w:rPr>
          <w:i/>
        </w:rPr>
        <w:t>Desde que empezó el programa ya se han inyectado más de 600.000 millones de euros en la economía, comprando deuda soberana por valor de 60.000 millones cada mes -en abril se han lanzado 80.000 millones, ya que en marzo la autoridad monetaria anunció que aumentaba el montante del programa de compras-. En el mismo periodo, el PIB de la eurozona ha crecido en 293.000 millones de euros, menos de la mitad del dinero que se ha metido en la región con el programa</w:t>
      </w:r>
      <w:r>
        <w:rPr>
          <w:i/>
        </w:rPr>
        <w:t>”..</w:t>
      </w:r>
      <w:r w:rsidRPr="00C85397">
        <w:rPr>
          <w:i/>
        </w:rPr>
        <w:t>.</w:t>
      </w:r>
      <w:r w:rsidRPr="00F740BF">
        <w:rPr>
          <w:color w:val="000000"/>
          <w:u w:val="single"/>
          <w:bdr w:val="none" w:sz="0" w:space="0" w:color="auto" w:frame="1"/>
          <w:shd w:val="clear" w:color="auto" w:fill="FFFFFF"/>
        </w:rPr>
        <w:t>Los PIB de EEUU y Eur</w:t>
      </w:r>
      <w:r>
        <w:rPr>
          <w:color w:val="000000"/>
          <w:u w:val="single"/>
          <w:bdr w:val="none" w:sz="0" w:space="0" w:color="auto" w:frame="1"/>
          <w:shd w:val="clear" w:color="auto" w:fill="FFFFFF"/>
        </w:rPr>
        <w:t>opa aprovechan solo un 50% del “bazooka” del “QE”</w:t>
      </w:r>
      <w:r>
        <w:rPr>
          <w:color w:val="000000"/>
          <w:bdr w:val="none" w:sz="0" w:space="0" w:color="auto" w:frame="1"/>
          <w:shd w:val="clear" w:color="auto" w:fill="FFFFFF"/>
        </w:rPr>
        <w:t xml:space="preserve"> (El Economista - </w:t>
      </w:r>
      <w:r w:rsidRPr="00F740BF">
        <w:rPr>
          <w:b/>
          <w:color w:val="000000"/>
          <w:bdr w:val="none" w:sz="0" w:space="0" w:color="auto" w:frame="1"/>
          <w:shd w:val="clear" w:color="auto" w:fill="FFFFFF"/>
        </w:rPr>
        <w:t>22/4/16</w:t>
      </w:r>
      <w:r>
        <w:rPr>
          <w:color w:val="000000"/>
          <w:bdr w:val="none" w:sz="0" w:space="0" w:color="auto" w:frame="1"/>
          <w:shd w:val="clear" w:color="auto" w:fill="FFFFFF"/>
        </w:rPr>
        <w:t>)</w:t>
      </w:r>
    </w:p>
    <w:p w:rsidR="00C85397" w:rsidRPr="00C85397" w:rsidRDefault="00C85397" w:rsidP="00C85397">
      <w:pPr>
        <w:pStyle w:val="NormalWeb"/>
        <w:shd w:val="clear" w:color="auto" w:fill="FFFFFF"/>
        <w:spacing w:before="0" w:beforeAutospacing="0" w:after="300" w:afterAutospacing="0"/>
        <w:jc w:val="both"/>
        <w:textAlignment w:val="baseline"/>
        <w:rPr>
          <w:i/>
        </w:rPr>
      </w:pPr>
      <w:r w:rsidRPr="00F740BF">
        <w:rPr>
          <w:noProof/>
          <w:color w:val="000000"/>
          <w:lang w:val="en-GB" w:eastAsia="en-GB"/>
        </w:rPr>
        <w:lastRenderedPageBreak/>
        <w:drawing>
          <wp:inline distT="0" distB="0" distL="0" distR="0">
            <wp:extent cx="5378450" cy="4273550"/>
            <wp:effectExtent l="0" t="0" r="0" b="0"/>
            <wp:docPr id="6" name="Imagen 6" descr="http://s03.s3c.es/imag/_v0/640x560/7/f/0/22-apertura-bols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640x560/7/f/0/22-apertura-bolsa.gif"/>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8450" cy="4273550"/>
                    </a:xfrm>
                    <a:prstGeom prst="rect">
                      <a:avLst/>
                    </a:prstGeom>
                    <a:noFill/>
                    <a:ln>
                      <a:noFill/>
                    </a:ln>
                  </pic:spPr>
                </pic:pic>
              </a:graphicData>
            </a:graphic>
          </wp:inline>
        </w:drawing>
      </w:r>
    </w:p>
    <w:p w:rsidR="00DD64F3" w:rsidRDefault="00DD64F3" w:rsidP="00DD64F3">
      <w:pPr>
        <w:spacing w:line="240" w:lineRule="auto"/>
        <w:jc w:val="both"/>
        <w:rPr>
          <w:rFonts w:ascii="Times New Roman" w:hAnsi="Times New Roman"/>
          <w:sz w:val="24"/>
          <w:szCs w:val="24"/>
        </w:rPr>
      </w:pPr>
      <w:r w:rsidRPr="005F38CB">
        <w:rPr>
          <w:rFonts w:ascii="Times New Roman" w:hAnsi="Times New Roman"/>
          <w:sz w:val="24"/>
          <w:szCs w:val="24"/>
        </w:rPr>
        <w:t xml:space="preserve">- </w:t>
      </w:r>
      <w:r w:rsidRPr="00634E83">
        <w:rPr>
          <w:rFonts w:ascii="Times New Roman" w:hAnsi="Times New Roman"/>
          <w:sz w:val="24"/>
          <w:szCs w:val="24"/>
          <w:u w:val="single"/>
        </w:rPr>
        <w:t>Los beneficios del neoliberalismo se podrían haber exagerado durante décadas, según el FMI</w:t>
      </w:r>
      <w:r w:rsidRPr="005F38CB">
        <w:rPr>
          <w:rFonts w:ascii="Times New Roman" w:hAnsi="Times New Roman"/>
          <w:sz w:val="24"/>
          <w:szCs w:val="24"/>
        </w:rPr>
        <w:t xml:space="preserve">(El Economista </w:t>
      </w:r>
      <w:r>
        <w:rPr>
          <w:rFonts w:ascii="Times New Roman" w:hAnsi="Times New Roman"/>
          <w:sz w:val="24"/>
          <w:szCs w:val="24"/>
        </w:rPr>
        <w:t>-</w:t>
      </w:r>
      <w:r w:rsidRPr="005F38CB">
        <w:rPr>
          <w:rFonts w:ascii="Times New Roman" w:hAnsi="Times New Roman"/>
          <w:b/>
          <w:sz w:val="24"/>
          <w:szCs w:val="24"/>
        </w:rPr>
        <w:t>30/5/16</w:t>
      </w:r>
      <w:r w:rsidRPr="005F38CB">
        <w:rPr>
          <w:rFonts w:ascii="Times New Roman" w:hAnsi="Times New Roman"/>
          <w:sz w:val="24"/>
          <w:szCs w:val="24"/>
        </w:rPr>
        <w:t>)</w:t>
      </w:r>
      <w:r>
        <w:rPr>
          <w:rFonts w:ascii="Times New Roman" w:hAnsi="Times New Roman"/>
          <w:sz w:val="24"/>
          <w:szCs w:val="24"/>
        </w:rPr>
        <w:t xml:space="preserve">                                                     Lectura recomendada</w:t>
      </w:r>
    </w:p>
    <w:p w:rsidR="00DD64F3" w:rsidRPr="00B15748" w:rsidRDefault="00DD64F3" w:rsidP="00DD64F3">
      <w:pPr>
        <w:spacing w:line="240" w:lineRule="auto"/>
        <w:jc w:val="both"/>
        <w:rPr>
          <w:rFonts w:ascii="Times New Roman" w:hAnsi="Times New Roman"/>
          <w:color w:val="FF0000"/>
          <w:sz w:val="24"/>
          <w:szCs w:val="24"/>
        </w:rPr>
      </w:pPr>
      <w:r w:rsidRPr="00B15748">
        <w:rPr>
          <w:rFonts w:ascii="Times New Roman" w:hAnsi="Times New Roman"/>
          <w:sz w:val="24"/>
          <w:szCs w:val="24"/>
          <w:u w:val="single"/>
        </w:rPr>
        <w:t>Las reformas neoliberales han predominado en el mundo desde 1980. El FMI y el Banco Mundial han sido dos de las instituciones que han aconsejado durante años a varios países para realizar ese tipo de reformas. El éxito de la economía chilena parecía avalar el buen funcionamiento de las reformas neoliberales, que, sin embargo, tras ser implementadas en decenas de países en desarrollo no parecen haber sido tan positivas como se esperaba</w:t>
      </w:r>
      <w:r w:rsidRPr="005F38CB">
        <w:rPr>
          <w:rFonts w:ascii="Times New Roman" w:hAnsi="Times New Roman"/>
          <w:sz w:val="24"/>
          <w:szCs w:val="24"/>
        </w:rPr>
        <w:t xml:space="preserve">. </w:t>
      </w:r>
      <w:r w:rsidRPr="00E34158">
        <w:rPr>
          <w:rFonts w:ascii="Times New Roman" w:hAnsi="Times New Roman"/>
          <w:color w:val="FF0000"/>
          <w:sz w:val="24"/>
          <w:szCs w:val="24"/>
        </w:rPr>
        <w:t>(</w:t>
      </w:r>
      <w:r>
        <w:rPr>
          <w:rFonts w:ascii="Times New Roman" w:hAnsi="Times New Roman"/>
          <w:color w:val="FF0000"/>
          <w:sz w:val="24"/>
          <w:szCs w:val="24"/>
        </w:rPr>
        <w:t>Más abajo  se trascribe</w:t>
      </w:r>
      <w:r w:rsidRPr="00B15748">
        <w:rPr>
          <w:rFonts w:ascii="Times New Roman" w:hAnsi="Times New Roman"/>
          <w:color w:val="FF0000"/>
          <w:sz w:val="24"/>
          <w:szCs w:val="24"/>
        </w:rPr>
        <w:t xml:space="preserve"> el art</w:t>
      </w:r>
      <w:r>
        <w:rPr>
          <w:rFonts w:ascii="Times New Roman" w:hAnsi="Times New Roman"/>
          <w:color w:val="FF0000"/>
          <w:sz w:val="24"/>
          <w:szCs w:val="24"/>
        </w:rPr>
        <w:t xml:space="preserve">ículo completo del FMI) </w:t>
      </w:r>
    </w:p>
    <w:p w:rsidR="00DD64F3" w:rsidRPr="00B15748" w:rsidRDefault="00DD64F3" w:rsidP="00DD64F3">
      <w:pPr>
        <w:spacing w:line="240" w:lineRule="auto"/>
        <w:jc w:val="both"/>
        <w:rPr>
          <w:rFonts w:ascii="Times New Roman" w:hAnsi="Times New Roman"/>
          <w:color w:val="FF0000"/>
          <w:sz w:val="24"/>
          <w:szCs w:val="24"/>
          <w:u w:val="single"/>
        </w:rPr>
      </w:pPr>
      <w:r w:rsidRPr="005F38CB">
        <w:rPr>
          <w:rFonts w:ascii="Times New Roman" w:hAnsi="Times New Roman"/>
          <w:sz w:val="24"/>
          <w:szCs w:val="24"/>
        </w:rPr>
        <w:t>Tal y como describen Jonathan D. Ostry, Prakash Loungani y Davide Furceri, economistas del Fondo Monetario Internacional, en la revista oficial del or</w:t>
      </w:r>
      <w:r>
        <w:rPr>
          <w:rFonts w:ascii="Times New Roman" w:hAnsi="Times New Roman"/>
          <w:sz w:val="24"/>
          <w:szCs w:val="24"/>
        </w:rPr>
        <w:t xml:space="preserve">ganismo Finance &amp; Development, </w:t>
      </w:r>
      <w:r w:rsidRPr="00E34158">
        <w:rPr>
          <w:rFonts w:ascii="Times New Roman" w:hAnsi="Times New Roman"/>
          <w:color w:val="FF0000"/>
          <w:sz w:val="24"/>
          <w:szCs w:val="24"/>
        </w:rPr>
        <w:t>“</w:t>
      </w:r>
      <w:r w:rsidRPr="00E34158">
        <w:rPr>
          <w:rFonts w:ascii="Times New Roman" w:hAnsi="Times New Roman"/>
          <w:color w:val="FF0000"/>
          <w:sz w:val="24"/>
          <w:szCs w:val="24"/>
          <w:u w:val="single"/>
        </w:rPr>
        <w:t>e</w:t>
      </w:r>
      <w:r w:rsidRPr="00B15748">
        <w:rPr>
          <w:rFonts w:ascii="Times New Roman" w:hAnsi="Times New Roman"/>
          <w:color w:val="FF0000"/>
          <w:sz w:val="24"/>
          <w:szCs w:val="24"/>
          <w:u w:val="single"/>
        </w:rPr>
        <w:t>sa agenda neoliberal no ofrece buenos r</w:t>
      </w:r>
      <w:r>
        <w:rPr>
          <w:rFonts w:ascii="Times New Roman" w:hAnsi="Times New Roman"/>
          <w:color w:val="FF0000"/>
          <w:sz w:val="24"/>
          <w:szCs w:val="24"/>
          <w:u w:val="single"/>
        </w:rPr>
        <w:t>esultados para todos los países”</w:t>
      </w:r>
      <w:r w:rsidRPr="00B15748">
        <w:rPr>
          <w:rFonts w:ascii="Times New Roman" w:hAnsi="Times New Roman"/>
          <w:color w:val="FF0000"/>
          <w:sz w:val="24"/>
          <w:szCs w:val="24"/>
          <w:u w:val="single"/>
        </w:rPr>
        <w:t xml:space="preserve">. </w:t>
      </w:r>
    </w:p>
    <w:p w:rsidR="00DD64F3" w:rsidRPr="00B15748" w:rsidRDefault="00DD64F3" w:rsidP="00DD64F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B15748">
        <w:rPr>
          <w:rFonts w:ascii="Times New Roman" w:hAnsi="Times New Roman"/>
          <w:b/>
          <w:color w:val="FF0000"/>
          <w:sz w:val="24"/>
          <w:szCs w:val="24"/>
          <w:u w:val="single"/>
        </w:rPr>
        <w:t>La agenda neoliberal</w:t>
      </w:r>
      <w:r w:rsidRPr="00B15748">
        <w:rPr>
          <w:rFonts w:ascii="Times New Roman" w:hAnsi="Times New Roman"/>
          <w:color w:val="FF0000"/>
          <w:sz w:val="24"/>
          <w:szCs w:val="24"/>
          <w:u w:val="single"/>
        </w:rPr>
        <w:t xml:space="preserve"> se caracteriza por la desregulación y la apertura de los mercados domésticos, incluyendo los mercados financieros y la entrada de competencia extranjera. Además de reducir el papel del estado, a través de la privatización y la limitación fiscal de incurr</w:t>
      </w:r>
      <w:r>
        <w:rPr>
          <w:rFonts w:ascii="Times New Roman" w:hAnsi="Times New Roman"/>
          <w:color w:val="FF0000"/>
          <w:sz w:val="24"/>
          <w:szCs w:val="24"/>
          <w:u w:val="single"/>
        </w:rPr>
        <w:t>ir en déficits y acumular deuda”</w:t>
      </w:r>
      <w:r w:rsidRPr="00B15748">
        <w:rPr>
          <w:rFonts w:ascii="Times New Roman" w:hAnsi="Times New Roman"/>
          <w:color w:val="FF0000"/>
          <w:sz w:val="24"/>
          <w:szCs w:val="24"/>
          <w:u w:val="single"/>
        </w:rPr>
        <w:t xml:space="preserve">. También se fomenta la expansión del comercio internacional, la inversión directa para fomentar la transferencia de conocimientos. </w:t>
      </w:r>
    </w:p>
    <w:p w:rsidR="00DD64F3" w:rsidRPr="00B15748" w:rsidRDefault="00DD64F3" w:rsidP="00DD64F3">
      <w:pPr>
        <w:spacing w:line="240" w:lineRule="auto"/>
        <w:jc w:val="both"/>
        <w:rPr>
          <w:rFonts w:ascii="Times New Roman" w:hAnsi="Times New Roman"/>
          <w:color w:val="FF0000"/>
          <w:sz w:val="24"/>
          <w:szCs w:val="24"/>
          <w:u w:val="single"/>
        </w:rPr>
      </w:pPr>
      <w:r w:rsidRPr="00B15748">
        <w:rPr>
          <w:rFonts w:ascii="Times New Roman" w:hAnsi="Times New Roman"/>
          <w:color w:val="FF0000"/>
          <w:sz w:val="24"/>
          <w:szCs w:val="24"/>
          <w:u w:val="single"/>
        </w:rPr>
        <w:t>Sin embargo, a pesar de que la teoría señala que estos cambios son positivos</w:t>
      </w:r>
      <w:r>
        <w:rPr>
          <w:rFonts w:ascii="Times New Roman" w:hAnsi="Times New Roman"/>
          <w:color w:val="FF0000"/>
          <w:sz w:val="24"/>
          <w:szCs w:val="24"/>
          <w:u w:val="single"/>
        </w:rPr>
        <w:t xml:space="preserve"> para el desarrollo económico, “</w:t>
      </w:r>
      <w:r w:rsidRPr="00B15748">
        <w:rPr>
          <w:rFonts w:ascii="Times New Roman" w:hAnsi="Times New Roman"/>
          <w:color w:val="FF0000"/>
          <w:sz w:val="24"/>
          <w:szCs w:val="24"/>
          <w:u w:val="single"/>
        </w:rPr>
        <w:t xml:space="preserve">hay aspectos de la agenda neoliberal que no </w:t>
      </w:r>
      <w:r>
        <w:rPr>
          <w:rFonts w:ascii="Times New Roman" w:hAnsi="Times New Roman"/>
          <w:color w:val="FF0000"/>
          <w:sz w:val="24"/>
          <w:szCs w:val="24"/>
          <w:u w:val="single"/>
        </w:rPr>
        <w:t>han funcionado como se esperaba”</w:t>
      </w:r>
      <w:r w:rsidRPr="00B15748">
        <w:rPr>
          <w:rFonts w:ascii="Times New Roman" w:hAnsi="Times New Roman"/>
          <w:color w:val="FF0000"/>
          <w:sz w:val="24"/>
          <w:szCs w:val="24"/>
          <w:u w:val="single"/>
        </w:rPr>
        <w:t xml:space="preserve">. Según estos economistas, no todos los países han logrado un </w:t>
      </w:r>
      <w:r w:rsidRPr="00B15748">
        <w:rPr>
          <w:rFonts w:ascii="Times New Roman" w:hAnsi="Times New Roman"/>
          <w:color w:val="FF0000"/>
          <w:sz w:val="24"/>
          <w:szCs w:val="24"/>
          <w:u w:val="single"/>
        </w:rPr>
        <w:lastRenderedPageBreak/>
        <w:t xml:space="preserve">crecimiento económico sostenido, mientras que sí se han producido incrementos de la desigualdad importantes, lo que a su vez ha erosionado el desarrollo de esos países. </w:t>
      </w:r>
    </w:p>
    <w:p w:rsidR="00DD64F3" w:rsidRPr="005F38CB" w:rsidRDefault="00DD64F3" w:rsidP="00DD64F3">
      <w:pPr>
        <w:spacing w:line="240" w:lineRule="auto"/>
        <w:jc w:val="both"/>
        <w:rPr>
          <w:rFonts w:ascii="Times New Roman" w:hAnsi="Times New Roman"/>
          <w:sz w:val="24"/>
          <w:szCs w:val="24"/>
        </w:rPr>
      </w:pPr>
      <w:r w:rsidRPr="005F38CB">
        <w:rPr>
          <w:rFonts w:ascii="Times New Roman" w:hAnsi="Times New Roman"/>
          <w:sz w:val="24"/>
          <w:szCs w:val="24"/>
        </w:rPr>
        <w:t>La teoría</w:t>
      </w:r>
    </w:p>
    <w:p w:rsidR="00DD64F3" w:rsidRPr="00B15748" w:rsidRDefault="00DD64F3" w:rsidP="00DD64F3">
      <w:pPr>
        <w:spacing w:line="240" w:lineRule="auto"/>
        <w:jc w:val="both"/>
        <w:rPr>
          <w:rFonts w:ascii="Times New Roman" w:hAnsi="Times New Roman"/>
          <w:sz w:val="24"/>
          <w:szCs w:val="24"/>
          <w:u w:val="single"/>
        </w:rPr>
      </w:pPr>
      <w:r w:rsidRPr="00B15748">
        <w:rPr>
          <w:rFonts w:ascii="Times New Roman" w:hAnsi="Times New Roman"/>
          <w:sz w:val="24"/>
          <w:szCs w:val="24"/>
          <w:u w:val="single"/>
        </w:rPr>
        <w:t>Aunque la liberalización de la cuenta de capital se suele ver como algo positivo para la adaptación de los países a la globalización, no siempre tiene los efectos deseados. Teóricamente, la liberalización de las cuentas de capital debería permitir una asignación más eficiente del capital a escala mundial, de los países industriales ricos en capital a los países en desarrollo con poco capital. Los beneficios deberían ser generales: una tasa de rentabilidad más alta del ahorro privado en los países desarrollados y una mejora del crecimiento, el empleo y los niveles de vida en los países en desarrollo.</w:t>
      </w:r>
    </w:p>
    <w:p w:rsidR="00DD64F3" w:rsidRPr="00B15748" w:rsidRDefault="00DD64F3" w:rsidP="00DD64F3">
      <w:pPr>
        <w:spacing w:line="240" w:lineRule="auto"/>
        <w:jc w:val="both"/>
        <w:rPr>
          <w:rFonts w:ascii="Times New Roman" w:hAnsi="Times New Roman"/>
          <w:color w:val="FF0000"/>
          <w:sz w:val="24"/>
          <w:szCs w:val="24"/>
          <w:u w:val="single"/>
        </w:rPr>
      </w:pPr>
      <w:r w:rsidRPr="00B15748">
        <w:rPr>
          <w:rFonts w:ascii="Times New Roman" w:hAnsi="Times New Roman"/>
          <w:sz w:val="24"/>
          <w:szCs w:val="24"/>
          <w:u w:val="single"/>
        </w:rPr>
        <w:t>Es cierto que este paso permite la entrada de flujos de inversión directa que sirven para transferir conocimientos tecnológicos, capital humano y estimular el crecimiento a largo plazo</w:t>
      </w:r>
      <w:r w:rsidRPr="005F38CB">
        <w:rPr>
          <w:rFonts w:ascii="Times New Roman" w:hAnsi="Times New Roman"/>
          <w:sz w:val="24"/>
          <w:szCs w:val="24"/>
        </w:rPr>
        <w:t xml:space="preserve">. </w:t>
      </w:r>
      <w:r w:rsidRPr="00B15748">
        <w:rPr>
          <w:rFonts w:ascii="Times New Roman" w:hAnsi="Times New Roman"/>
          <w:color w:val="FF0000"/>
          <w:sz w:val="24"/>
          <w:szCs w:val="24"/>
          <w:u w:val="single"/>
        </w:rPr>
        <w:t>Pero la apertura</w:t>
      </w:r>
      <w:r>
        <w:rPr>
          <w:rFonts w:ascii="Times New Roman" w:hAnsi="Times New Roman"/>
          <w:color w:val="FF0000"/>
          <w:sz w:val="24"/>
          <w:szCs w:val="24"/>
          <w:u w:val="single"/>
        </w:rPr>
        <w:t xml:space="preserve"> también permite la entrada de “inversiones en cartera”</w:t>
      </w:r>
      <w:r w:rsidRPr="00B15748">
        <w:rPr>
          <w:rFonts w:ascii="Times New Roman" w:hAnsi="Times New Roman"/>
          <w:color w:val="FF0000"/>
          <w:sz w:val="24"/>
          <w:szCs w:val="24"/>
          <w:u w:val="single"/>
        </w:rPr>
        <w:t>, a través de las cuáles el inversor busca un rendimiento financiero que no suele tener efectos positivos sobre la economía real, además de eliminar las fronteras para que los bancos extranjeros presten dinero a los agentes de los países en desarrollo.</w:t>
      </w:r>
    </w:p>
    <w:p w:rsidR="00DD64F3" w:rsidRPr="00B15748" w:rsidRDefault="00DD64F3" w:rsidP="00DD64F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B15748">
        <w:rPr>
          <w:rFonts w:ascii="Times New Roman" w:hAnsi="Times New Roman"/>
          <w:color w:val="FF0000"/>
          <w:sz w:val="24"/>
          <w:szCs w:val="24"/>
          <w:u w:val="single"/>
        </w:rPr>
        <w:t>Estas inversiones en cartera y flujos de deuda parece que ni estimulan el crecimiento ni permite al país compartir los riesgos con sus parejas comerciales. Esto deja entrever que el crecimiento y el riesgo compartido producto de los flujos de capitales dependen de</w:t>
      </w:r>
      <w:r>
        <w:rPr>
          <w:rFonts w:ascii="Times New Roman" w:hAnsi="Times New Roman"/>
          <w:color w:val="FF0000"/>
          <w:sz w:val="24"/>
          <w:szCs w:val="24"/>
          <w:u w:val="single"/>
        </w:rPr>
        <w:t>l tipo de flujo que sea”</w:t>
      </w:r>
      <w:r w:rsidRPr="00B15748">
        <w:rPr>
          <w:rFonts w:ascii="Times New Roman" w:hAnsi="Times New Roman"/>
          <w:color w:val="FF0000"/>
          <w:sz w:val="24"/>
          <w:szCs w:val="24"/>
          <w:u w:val="single"/>
        </w:rPr>
        <w:t xml:space="preserve">, sentencian los economistas del FMI. </w:t>
      </w:r>
    </w:p>
    <w:p w:rsidR="00DD64F3" w:rsidRPr="00B15748" w:rsidRDefault="00DD64F3" w:rsidP="00DD64F3">
      <w:pPr>
        <w:spacing w:line="240" w:lineRule="auto"/>
        <w:jc w:val="both"/>
        <w:rPr>
          <w:rFonts w:ascii="Times New Roman" w:hAnsi="Times New Roman"/>
          <w:sz w:val="24"/>
          <w:szCs w:val="24"/>
          <w:u w:val="single"/>
        </w:rPr>
      </w:pPr>
      <w:r w:rsidRPr="005F38CB">
        <w:rPr>
          <w:rFonts w:ascii="Times New Roman" w:hAnsi="Times New Roman"/>
          <w:sz w:val="24"/>
          <w:szCs w:val="24"/>
        </w:rPr>
        <w:t xml:space="preserve">Mientras que los beneficios son algo inciertos para algunos países, los costes se pueden ver representados por el incremento de la volatilidad económica y una mayor frecuencia de crisis financieras. </w:t>
      </w:r>
      <w:r w:rsidRPr="00B15748">
        <w:rPr>
          <w:rFonts w:ascii="Times New Roman" w:hAnsi="Times New Roman"/>
          <w:sz w:val="24"/>
          <w:szCs w:val="24"/>
          <w:u w:val="single"/>
        </w:rPr>
        <w:t xml:space="preserve">Desde 1980, ha habido alrededor de 150 episodios de entradas netas de capital en más de 50 mercados emergentes; en un 20% de las veces, estos episodios han finalizado en crisis financieras, muchas de estas crisis están asociadas a fuertes descensos de la producción, como se muestra en la revista Finance &amp; Development. </w:t>
      </w:r>
    </w:p>
    <w:p w:rsidR="00DD64F3" w:rsidRPr="00B15748" w:rsidRDefault="00DD64F3" w:rsidP="00DD64F3">
      <w:pPr>
        <w:spacing w:line="240" w:lineRule="auto"/>
        <w:jc w:val="both"/>
        <w:rPr>
          <w:rFonts w:ascii="Times New Roman" w:hAnsi="Times New Roman"/>
          <w:sz w:val="24"/>
          <w:szCs w:val="24"/>
          <w:u w:val="single"/>
        </w:rPr>
      </w:pPr>
      <w:r w:rsidRPr="00B15748">
        <w:rPr>
          <w:rFonts w:ascii="Times New Roman" w:hAnsi="Times New Roman"/>
          <w:sz w:val="24"/>
          <w:szCs w:val="24"/>
          <w:u w:val="single"/>
        </w:rPr>
        <w:t>Guillermo de la Dehesa</w:t>
      </w:r>
      <w:r w:rsidRPr="005F38CB">
        <w:rPr>
          <w:rFonts w:ascii="Times New Roman" w:hAnsi="Times New Roman"/>
          <w:sz w:val="24"/>
          <w:szCs w:val="24"/>
        </w:rPr>
        <w:t>, economista y presidente del Centre for Economic Policy R</w:t>
      </w:r>
      <w:r>
        <w:rPr>
          <w:rFonts w:ascii="Times New Roman" w:hAnsi="Times New Roman"/>
          <w:sz w:val="24"/>
          <w:szCs w:val="24"/>
        </w:rPr>
        <w:t>esearch, explicaba en 2004 que “</w:t>
      </w:r>
      <w:r w:rsidRPr="00B15748">
        <w:rPr>
          <w:rFonts w:ascii="Times New Roman" w:hAnsi="Times New Roman"/>
          <w:sz w:val="24"/>
          <w:szCs w:val="24"/>
          <w:u w:val="single"/>
        </w:rPr>
        <w:t>la rápida liberalización de los sistemas financieros y de los flujos de capital en muchos países en desarrollo en unos casos, voluntaria, en otros, recomendada por el FMI y el Banco Mundial, y en unos pocos, forzada por un determinado programa de dichas instituciones, ha ayudado al desencadenamiento de las crisis financieras recie</w:t>
      </w:r>
      <w:r>
        <w:rPr>
          <w:rFonts w:ascii="Times New Roman" w:hAnsi="Times New Roman"/>
          <w:sz w:val="24"/>
          <w:szCs w:val="24"/>
          <w:u w:val="single"/>
        </w:rPr>
        <w:t>ntes de algunos de estos países”</w:t>
      </w:r>
      <w:r w:rsidRPr="00B15748">
        <w:rPr>
          <w:rFonts w:ascii="Times New Roman" w:hAnsi="Times New Roman"/>
          <w:sz w:val="24"/>
          <w:szCs w:val="24"/>
          <w:u w:val="single"/>
        </w:rPr>
        <w:t>.</w:t>
      </w:r>
    </w:p>
    <w:p w:rsidR="00DD64F3" w:rsidRPr="00B15748" w:rsidRDefault="00DD64F3" w:rsidP="00DD64F3">
      <w:pPr>
        <w:spacing w:line="240" w:lineRule="auto"/>
        <w:jc w:val="both"/>
        <w:rPr>
          <w:rFonts w:ascii="Times New Roman" w:hAnsi="Times New Roman"/>
          <w:sz w:val="24"/>
          <w:szCs w:val="24"/>
          <w:u w:val="single"/>
        </w:rPr>
      </w:pPr>
      <w:r w:rsidRPr="005F38CB">
        <w:rPr>
          <w:rFonts w:ascii="Times New Roman" w:hAnsi="Times New Roman"/>
          <w:sz w:val="24"/>
          <w:szCs w:val="24"/>
        </w:rPr>
        <w:t xml:space="preserve">Y es que no hay rentabilidad sin riesgo, ni recompensa sin peligro: </w:t>
      </w:r>
      <w:r>
        <w:rPr>
          <w:rFonts w:ascii="Times New Roman" w:hAnsi="Times New Roman"/>
          <w:sz w:val="24"/>
          <w:szCs w:val="24"/>
          <w:u w:val="single"/>
        </w:rPr>
        <w:t>“</w:t>
      </w:r>
      <w:r w:rsidRPr="00B15748">
        <w:rPr>
          <w:rFonts w:ascii="Times New Roman" w:hAnsi="Times New Roman"/>
          <w:sz w:val="24"/>
          <w:szCs w:val="24"/>
          <w:u w:val="single"/>
        </w:rPr>
        <w:t>La libertad de movimiento de capitales tiene, como toda libertad, sus peligros, ya que da mayores oportunidades a los individuos, las empresas y las instituciones financieras para tomar mayores riesgos, a veces imprudentes, que pueden producir cris</w:t>
      </w:r>
      <w:r>
        <w:rPr>
          <w:rFonts w:ascii="Times New Roman" w:hAnsi="Times New Roman"/>
          <w:sz w:val="24"/>
          <w:szCs w:val="24"/>
          <w:u w:val="single"/>
        </w:rPr>
        <w:t>is e incluso riesgos sistémicos”</w:t>
      </w:r>
      <w:r w:rsidRPr="00B15748">
        <w:rPr>
          <w:rFonts w:ascii="Times New Roman" w:hAnsi="Times New Roman"/>
          <w:sz w:val="24"/>
          <w:szCs w:val="24"/>
          <w:u w:val="single"/>
        </w:rPr>
        <w:t>.</w:t>
      </w:r>
    </w:p>
    <w:p w:rsidR="00DD64F3" w:rsidRPr="005F38CB" w:rsidRDefault="00DD64F3" w:rsidP="00DD64F3">
      <w:pPr>
        <w:spacing w:line="240" w:lineRule="auto"/>
        <w:jc w:val="both"/>
        <w:rPr>
          <w:rFonts w:ascii="Times New Roman" w:hAnsi="Times New Roman"/>
          <w:sz w:val="24"/>
          <w:szCs w:val="24"/>
        </w:rPr>
      </w:pPr>
      <w:r w:rsidRPr="005F38CB">
        <w:rPr>
          <w:rFonts w:ascii="Times New Roman" w:hAnsi="Times New Roman"/>
          <w:sz w:val="24"/>
          <w:szCs w:val="24"/>
        </w:rPr>
        <w:t>La solución más adecuada</w:t>
      </w:r>
    </w:p>
    <w:p w:rsidR="00DD64F3" w:rsidRPr="00B15748" w:rsidRDefault="00DD64F3" w:rsidP="00DD64F3">
      <w:pPr>
        <w:spacing w:line="240" w:lineRule="auto"/>
        <w:jc w:val="both"/>
        <w:rPr>
          <w:rFonts w:ascii="Times New Roman" w:hAnsi="Times New Roman"/>
          <w:sz w:val="24"/>
          <w:szCs w:val="24"/>
          <w:u w:val="single"/>
        </w:rPr>
      </w:pPr>
      <w:r w:rsidRPr="005F38CB">
        <w:rPr>
          <w:rFonts w:ascii="Times New Roman" w:hAnsi="Times New Roman"/>
          <w:sz w:val="24"/>
          <w:szCs w:val="24"/>
        </w:rPr>
        <w:t xml:space="preserve">Como explicaba De la Dehesa, </w:t>
      </w:r>
      <w:r>
        <w:rPr>
          <w:rFonts w:ascii="Times New Roman" w:hAnsi="Times New Roman"/>
          <w:sz w:val="24"/>
          <w:szCs w:val="24"/>
          <w:u w:val="single"/>
        </w:rPr>
        <w:t>“</w:t>
      </w:r>
      <w:r w:rsidRPr="00B15748">
        <w:rPr>
          <w:rFonts w:ascii="Times New Roman" w:hAnsi="Times New Roman"/>
          <w:sz w:val="24"/>
          <w:szCs w:val="24"/>
          <w:u w:val="single"/>
        </w:rPr>
        <w:t>una liberalización rápida de la cuenta de capital de la balanza de pagos puede traer consigo más problemas que beneficios. Los países de la OCDE tardaron más de tres décadas en liberalizar sus cuentas de capital y se pensaba que los países en desarrollo, menos preparados para ello, la podrían llevar a cabo en menos de una d</w:t>
      </w:r>
      <w:r>
        <w:rPr>
          <w:rFonts w:ascii="Times New Roman" w:hAnsi="Times New Roman"/>
          <w:sz w:val="24"/>
          <w:szCs w:val="24"/>
          <w:u w:val="single"/>
        </w:rPr>
        <w:t>écada”</w:t>
      </w:r>
      <w:r w:rsidRPr="00B15748">
        <w:rPr>
          <w:rFonts w:ascii="Times New Roman" w:hAnsi="Times New Roman"/>
          <w:sz w:val="24"/>
          <w:szCs w:val="24"/>
          <w:u w:val="single"/>
        </w:rPr>
        <w:t>.</w:t>
      </w:r>
    </w:p>
    <w:p w:rsidR="00DD64F3" w:rsidRPr="00B15748" w:rsidRDefault="00DD64F3" w:rsidP="00DD64F3">
      <w:pPr>
        <w:spacing w:line="240" w:lineRule="auto"/>
        <w:jc w:val="both"/>
        <w:rPr>
          <w:rFonts w:ascii="Times New Roman" w:hAnsi="Times New Roman"/>
          <w:sz w:val="24"/>
          <w:szCs w:val="24"/>
          <w:u w:val="single"/>
        </w:rPr>
      </w:pPr>
      <w:r w:rsidRPr="00B15748">
        <w:rPr>
          <w:rFonts w:ascii="Times New Roman" w:hAnsi="Times New Roman"/>
          <w:sz w:val="24"/>
          <w:szCs w:val="24"/>
          <w:u w:val="single"/>
        </w:rPr>
        <w:lastRenderedPageBreak/>
        <w:t>Los peligros asociados a una liberalización demasiado rápida de los movimientos de capital pueden reducirse otorgando un espacio prolongado de tiempo a los p</w:t>
      </w:r>
      <w:r>
        <w:rPr>
          <w:rFonts w:ascii="Times New Roman" w:hAnsi="Times New Roman"/>
          <w:sz w:val="24"/>
          <w:szCs w:val="24"/>
          <w:u w:val="single"/>
        </w:rPr>
        <w:t>aíses que inicien el proceso y “</w:t>
      </w:r>
      <w:r w:rsidRPr="00B15748">
        <w:rPr>
          <w:rFonts w:ascii="Times New Roman" w:hAnsi="Times New Roman"/>
          <w:sz w:val="24"/>
          <w:szCs w:val="24"/>
          <w:u w:val="single"/>
        </w:rPr>
        <w:t>mediante una combinación de políticas macroeconómicas sanas y estabilizadoras, para no incurrir en desequilibrios financieros agregados y de políticas de regulación, supervisión y control de las instituciones financieras que desarrollen los incentivos adecuados para asegurarse u</w:t>
      </w:r>
      <w:r>
        <w:rPr>
          <w:rFonts w:ascii="Times New Roman" w:hAnsi="Times New Roman"/>
          <w:sz w:val="24"/>
          <w:szCs w:val="24"/>
          <w:u w:val="single"/>
        </w:rPr>
        <w:t>na eficiente gestión del riesgo”</w:t>
      </w:r>
      <w:r w:rsidRPr="00B15748">
        <w:rPr>
          <w:rFonts w:ascii="Times New Roman" w:hAnsi="Times New Roman"/>
          <w:sz w:val="24"/>
          <w:szCs w:val="24"/>
          <w:u w:val="single"/>
        </w:rPr>
        <w:t xml:space="preserve">. </w:t>
      </w:r>
    </w:p>
    <w:p w:rsidR="00DD64F3" w:rsidRDefault="00DD64F3" w:rsidP="00DD64F3">
      <w:pPr>
        <w:spacing w:line="240" w:lineRule="auto"/>
        <w:jc w:val="both"/>
        <w:rPr>
          <w:rFonts w:ascii="Times New Roman" w:hAnsi="Times New Roman"/>
          <w:sz w:val="24"/>
          <w:szCs w:val="24"/>
        </w:rPr>
      </w:pPr>
      <w:r w:rsidRPr="005F38CB">
        <w:rPr>
          <w:rFonts w:ascii="Times New Roman" w:hAnsi="Times New Roman"/>
          <w:sz w:val="24"/>
          <w:szCs w:val="24"/>
        </w:rPr>
        <w:t>El ajuste fiscal</w:t>
      </w:r>
    </w:p>
    <w:p w:rsidR="00DD64F3" w:rsidRPr="00B15748" w:rsidRDefault="00DD64F3" w:rsidP="00DD64F3">
      <w:pPr>
        <w:spacing w:line="240" w:lineRule="auto"/>
        <w:jc w:val="both"/>
        <w:rPr>
          <w:rFonts w:ascii="Times New Roman" w:hAnsi="Times New Roman"/>
          <w:color w:val="FF0000"/>
          <w:sz w:val="24"/>
          <w:szCs w:val="24"/>
          <w:u w:val="single"/>
        </w:rPr>
      </w:pPr>
      <w:r w:rsidRPr="00B15748">
        <w:rPr>
          <w:rFonts w:ascii="Times New Roman" w:hAnsi="Times New Roman"/>
          <w:color w:val="FF0000"/>
          <w:sz w:val="24"/>
          <w:szCs w:val="24"/>
          <w:u w:val="single"/>
        </w:rPr>
        <w:t xml:space="preserve">Por otro lado, esta corriente también aboga por un control fiscal para evitar elevadas cargas de deuda pública. Una deuda pública demasiado alta respecto al PIB puede lastrar el crecimiento y la confianza en el país. Pero intentar reducir la deuda puede tener unos efectos contraproducentes que lleven al país a una situación peor a la previa. </w:t>
      </w:r>
    </w:p>
    <w:p w:rsidR="00DD64F3" w:rsidRPr="00B15748" w:rsidRDefault="00DD64F3" w:rsidP="00DD64F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B15748">
        <w:rPr>
          <w:rFonts w:ascii="Times New Roman" w:hAnsi="Times New Roman"/>
          <w:color w:val="FF0000"/>
          <w:sz w:val="24"/>
          <w:szCs w:val="24"/>
          <w:u w:val="single"/>
        </w:rPr>
        <w:t>Para obtener un nivel de deuda inferior, se necesita distorsionar el comportamiento económico elevando los impuestos de forma temporal o reduciendo el gasto público, o implementando ambas medidas. Los costes de incrementar los impuestos o recortar el gasto para reducir la deuda pueden ser mucho peores... Con estos tampoco queremos decir que un elevado nivel de deuda sea bueno para el crecimiento y el bi</w:t>
      </w:r>
      <w:r>
        <w:rPr>
          <w:rFonts w:ascii="Times New Roman" w:hAnsi="Times New Roman"/>
          <w:color w:val="FF0000"/>
          <w:sz w:val="24"/>
          <w:szCs w:val="24"/>
          <w:u w:val="single"/>
        </w:rPr>
        <w:t>enestar”</w:t>
      </w:r>
      <w:r w:rsidRPr="00B15748">
        <w:rPr>
          <w:rFonts w:ascii="Times New Roman" w:hAnsi="Times New Roman"/>
          <w:color w:val="FF0000"/>
          <w:sz w:val="24"/>
          <w:szCs w:val="24"/>
          <w:u w:val="single"/>
        </w:rPr>
        <w:t>, señalan los economistas del FMI.</w:t>
      </w:r>
    </w:p>
    <w:p w:rsidR="00DD64F3" w:rsidRPr="00B15748" w:rsidRDefault="00DD64F3" w:rsidP="00DD64F3">
      <w:pPr>
        <w:spacing w:line="240" w:lineRule="auto"/>
        <w:jc w:val="both"/>
        <w:rPr>
          <w:rFonts w:ascii="Times New Roman" w:hAnsi="Times New Roman"/>
          <w:color w:val="FF0000"/>
          <w:sz w:val="24"/>
          <w:szCs w:val="24"/>
          <w:u w:val="single"/>
        </w:rPr>
      </w:pPr>
      <w:r w:rsidRPr="00B15748">
        <w:rPr>
          <w:rFonts w:ascii="Times New Roman" w:hAnsi="Times New Roman"/>
          <w:color w:val="FF0000"/>
          <w:sz w:val="24"/>
          <w:szCs w:val="24"/>
          <w:u w:val="single"/>
        </w:rPr>
        <w:t>En resumen, los beneficios de algunas pol</w:t>
      </w:r>
      <w:r>
        <w:rPr>
          <w:rFonts w:ascii="Times New Roman" w:hAnsi="Times New Roman"/>
          <w:color w:val="FF0000"/>
          <w:sz w:val="24"/>
          <w:szCs w:val="24"/>
          <w:u w:val="single"/>
        </w:rPr>
        <w:t>íticas de la agenda neoliberal “se podrían haber exagerado”</w:t>
      </w:r>
      <w:r w:rsidRPr="00B15748">
        <w:rPr>
          <w:rFonts w:ascii="Times New Roman" w:hAnsi="Times New Roman"/>
          <w:color w:val="FF0000"/>
          <w:sz w:val="24"/>
          <w:szCs w:val="24"/>
          <w:u w:val="single"/>
        </w:rPr>
        <w:t>, sobre todo en el caso de la apertura financiera, que no sólo no parecen haber desembocado en los beneficios previstos sino que además podrían haber incrementado la desigualdad económica y erosionado el crecimiento. En el caso de la consolidación fiscal, se han subest</w:t>
      </w:r>
      <w:r>
        <w:rPr>
          <w:rFonts w:ascii="Times New Roman" w:hAnsi="Times New Roman"/>
          <w:color w:val="FF0000"/>
          <w:sz w:val="24"/>
          <w:szCs w:val="24"/>
          <w:u w:val="single"/>
        </w:rPr>
        <w:t>imado efectos secundarios como “</w:t>
      </w:r>
      <w:r w:rsidRPr="00B15748">
        <w:rPr>
          <w:rFonts w:ascii="Times New Roman" w:hAnsi="Times New Roman"/>
          <w:color w:val="FF0000"/>
          <w:sz w:val="24"/>
          <w:szCs w:val="24"/>
          <w:u w:val="single"/>
        </w:rPr>
        <w:t>un menor crecimiento de la producción y Estado de Bienestar, y un ma</w:t>
      </w:r>
      <w:r>
        <w:rPr>
          <w:rFonts w:ascii="Times New Roman" w:hAnsi="Times New Roman"/>
          <w:color w:val="FF0000"/>
          <w:sz w:val="24"/>
          <w:szCs w:val="24"/>
          <w:u w:val="single"/>
        </w:rPr>
        <w:t>yor desempleo”</w:t>
      </w:r>
      <w:r w:rsidRPr="00B15748">
        <w:rPr>
          <w:rFonts w:ascii="Times New Roman" w:hAnsi="Times New Roman"/>
          <w:color w:val="FF0000"/>
          <w:sz w:val="24"/>
          <w:szCs w:val="24"/>
          <w:u w:val="single"/>
        </w:rPr>
        <w:t>, destacan los economistas del FMI.</w:t>
      </w:r>
    </w:p>
    <w:p w:rsidR="00DD64F3" w:rsidRPr="00B15748" w:rsidRDefault="00DD64F3" w:rsidP="00DD64F3">
      <w:pPr>
        <w:spacing w:line="240" w:lineRule="auto"/>
        <w:jc w:val="both"/>
        <w:rPr>
          <w:rFonts w:ascii="Times New Roman" w:hAnsi="Times New Roman"/>
          <w:b/>
          <w:color w:val="FF0000"/>
          <w:sz w:val="24"/>
          <w:szCs w:val="24"/>
          <w:u w:val="single"/>
        </w:rPr>
      </w:pPr>
      <w:r w:rsidRPr="00B15748">
        <w:rPr>
          <w:rFonts w:ascii="Times New Roman" w:hAnsi="Times New Roman"/>
          <w:b/>
          <w:color w:val="FF0000"/>
          <w:sz w:val="24"/>
          <w:szCs w:val="24"/>
          <w:u w:val="single"/>
        </w:rPr>
        <w:t>Para concluir, estos expertos aseguran que la desigualdad de ingresos generada por estas políticas termina socavando el crecimiento económico, que a la postre es el objetivo final de la agenda neoliberal. La apertura financiera y la austeridad pueden intensificar los ciclos económicos creando burbujas que se hinchan y se explotan poniendo en peligro el crecimiento económico a largo plazo de estas naciones.</w:t>
      </w:r>
    </w:p>
    <w:p w:rsidR="00DD64F3" w:rsidRPr="005F38CB" w:rsidRDefault="00DD64F3" w:rsidP="00DD64F3">
      <w:pPr>
        <w:spacing w:line="240" w:lineRule="auto"/>
        <w:jc w:val="both"/>
        <w:rPr>
          <w:rFonts w:ascii="Times New Roman" w:hAnsi="Times New Roman"/>
          <w:sz w:val="24"/>
          <w:szCs w:val="24"/>
          <w:lang w:val="en-US"/>
        </w:rPr>
      </w:pPr>
      <w:r w:rsidRPr="005F38CB">
        <w:rPr>
          <w:rFonts w:ascii="Times New Roman" w:hAnsi="Times New Roman"/>
          <w:sz w:val="24"/>
          <w:szCs w:val="24"/>
          <w:lang w:val="en-US"/>
        </w:rPr>
        <w:t>--------------------------------------------------------------------------------</w:t>
      </w:r>
    </w:p>
    <w:p w:rsidR="00DD64F3" w:rsidRPr="007F288B" w:rsidRDefault="007F288B" w:rsidP="00DD64F3">
      <w:pPr>
        <w:pStyle w:val="NormalWeb"/>
        <w:spacing w:after="0"/>
        <w:jc w:val="both"/>
        <w:textAlignment w:val="baseline"/>
        <w:rPr>
          <w:b/>
          <w:lang w:val="en-US"/>
        </w:rPr>
      </w:pPr>
      <w:r w:rsidRPr="003D1BF9">
        <w:rPr>
          <w:b/>
          <w:lang w:val="en-US"/>
        </w:rPr>
        <w:t>Neoliberalism: Oversold?</w:t>
      </w:r>
      <w:r w:rsidRPr="007F288B">
        <w:rPr>
          <w:lang w:val="en-US"/>
        </w:rPr>
        <w:t>(</w:t>
      </w:r>
      <w:r w:rsidR="00DD64F3" w:rsidRPr="005F38CB">
        <w:rPr>
          <w:lang w:val="en-US"/>
        </w:rPr>
        <w:t>38 Finance &amp; Development June 2016</w:t>
      </w:r>
      <w:r>
        <w:rPr>
          <w:lang w:val="en-US"/>
        </w:rPr>
        <w:t>)</w:t>
      </w:r>
    </w:p>
    <w:p w:rsidR="00DD64F3" w:rsidRPr="003D1BF9" w:rsidRDefault="007F288B" w:rsidP="00DD64F3">
      <w:pPr>
        <w:pStyle w:val="NormalWeb"/>
        <w:spacing w:after="0"/>
        <w:jc w:val="both"/>
        <w:textAlignment w:val="baseline"/>
        <w:rPr>
          <w:b/>
          <w:lang w:val="en-US"/>
        </w:rPr>
      </w:pPr>
      <w:r>
        <w:rPr>
          <w:lang w:val="en-US"/>
        </w:rPr>
        <w:t xml:space="preserve">(By </w:t>
      </w:r>
      <w:r w:rsidR="00DD64F3" w:rsidRPr="005F38CB">
        <w:rPr>
          <w:lang w:val="en-US"/>
        </w:rPr>
        <w:t>Jonathan D. Ostry, Prakash Loungani, and Davide Furceri</w:t>
      </w:r>
      <w:r>
        <w:rPr>
          <w:lang w:val="en-US"/>
        </w:rPr>
        <w:t>)</w:t>
      </w:r>
    </w:p>
    <w:p w:rsidR="00DD64F3" w:rsidRPr="005F38CB" w:rsidRDefault="00DD64F3" w:rsidP="00DD64F3">
      <w:pPr>
        <w:pStyle w:val="NormalWeb"/>
        <w:spacing w:after="0"/>
        <w:jc w:val="both"/>
        <w:textAlignment w:val="baseline"/>
        <w:rPr>
          <w:lang w:val="en-US"/>
        </w:rPr>
      </w:pPr>
      <w:r w:rsidRPr="005F38CB">
        <w:rPr>
          <w:lang w:val="en-US"/>
        </w:rPr>
        <w:t>Instead ofdeliveringgrowth, someneoliberalpolicies haveincreasedinequality,in turnjeopardizingdurableexpansion</w:t>
      </w:r>
    </w:p>
    <w:p w:rsidR="00DD64F3" w:rsidRPr="005F38CB" w:rsidRDefault="00DD64F3" w:rsidP="00DD64F3">
      <w:pPr>
        <w:pStyle w:val="NormalWeb"/>
        <w:spacing w:after="0"/>
        <w:jc w:val="both"/>
        <w:textAlignment w:val="baseline"/>
        <w:rPr>
          <w:lang w:val="en-US"/>
        </w:rPr>
      </w:pPr>
      <w:r w:rsidRPr="005F38CB">
        <w:rPr>
          <w:lang w:val="en-US"/>
        </w:rPr>
        <w:t>MILTON Friedman in 1982 hailed</w:t>
      </w:r>
    </w:p>
    <w:p w:rsidR="00DD64F3" w:rsidRPr="005F38CB" w:rsidRDefault="00DD64F3" w:rsidP="00DD64F3">
      <w:pPr>
        <w:pStyle w:val="NormalWeb"/>
        <w:spacing w:after="0"/>
        <w:jc w:val="both"/>
        <w:textAlignment w:val="baseline"/>
        <w:rPr>
          <w:lang w:val="en-US"/>
        </w:rPr>
      </w:pPr>
      <w:r w:rsidRPr="005F38CB">
        <w:rPr>
          <w:lang w:val="en-US"/>
        </w:rPr>
        <w:t>Chile</w:t>
      </w:r>
      <w:r>
        <w:rPr>
          <w:lang w:val="en-US"/>
        </w:rPr>
        <w:t xml:space="preserve"> as an “economic miracle”. </w:t>
      </w:r>
      <w:r w:rsidRPr="005F38CB">
        <w:rPr>
          <w:lang w:val="en-US"/>
        </w:rPr>
        <w:t>Nearly a decade earlier, Chilehad turned to policies that havesince been widely emulated across the globe.</w:t>
      </w:r>
    </w:p>
    <w:p w:rsidR="00DD64F3" w:rsidRPr="005F38CB" w:rsidRDefault="00DD64F3" w:rsidP="00DD64F3">
      <w:pPr>
        <w:pStyle w:val="NormalWeb"/>
        <w:spacing w:after="0"/>
        <w:jc w:val="both"/>
        <w:textAlignment w:val="baseline"/>
        <w:rPr>
          <w:lang w:val="en-US"/>
        </w:rPr>
      </w:pPr>
      <w:r>
        <w:rPr>
          <w:lang w:val="en-US"/>
        </w:rPr>
        <w:t>The neoliberal agenda -</w:t>
      </w:r>
      <w:r w:rsidRPr="005F38CB">
        <w:rPr>
          <w:lang w:val="en-US"/>
        </w:rPr>
        <w:t>a label used more bycritics than by</w:t>
      </w:r>
      <w:r>
        <w:rPr>
          <w:lang w:val="en-US"/>
        </w:rPr>
        <w:t xml:space="preserve"> the architects of the policies- rests on two main planks. The fi</w:t>
      </w:r>
      <w:r w:rsidRPr="005F38CB">
        <w:rPr>
          <w:lang w:val="en-US"/>
        </w:rPr>
        <w:t>rst is increasedcompetitio</w:t>
      </w:r>
      <w:r>
        <w:rPr>
          <w:lang w:val="en-US"/>
        </w:rPr>
        <w:t>n -</w:t>
      </w:r>
      <w:r w:rsidRPr="005F38CB">
        <w:rPr>
          <w:lang w:val="en-US"/>
        </w:rPr>
        <w:t xml:space="preserve">achieved through </w:t>
      </w:r>
      <w:r w:rsidRPr="005F38CB">
        <w:rPr>
          <w:lang w:val="en-US"/>
        </w:rPr>
        <w:lastRenderedPageBreak/>
        <w:t>deregulationand the opening up of domestic markets, including</w:t>
      </w:r>
      <w:r>
        <w:rPr>
          <w:lang w:val="en-US"/>
        </w:rPr>
        <w:t xml:space="preserve"> fi</w:t>
      </w:r>
      <w:r w:rsidRPr="005F38CB">
        <w:rPr>
          <w:lang w:val="en-US"/>
        </w:rPr>
        <w:t>nancial markets, to foreign competition.</w:t>
      </w:r>
    </w:p>
    <w:p w:rsidR="00DD64F3" w:rsidRPr="005F38CB" w:rsidRDefault="00DD64F3" w:rsidP="00DD64F3">
      <w:pPr>
        <w:pStyle w:val="NormalWeb"/>
        <w:spacing w:after="0"/>
        <w:jc w:val="both"/>
        <w:textAlignment w:val="baseline"/>
        <w:rPr>
          <w:lang w:val="en-US"/>
        </w:rPr>
      </w:pPr>
      <w:r>
        <w:rPr>
          <w:lang w:val="en-US"/>
        </w:rPr>
        <w:t>Th</w:t>
      </w:r>
      <w:r w:rsidRPr="005F38CB">
        <w:rPr>
          <w:lang w:val="en-US"/>
        </w:rPr>
        <w:t xml:space="preserve">e second is a smaller role for the state,achieved through privatization and limits onthe ability of </w:t>
      </w:r>
      <w:r>
        <w:rPr>
          <w:lang w:val="en-US"/>
        </w:rPr>
        <w:t>governments to run fiscal defi</w:t>
      </w:r>
      <w:r w:rsidRPr="005F38CB">
        <w:rPr>
          <w:lang w:val="en-US"/>
        </w:rPr>
        <w:t>citsand accumulate debt.</w:t>
      </w:r>
    </w:p>
    <w:p w:rsidR="00DD64F3" w:rsidRPr="005F38CB" w:rsidRDefault="00DD64F3" w:rsidP="00DD64F3">
      <w:pPr>
        <w:pStyle w:val="NormalWeb"/>
        <w:spacing w:after="0"/>
        <w:jc w:val="both"/>
        <w:textAlignment w:val="baseline"/>
        <w:rPr>
          <w:lang w:val="en-US"/>
        </w:rPr>
      </w:pPr>
      <w:r w:rsidRPr="005F38CB">
        <w:rPr>
          <w:lang w:val="en-US"/>
        </w:rPr>
        <w:t>There has been a strong and widespreadglobal trend toward neoliberalism since the1980s, according to a composite index thatmeasures the extent to which countries introducedcompetition in various spheres of economicactivity to foster economic growth.</w:t>
      </w:r>
    </w:p>
    <w:p w:rsidR="00DD64F3" w:rsidRPr="005F38CB" w:rsidRDefault="00DD64F3" w:rsidP="00DD64F3">
      <w:pPr>
        <w:pStyle w:val="NormalWeb"/>
        <w:spacing w:after="0"/>
        <w:jc w:val="both"/>
        <w:textAlignment w:val="baseline"/>
        <w:rPr>
          <w:lang w:val="en-US"/>
        </w:rPr>
      </w:pPr>
      <w:r w:rsidRPr="005F38CB">
        <w:rPr>
          <w:lang w:val="en-US"/>
        </w:rPr>
        <w:t>As shown in the left panel of Chart 1, Chile’spush started a decade or so earlier than 1982,with subsequent policy changes bringing itever closer to the United States. Other countrieshave also steadily implemented neoliberalpolicies (see Chart 1, right panel).</w:t>
      </w:r>
    </w:p>
    <w:p w:rsidR="00DD64F3" w:rsidRPr="005F38CB" w:rsidRDefault="00DD64F3" w:rsidP="00DD64F3">
      <w:pPr>
        <w:pStyle w:val="NormalWeb"/>
        <w:spacing w:after="0"/>
        <w:jc w:val="both"/>
        <w:textAlignment w:val="baseline"/>
        <w:rPr>
          <w:lang w:val="en-US"/>
        </w:rPr>
      </w:pPr>
      <w:r w:rsidRPr="005F38CB">
        <w:rPr>
          <w:lang w:val="en-US"/>
        </w:rPr>
        <w:t>There is much to cheer in the neoliberalagenda. The expansion of global tradehas rescued millions from abject poverty.</w:t>
      </w:r>
    </w:p>
    <w:p w:rsidR="00DD64F3" w:rsidRPr="005F38CB" w:rsidRDefault="00DD64F3" w:rsidP="00DD64F3">
      <w:pPr>
        <w:pStyle w:val="NormalWeb"/>
        <w:spacing w:after="0"/>
        <w:jc w:val="both"/>
        <w:textAlignment w:val="baseline"/>
        <w:rPr>
          <w:lang w:val="en-US"/>
        </w:rPr>
      </w:pPr>
      <w:r w:rsidRPr="005F38CB">
        <w:rPr>
          <w:lang w:val="en-US"/>
        </w:rPr>
        <w:t>Foreign direct investment has often been away to transfer technology and know-how todeveloping economies. Privatization of stateownedenterprises has in many instances ledto more efficient provision of services andlowered the fiscal burden on governments.</w:t>
      </w:r>
    </w:p>
    <w:p w:rsidR="00DD64F3" w:rsidRPr="005F38CB" w:rsidRDefault="00DD64F3" w:rsidP="00DD64F3">
      <w:pPr>
        <w:pStyle w:val="NormalWeb"/>
        <w:spacing w:after="0"/>
        <w:jc w:val="both"/>
        <w:textAlignment w:val="baseline"/>
        <w:rPr>
          <w:lang w:val="en-US"/>
        </w:rPr>
      </w:pPr>
      <w:r w:rsidRPr="005F38CB">
        <w:rPr>
          <w:lang w:val="en-US"/>
        </w:rPr>
        <w:t>However, there are aspects of the neoliberalagenda that have not delivered as expected.</w:t>
      </w:r>
    </w:p>
    <w:p w:rsidR="00DD64F3" w:rsidRPr="005F38CB" w:rsidRDefault="00DD64F3" w:rsidP="00DD64F3">
      <w:pPr>
        <w:pStyle w:val="NormalWeb"/>
        <w:spacing w:after="0"/>
        <w:jc w:val="both"/>
        <w:textAlignment w:val="baseline"/>
        <w:rPr>
          <w:lang w:val="en-US"/>
        </w:rPr>
      </w:pPr>
      <w:r w:rsidRPr="005F38CB">
        <w:rPr>
          <w:lang w:val="en-US"/>
        </w:rPr>
        <w:t>Our assessment of the agenda is confined tothe effects of two policies: removing restrictionson the movement of capital across acountry’s borders (so-called capital accountliberalization); and fiscal consolidation, sometimescalled “austerity,” which is shorthandfor policies to reduce fiscal deficits and debt levels. An assessmentof these specific policies (rather than the broad neoliberalagenda) reaches three disquieting conclusions:</w:t>
      </w:r>
    </w:p>
    <w:p w:rsidR="00DD64F3" w:rsidRDefault="00DD64F3" w:rsidP="00DD64F3">
      <w:pPr>
        <w:pStyle w:val="NormalWeb"/>
        <w:spacing w:after="0"/>
        <w:jc w:val="both"/>
        <w:textAlignment w:val="baseline"/>
        <w:rPr>
          <w:lang w:val="en-US"/>
        </w:rPr>
      </w:pPr>
      <w:r w:rsidRPr="005F38CB">
        <w:rPr>
          <w:lang w:val="en-US"/>
        </w:rPr>
        <w:t>• The benefits in terms of increased growth seem fairly difficultto establish when looking at a broad group of countries.</w:t>
      </w:r>
    </w:p>
    <w:p w:rsidR="00DD64F3" w:rsidRDefault="00DD64F3" w:rsidP="00DD64F3">
      <w:pPr>
        <w:pStyle w:val="NormalWeb"/>
        <w:spacing w:after="0"/>
        <w:jc w:val="both"/>
        <w:textAlignment w:val="baseline"/>
        <w:rPr>
          <w:lang w:val="en-US"/>
        </w:rPr>
      </w:pPr>
      <w:r w:rsidRPr="005F38CB">
        <w:rPr>
          <w:lang w:val="en-US"/>
        </w:rPr>
        <w:t>•The costs in terms of increased inequality are prominent.Such costs epitomize the trade-off between the growthand equity effects of some aspects of the neoliberal agenda.</w:t>
      </w:r>
    </w:p>
    <w:p w:rsidR="00DD64F3" w:rsidRDefault="00DD64F3" w:rsidP="00DD64F3">
      <w:pPr>
        <w:pStyle w:val="NormalWeb"/>
        <w:spacing w:after="0"/>
        <w:jc w:val="both"/>
        <w:textAlignment w:val="baseline"/>
        <w:rPr>
          <w:lang w:val="en-US"/>
        </w:rPr>
      </w:pPr>
      <w:r w:rsidRPr="005F38CB">
        <w:rPr>
          <w:lang w:val="en-US"/>
        </w:rPr>
        <w:t>•Increased inequality in turn hurts the level and sustainabilityof growth. Even if growth is the sole or main purposeof the neoliberal agenda, advocates of that agenda still needto pay attention to the distributional effects.</w:t>
      </w:r>
    </w:p>
    <w:p w:rsidR="00DD64F3" w:rsidRPr="005F38CB" w:rsidRDefault="00DD64F3" w:rsidP="00DD64F3">
      <w:pPr>
        <w:pStyle w:val="NormalWeb"/>
        <w:spacing w:after="0"/>
        <w:jc w:val="both"/>
        <w:textAlignment w:val="baseline"/>
        <w:rPr>
          <w:lang w:val="en-US"/>
        </w:rPr>
      </w:pPr>
      <w:r w:rsidRPr="005F38CB">
        <w:rPr>
          <w:lang w:val="en-US"/>
        </w:rPr>
        <w:t>Openand shut?</w:t>
      </w:r>
    </w:p>
    <w:p w:rsidR="00DD64F3" w:rsidRPr="005F38CB" w:rsidRDefault="00DD64F3" w:rsidP="00DD64F3">
      <w:pPr>
        <w:pStyle w:val="NormalWeb"/>
        <w:spacing w:after="0"/>
        <w:jc w:val="both"/>
        <w:textAlignment w:val="baseline"/>
        <w:rPr>
          <w:lang w:val="en-US"/>
        </w:rPr>
      </w:pPr>
      <w:r w:rsidRPr="005F38CB">
        <w:rPr>
          <w:lang w:val="en-US"/>
        </w:rPr>
        <w:t>As Maurice Obstfeld (1998) has noted, “economic theory leavesno doubt about the potential advantages” of capital account liberalization,which is also sometimes called financial openness.</w:t>
      </w:r>
    </w:p>
    <w:p w:rsidR="00DD64F3" w:rsidRPr="005F38CB" w:rsidRDefault="00DD64F3" w:rsidP="00DD64F3">
      <w:pPr>
        <w:pStyle w:val="NormalWeb"/>
        <w:spacing w:after="0"/>
        <w:jc w:val="both"/>
        <w:textAlignment w:val="baseline"/>
        <w:rPr>
          <w:lang w:val="en-US"/>
        </w:rPr>
      </w:pPr>
      <w:r w:rsidRPr="005F38CB">
        <w:rPr>
          <w:lang w:val="en-US"/>
        </w:rPr>
        <w:t xml:space="preserve">It can allow the international capital market to channel worldsavings to their most productive uses across the globe. Developingeconomies with little capital can borrow to </w:t>
      </w:r>
      <w:r w:rsidRPr="005F38CB">
        <w:rPr>
          <w:lang w:val="en-US"/>
        </w:rPr>
        <w:lastRenderedPageBreak/>
        <w:t>finance investment,thereby promoting their economic growthwithout requiring sharp increases in their ownsaving. But Obstfeld also pointed to the “genuinehazards” of openness to foreign financial flowsand concluded that “this duality of benefits andrisks i</w:t>
      </w:r>
      <w:r w:rsidR="008E379D">
        <w:rPr>
          <w:lang w:val="en-US"/>
        </w:rPr>
        <w:t>s inescapable in the real world</w:t>
      </w:r>
      <w:r w:rsidRPr="005F38CB">
        <w:rPr>
          <w:lang w:val="en-US"/>
        </w:rPr>
        <w:t>”</w:t>
      </w:r>
      <w:r w:rsidR="008E379D">
        <w:rPr>
          <w:lang w:val="en-US"/>
        </w:rPr>
        <w:t>.</w:t>
      </w:r>
    </w:p>
    <w:p w:rsidR="00DD64F3" w:rsidRDefault="00DD64F3" w:rsidP="00DD64F3">
      <w:pPr>
        <w:pStyle w:val="NormalWeb"/>
        <w:spacing w:after="0"/>
        <w:jc w:val="both"/>
        <w:textAlignment w:val="baseline"/>
        <w:rPr>
          <w:lang w:val="en-US"/>
        </w:rPr>
      </w:pPr>
      <w:r w:rsidRPr="005F38CB">
        <w:rPr>
          <w:lang w:val="en-US"/>
        </w:rPr>
        <w:t>This indeed turns out to be the case. Thelink between financial openness and economicgrowth is complex. Some capital inflows, such asforeig</w:t>
      </w:r>
      <w:r>
        <w:rPr>
          <w:lang w:val="en-US"/>
        </w:rPr>
        <w:t>n direct investment -</w:t>
      </w:r>
      <w:r w:rsidRPr="005F38CB">
        <w:rPr>
          <w:lang w:val="en-US"/>
        </w:rPr>
        <w:t>which may includea transfer</w:t>
      </w:r>
      <w:r>
        <w:rPr>
          <w:lang w:val="en-US"/>
        </w:rPr>
        <w:t xml:space="preserve"> of technology or human capital- </w:t>
      </w:r>
      <w:r w:rsidRPr="005F38CB">
        <w:rPr>
          <w:lang w:val="en-US"/>
        </w:rPr>
        <w:t>doseem to boost long-term growth. But the impact</w:t>
      </w:r>
      <w:r>
        <w:rPr>
          <w:lang w:val="en-US"/>
        </w:rPr>
        <w:t xml:space="preserve"> of other flows -</w:t>
      </w:r>
      <w:r w:rsidRPr="005F38CB">
        <w:rPr>
          <w:lang w:val="en-US"/>
        </w:rPr>
        <w:t>such as portfolio investmentand banking and especially hot, or speculative,</w:t>
      </w:r>
      <w:r>
        <w:rPr>
          <w:lang w:val="en-US"/>
        </w:rPr>
        <w:t xml:space="preserve"> debt inflows- </w:t>
      </w:r>
      <w:r w:rsidRPr="005F38CB">
        <w:rPr>
          <w:lang w:val="en-US"/>
        </w:rPr>
        <w:t xml:space="preserve">seem neither to boost growth norallow the country to better share risks with itstrading partners (Dell’Ariccia and others, 2008;Ostry, Prati, and Spilimbergo, 2009). </w:t>
      </w:r>
    </w:p>
    <w:p w:rsidR="00DD64F3" w:rsidRPr="005F38CB" w:rsidRDefault="00DD64F3" w:rsidP="00DD64F3">
      <w:pPr>
        <w:pStyle w:val="NormalWeb"/>
        <w:spacing w:after="0"/>
        <w:jc w:val="both"/>
        <w:textAlignment w:val="baseline"/>
        <w:rPr>
          <w:lang w:val="en-US"/>
        </w:rPr>
      </w:pPr>
      <w:r w:rsidRPr="005F38CB">
        <w:rPr>
          <w:lang w:val="en-US"/>
        </w:rPr>
        <w:t>This suggeststhat the growth and risk-sharing benefitsof capital flows depend on which type of flowis being considered; it may also depend on thenature of supporting institutions and policies.Althoughgrowth benefits are uncertain, costsin terms of increased economic volatility andcrisis frequency seem more evident. Since 1980,there have been about 150 episodes of surgesin capital inflows in more than 50 emergingmarket economies; as shown in the left panelof Chart 2, about 20 percent of the time, theseepisodes end in a financial crisis, and many ofthese crises are associated with large outputdeclines (Ghosh, Ostry, and Qureshi, 2016).Thepervasiveness of booms and busts givescredence to the claim by Harvard economist</w:t>
      </w:r>
    </w:p>
    <w:p w:rsidR="00DD64F3" w:rsidRPr="005F38CB" w:rsidRDefault="00DD64F3" w:rsidP="00DD64F3">
      <w:pPr>
        <w:pStyle w:val="NormalWeb"/>
        <w:spacing w:after="0"/>
        <w:jc w:val="both"/>
        <w:textAlignment w:val="baseline"/>
        <w:rPr>
          <w:lang w:val="en-US"/>
        </w:rPr>
      </w:pPr>
      <w:r w:rsidRPr="005F38CB">
        <w:rPr>
          <w:lang w:val="en-US"/>
        </w:rPr>
        <w:t>Dani Rodrik that these “are hardly a sideshowor a minor blemish in international capital</w:t>
      </w:r>
      <w:r w:rsidR="008E379D">
        <w:rPr>
          <w:lang w:val="en-US"/>
        </w:rPr>
        <w:t>flows; they are the main story</w:t>
      </w:r>
      <w:r w:rsidRPr="005F38CB">
        <w:rPr>
          <w:lang w:val="en-US"/>
        </w:rPr>
        <w:t>”</w:t>
      </w:r>
      <w:r w:rsidR="008E379D">
        <w:rPr>
          <w:lang w:val="en-US"/>
        </w:rPr>
        <w:t>.</w:t>
      </w:r>
      <w:r w:rsidRPr="005F38CB">
        <w:rPr>
          <w:lang w:val="en-US"/>
        </w:rPr>
        <w:t xml:space="preserve"> While there aremany drivers, increased capital account openness consistentlyfigures as a risk factor in these cycles. In addition to raising theodds of a crash, financial openness has distributional effects,appreciably raising inequality (see Furceri and Loungani, 2015,for a discussion of the channels through which this operates).</w:t>
      </w:r>
    </w:p>
    <w:p w:rsidR="00DD64F3" w:rsidRPr="005F38CB" w:rsidRDefault="00DD64F3" w:rsidP="00DD64F3">
      <w:pPr>
        <w:pStyle w:val="NormalWeb"/>
        <w:spacing w:after="0"/>
        <w:jc w:val="both"/>
        <w:textAlignment w:val="baseline"/>
        <w:rPr>
          <w:lang w:val="en-US"/>
        </w:rPr>
      </w:pPr>
      <w:r w:rsidRPr="005F38CB">
        <w:rPr>
          <w:lang w:val="en-US"/>
        </w:rPr>
        <w:t>Moreover, the effects of openness on inequality are muchhigher when a crash ensues (Chart 2, right panel).Themounting evidence on the high cost-to-benefit ratio ofcapital account openness, particularly with respect to shorttermlows, led the IMF’s former First Deputy Managing</w:t>
      </w:r>
    </w:p>
    <w:p w:rsidR="00DD64F3" w:rsidRPr="005F38CB" w:rsidRDefault="00DD64F3" w:rsidP="00DD64F3">
      <w:pPr>
        <w:pStyle w:val="NormalWeb"/>
        <w:spacing w:after="0"/>
        <w:jc w:val="both"/>
        <w:textAlignment w:val="baseline"/>
        <w:rPr>
          <w:lang w:val="en-US"/>
        </w:rPr>
      </w:pPr>
      <w:r w:rsidRPr="005F38CB">
        <w:rPr>
          <w:lang w:val="en-US"/>
        </w:rPr>
        <w:t>Director, Stanley Fischer, now the vice chair of the U.S.Federal Reserve Board, to exclaim recently: “What usefulpurpose is served by short-term international capital flows?”</w:t>
      </w:r>
    </w:p>
    <w:p w:rsidR="00DD64F3" w:rsidRDefault="00DD64F3" w:rsidP="00DD64F3">
      <w:pPr>
        <w:pStyle w:val="NormalWeb"/>
        <w:spacing w:after="0"/>
        <w:jc w:val="both"/>
        <w:textAlignment w:val="baseline"/>
        <w:rPr>
          <w:lang w:val="en-US"/>
        </w:rPr>
      </w:pPr>
      <w:r w:rsidRPr="005F38CB">
        <w:rPr>
          <w:lang w:val="en-US"/>
        </w:rPr>
        <w:t>Among policymakers today, there is increased acceptanceof controls to limit short-term debt flows that are viewed as</w:t>
      </w:r>
      <w:r>
        <w:rPr>
          <w:lang w:val="en-US"/>
        </w:rPr>
        <w:t xml:space="preserve"> likely to lead to -or compound- </w:t>
      </w:r>
      <w:r w:rsidRPr="005F38CB">
        <w:rPr>
          <w:lang w:val="en-US"/>
        </w:rPr>
        <w:t>a financial crisis. While not</w:t>
      </w:r>
      <w:r>
        <w:rPr>
          <w:lang w:val="en-US"/>
        </w:rPr>
        <w:t xml:space="preserve"> the only tool available -</w:t>
      </w:r>
      <w:r w:rsidRPr="005F38CB">
        <w:rPr>
          <w:lang w:val="en-US"/>
        </w:rPr>
        <w:t>exchange rate and financial policies</w:t>
      </w:r>
      <w:r>
        <w:rPr>
          <w:lang w:val="en-US"/>
        </w:rPr>
        <w:t xml:space="preserve"> can also help- </w:t>
      </w:r>
      <w:r w:rsidRPr="005F38CB">
        <w:rPr>
          <w:lang w:val="en-US"/>
        </w:rPr>
        <w:t>capital controls are a viable, and sometimes theonly, option when the source of an unsustainable credit boomis direct borrowing from abroad (Ostry and others, 2012).</w:t>
      </w:r>
    </w:p>
    <w:p w:rsidR="00DD64F3" w:rsidRDefault="00DD64F3" w:rsidP="00DD64F3">
      <w:pPr>
        <w:pStyle w:val="NormalWeb"/>
        <w:spacing w:after="0"/>
        <w:jc w:val="both"/>
        <w:textAlignment w:val="baseline"/>
        <w:rPr>
          <w:lang w:val="en-US"/>
        </w:rPr>
      </w:pPr>
    </w:p>
    <w:p w:rsidR="00DD64F3" w:rsidRDefault="00DD64F3" w:rsidP="00DD64F3">
      <w:pPr>
        <w:pStyle w:val="NormalWeb"/>
        <w:spacing w:after="0"/>
        <w:jc w:val="both"/>
        <w:textAlignment w:val="baseline"/>
        <w:rPr>
          <w:lang w:val="en-US"/>
        </w:rPr>
      </w:pPr>
    </w:p>
    <w:p w:rsidR="00DD64F3" w:rsidRPr="005F38CB" w:rsidRDefault="00DD64F3" w:rsidP="00DD64F3">
      <w:pPr>
        <w:pStyle w:val="NormalWeb"/>
        <w:spacing w:after="0"/>
        <w:jc w:val="both"/>
        <w:textAlignment w:val="baseline"/>
        <w:rPr>
          <w:lang w:val="en-US"/>
        </w:rPr>
      </w:pPr>
      <w:r w:rsidRPr="005F38CB">
        <w:rPr>
          <w:lang w:val="en-US"/>
        </w:rPr>
        <w:t>Chart 1</w:t>
      </w:r>
    </w:p>
    <w:p w:rsidR="00DD64F3" w:rsidRPr="005F38CB" w:rsidRDefault="00DD64F3" w:rsidP="00DD64F3">
      <w:pPr>
        <w:pStyle w:val="NormalWeb"/>
        <w:spacing w:after="0"/>
        <w:jc w:val="both"/>
        <w:textAlignment w:val="baseline"/>
        <w:rPr>
          <w:lang w:val="en-US"/>
        </w:rPr>
      </w:pPr>
      <w:r>
        <w:rPr>
          <w:noProof/>
          <w:lang w:val="en-GB" w:eastAsia="en-GB"/>
        </w:rPr>
        <w:lastRenderedPageBreak/>
        <w:drawing>
          <wp:inline distT="0" distB="0" distL="0" distR="0">
            <wp:extent cx="5327650" cy="2724150"/>
            <wp:effectExtent l="0" t="0" r="635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7650" cy="2724150"/>
                    </a:xfrm>
                    <a:prstGeom prst="rect">
                      <a:avLst/>
                    </a:prstGeom>
                    <a:noFill/>
                    <a:ln>
                      <a:noFill/>
                    </a:ln>
                  </pic:spPr>
                </pic:pic>
              </a:graphicData>
            </a:graphic>
          </wp:inline>
        </w:drawing>
      </w:r>
    </w:p>
    <w:p w:rsidR="00DD64F3" w:rsidRPr="005F38CB" w:rsidRDefault="00DD64F3" w:rsidP="00DD64F3">
      <w:pPr>
        <w:pStyle w:val="NormalWeb"/>
        <w:spacing w:after="0"/>
        <w:jc w:val="both"/>
        <w:textAlignment w:val="baseline"/>
        <w:rPr>
          <w:lang w:val="en-US"/>
        </w:rPr>
      </w:pPr>
      <w:r w:rsidRPr="005F38CB">
        <w:rPr>
          <w:lang w:val="en-US"/>
        </w:rPr>
        <w:t>Since the 1980s countries have adopted policies to foster increased domesticcompetition through deregulation and opening their economies to foreign capital.(index of competition)</w:t>
      </w:r>
    </w:p>
    <w:p w:rsidR="00DD64F3" w:rsidRPr="005F38CB" w:rsidRDefault="00DD64F3" w:rsidP="00DD64F3">
      <w:pPr>
        <w:pStyle w:val="NormalWeb"/>
        <w:spacing w:after="0"/>
        <w:jc w:val="both"/>
        <w:textAlignment w:val="baseline"/>
        <w:rPr>
          <w:lang w:val="en-US"/>
        </w:rPr>
      </w:pPr>
      <w:r w:rsidRPr="005F38CB">
        <w:rPr>
          <w:lang w:val="en-US"/>
        </w:rPr>
        <w:t>Source: Ostry, Prati, and Spilimbergo (2009).</w:t>
      </w:r>
    </w:p>
    <w:p w:rsidR="00DD64F3" w:rsidRPr="005F38CB" w:rsidRDefault="00DD64F3" w:rsidP="00DD64F3">
      <w:pPr>
        <w:pStyle w:val="NormalWeb"/>
        <w:spacing w:after="0"/>
        <w:jc w:val="both"/>
        <w:textAlignment w:val="baseline"/>
        <w:rPr>
          <w:lang w:val="en-US"/>
        </w:rPr>
      </w:pPr>
      <w:r w:rsidRPr="005F38CB">
        <w:rPr>
          <w:lang w:val="en-US"/>
        </w:rPr>
        <w:t xml:space="preserve">Note: The chart shows the average values of a composite index of structural policies that countries adopted with the aim ofincreasing competition. The areas are openness of capital account; openness of current account; liberalization of agriculturaland network industries; domestic </w:t>
      </w:r>
      <w:r>
        <w:rPr>
          <w:lang w:val="en-US"/>
        </w:rPr>
        <w:t>fi</w:t>
      </w:r>
      <w:r w:rsidRPr="005F38CB">
        <w:rPr>
          <w:lang w:val="en-US"/>
        </w:rPr>
        <w:softHyphen/>
        <w:t>nancial liberalization; and reduction in the amount of taxes between wages and take-homepay. An index value of zero is total lack of competition and 1 is unfettered competition.</w:t>
      </w:r>
    </w:p>
    <w:p w:rsidR="00DD64F3" w:rsidRPr="005F38CB" w:rsidRDefault="00DD64F3" w:rsidP="00DD64F3">
      <w:pPr>
        <w:pStyle w:val="NormalWeb"/>
        <w:spacing w:after="0"/>
        <w:jc w:val="both"/>
        <w:textAlignment w:val="baseline"/>
        <w:rPr>
          <w:lang w:val="en-US"/>
        </w:rPr>
      </w:pPr>
      <w:r w:rsidRPr="005F38CB">
        <w:rPr>
          <w:lang w:val="en-US"/>
        </w:rPr>
        <w:t>Chart 2</w:t>
      </w:r>
    </w:p>
    <w:p w:rsidR="00DD64F3" w:rsidRPr="005F38CB" w:rsidRDefault="00DD64F3" w:rsidP="00DD64F3">
      <w:pPr>
        <w:pStyle w:val="NormalWeb"/>
        <w:spacing w:after="0"/>
        <w:jc w:val="both"/>
        <w:textAlignment w:val="baseline"/>
        <w:rPr>
          <w:lang w:val="en-US"/>
        </w:rPr>
      </w:pPr>
      <w:r>
        <w:rPr>
          <w:noProof/>
          <w:lang w:val="en-GB" w:eastAsia="en-GB"/>
        </w:rPr>
        <w:drawing>
          <wp:inline distT="0" distB="0" distL="0" distR="0">
            <wp:extent cx="5410200" cy="27051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0200" cy="2705100"/>
                    </a:xfrm>
                    <a:prstGeom prst="rect">
                      <a:avLst/>
                    </a:prstGeom>
                    <a:noFill/>
                    <a:ln>
                      <a:noFill/>
                    </a:ln>
                  </pic:spPr>
                </pic:pic>
              </a:graphicData>
            </a:graphic>
          </wp:inline>
        </w:drawing>
      </w:r>
    </w:p>
    <w:p w:rsidR="00DD64F3" w:rsidRPr="005F38CB" w:rsidRDefault="00DD64F3" w:rsidP="00DD64F3">
      <w:pPr>
        <w:pStyle w:val="NormalWeb"/>
        <w:spacing w:after="0"/>
        <w:jc w:val="both"/>
        <w:textAlignment w:val="baseline"/>
        <w:rPr>
          <w:lang w:val="en-US"/>
        </w:rPr>
      </w:pPr>
      <w:r w:rsidRPr="005F38CB">
        <w:rPr>
          <w:lang w:val="en-US"/>
        </w:rPr>
        <w:lastRenderedPageBreak/>
        <w:t>Surges of foreign capital in</w:t>
      </w:r>
      <w:r>
        <w:rPr>
          <w:lang w:val="en-US"/>
        </w:rPr>
        <w:softHyphen/>
        <w:t>ows increased the chance of a fi</w:t>
      </w:r>
      <w:r w:rsidRPr="005F38CB">
        <w:rPr>
          <w:lang w:val="en-US"/>
        </w:rPr>
        <w:t>nancial crisis, and</w:t>
      </w:r>
      <w:r>
        <w:rPr>
          <w:lang w:val="en-US"/>
        </w:rPr>
        <w:t xml:space="preserve"> such in</w:t>
      </w:r>
      <w:r w:rsidRPr="005F38CB">
        <w:rPr>
          <w:lang w:val="en-US"/>
        </w:rPr>
        <w:t>ows worsen inequality in a crisis.(increased probability of crisis) (increase in inequality, percent)</w:t>
      </w:r>
    </w:p>
    <w:p w:rsidR="00DD64F3" w:rsidRPr="005F38CB" w:rsidRDefault="00DD64F3" w:rsidP="00DD64F3">
      <w:pPr>
        <w:pStyle w:val="NormalWeb"/>
        <w:spacing w:after="0"/>
        <w:jc w:val="both"/>
        <w:textAlignment w:val="baseline"/>
        <w:rPr>
          <w:lang w:val="en-US"/>
        </w:rPr>
      </w:pPr>
      <w:r w:rsidRPr="005F38CB">
        <w:rPr>
          <w:lang w:val="en-US"/>
        </w:rPr>
        <w:t>Sources: Ghosh, Ostry, and Qureshi (2016), left panel; Furceri and Loungani (2015), right panel.</w:t>
      </w:r>
    </w:p>
    <w:p w:rsidR="00DD64F3" w:rsidRPr="005F38CB" w:rsidRDefault="00DD64F3" w:rsidP="00DD64F3">
      <w:pPr>
        <w:pStyle w:val="NormalWeb"/>
        <w:spacing w:after="0"/>
        <w:jc w:val="both"/>
        <w:textAlignment w:val="baseline"/>
        <w:rPr>
          <w:lang w:val="en-US"/>
        </w:rPr>
      </w:pPr>
      <w:r w:rsidRPr="005F38CB">
        <w:rPr>
          <w:lang w:val="en-US"/>
        </w:rPr>
        <w:t>Note: The left panel shows the increased probability of a crisis during a surge in capital in</w:t>
      </w:r>
      <w:r w:rsidRPr="005F38CB">
        <w:rPr>
          <w:lang w:val="en-US"/>
        </w:rPr>
        <w:softHyphen/>
        <w:t>ows. It is based on 165 episodesof in</w:t>
      </w:r>
      <w:r w:rsidRPr="005F38CB">
        <w:rPr>
          <w:lang w:val="en-US"/>
        </w:rPr>
        <w:softHyphen/>
        <w:t>ows in 53 emerging market economies between 1980 and 2014. The right panel compares the increase in the Ginimeasure of income inequality when capital account liberalization was followed by a crisis with periods when no crisis ensued.</w:t>
      </w:r>
    </w:p>
    <w:p w:rsidR="00DD64F3" w:rsidRPr="005F38CB" w:rsidRDefault="00DD64F3" w:rsidP="00DD64F3">
      <w:pPr>
        <w:pStyle w:val="NormalWeb"/>
        <w:spacing w:after="0"/>
        <w:jc w:val="both"/>
        <w:textAlignment w:val="baseline"/>
        <w:rPr>
          <w:lang w:val="en-US"/>
        </w:rPr>
      </w:pPr>
      <w:r w:rsidRPr="005F38CB">
        <w:rPr>
          <w:lang w:val="en-US"/>
        </w:rPr>
        <w:t>It is based on 224 episodes of capital account liberalization in 149 countries between 1970 and 2010.Financial crisis (bankingor currency crisis)Twin crises (bankingand currency crisis)</w:t>
      </w:r>
    </w:p>
    <w:p w:rsidR="00DD64F3" w:rsidRPr="005F38CB" w:rsidRDefault="00DD64F3" w:rsidP="00DD64F3">
      <w:pPr>
        <w:pStyle w:val="NormalWeb"/>
        <w:spacing w:after="0"/>
        <w:jc w:val="both"/>
        <w:textAlignment w:val="baseline"/>
        <w:rPr>
          <w:lang w:val="en-US"/>
        </w:rPr>
      </w:pPr>
      <w:r w:rsidRPr="005F38CB">
        <w:rPr>
          <w:lang w:val="en-US"/>
        </w:rPr>
        <w:t>Size of the state</w:t>
      </w:r>
    </w:p>
    <w:p w:rsidR="00DD64F3" w:rsidRDefault="00DD64F3" w:rsidP="00DD64F3">
      <w:pPr>
        <w:pStyle w:val="NormalWeb"/>
        <w:spacing w:after="0"/>
        <w:jc w:val="both"/>
        <w:textAlignment w:val="baseline"/>
        <w:rPr>
          <w:lang w:val="en-US"/>
        </w:rPr>
      </w:pPr>
      <w:r w:rsidRPr="005F38CB">
        <w:rPr>
          <w:lang w:val="en-US"/>
        </w:rPr>
        <w:t>Curbing the size of the state is another aspect of the neoliberalagenda. Privatization of some government functionsis one way to achieve this. Another is to constrain governmentspending through limits on the size of fiscal deficitsand on the ability of governments to accumulate debt. Theeconomic history of recent decades offers many examplesof such curbs, such as the limit of 60 percent of GDP setfor countries to join the euro area (one of the so-calledMaastricht criteria).Economictheory provides little guidance on the optimalpublic debt target. Some theories justify higher levelsof debt (since taxation is distortionary) and others point</w:t>
      </w:r>
      <w:r>
        <w:rPr>
          <w:lang w:val="en-US"/>
        </w:rPr>
        <w:t xml:space="preserve"> to lower -or even negative- </w:t>
      </w:r>
      <w:r w:rsidRPr="005F38CB">
        <w:rPr>
          <w:lang w:val="en-US"/>
        </w:rPr>
        <w:t xml:space="preserve">levels (since adverse shockscall for precautionary saving). In some of its fiscal policyadvice, the IMF has been concerned mainly with the pace atwhich governments reduce deficits and debt levels followingthe buildup of debt in advanced economies induced bythe global financial crisis: too slow would unnerve markets;too fast would derail recovery. But the IMF has also arguedfor paying down debt ratios in the medium term in a broadmix of advanced and emerging market countries, mainly asinsurance against future shocks.Butis there really a defensible case for countries likeGermany, the United Kingdom, or the United States to paydown the public debt? </w:t>
      </w:r>
    </w:p>
    <w:p w:rsidR="00DD64F3" w:rsidRPr="005F38CB" w:rsidRDefault="00DD64F3" w:rsidP="00DD64F3">
      <w:pPr>
        <w:pStyle w:val="NormalWeb"/>
        <w:spacing w:after="0"/>
        <w:jc w:val="both"/>
        <w:textAlignment w:val="baseline"/>
        <w:rPr>
          <w:lang w:val="en-US"/>
        </w:rPr>
      </w:pPr>
      <w:r w:rsidRPr="005F38CB">
        <w:rPr>
          <w:lang w:val="en-US"/>
        </w:rPr>
        <w:t>Two arguments are usually made insupport of paying down the debt in countries with ample fiscal</w:t>
      </w:r>
      <w:r>
        <w:rPr>
          <w:lang w:val="en-US"/>
        </w:rPr>
        <w:t xml:space="preserve"> space -</w:t>
      </w:r>
      <w:r w:rsidRPr="005F38CB">
        <w:rPr>
          <w:lang w:val="en-US"/>
        </w:rPr>
        <w:t>that is, in countries where there is little real prospectof a fiscal crisis. The first is that, although large adverseshocks such as the Great Depression of the 1930s or theglobal financial crisis of the past decade occur rarely, whenthey do, it is helpful to have used the quiet times to pay downthe debt. The second argument rests on the notion that highdebt</w:t>
      </w:r>
      <w:r>
        <w:rPr>
          <w:lang w:val="en-US"/>
        </w:rPr>
        <w:t xml:space="preserve"> is bad for growth -</w:t>
      </w:r>
      <w:r w:rsidRPr="005F38CB">
        <w:rPr>
          <w:lang w:val="en-US"/>
        </w:rPr>
        <w:t>and, therefore, to lay a firm foundationfor growth, paying down the debt is essential.Itis surely the case that many countries (such as thosein southern Europe) have little choice but to engage in fiscalconsolidation, because markets will not allow them tocontinue borrowing. But the need for consolidation in somecountr</w:t>
      </w:r>
      <w:r>
        <w:rPr>
          <w:lang w:val="en-US"/>
        </w:rPr>
        <w:t>ies does not mean all countries -</w:t>
      </w:r>
      <w:r w:rsidRPr="005F38CB">
        <w:rPr>
          <w:lang w:val="en-US"/>
        </w:rPr>
        <w:t>at least in this case,caution about “one size fits all” seems completely warranted.</w:t>
      </w:r>
    </w:p>
    <w:p w:rsidR="00DD64F3" w:rsidRDefault="00DD64F3" w:rsidP="00DD64F3">
      <w:pPr>
        <w:pStyle w:val="NormalWeb"/>
        <w:spacing w:after="0"/>
        <w:jc w:val="both"/>
        <w:textAlignment w:val="baseline"/>
        <w:rPr>
          <w:lang w:val="en-US"/>
        </w:rPr>
      </w:pPr>
      <w:r w:rsidRPr="005F38CB">
        <w:rPr>
          <w:lang w:val="en-US"/>
        </w:rPr>
        <w:t xml:space="preserve">Markets generally attach very low probabilities of a debt crisisto countries that have a strong record of being fiscallyresponsible (Mendoza and Ostry, 2007). Such a track </w:t>
      </w:r>
      <w:r w:rsidRPr="005F38CB">
        <w:rPr>
          <w:lang w:val="en-US"/>
        </w:rPr>
        <w:lastRenderedPageBreak/>
        <w:t>recordgives them latitude to decide not to raise taxes or cut productivespending when the debt level is high (Ostry andothers, 2010; Ghosh and others, 2013). And for countrieswith a strong track record, the benefit of debt reduction, interms of insurance against a future fiscal crisis, turns outto be remarkably small, even at very high levels of debt toGDP. For example, moving from a debt ratio of 120 percentof GDP to 100 percent of GDP over a few years buys thecountry very little in terms of reduced crisis risk (Baldacciand others, 2011).Buteven if the insurance benefit is small, it may still beworth incurring if the cost is sufficiently low. It turns out,howeve</w:t>
      </w:r>
      <w:r>
        <w:rPr>
          <w:lang w:val="en-US"/>
        </w:rPr>
        <w:t>r, that the cost could be large -</w:t>
      </w:r>
      <w:r w:rsidRPr="005F38CB">
        <w:rPr>
          <w:lang w:val="en-US"/>
        </w:rPr>
        <w:t>much larger than thebenefit. The reason is that, to get to a lower debt level, taxesthat distort economic behavior need to be raised temporarilyor productive spending needs to be</w:t>
      </w:r>
      <w:r>
        <w:rPr>
          <w:lang w:val="en-US"/>
        </w:rPr>
        <w:t xml:space="preserve"> cut -</w:t>
      </w:r>
      <w:r w:rsidRPr="005F38CB">
        <w:rPr>
          <w:lang w:val="en-US"/>
        </w:rPr>
        <w:t>or both. Thecosts of the tax increases or expenditure cuts required tobring down the debt may be much larger than the reducedcrisis risk engendered by the lower debt (Ostry, Ghosh, andEspinoza, 2015). This is not to deny that high debt is bad forgrowth and welfare. It is. But the key point is that the welfarecost from the higher debt (the so-called burden of the debt)is one that has already been incurred and cannot be recovered;it is a sunk cost. Faced with a choice between living withthe high</w:t>
      </w:r>
      <w:r>
        <w:rPr>
          <w:lang w:val="en-US"/>
        </w:rPr>
        <w:t>er debt -</w:t>
      </w:r>
      <w:r w:rsidRPr="005F38CB">
        <w:rPr>
          <w:lang w:val="en-US"/>
        </w:rPr>
        <w:t>allowing the debt ratio to decline organically</w:t>
      </w:r>
      <w:r>
        <w:rPr>
          <w:lang w:val="en-US"/>
        </w:rPr>
        <w:t xml:space="preserve"> through growth- </w:t>
      </w:r>
      <w:r w:rsidRPr="005F38CB">
        <w:rPr>
          <w:lang w:val="en-US"/>
        </w:rPr>
        <w:t>or deliberately running budgetarysurpluses to reduce the debt, governments with ample fiscalspace will do better by living with the debt.</w:t>
      </w:r>
    </w:p>
    <w:p w:rsidR="00DD64F3" w:rsidRPr="005F38CB" w:rsidRDefault="00DD64F3" w:rsidP="00DD64F3">
      <w:pPr>
        <w:pStyle w:val="NormalWeb"/>
        <w:spacing w:after="0"/>
        <w:jc w:val="both"/>
        <w:textAlignment w:val="baseline"/>
        <w:rPr>
          <w:lang w:val="en-US"/>
        </w:rPr>
      </w:pPr>
      <w:r w:rsidRPr="005F38CB">
        <w:rPr>
          <w:lang w:val="en-US"/>
        </w:rPr>
        <w:t xml:space="preserve">Austeritypolicies not only generate substantial welfare costsdue to supply-side </w:t>
      </w:r>
      <w:r>
        <w:rPr>
          <w:lang w:val="en-US"/>
        </w:rPr>
        <w:t>channels, they also hurt demand -</w:t>
      </w:r>
      <w:r w:rsidRPr="005F38CB">
        <w:rPr>
          <w:lang w:val="en-US"/>
        </w:rPr>
        <w:t>and thusworsen employment and unemployment. The notion that fiscalconsolidations can be expansionary (that is, raise output andemployment), in part by raising private sector confidence andinvestment, has been championed by, among others, Harvardeconomist Alberto Alesina in the academic world and by formerEuropean Central Bank President Jean-Claude Trichet inthe policy arena. However, in practice, episodes of fiscal consolidationhave been followed, on average, by drops rather than byexpansions in output. On average, a consolidation of 1 percentof GDP increases the long-term unemployment rate by 0.6 percentagepoint and raises by 1.5 percent within five years the Ginimeasure of income inequality (Ball and others, 2013).Insum, the benefits of some policies that are an importantpart of the neoliberal agenda appear to have been somewhatoverplayed. In the case of financial openness, some capitalflows, such as foreign direct investment, do appear to conferthe benefits claimed for them. But for others, particularlyshort-term capital flows, the benefits to growth are difficultto reap, whereas the risks, in terms of greater volatility andincreased risk of crisis, loom large.Inthe case of fiscal consolidation, the short-run costsin terms of lower output and welfare and higher unemploymenthave been underplayed, and the desirability forcountries with ample fiscal space of simply living with highdebt and allowing debt ratios to decline organically throughgrowth is underappreciated.</w:t>
      </w:r>
    </w:p>
    <w:p w:rsidR="00DD64F3" w:rsidRDefault="00DD64F3" w:rsidP="00DD64F3">
      <w:pPr>
        <w:pStyle w:val="NormalWeb"/>
        <w:spacing w:after="0"/>
        <w:jc w:val="both"/>
        <w:textAlignment w:val="baseline"/>
        <w:rPr>
          <w:lang w:val="en-US"/>
        </w:rPr>
      </w:pPr>
      <w:r w:rsidRPr="005F38CB">
        <w:rPr>
          <w:lang w:val="en-US"/>
        </w:rPr>
        <w:t>An adverse loop</w:t>
      </w:r>
    </w:p>
    <w:p w:rsidR="00DD64F3" w:rsidRDefault="00DD64F3" w:rsidP="00DD64F3">
      <w:pPr>
        <w:pStyle w:val="NormalWeb"/>
        <w:spacing w:after="0"/>
        <w:jc w:val="both"/>
        <w:textAlignment w:val="baseline"/>
        <w:rPr>
          <w:lang w:val="en-US"/>
        </w:rPr>
      </w:pPr>
      <w:r w:rsidRPr="005F38CB">
        <w:rPr>
          <w:lang w:val="en-US"/>
        </w:rPr>
        <w:t xml:space="preserve">Moreover,since both openness and austerity are associatedwith increasing income inequality, this distributionaleffect sets up an adverse feedback loop. The increase ininequality engendered by financial openness and austeritymight itself undercut growth, the very thing that the neoliberalagenda is intent on boosting. There is now strongevidence that inequality can significantly lower both thelevel and the durability of growth (Ostry, Berg, and Tsangarides,2014).Theevidence of the economic damage from inequalitysuggests that policymakers should be more open to redistributionthan they are. Of course, apart from redistribution,policies could be designed to mitigate some of </w:t>
      </w:r>
      <w:r w:rsidRPr="005F38CB">
        <w:rPr>
          <w:lang w:val="en-US"/>
        </w:rPr>
        <w:lastRenderedPageBreak/>
        <w:t>the impacts</w:t>
      </w:r>
      <w:r>
        <w:rPr>
          <w:lang w:val="en-US"/>
        </w:rPr>
        <w:t xml:space="preserve"> in advance -</w:t>
      </w:r>
      <w:r w:rsidRPr="005F38CB">
        <w:rPr>
          <w:lang w:val="en-US"/>
        </w:rPr>
        <w:t>for instance, through increased spending oneducation and training, which expands equality of opportunity(so-called predistribution policies). And fiscal consolidation</w:t>
      </w:r>
      <w:r>
        <w:rPr>
          <w:lang w:val="en-US"/>
        </w:rPr>
        <w:t xml:space="preserve"> strategies -when they are needed- </w:t>
      </w:r>
      <w:r w:rsidRPr="005F38CB">
        <w:rPr>
          <w:lang w:val="en-US"/>
        </w:rPr>
        <w:t>could bedesigned to minimize the adverse impact on low-incomegroups. But in some cases, the untoward distributionalconsequences will have to be remedied after they occurby using taxes and government spending to redistributeincome. Fortunately, the fear that such policies will themselvesnecessarily hurt growth is unfounded (Ostry, 2014).</w:t>
      </w:r>
    </w:p>
    <w:p w:rsidR="00DD64F3" w:rsidRPr="005F38CB" w:rsidRDefault="00DD64F3" w:rsidP="00DD64F3">
      <w:pPr>
        <w:pStyle w:val="NormalWeb"/>
        <w:spacing w:after="0"/>
        <w:jc w:val="both"/>
        <w:textAlignment w:val="baseline"/>
        <w:rPr>
          <w:lang w:val="en-US"/>
        </w:rPr>
      </w:pPr>
      <w:r w:rsidRPr="005F38CB">
        <w:rPr>
          <w:lang w:val="en-US"/>
        </w:rPr>
        <w:t>Findingthe balance</w:t>
      </w:r>
    </w:p>
    <w:p w:rsidR="00DD64F3" w:rsidRPr="005F38CB" w:rsidRDefault="00DD64F3" w:rsidP="00DD64F3">
      <w:pPr>
        <w:pStyle w:val="NormalWeb"/>
        <w:spacing w:after="0"/>
        <w:jc w:val="both"/>
        <w:textAlignment w:val="baseline"/>
        <w:rPr>
          <w:lang w:val="en-US"/>
        </w:rPr>
      </w:pPr>
      <w:r w:rsidRPr="005F38CB">
        <w:rPr>
          <w:lang w:val="en-US"/>
        </w:rPr>
        <w:t>These findings suggest a need for a more nuanced view ofwhat the neoliberal agenda is likely to be able to achieve. TheIMF, which oversees the international monetary system, hasbeen at the forefront of this reconsideration.Forexample, its former chief economist, Olivier Blanchard,said in 2010 that “what is needed in many advanced economiesis a credible medium-term fiscal consolidation, not a</w:t>
      </w:r>
      <w:r w:rsidR="008E379D">
        <w:rPr>
          <w:lang w:val="en-US"/>
        </w:rPr>
        <w:t>fiscal noose today</w:t>
      </w:r>
      <w:r w:rsidRPr="005F38CB">
        <w:rPr>
          <w:lang w:val="en-US"/>
        </w:rPr>
        <w:t>”</w:t>
      </w:r>
      <w:r w:rsidR="008E379D">
        <w:rPr>
          <w:lang w:val="en-US"/>
        </w:rPr>
        <w:t>.</w:t>
      </w:r>
      <w:r w:rsidRPr="005F38CB">
        <w:rPr>
          <w:lang w:val="en-US"/>
        </w:rPr>
        <w:t xml:space="preserve"> Three years later, IMF Managing DirectorChristine Lagarde said the institution believed that theU.S. Congress was right to raise the country’s debt ceiling“because the point is not to contract the economy by slashingspending brutall</w:t>
      </w:r>
      <w:r w:rsidR="008E379D">
        <w:rPr>
          <w:lang w:val="en-US"/>
        </w:rPr>
        <w:t>y now as recovery is picking up</w:t>
      </w:r>
      <w:r w:rsidRPr="005F38CB">
        <w:rPr>
          <w:lang w:val="en-US"/>
        </w:rPr>
        <w:t>”</w:t>
      </w:r>
      <w:r w:rsidR="008E379D">
        <w:rPr>
          <w:lang w:val="en-US"/>
        </w:rPr>
        <w:t>.</w:t>
      </w:r>
      <w:r w:rsidRPr="005F38CB">
        <w:rPr>
          <w:lang w:val="en-US"/>
        </w:rPr>
        <w:t xml:space="preserve"> And in2015 the IMF advised that countries in the euro area “withfiscal space shou</w:t>
      </w:r>
      <w:r w:rsidR="008E379D">
        <w:rPr>
          <w:lang w:val="en-US"/>
        </w:rPr>
        <w:t>ld use it to support investment</w:t>
      </w:r>
      <w:r w:rsidRPr="005F38CB">
        <w:rPr>
          <w:lang w:val="en-US"/>
        </w:rPr>
        <w:t>”</w:t>
      </w:r>
      <w:r w:rsidR="008E379D">
        <w:rPr>
          <w:lang w:val="en-US"/>
        </w:rPr>
        <w:t>.</w:t>
      </w:r>
    </w:p>
    <w:p w:rsidR="00DD64F3" w:rsidRPr="00DC2154" w:rsidRDefault="00DD64F3" w:rsidP="00DD64F3">
      <w:pPr>
        <w:pStyle w:val="NormalWeb"/>
        <w:spacing w:after="0"/>
        <w:jc w:val="both"/>
        <w:textAlignment w:val="baseline"/>
        <w:rPr>
          <w:lang w:val="en-US"/>
        </w:rPr>
      </w:pPr>
      <w:r w:rsidRPr="005F38CB">
        <w:rPr>
          <w:lang w:val="en-US"/>
        </w:rPr>
        <w:t>On capital account liberalization, the IMF’s view has also</w:t>
      </w:r>
      <w:r w:rsidR="003E312E">
        <w:rPr>
          <w:lang w:val="en-US"/>
        </w:rPr>
        <w:t>changed -</w:t>
      </w:r>
      <w:r w:rsidRPr="005F38CB">
        <w:rPr>
          <w:lang w:val="en-US"/>
        </w:rPr>
        <w:t>from one that considered capital controls as almostalways counterproductive to greater acceptance of controlsto deal with the volatility of capital flows. The IMF also recognizesthat full capital flow liberalization is not always anappropriate end-goal, and that further liberalization is morebeneficial and less risky if countries have reached certainthresholds of financial and institutional development.Chile’spioneering experience with neoliberalism receivedhigh praise from Nobel laureate Friedman, but many economistshave now come around to the more nuanced viewexpressed by Columbia University professor Joseph Stiglitz(himself a Nobel laureate) that Chile “is an example of asuccess of combining markets with appropriate regulation”(2002). Stiglitz noted that in the early years of its move toneoliberalism, Chile imposed “controls on the inflows ofcapital</w:t>
      </w:r>
      <w:r w:rsidR="003E312E">
        <w:rPr>
          <w:lang w:val="en-US"/>
        </w:rPr>
        <w:t>, so they wouldn’t be inundated</w:t>
      </w:r>
      <w:r w:rsidRPr="005F38CB">
        <w:rPr>
          <w:lang w:val="en-US"/>
        </w:rPr>
        <w:t>”</w:t>
      </w:r>
      <w:r w:rsidR="003E312E">
        <w:rPr>
          <w:lang w:val="en-US"/>
        </w:rPr>
        <w:t>,</w:t>
      </w:r>
      <w:r w:rsidRPr="005F38CB">
        <w:rPr>
          <w:lang w:val="en-US"/>
        </w:rPr>
        <w:t xml:space="preserve"> as, for example,the first Asian-crisis country, Thailand, was a decade anda half later. Chile’s experience (the country now eschewscapital controls), and that of other countries, suggests thatno fixed agenda delivers good outcomes for all countries forall times. Policymakers, and institutions like the IMF thatadvise them, must be guided not by faith, but by evidence ofwhat has worked.</w:t>
      </w:r>
    </w:p>
    <w:p w:rsidR="00DD64F3" w:rsidRPr="00DD64F3" w:rsidRDefault="00DD64F3" w:rsidP="00DD64F3">
      <w:pPr>
        <w:shd w:val="clear" w:color="auto" w:fill="FFFFFF"/>
        <w:spacing w:after="270" w:line="240" w:lineRule="auto"/>
        <w:jc w:val="both"/>
        <w:textAlignment w:val="baseline"/>
        <w:rPr>
          <w:rFonts w:ascii="Times New Roman" w:eastAsia="Times New Roman" w:hAnsi="Times New Roman"/>
          <w:i/>
          <w:sz w:val="24"/>
          <w:szCs w:val="24"/>
        </w:rPr>
      </w:pPr>
      <w:r>
        <w:rPr>
          <w:rFonts w:ascii="Times New Roman" w:eastAsia="Times New Roman" w:hAnsi="Times New Roman"/>
          <w:i/>
          <w:sz w:val="24"/>
          <w:szCs w:val="24"/>
        </w:rPr>
        <w:t>“</w:t>
      </w:r>
      <w:r w:rsidRPr="00DD64F3">
        <w:rPr>
          <w:rFonts w:ascii="Times New Roman" w:eastAsia="Times New Roman" w:hAnsi="Times New Roman"/>
          <w:i/>
          <w:sz w:val="24"/>
          <w:szCs w:val="24"/>
        </w:rPr>
        <w:t>La tasa de inflación interanual de la Eurozona se ha situado en mayo en el -0,1%, frente a la caída de dos décimas de los precios en el mes anterior. Ya son más de dos en los que los precios no levantan cabeza a pesar de la ultra-expansiva política monetaria del BCE. No es de extrañar que cada vez más expertos hablen del “helicóptero del dinero” como una herramienta más en la caja del banco central. ¿</w:t>
      </w:r>
      <w:r w:rsidRPr="003E312E">
        <w:rPr>
          <w:rFonts w:ascii="Times New Roman" w:eastAsia="Times New Roman" w:hAnsi="Times New Roman"/>
          <w:i/>
          <w:sz w:val="24"/>
          <w:szCs w:val="24"/>
        </w:rPr>
        <w:t xml:space="preserve">Qué </w:t>
      </w:r>
      <w:r w:rsidRPr="00DD64F3">
        <w:rPr>
          <w:rFonts w:ascii="Times New Roman" w:eastAsia="Times New Roman" w:hAnsi="Times New Roman"/>
          <w:i/>
          <w:sz w:val="24"/>
          <w:szCs w:val="24"/>
        </w:rPr>
        <w:t>esperan los expertos de la reunión de hoy del BCE? Se descartan nuevas acciones</w:t>
      </w:r>
    </w:p>
    <w:p w:rsidR="00DD64F3" w:rsidRPr="00DD64F3" w:rsidRDefault="00DD64F3" w:rsidP="00DD64F3">
      <w:pPr>
        <w:shd w:val="clear" w:color="auto" w:fill="FFFFFF"/>
        <w:spacing w:after="270" w:line="240" w:lineRule="auto"/>
        <w:jc w:val="both"/>
        <w:textAlignment w:val="baseline"/>
        <w:rPr>
          <w:rFonts w:ascii="Times New Roman" w:eastAsia="Times New Roman" w:hAnsi="Times New Roman"/>
          <w:i/>
          <w:sz w:val="24"/>
          <w:szCs w:val="24"/>
        </w:rPr>
      </w:pPr>
      <w:r w:rsidRPr="00DD64F3">
        <w:rPr>
          <w:rFonts w:ascii="Times New Roman" w:eastAsia="Times New Roman" w:hAnsi="Times New Roman"/>
          <w:i/>
          <w:sz w:val="24"/>
          <w:szCs w:val="24"/>
        </w:rPr>
        <w:t xml:space="preserve">El último experto en hablar de esta política ha sido Santiago Carbó, Director de Estudios Financieros de Funcas e investigador de la Reserva Federal de Chicago. Carbó asegura en el blog de Funcas que llegados a este punto de dificultad para </w:t>
      </w:r>
      <w:r w:rsidRPr="00DD64F3">
        <w:rPr>
          <w:rFonts w:ascii="Times New Roman" w:eastAsia="Times New Roman" w:hAnsi="Times New Roman"/>
          <w:i/>
          <w:sz w:val="24"/>
          <w:szCs w:val="24"/>
        </w:rPr>
        <w:lastRenderedPageBreak/>
        <w:t>estimular los precios, cualquier medida empieza a ser considerada como una posible solución.</w:t>
      </w:r>
    </w:p>
    <w:p w:rsidR="00DD64F3" w:rsidRPr="00DD64F3" w:rsidRDefault="00DD64F3" w:rsidP="00DD64F3">
      <w:pPr>
        <w:shd w:val="clear" w:color="auto" w:fill="FFFFFF"/>
        <w:spacing w:after="270" w:line="240" w:lineRule="auto"/>
        <w:jc w:val="both"/>
        <w:textAlignment w:val="baseline"/>
        <w:rPr>
          <w:rFonts w:ascii="Times New Roman" w:eastAsia="Times New Roman" w:hAnsi="Times New Roman"/>
          <w:i/>
          <w:sz w:val="24"/>
          <w:szCs w:val="24"/>
        </w:rPr>
      </w:pPr>
      <w:r w:rsidRPr="00DD64F3">
        <w:rPr>
          <w:rFonts w:ascii="Times New Roman" w:eastAsia="Times New Roman" w:hAnsi="Times New Roman"/>
          <w:i/>
          <w:sz w:val="24"/>
          <w:szCs w:val="24"/>
        </w:rPr>
        <w:t>El “helicóptero del dinero” es un híbrido entre política fiscal y mo</w:t>
      </w:r>
      <w:r w:rsidR="005337CB">
        <w:rPr>
          <w:rFonts w:ascii="Times New Roman" w:eastAsia="Times New Roman" w:hAnsi="Times New Roman"/>
          <w:i/>
          <w:sz w:val="24"/>
          <w:szCs w:val="24"/>
        </w:rPr>
        <w:t>ntería. Como explican desde Deuts</w:t>
      </w:r>
      <w:r w:rsidRPr="00DD64F3">
        <w:rPr>
          <w:rFonts w:ascii="Times New Roman" w:eastAsia="Times New Roman" w:hAnsi="Times New Roman"/>
          <w:i/>
          <w:sz w:val="24"/>
          <w:szCs w:val="24"/>
        </w:rPr>
        <w:t>che Bank, se trata de la capacidad del banco central para imprimir dinero, ya sea en forma de billetes o anotándolo en los balances de los bancos, los gobiernos o de los de individuos.</w:t>
      </w:r>
    </w:p>
    <w:p w:rsidR="00DD64F3" w:rsidRPr="0041352F" w:rsidRDefault="00DD64F3" w:rsidP="00DD64F3">
      <w:pPr>
        <w:shd w:val="clear" w:color="auto" w:fill="FFFFFF"/>
        <w:spacing w:after="270" w:line="240" w:lineRule="auto"/>
        <w:jc w:val="both"/>
        <w:textAlignment w:val="baseline"/>
        <w:rPr>
          <w:rFonts w:ascii="Times New Roman" w:eastAsia="Times New Roman" w:hAnsi="Times New Roman"/>
          <w:sz w:val="24"/>
          <w:szCs w:val="24"/>
        </w:rPr>
      </w:pPr>
      <w:r w:rsidRPr="00DD64F3">
        <w:rPr>
          <w:rFonts w:ascii="Times New Roman" w:eastAsia="Times New Roman" w:hAnsi="Times New Roman"/>
          <w:i/>
          <w:sz w:val="24"/>
          <w:szCs w:val="24"/>
        </w:rPr>
        <w:t>Es decir, se permitiría a los Gobiernos (o familias) gastar más o bajar los impuestos sin incrementar su deuda, puesto que estas políticas estarían financiadas por un incremento permanente de la oferta monetaria. En el caso de la Eurozona, la financiación directa a las familias sería la única opción, puesto que la legislación europea prohíbe monetizar la deuda pública</w:t>
      </w:r>
      <w:r>
        <w:rPr>
          <w:rFonts w:ascii="Times New Roman" w:eastAsia="Times New Roman" w:hAnsi="Times New Roman"/>
          <w:i/>
          <w:sz w:val="24"/>
          <w:szCs w:val="24"/>
        </w:rPr>
        <w:t>”..</w:t>
      </w:r>
      <w:r w:rsidRPr="00DD64F3">
        <w:rPr>
          <w:rFonts w:ascii="Times New Roman" w:eastAsia="Times New Roman" w:hAnsi="Times New Roman"/>
          <w:i/>
          <w:sz w:val="24"/>
          <w:szCs w:val="24"/>
        </w:rPr>
        <w:t>.</w:t>
      </w:r>
      <w:r w:rsidRPr="0041352F">
        <w:rPr>
          <w:rFonts w:ascii="Times New Roman" w:eastAsia="Times New Roman" w:hAnsi="Times New Roman"/>
          <w:sz w:val="24"/>
          <w:szCs w:val="24"/>
          <w:u w:val="single"/>
        </w:rPr>
        <w:t>El BCE sólo podría usar la versión más</w:t>
      </w:r>
      <w:r>
        <w:rPr>
          <w:rFonts w:ascii="Times New Roman" w:eastAsia="Times New Roman" w:hAnsi="Times New Roman"/>
          <w:sz w:val="24"/>
          <w:szCs w:val="24"/>
          <w:u w:val="single"/>
        </w:rPr>
        <w:t xml:space="preserve"> radical del “helicóptero”</w:t>
      </w:r>
      <w:r w:rsidRPr="0041352F">
        <w:rPr>
          <w:rFonts w:ascii="Times New Roman" w:eastAsia="Times New Roman" w:hAnsi="Times New Roman"/>
          <w:sz w:val="24"/>
          <w:szCs w:val="24"/>
          <w:u w:val="single"/>
        </w:rPr>
        <w:t>: regalar dinero a cada europeo</w:t>
      </w:r>
      <w:r>
        <w:rPr>
          <w:rFonts w:ascii="Times New Roman" w:eastAsia="Times New Roman" w:hAnsi="Times New Roman"/>
          <w:sz w:val="24"/>
          <w:szCs w:val="24"/>
        </w:rPr>
        <w:t xml:space="preserve"> (El Economista - </w:t>
      </w:r>
      <w:r w:rsidRPr="0041352F">
        <w:rPr>
          <w:rFonts w:ascii="Times New Roman" w:eastAsia="Times New Roman" w:hAnsi="Times New Roman"/>
          <w:b/>
          <w:sz w:val="24"/>
          <w:szCs w:val="24"/>
        </w:rPr>
        <w:t>2/6/16</w:t>
      </w:r>
      <w:r>
        <w:rPr>
          <w:rFonts w:ascii="Times New Roman" w:eastAsia="Times New Roman" w:hAnsi="Times New Roman"/>
          <w:sz w:val="24"/>
          <w:szCs w:val="24"/>
        </w:rPr>
        <w:t>)</w:t>
      </w:r>
    </w:p>
    <w:p w:rsidR="00DD64F3" w:rsidRPr="00DD64F3" w:rsidRDefault="00DD64F3" w:rsidP="00DD64F3">
      <w:pPr>
        <w:shd w:val="clear" w:color="auto" w:fill="FFFFFF"/>
        <w:spacing w:after="270" w:line="240" w:lineRule="auto"/>
        <w:jc w:val="both"/>
        <w:textAlignment w:val="baseline"/>
        <w:rPr>
          <w:rFonts w:ascii="Times New Roman" w:eastAsia="Times New Roman" w:hAnsi="Times New Roman"/>
          <w:i/>
          <w:sz w:val="24"/>
          <w:szCs w:val="24"/>
        </w:rPr>
      </w:pPr>
      <w:r>
        <w:rPr>
          <w:rFonts w:ascii="Times New Roman" w:eastAsia="Times New Roman" w:hAnsi="Times New Roman"/>
          <w:i/>
          <w:sz w:val="24"/>
          <w:szCs w:val="24"/>
        </w:rPr>
        <w:t>“</w:t>
      </w:r>
      <w:r w:rsidRPr="00DD64F3">
        <w:rPr>
          <w:rFonts w:ascii="Times New Roman" w:eastAsia="Times New Roman" w:hAnsi="Times New Roman"/>
          <w:i/>
          <w:sz w:val="24"/>
          <w:szCs w:val="24"/>
        </w:rPr>
        <w:t>Uno de los grandes misterios de la recuperación de la economía estadounidense es ¿por qué razón las tasas de interés tan bajas han hecho tan poco para incentivar la inversión de las empresas?</w:t>
      </w:r>
    </w:p>
    <w:p w:rsidR="00DD64F3" w:rsidRPr="00DD64F3" w:rsidRDefault="00DD64F3" w:rsidP="00DD64F3">
      <w:pPr>
        <w:shd w:val="clear" w:color="auto" w:fill="FFFFFF"/>
        <w:spacing w:after="270" w:line="240" w:lineRule="auto"/>
        <w:jc w:val="both"/>
        <w:textAlignment w:val="baseline"/>
        <w:rPr>
          <w:rFonts w:ascii="Times New Roman" w:eastAsia="Times New Roman" w:hAnsi="Times New Roman"/>
          <w:i/>
          <w:sz w:val="24"/>
          <w:szCs w:val="24"/>
        </w:rPr>
      </w:pPr>
      <w:r w:rsidRPr="00DD64F3">
        <w:rPr>
          <w:rFonts w:ascii="Times New Roman" w:eastAsia="Times New Roman" w:hAnsi="Times New Roman"/>
          <w:i/>
          <w:sz w:val="24"/>
          <w:szCs w:val="24"/>
        </w:rPr>
        <w:t>Esa es, después de todo, una de las formas en que funciona la política monetaria: el menor costo del capital vuelve más viable un proyecto. Pero, ¿y si las tasas de interés más bajas están perjudicando la inversión al incentivar a las compañías a repartir dividendos o recomprar acciones?</w:t>
      </w:r>
    </w:p>
    <w:p w:rsidR="00DD64F3" w:rsidRPr="00DD64F3" w:rsidRDefault="00DD64F3" w:rsidP="00DD64F3">
      <w:pPr>
        <w:shd w:val="clear" w:color="auto" w:fill="FFFFFF"/>
        <w:spacing w:after="270" w:line="240" w:lineRule="auto"/>
        <w:jc w:val="both"/>
        <w:textAlignment w:val="baseline"/>
        <w:rPr>
          <w:rFonts w:ascii="Times New Roman" w:eastAsia="Times New Roman" w:hAnsi="Times New Roman"/>
          <w:i/>
          <w:sz w:val="24"/>
          <w:szCs w:val="24"/>
        </w:rPr>
      </w:pPr>
      <w:r w:rsidRPr="00DD64F3">
        <w:rPr>
          <w:rFonts w:ascii="Times New Roman" w:eastAsia="Times New Roman" w:hAnsi="Times New Roman"/>
          <w:i/>
          <w:sz w:val="24"/>
          <w:szCs w:val="24"/>
        </w:rPr>
        <w:t>Esa es, precisamente, la teoría que postula el economista Jason Thomas, del gigante de private equity Carlyle Group. La idea contradice el funcionamiento convencional de la economía, pero tiene una lógica atractiva y hay evidencia que la apoya.</w:t>
      </w:r>
    </w:p>
    <w:p w:rsidR="00DD64F3" w:rsidRDefault="00DD64F3" w:rsidP="00DD64F3">
      <w:pPr>
        <w:pStyle w:val="NormalWeb"/>
        <w:shd w:val="clear" w:color="auto" w:fill="FFFFFF"/>
        <w:spacing w:after="300"/>
        <w:jc w:val="both"/>
        <w:textAlignment w:val="baseline"/>
      </w:pPr>
      <w:r w:rsidRPr="00DD64F3">
        <w:rPr>
          <w:i/>
        </w:rPr>
        <w:t>Thomas calcula que desde 2009, justo después de que la Reserva Federal redujo las tasas de interés a casi cero, las empresas de Estados Unidos han aumentado sus recompras de acciones en 194% y la distribución de dividendos en 66,5%. La inversión, no obstante, sólo ha subido 44%</w:t>
      </w:r>
      <w:r>
        <w:rPr>
          <w:i/>
        </w:rPr>
        <w:t>”..</w:t>
      </w:r>
      <w:r w:rsidRPr="00DD64F3">
        <w:rPr>
          <w:i/>
        </w:rPr>
        <w:t>.</w:t>
      </w:r>
      <w:r w:rsidRPr="005901B9">
        <w:rPr>
          <w:u w:val="single"/>
        </w:rPr>
        <w:t>Porqué las tasas bajas no impulsan la inversión</w:t>
      </w:r>
      <w:r>
        <w:t xml:space="preserve"> (The Wall Street Journal - </w:t>
      </w:r>
      <w:r w:rsidRPr="005901B9">
        <w:rPr>
          <w:b/>
        </w:rPr>
        <w:t>6/6/16</w:t>
      </w:r>
      <w:r>
        <w:t>)</w:t>
      </w:r>
    </w:p>
    <w:p w:rsidR="00DD64F3" w:rsidRDefault="00DD64F3" w:rsidP="00DD64F3">
      <w:pPr>
        <w:pStyle w:val="NormalWeb"/>
        <w:shd w:val="clear" w:color="auto" w:fill="FFFFFF"/>
        <w:spacing w:after="300"/>
        <w:jc w:val="both"/>
        <w:textAlignment w:val="baseline"/>
      </w:pPr>
      <w:r w:rsidRPr="005901B9">
        <w:rPr>
          <w:rFonts w:ascii="Arial" w:hAnsi="Arial" w:cs="Arial"/>
          <w:noProof/>
          <w:sz w:val="15"/>
          <w:szCs w:val="15"/>
          <w:lang w:val="en-GB" w:eastAsia="en-GB"/>
        </w:rPr>
        <w:drawing>
          <wp:inline distT="0" distB="0" distL="0" distR="0">
            <wp:extent cx="5308600" cy="2755900"/>
            <wp:effectExtent l="0" t="0" r="6350" b="6350"/>
            <wp:docPr id="115" name="Imagen 115" descr="https://si.wsj.net/public/resources/images/OA-BD142_DDivid_NS_20160605184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OA-BD142_DDivid_NS_20160605184815.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8600" cy="2755900"/>
                    </a:xfrm>
                    <a:prstGeom prst="rect">
                      <a:avLst/>
                    </a:prstGeom>
                    <a:noFill/>
                    <a:ln>
                      <a:noFill/>
                    </a:ln>
                  </pic:spPr>
                </pic:pic>
              </a:graphicData>
            </a:graphic>
          </wp:inline>
        </w:drawing>
      </w:r>
    </w:p>
    <w:p w:rsidR="00DD64F3" w:rsidRDefault="00DD64F3" w:rsidP="00DD64F3">
      <w:pPr>
        <w:shd w:val="clear" w:color="auto" w:fill="FFFFFF"/>
        <w:spacing w:after="270" w:line="240" w:lineRule="auto"/>
        <w:jc w:val="both"/>
        <w:textAlignment w:val="baseline"/>
        <w:rPr>
          <w:rFonts w:ascii="Times New Roman" w:eastAsia="Times New Roman" w:hAnsi="Times New Roman"/>
          <w:i/>
          <w:sz w:val="24"/>
          <w:szCs w:val="24"/>
        </w:rPr>
      </w:pPr>
      <w:r>
        <w:rPr>
          <w:rFonts w:ascii="Times New Roman" w:eastAsia="Times New Roman" w:hAnsi="Times New Roman"/>
          <w:i/>
          <w:sz w:val="24"/>
          <w:szCs w:val="24"/>
        </w:rPr>
        <w:lastRenderedPageBreak/>
        <w:t>“</w:t>
      </w:r>
      <w:r w:rsidRPr="00DD64F3">
        <w:rPr>
          <w:rFonts w:ascii="Times New Roman" w:eastAsia="Times New Roman" w:hAnsi="Times New Roman"/>
          <w:i/>
          <w:sz w:val="24"/>
          <w:szCs w:val="24"/>
        </w:rPr>
        <w:t>Esta primavera está resultando muy interesante para la economía política. En las últimas semanas se han producido varios sucesos de gran calado que cuestionan la ortodoxia neoclásica que concibe el mundo como un supermercado global. Las tesis proteccionistas ganan fuerza a medida que crece el número de descontentos con el actual modelo económico. La gran novedad está en que ahora las resistencias al One World ya no surgen solo en regiones periféricas, sino en el corazón de las sociedades occidentales</w:t>
      </w:r>
      <w:r>
        <w:rPr>
          <w:rFonts w:ascii="Times New Roman" w:eastAsia="Times New Roman" w:hAnsi="Times New Roman"/>
          <w:i/>
          <w:sz w:val="24"/>
          <w:szCs w:val="24"/>
        </w:rPr>
        <w:t>..</w:t>
      </w:r>
      <w:r w:rsidRPr="00DD64F3">
        <w:rPr>
          <w:rFonts w:ascii="Times New Roman" w:eastAsia="Times New Roman" w:hAnsi="Times New Roman"/>
          <w:i/>
          <w:sz w:val="24"/>
          <w:szCs w:val="24"/>
        </w:rPr>
        <w:t>.</w:t>
      </w:r>
    </w:p>
    <w:p w:rsidR="00DD64F3" w:rsidRDefault="00DD64F3" w:rsidP="00DD64F3">
      <w:pPr>
        <w:shd w:val="clear" w:color="auto" w:fill="FFFFFF"/>
        <w:spacing w:after="270" w:line="240" w:lineRule="auto"/>
        <w:jc w:val="both"/>
        <w:textAlignment w:val="baseline"/>
        <w:rPr>
          <w:rFonts w:ascii="Times New Roman" w:eastAsia="Times New Roman" w:hAnsi="Times New Roman"/>
          <w:sz w:val="24"/>
          <w:szCs w:val="24"/>
        </w:rPr>
      </w:pPr>
      <w:r w:rsidRPr="00DD64F3">
        <w:rPr>
          <w:rFonts w:ascii="Times New Roman" w:eastAsia="Times New Roman" w:hAnsi="Times New Roman"/>
          <w:i/>
          <w:sz w:val="24"/>
          <w:szCs w:val="24"/>
        </w:rPr>
        <w:t>Las voces a favor de medidas proteccionistas se alzan en los dos polos de Occidente, tanto en la izquierda como en la derecha. Cada vez son más los que piensan que el proceso de globalización ha ido demasiado lejos y que debe reajustarse. Esta visión crítica no se reduce a los movimientos altermundistas. El actual esquema económico está basado en empresas que producen en los países donde les cuesta menos, venden en países donde les pagan más y tributan en los países donde pagan menos impuestos. Los conservadores auténticos pueden apreciar que este modelo rompe el vínculo entre empresa, trabajo y territorio, lo cual, a largo plazo, acaba empobreciendo a las comunidades locales y a las familias. Las consecuencias para las sociedades occidentales están a la vista: destrucción de puestos de trabajo, devaluación de salarios y aumento de la desigualdad. Por eso, la actual crisis económica ha evidenciado de forma definitiva la brecha que existe entre los intereses de las altas finanzas y las grandes corporaciones y las necesidades de las clases medias</w:t>
      </w:r>
      <w:r>
        <w:rPr>
          <w:rFonts w:ascii="Times New Roman" w:eastAsia="Times New Roman" w:hAnsi="Times New Roman"/>
          <w:i/>
          <w:sz w:val="24"/>
          <w:szCs w:val="24"/>
        </w:rPr>
        <w:t xml:space="preserve">”... </w:t>
      </w:r>
      <w:r w:rsidRPr="00961CBA">
        <w:rPr>
          <w:rFonts w:ascii="Times New Roman" w:eastAsia="Times New Roman" w:hAnsi="Times New Roman"/>
          <w:sz w:val="24"/>
          <w:szCs w:val="24"/>
          <w:u w:val="single"/>
        </w:rPr>
        <w:t>Proteccionismo(s)</w:t>
      </w:r>
      <w:r>
        <w:rPr>
          <w:rFonts w:ascii="Times New Roman" w:eastAsia="Times New Roman" w:hAnsi="Times New Roman"/>
          <w:sz w:val="24"/>
          <w:szCs w:val="24"/>
        </w:rPr>
        <w:t xml:space="preserve"> (Gaceta.es - </w:t>
      </w:r>
      <w:r w:rsidRPr="00961CBA">
        <w:rPr>
          <w:rFonts w:ascii="Times New Roman" w:eastAsia="Times New Roman" w:hAnsi="Times New Roman"/>
          <w:b/>
          <w:sz w:val="24"/>
          <w:szCs w:val="24"/>
        </w:rPr>
        <w:t>8/6/16</w:t>
      </w:r>
      <w:r>
        <w:rPr>
          <w:rFonts w:ascii="Times New Roman" w:eastAsia="Times New Roman" w:hAnsi="Times New Roman"/>
          <w:sz w:val="24"/>
          <w:szCs w:val="24"/>
        </w:rPr>
        <w:t>)</w:t>
      </w:r>
    </w:p>
    <w:p w:rsidR="00655C99" w:rsidRPr="00655C99" w:rsidRDefault="00655C99" w:rsidP="00655C99">
      <w:pPr>
        <w:pStyle w:val="NormalWeb"/>
        <w:shd w:val="clear" w:color="auto" w:fill="FFFFFF"/>
        <w:spacing w:before="0" w:beforeAutospacing="0" w:after="270" w:afterAutospacing="0"/>
        <w:jc w:val="both"/>
        <w:textAlignment w:val="baseline"/>
        <w:rPr>
          <w:i/>
        </w:rPr>
      </w:pPr>
      <w:r>
        <w:rPr>
          <w:i/>
        </w:rPr>
        <w:t>“</w:t>
      </w:r>
      <w:r w:rsidRPr="00655C99">
        <w:rPr>
          <w:i/>
        </w:rPr>
        <w:t>Si se suma el valor de mercado de todos los bonos soberanos que se transan a tasas negativas en el mundo, el resultado excede los US$ 8 billones, un testimonio de los denodados esfuerzos de los bancos centrales por mantener bajas las tasas de interés con la esperanza de estimular el gasto de las personas y la inversión de las empresas</w:t>
      </w:r>
      <w:r>
        <w:rPr>
          <w:i/>
        </w:rPr>
        <w:t>”..</w:t>
      </w:r>
      <w:r w:rsidRPr="00655C99">
        <w:rPr>
          <w:i/>
        </w:rPr>
        <w:t>.</w:t>
      </w:r>
      <w:r w:rsidRPr="004445B9">
        <w:rPr>
          <w:u w:val="single"/>
        </w:rPr>
        <w:t>Las tasas negativas no consiguen impulsar el crecimiento</w:t>
      </w:r>
      <w:r>
        <w:t xml:space="preserve"> (The Wall Street Journal - </w:t>
      </w:r>
      <w:r w:rsidRPr="004445B9">
        <w:rPr>
          <w:b/>
        </w:rPr>
        <w:t>13/6/16</w:t>
      </w:r>
      <w:r>
        <w:t>)</w:t>
      </w:r>
    </w:p>
    <w:p w:rsidR="00DD64F3" w:rsidRDefault="00655C99" w:rsidP="00DD64F3">
      <w:pPr>
        <w:shd w:val="clear" w:color="auto" w:fill="FFFFFF"/>
        <w:spacing w:after="270" w:line="240" w:lineRule="auto"/>
        <w:jc w:val="both"/>
        <w:textAlignment w:val="baseline"/>
        <w:rPr>
          <w:rFonts w:ascii="Times New Roman" w:eastAsia="Times New Roman" w:hAnsi="Times New Roman"/>
          <w:i/>
          <w:sz w:val="24"/>
          <w:szCs w:val="24"/>
        </w:rPr>
      </w:pPr>
      <w:r>
        <w:rPr>
          <w:rFonts w:ascii="Times New Roman" w:eastAsia="Times New Roman" w:hAnsi="Times New Roman"/>
          <w:i/>
          <w:sz w:val="24"/>
          <w:szCs w:val="24"/>
        </w:rPr>
        <w:tab/>
      </w:r>
      <w:r>
        <w:rPr>
          <w:rFonts w:ascii="Times New Roman" w:eastAsia="Times New Roman" w:hAnsi="Times New Roman"/>
          <w:i/>
          <w:sz w:val="24"/>
          <w:szCs w:val="24"/>
        </w:rPr>
        <w:tab/>
      </w:r>
      <w:r>
        <w:rPr>
          <w:rFonts w:ascii="Times New Roman" w:eastAsia="Times New Roman" w:hAnsi="Times New Roman"/>
          <w:i/>
          <w:sz w:val="24"/>
          <w:szCs w:val="24"/>
        </w:rPr>
        <w:tab/>
      </w:r>
      <w:r w:rsidRPr="004445B9">
        <w:rPr>
          <w:rFonts w:ascii="Times New Roman" w:hAnsi="Times New Roman"/>
          <w:noProof/>
          <w:sz w:val="24"/>
          <w:szCs w:val="24"/>
          <w:lang w:val="en-GB" w:eastAsia="en-GB"/>
        </w:rPr>
        <w:drawing>
          <wp:inline distT="0" distB="0" distL="0" distR="0">
            <wp:extent cx="2641600" cy="3549650"/>
            <wp:effectExtent l="0" t="0" r="6350" b="0"/>
            <wp:docPr id="116" name="Imagen 116" descr="https://si.wsj.net/public/resources/images/AO-AB069_wsjamd_NS_2016061219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wsj.net/public/resources/images/AO-AB069_wsjamd_NS_20160612190012.jp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1600" cy="3549650"/>
                    </a:xfrm>
                    <a:prstGeom prst="rect">
                      <a:avLst/>
                    </a:prstGeom>
                    <a:noFill/>
                    <a:ln>
                      <a:noFill/>
                    </a:ln>
                  </pic:spPr>
                </pic:pic>
              </a:graphicData>
            </a:graphic>
          </wp:inline>
        </w:drawing>
      </w:r>
    </w:p>
    <w:p w:rsidR="00655C99" w:rsidRPr="00655C99" w:rsidRDefault="00655C99" w:rsidP="00655C99">
      <w:pPr>
        <w:pStyle w:val="NormalWeb"/>
        <w:shd w:val="clear" w:color="auto" w:fill="FFFFFF"/>
        <w:spacing w:before="0" w:beforeAutospacing="0" w:after="270" w:afterAutospacing="0"/>
        <w:jc w:val="both"/>
        <w:textAlignment w:val="baseline"/>
        <w:rPr>
          <w:i/>
        </w:rPr>
      </w:pPr>
      <w:r>
        <w:rPr>
          <w:i/>
        </w:rPr>
        <w:lastRenderedPageBreak/>
        <w:t>“</w:t>
      </w:r>
      <w:r w:rsidRPr="00655C99">
        <w:rPr>
          <w:i/>
        </w:rPr>
        <w:t>“Creo que hemos alcanzado el límite de la política monetaria”, dijo Torsten Slok, economista internacional jefe de</w:t>
      </w:r>
      <w:hyperlink r:id="rId19" w:history="1">
        <w:r w:rsidRPr="00655C99">
          <w:rPr>
            <w:rStyle w:val="Hipervnculo"/>
            <w:i/>
            <w:color w:val="auto"/>
            <w:u w:val="none"/>
          </w:rPr>
          <w:t>Deutsche Bank</w:t>
        </w:r>
      </w:hyperlink>
      <w:r w:rsidRPr="00655C99">
        <w:rPr>
          <w:rStyle w:val="company-name-type"/>
          <w:rFonts w:eastAsia="Calibri"/>
          <w:i/>
          <w:bdr w:val="none" w:sz="0" w:space="0" w:color="auto" w:frame="1"/>
        </w:rPr>
        <w:t>.</w:t>
      </w:r>
      <w:r w:rsidRPr="00655C99">
        <w:rPr>
          <w:rStyle w:val="apple-converted-space"/>
          <w:rFonts w:eastAsiaTheme="majorEastAsia"/>
          <w:i/>
        </w:rPr>
        <w:t> </w:t>
      </w:r>
      <w:r w:rsidRPr="00655C99">
        <w:rPr>
          <w:i/>
        </w:rPr>
        <w:t>“La verdadera crítica contra las tasas de interés negativas es la estupidez de creer que la política monetaria puede, por sí sola, rescatar a la economía de sus condiciones de depresión”</w:t>
      </w:r>
      <w:r>
        <w:rPr>
          <w:i/>
        </w:rPr>
        <w:t>”..</w:t>
      </w:r>
      <w:r w:rsidRPr="00655C99">
        <w:rPr>
          <w:i/>
        </w:rPr>
        <w:t>.</w:t>
      </w:r>
      <w:r w:rsidRPr="004445B9">
        <w:rPr>
          <w:u w:val="single"/>
        </w:rPr>
        <w:t>Las tasas negativas no consiguen impulsar el crecimiento</w:t>
      </w:r>
      <w:r>
        <w:t xml:space="preserve"> (The Wall Street Journal - </w:t>
      </w:r>
      <w:r w:rsidRPr="004445B9">
        <w:rPr>
          <w:b/>
        </w:rPr>
        <w:t>13/6/16</w:t>
      </w:r>
      <w:r>
        <w:t>)</w:t>
      </w:r>
    </w:p>
    <w:p w:rsidR="00655C99" w:rsidRDefault="00655C99" w:rsidP="00655C99">
      <w:pPr>
        <w:pStyle w:val="NormalWeb"/>
        <w:shd w:val="clear" w:color="auto" w:fill="FFFFFF"/>
        <w:spacing w:before="0" w:beforeAutospacing="0" w:after="0" w:afterAutospacing="0"/>
        <w:jc w:val="both"/>
        <w:textAlignment w:val="baseline"/>
        <w:rPr>
          <w:i/>
        </w:rPr>
      </w:pPr>
      <w:r w:rsidRPr="004445B9">
        <w:rPr>
          <w:noProof/>
          <w:lang w:val="en-GB" w:eastAsia="en-GB"/>
        </w:rPr>
        <w:drawing>
          <wp:inline distT="0" distB="0" distL="0" distR="0">
            <wp:extent cx="5327650" cy="3022600"/>
            <wp:effectExtent l="0" t="0" r="6350" b="6350"/>
            <wp:docPr id="117" name="Imagen 117" descr="https://si.wsj.net/public/resources/images/AO-AB070_wsjamd_NS_2016061219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i.wsj.net/public/resources/images/AO-AB070_wsjamd_NS_20160612190059.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7650" cy="3022600"/>
                    </a:xfrm>
                    <a:prstGeom prst="rect">
                      <a:avLst/>
                    </a:prstGeom>
                    <a:noFill/>
                    <a:ln>
                      <a:noFill/>
                    </a:ln>
                  </pic:spPr>
                </pic:pic>
              </a:graphicData>
            </a:graphic>
          </wp:inline>
        </w:drawing>
      </w:r>
    </w:p>
    <w:p w:rsidR="00655C99" w:rsidRPr="00655C99" w:rsidRDefault="00655C99" w:rsidP="00655C99">
      <w:pPr>
        <w:pStyle w:val="NormalWeb"/>
        <w:shd w:val="clear" w:color="auto" w:fill="FFFFFF"/>
        <w:spacing w:before="0" w:beforeAutospacing="0" w:after="0" w:afterAutospacing="0"/>
        <w:jc w:val="both"/>
        <w:textAlignment w:val="baseline"/>
        <w:rPr>
          <w:i/>
        </w:rPr>
      </w:pPr>
    </w:p>
    <w:p w:rsidR="00655C99" w:rsidRPr="00655C99" w:rsidRDefault="00655C99" w:rsidP="00655C99">
      <w:pPr>
        <w:spacing w:after="0" w:line="240" w:lineRule="auto"/>
        <w:jc w:val="both"/>
        <w:textAlignment w:val="baseline"/>
        <w:rPr>
          <w:rFonts w:ascii="Times New Roman" w:eastAsia="Times New Roman" w:hAnsi="Times New Roman" w:cs="Times New Roman"/>
          <w:i/>
          <w:spacing w:val="5"/>
          <w:sz w:val="24"/>
          <w:szCs w:val="24"/>
        </w:rPr>
      </w:pPr>
      <w:r>
        <w:rPr>
          <w:rFonts w:ascii="Times New Roman" w:eastAsia="Times New Roman" w:hAnsi="Times New Roman" w:cs="Times New Roman"/>
          <w:i/>
          <w:spacing w:val="5"/>
          <w:sz w:val="24"/>
          <w:szCs w:val="24"/>
        </w:rPr>
        <w:t>“</w:t>
      </w:r>
      <w:r w:rsidRPr="00655C99">
        <w:rPr>
          <w:rFonts w:ascii="Times New Roman" w:eastAsia="Times New Roman" w:hAnsi="Times New Roman" w:cs="Times New Roman"/>
          <w:i/>
          <w:spacing w:val="5"/>
          <w:sz w:val="24"/>
          <w:szCs w:val="24"/>
        </w:rPr>
        <w:t>“La enfermedad económica de Estados Unidos tiene un nombre: la financiarización. Es un término académico para la tendencia con la que Wall Street y sus métodos han llegado a reinar en América, que impregna no sólo la industria financiera, sino también gran parte de los negocios americanos. Incluye el crecimiento en tamaño y alcance de las finanzas en la economía; el aumento de la especulación alimentada por la deuda en lugar de los préstamos productivos; la consolidación del valor para los accionistas como única guía para el gobierno corporativo; la proliferación de un pensamiento egoísta y demasiado arriesgado tanto en el sector público como en el privado; el creciente poder político de los financieros y de los CEOs a los que estos hacen ricos; y el modo en que la ideología de “los mercados saben mejor qué hacer” se ha convertido en el statu quo”.</w:t>
      </w:r>
    </w:p>
    <w:p w:rsidR="00655C99" w:rsidRPr="00655C99" w:rsidRDefault="00655C99" w:rsidP="00655C99">
      <w:pPr>
        <w:spacing w:after="0" w:line="240" w:lineRule="auto"/>
        <w:jc w:val="both"/>
        <w:textAlignment w:val="baseline"/>
        <w:rPr>
          <w:rFonts w:ascii="Times New Roman" w:eastAsia="Times New Roman" w:hAnsi="Times New Roman" w:cs="Times New Roman"/>
          <w:i/>
          <w:spacing w:val="5"/>
          <w:sz w:val="24"/>
          <w:szCs w:val="24"/>
        </w:rPr>
      </w:pPr>
    </w:p>
    <w:p w:rsidR="00655C99" w:rsidRDefault="00655C99" w:rsidP="00655C99">
      <w:pPr>
        <w:spacing w:after="0" w:line="240" w:lineRule="auto"/>
        <w:jc w:val="both"/>
        <w:textAlignment w:val="baseline"/>
        <w:rPr>
          <w:rFonts w:ascii="Times New Roman" w:eastAsia="Times New Roman" w:hAnsi="Times New Roman" w:cs="Times New Roman"/>
          <w:spacing w:val="5"/>
          <w:sz w:val="24"/>
          <w:szCs w:val="24"/>
        </w:rPr>
      </w:pPr>
      <w:r w:rsidRPr="00655C99">
        <w:rPr>
          <w:rFonts w:ascii="Times New Roman" w:eastAsia="Times New Roman" w:hAnsi="Times New Roman" w:cs="Times New Roman"/>
          <w:i/>
          <w:spacing w:val="5"/>
          <w:sz w:val="24"/>
          <w:szCs w:val="24"/>
        </w:rPr>
        <w:t>La declaración pertenece a Rana Foroohar, adjunta al director de la revista “Time”, analista económica de “CNN” y autora de “Makers and Takers” (Crown Business Ed), un libro que ha generado un notable debate en Estados Unidos. Foroohar ha colocado en el centro de la reflexión la pugna entre la economía real, la que vende y compra bienes y servicios, y la financiera, que se ha convertido en un instrumento de generación de recursos a partir de la compraventa de activos</w:t>
      </w:r>
      <w:r>
        <w:rPr>
          <w:i/>
          <w:spacing w:val="5"/>
        </w:rPr>
        <w:t xml:space="preserve">”… </w:t>
      </w:r>
      <w:r w:rsidRPr="00891078">
        <w:rPr>
          <w:rFonts w:ascii="Times New Roman" w:eastAsia="Times New Roman" w:hAnsi="Times New Roman" w:cs="Times New Roman"/>
          <w:spacing w:val="5"/>
          <w:sz w:val="24"/>
          <w:szCs w:val="24"/>
          <w:u w:val="single"/>
        </w:rPr>
        <w:t>Esta mujer ha puesto el dedo en la llaga: el gran agujero del capitalismo actual</w:t>
      </w:r>
      <w:r w:rsidRPr="00891078">
        <w:rPr>
          <w:rFonts w:ascii="Times New Roman" w:eastAsia="Times New Roman" w:hAnsi="Times New Roman" w:cs="Times New Roman"/>
          <w:spacing w:val="5"/>
          <w:sz w:val="24"/>
          <w:szCs w:val="24"/>
        </w:rPr>
        <w:t xml:space="preserve"> (El Confidencial - </w:t>
      </w:r>
      <w:r w:rsidRPr="00891078">
        <w:rPr>
          <w:rFonts w:ascii="Times New Roman" w:eastAsia="Times New Roman" w:hAnsi="Times New Roman" w:cs="Times New Roman"/>
          <w:b/>
          <w:spacing w:val="5"/>
          <w:sz w:val="24"/>
          <w:szCs w:val="24"/>
        </w:rPr>
        <w:t>16/6/16</w:t>
      </w:r>
      <w:r w:rsidRPr="00891078">
        <w:rPr>
          <w:rFonts w:ascii="Times New Roman" w:eastAsia="Times New Roman" w:hAnsi="Times New Roman" w:cs="Times New Roman"/>
          <w:spacing w:val="5"/>
          <w:sz w:val="24"/>
          <w:szCs w:val="24"/>
        </w:rPr>
        <w:t>)</w:t>
      </w:r>
    </w:p>
    <w:p w:rsidR="00655C99" w:rsidRPr="00655C99" w:rsidRDefault="00655C99" w:rsidP="00655C99">
      <w:pPr>
        <w:pStyle w:val="NormalWeb"/>
        <w:shd w:val="clear" w:color="auto" w:fill="FFFFFF"/>
        <w:spacing w:before="270" w:after="0"/>
        <w:jc w:val="both"/>
        <w:textAlignment w:val="baseline"/>
        <w:rPr>
          <w:i/>
        </w:rPr>
      </w:pPr>
      <w:r>
        <w:rPr>
          <w:i/>
        </w:rPr>
        <w:t>“</w:t>
      </w:r>
      <w:r w:rsidRPr="00655C99">
        <w:rPr>
          <w:i/>
        </w:rPr>
        <w:t>El descenso más prolongado de la productividad laboral en Estados Unidos desde fines de los años 70 amenaza las perspectivas a largo plazo de la economía del país norteamericano y podría llevar a la Reserva Federal a mantener las tasas de interés bajas por muchos años…</w:t>
      </w:r>
    </w:p>
    <w:p w:rsidR="00655C99" w:rsidRDefault="00655C99" w:rsidP="00655C99">
      <w:pPr>
        <w:pStyle w:val="NormalWeb"/>
        <w:shd w:val="clear" w:color="auto" w:fill="FFFFFF"/>
        <w:spacing w:before="270" w:after="0"/>
        <w:jc w:val="both"/>
        <w:textAlignment w:val="baseline"/>
        <w:rPr>
          <w:i/>
        </w:rPr>
      </w:pPr>
      <w:r w:rsidRPr="00655C99">
        <w:rPr>
          <w:i/>
        </w:rPr>
        <w:lastRenderedPageBreak/>
        <w:t>La productividad anual promedio ya había registrado un débil crecimiento de 1,3% entre 2007 y 2015, apenas la mitad del ritmo que tuvo entre 2000 y 2007, y hay pocas señales de que esta tendencia se invierta</w:t>
      </w:r>
      <w:r>
        <w:rPr>
          <w:i/>
        </w:rPr>
        <w:t>..</w:t>
      </w:r>
      <w:r w:rsidRPr="00655C99">
        <w:rPr>
          <w:i/>
        </w:rPr>
        <w:t>.</w:t>
      </w:r>
    </w:p>
    <w:p w:rsidR="00655C99" w:rsidRPr="00655C99" w:rsidRDefault="00655C99" w:rsidP="00655C99">
      <w:pPr>
        <w:pStyle w:val="NormalWeb"/>
        <w:shd w:val="clear" w:color="auto" w:fill="FFFFFF"/>
        <w:spacing w:before="270" w:after="0"/>
        <w:jc w:val="both"/>
        <w:textAlignment w:val="baseline"/>
        <w:rPr>
          <w:i/>
        </w:rPr>
      </w:pPr>
      <w:r w:rsidRPr="00655C99">
        <w:rPr>
          <w:i/>
        </w:rPr>
        <w:t>La productividad es un factor clave para determinar el crecimiento de los salarios, los precios y la producción económica en general. Otras economías avanzadas están sufriendo desaceleraciones similares. La tasa se ha debilitado drásticamente desde el auge impulsado por las tecnologías de la información de los años 90, cuando las fuertes alzas de la productividad se tradujeron en un robusto crecimiento de los ingresos y la economía en general.</w:t>
      </w:r>
    </w:p>
    <w:p w:rsidR="00655C99" w:rsidRPr="00655C99" w:rsidRDefault="00655C99" w:rsidP="00655C99">
      <w:pPr>
        <w:pStyle w:val="NormalWeb"/>
        <w:shd w:val="clear" w:color="auto" w:fill="FFFFFF"/>
        <w:spacing w:before="270" w:after="0"/>
        <w:jc w:val="both"/>
        <w:textAlignment w:val="baseline"/>
        <w:rPr>
          <w:i/>
        </w:rPr>
      </w:pPr>
      <w:r w:rsidRPr="00655C99">
        <w:rPr>
          <w:i/>
        </w:rPr>
        <w:t>La desaceleración de los últimos trimestres se ha intensificado probablemente por la débil inversión empresarial en nuevos equipos, software e instalaciones que podrían ayudar a mejorar la eficiencia de los trabajadores</w:t>
      </w:r>
      <w:r>
        <w:rPr>
          <w:i/>
        </w:rPr>
        <w:t>”..</w:t>
      </w:r>
      <w:r w:rsidRPr="00655C99">
        <w:rPr>
          <w:i/>
        </w:rPr>
        <w:t>.</w:t>
      </w:r>
      <w:r w:rsidRPr="00377B5B">
        <w:rPr>
          <w:u w:val="single"/>
        </w:rPr>
        <w:t>La baja productividad laboral opaca la economía de Estados Unidos</w:t>
      </w:r>
      <w:r w:rsidRPr="00377B5B">
        <w:t xml:space="preserve"> (The Wall Street Journal - </w:t>
      </w:r>
      <w:r w:rsidRPr="00377B5B">
        <w:rPr>
          <w:b/>
        </w:rPr>
        <w:t>10/8/16</w:t>
      </w:r>
      <w:r>
        <w:t>)</w:t>
      </w:r>
    </w:p>
    <w:p w:rsidR="00655C99" w:rsidRPr="001E08B1" w:rsidRDefault="00655C99" w:rsidP="00655C99">
      <w:pPr>
        <w:pStyle w:val="NormalWeb"/>
        <w:shd w:val="clear" w:color="auto" w:fill="FFFFFF"/>
        <w:spacing w:before="270" w:after="0"/>
        <w:jc w:val="both"/>
        <w:textAlignment w:val="baseline"/>
        <w:rPr>
          <w:color w:val="FF0000"/>
          <w:u w:val="single"/>
        </w:rPr>
      </w:pPr>
      <w:r>
        <w:rPr>
          <w:rFonts w:ascii="Arial" w:hAnsi="Arial" w:cs="Arial"/>
          <w:noProof/>
          <w:color w:val="333333"/>
          <w:sz w:val="15"/>
          <w:szCs w:val="15"/>
          <w:lang w:val="en-GB" w:eastAsia="en-GB"/>
        </w:rPr>
        <w:drawing>
          <wp:inline distT="0" distB="0" distL="0" distR="0">
            <wp:extent cx="5429250" cy="3213100"/>
            <wp:effectExtent l="0" t="0" r="0" b="6350"/>
            <wp:docPr id="7" name="Imagen 7" descr="https://si.wsj.net/public/resources/images/AO-AB211_wsjamd_NS_20160810192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211_wsjamd_NS_20160810192716.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0" cy="3213100"/>
                    </a:xfrm>
                    <a:prstGeom prst="rect">
                      <a:avLst/>
                    </a:prstGeom>
                    <a:noFill/>
                    <a:ln>
                      <a:noFill/>
                    </a:ln>
                  </pic:spPr>
                </pic:pic>
              </a:graphicData>
            </a:graphic>
          </wp:inline>
        </w:drawing>
      </w:r>
    </w:p>
    <w:p w:rsidR="008D154E" w:rsidRDefault="008D154E" w:rsidP="00655C99">
      <w:pPr>
        <w:spacing w:line="240" w:lineRule="auto"/>
        <w:jc w:val="both"/>
        <w:rPr>
          <w:rFonts w:ascii="Times New Roman" w:hAnsi="Times New Roman"/>
          <w:i/>
          <w:sz w:val="24"/>
          <w:szCs w:val="24"/>
        </w:rPr>
      </w:pPr>
    </w:p>
    <w:p w:rsidR="00655C99" w:rsidRPr="00655C99" w:rsidRDefault="00655C99" w:rsidP="00655C99">
      <w:pPr>
        <w:spacing w:line="240" w:lineRule="auto"/>
        <w:jc w:val="both"/>
        <w:rPr>
          <w:rFonts w:ascii="Times New Roman" w:hAnsi="Times New Roman"/>
          <w:i/>
          <w:sz w:val="24"/>
          <w:szCs w:val="24"/>
        </w:rPr>
      </w:pPr>
      <w:r>
        <w:rPr>
          <w:rFonts w:ascii="Times New Roman" w:hAnsi="Times New Roman"/>
          <w:i/>
          <w:sz w:val="24"/>
          <w:szCs w:val="24"/>
        </w:rPr>
        <w:t>“</w:t>
      </w:r>
      <w:r w:rsidRPr="00655C99">
        <w:rPr>
          <w:rFonts w:ascii="Times New Roman" w:hAnsi="Times New Roman"/>
          <w:i/>
          <w:sz w:val="24"/>
          <w:szCs w:val="24"/>
        </w:rPr>
        <w:t>Cualquiera que busque explicar uno de los momentos políticos más impredecibles en la historia de EEUU con el ascenso de Donald Trump y Bernie Sanders, tendría que empezar por el desencanto de la población con las instituciones que rigen la economía y el gobierno. La Fed, en particular, es un caso digno de estudio sobre cómo el consenso prevalentes en los 90 sobre una amplia gama de temas económicos, como el libre comercio, la tecnología y la política monetaria poco a poco se ha venido abajo.</w:t>
      </w:r>
    </w:p>
    <w:p w:rsidR="00655C99" w:rsidRDefault="00655C99" w:rsidP="00655C99">
      <w:pPr>
        <w:spacing w:line="240" w:lineRule="auto"/>
        <w:jc w:val="both"/>
        <w:rPr>
          <w:rFonts w:ascii="Times New Roman" w:hAnsi="Times New Roman"/>
          <w:i/>
          <w:sz w:val="24"/>
          <w:szCs w:val="24"/>
        </w:rPr>
      </w:pPr>
      <w:r w:rsidRPr="00655C99">
        <w:rPr>
          <w:rFonts w:ascii="Times New Roman" w:hAnsi="Times New Roman"/>
          <w:i/>
          <w:sz w:val="24"/>
          <w:szCs w:val="24"/>
        </w:rPr>
        <w:t>Los bancos centrales, otrora admirados en todo el mundo por su dominio de la economía, ahora son el blanco de las críticas de derecha e izquierda por los rescates del sistema financiero y su incapacidad para prever y gestionar las fuerzas que han sofocado el crecimiento global después de la crisis financiera</w:t>
      </w:r>
      <w:r>
        <w:rPr>
          <w:rFonts w:ascii="Times New Roman" w:hAnsi="Times New Roman"/>
          <w:i/>
          <w:sz w:val="24"/>
          <w:szCs w:val="24"/>
        </w:rPr>
        <w:t>”..</w:t>
      </w:r>
      <w:r w:rsidRPr="00655C99">
        <w:rPr>
          <w:rFonts w:ascii="Times New Roman" w:hAnsi="Times New Roman"/>
          <w:i/>
          <w:sz w:val="24"/>
          <w:szCs w:val="24"/>
        </w:rPr>
        <w:t>.</w:t>
      </w:r>
    </w:p>
    <w:p w:rsidR="008D154E" w:rsidRDefault="008D154E" w:rsidP="00655C99">
      <w:pPr>
        <w:spacing w:line="240" w:lineRule="auto"/>
        <w:jc w:val="both"/>
        <w:rPr>
          <w:rFonts w:ascii="Times New Roman" w:hAnsi="Times New Roman"/>
          <w:i/>
          <w:sz w:val="24"/>
          <w:szCs w:val="24"/>
        </w:rPr>
      </w:pPr>
      <w:r>
        <w:rPr>
          <w:noProof/>
          <w:lang w:val="en-GB" w:eastAsia="en-GB"/>
        </w:rPr>
        <w:lastRenderedPageBreak/>
        <w:drawing>
          <wp:inline distT="0" distB="0" distL="0" distR="0">
            <wp:extent cx="5397500" cy="5391150"/>
            <wp:effectExtent l="0" t="0" r="0" b="0"/>
            <wp:docPr id="225" name="Imagen 225" descr="https://si.wsj.net/public/resources/images/AO-AB252_wsjamd_NS_20160825184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wsj.net/public/resources/images/AO-AB252_wsjamd_NS_20160825184736.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5393687"/>
                    </a:xfrm>
                    <a:prstGeom prst="rect">
                      <a:avLst/>
                    </a:prstGeom>
                    <a:noFill/>
                    <a:ln>
                      <a:noFill/>
                    </a:ln>
                  </pic:spPr>
                </pic:pic>
              </a:graphicData>
            </a:graphic>
          </wp:inline>
        </w:drawing>
      </w:r>
    </w:p>
    <w:p w:rsidR="008D154E" w:rsidRPr="008D154E" w:rsidRDefault="008D154E" w:rsidP="008D154E">
      <w:pPr>
        <w:spacing w:line="240" w:lineRule="auto"/>
        <w:jc w:val="both"/>
        <w:rPr>
          <w:rFonts w:ascii="Times New Roman" w:hAnsi="Times New Roman"/>
          <w:i/>
          <w:sz w:val="24"/>
          <w:szCs w:val="24"/>
        </w:rPr>
      </w:pPr>
      <w:r>
        <w:rPr>
          <w:rFonts w:ascii="Times New Roman" w:hAnsi="Times New Roman"/>
          <w:i/>
          <w:sz w:val="24"/>
          <w:szCs w:val="24"/>
        </w:rPr>
        <w:t>“</w:t>
      </w:r>
      <w:r w:rsidRPr="008D154E">
        <w:rPr>
          <w:rFonts w:ascii="Times New Roman" w:hAnsi="Times New Roman"/>
          <w:i/>
          <w:sz w:val="24"/>
          <w:szCs w:val="24"/>
        </w:rPr>
        <w:t>La Fed no detectó las señales que indicaban que un sistema financiero más complejo era más vulnerable a la formación de burbujas. Ahora, en un entorno caracterizado por las bajas tasas de interés, las burbujas son, precisamente, una amenaza creciente.</w:t>
      </w:r>
    </w:p>
    <w:p w:rsidR="008D154E" w:rsidRPr="008D154E" w:rsidRDefault="008D154E" w:rsidP="008D154E">
      <w:pPr>
        <w:spacing w:line="240" w:lineRule="auto"/>
        <w:jc w:val="both"/>
        <w:rPr>
          <w:rFonts w:ascii="Times New Roman" w:hAnsi="Times New Roman"/>
          <w:i/>
          <w:sz w:val="24"/>
          <w:szCs w:val="24"/>
        </w:rPr>
      </w:pPr>
      <w:r w:rsidRPr="008D154E">
        <w:rPr>
          <w:rFonts w:ascii="Times New Roman" w:hAnsi="Times New Roman"/>
          <w:i/>
          <w:sz w:val="24"/>
          <w:szCs w:val="24"/>
        </w:rPr>
        <w:t>En segundo lugar, la entidad no previó la paulatina desaceleración en el crecimiento de la productividad laboral, es decir la producción por hora de trabajo, que ha limitado el crecimiento de EEUU desde 2004. Por último, la inflación no ha reaccionado a los vaivenes del empleo del modo que la Fed proyectaba…</w:t>
      </w:r>
    </w:p>
    <w:p w:rsidR="008D154E" w:rsidRDefault="008D154E" w:rsidP="008D154E">
      <w:pPr>
        <w:spacing w:line="240" w:lineRule="auto"/>
        <w:jc w:val="both"/>
        <w:rPr>
          <w:rFonts w:ascii="Times New Roman" w:hAnsi="Times New Roman"/>
          <w:sz w:val="24"/>
          <w:szCs w:val="24"/>
        </w:rPr>
      </w:pPr>
      <w:r w:rsidRPr="008D154E">
        <w:rPr>
          <w:rFonts w:ascii="Times New Roman" w:hAnsi="Times New Roman"/>
          <w:i/>
          <w:sz w:val="24"/>
          <w:szCs w:val="24"/>
        </w:rPr>
        <w:t>Por si esto fuera poco, en caso de que EEUU vuelva a caer en recesión, no está claro que la Fed disponga de las herramientas adecuadas para combatirla, un tema que Yellen podría abordar en Jackson Hole. Se trata, posiblemente, del mayor vuelco del consenso que ha regido sobre los bancos centrales modernos</w:t>
      </w:r>
      <w:r>
        <w:rPr>
          <w:rFonts w:ascii="Times New Roman" w:hAnsi="Times New Roman"/>
          <w:i/>
          <w:sz w:val="24"/>
          <w:szCs w:val="24"/>
        </w:rPr>
        <w:t>”..</w:t>
      </w:r>
      <w:r w:rsidRPr="008D154E">
        <w:rPr>
          <w:rFonts w:ascii="Times New Roman" w:hAnsi="Times New Roman"/>
          <w:i/>
          <w:sz w:val="24"/>
          <w:szCs w:val="24"/>
        </w:rPr>
        <w:t>.</w:t>
      </w:r>
      <w:r w:rsidRPr="00764A3A">
        <w:rPr>
          <w:rFonts w:ascii="Times New Roman" w:hAnsi="Times New Roman"/>
          <w:sz w:val="24"/>
          <w:szCs w:val="24"/>
          <w:u w:val="single"/>
        </w:rPr>
        <w:t>La Fed pierde la confianza en su brújula</w:t>
      </w:r>
      <w:r>
        <w:rPr>
          <w:rFonts w:ascii="Times New Roman" w:hAnsi="Times New Roman"/>
          <w:sz w:val="24"/>
          <w:szCs w:val="24"/>
        </w:rPr>
        <w:t xml:space="preserve"> (The Wall Street Journal - </w:t>
      </w:r>
      <w:r w:rsidRPr="00764A3A">
        <w:rPr>
          <w:rFonts w:ascii="Times New Roman" w:hAnsi="Times New Roman"/>
          <w:b/>
          <w:sz w:val="24"/>
          <w:szCs w:val="24"/>
        </w:rPr>
        <w:t>26/8/16</w:t>
      </w:r>
      <w:r>
        <w:rPr>
          <w:rFonts w:ascii="Times New Roman" w:hAnsi="Times New Roman"/>
          <w:sz w:val="24"/>
          <w:szCs w:val="24"/>
        </w:rPr>
        <w:t>)</w:t>
      </w:r>
    </w:p>
    <w:p w:rsidR="008D154E" w:rsidRPr="00051191" w:rsidRDefault="008D154E" w:rsidP="008D154E">
      <w:pPr>
        <w:spacing w:line="240" w:lineRule="auto"/>
        <w:jc w:val="both"/>
        <w:rPr>
          <w:rFonts w:ascii="Times New Roman" w:hAnsi="Times New Roman"/>
          <w:sz w:val="24"/>
          <w:szCs w:val="24"/>
        </w:rPr>
      </w:pPr>
      <w:r>
        <w:rPr>
          <w:rFonts w:ascii="Times New Roman" w:hAnsi="Times New Roman"/>
          <w:sz w:val="24"/>
          <w:szCs w:val="24"/>
        </w:rPr>
        <w:t xml:space="preserve">- </w:t>
      </w:r>
      <w:r w:rsidRPr="005D58D4">
        <w:rPr>
          <w:rFonts w:ascii="Times New Roman" w:hAnsi="Times New Roman"/>
          <w:sz w:val="24"/>
          <w:szCs w:val="24"/>
          <w:u w:val="single"/>
        </w:rPr>
        <w:t>EEUU ya no es lo que era: seis gráficas que explican el declive de un gigante</w:t>
      </w:r>
      <w:r>
        <w:rPr>
          <w:rFonts w:ascii="Times New Roman" w:hAnsi="Times New Roman"/>
          <w:sz w:val="24"/>
          <w:szCs w:val="24"/>
        </w:rPr>
        <w:t xml:space="preserve"> (Libertad Digital - </w:t>
      </w:r>
      <w:r w:rsidRPr="005D58D4">
        <w:rPr>
          <w:rFonts w:ascii="Times New Roman" w:hAnsi="Times New Roman"/>
          <w:b/>
          <w:sz w:val="24"/>
          <w:szCs w:val="24"/>
        </w:rPr>
        <w:t>1/9/16</w:t>
      </w:r>
      <w:r>
        <w:rPr>
          <w:rFonts w:ascii="Times New Roman" w:hAnsi="Times New Roman"/>
          <w:sz w:val="24"/>
          <w:szCs w:val="24"/>
        </w:rPr>
        <w:t>)                                                                 Lectura recomendada</w:t>
      </w:r>
    </w:p>
    <w:p w:rsidR="008D154E" w:rsidRPr="00970FFD" w:rsidRDefault="008D154E" w:rsidP="008D154E">
      <w:pPr>
        <w:spacing w:line="240" w:lineRule="auto"/>
        <w:jc w:val="both"/>
        <w:rPr>
          <w:rFonts w:ascii="Times New Roman" w:hAnsi="Times New Roman"/>
          <w:color w:val="FF0000"/>
          <w:sz w:val="24"/>
          <w:szCs w:val="24"/>
        </w:rPr>
      </w:pPr>
      <w:r w:rsidRPr="00970FFD">
        <w:rPr>
          <w:rFonts w:ascii="Times New Roman" w:hAnsi="Times New Roman"/>
          <w:color w:val="FF0000"/>
          <w:sz w:val="24"/>
          <w:szCs w:val="24"/>
        </w:rPr>
        <w:t>El país norteamericano pierde libertad económica a marchas forzadas mientras sube el asistencialismo público.</w:t>
      </w:r>
    </w:p>
    <w:p w:rsidR="008D154E" w:rsidRPr="005D58D4" w:rsidRDefault="008D154E" w:rsidP="008D154E">
      <w:pPr>
        <w:spacing w:line="240" w:lineRule="auto"/>
        <w:jc w:val="both"/>
        <w:rPr>
          <w:rFonts w:ascii="Times New Roman" w:hAnsi="Times New Roman" w:cs="Times New Roman"/>
          <w:sz w:val="24"/>
          <w:szCs w:val="24"/>
        </w:rPr>
      </w:pPr>
      <w:r>
        <w:rPr>
          <w:rFonts w:ascii="Times New Roman" w:hAnsi="Times New Roman"/>
          <w:sz w:val="24"/>
          <w:szCs w:val="24"/>
        </w:rPr>
        <w:lastRenderedPageBreak/>
        <w:t xml:space="preserve">(Por </w:t>
      </w:r>
      <w:r w:rsidRPr="00051191">
        <w:rPr>
          <w:rFonts w:ascii="Times New Roman" w:hAnsi="Times New Roman"/>
          <w:sz w:val="24"/>
          <w:szCs w:val="24"/>
        </w:rPr>
        <w:t>Diego Sánchez de la Cruz</w:t>
      </w:r>
      <w:r>
        <w:rPr>
          <w:rFonts w:ascii="Times New Roman" w:hAnsi="Times New Roman"/>
          <w:sz w:val="24"/>
          <w:szCs w:val="24"/>
        </w:rPr>
        <w:t>)</w:t>
      </w:r>
    </w:p>
    <w:p w:rsidR="008D154E" w:rsidRPr="00970FFD" w:rsidRDefault="008D154E" w:rsidP="008D154E">
      <w:pPr>
        <w:pStyle w:val="NormalWeb"/>
        <w:shd w:val="clear" w:color="auto" w:fill="FFFFFF"/>
        <w:spacing w:before="0" w:beforeAutospacing="0" w:after="0" w:afterAutospacing="0"/>
        <w:jc w:val="both"/>
        <w:textAlignment w:val="baseline"/>
        <w:rPr>
          <w:color w:val="333333"/>
          <w:u w:val="single"/>
        </w:rPr>
      </w:pPr>
      <w:r w:rsidRPr="00970FFD">
        <w:rPr>
          <w:color w:val="333333"/>
          <w:u w:val="single"/>
        </w:rPr>
        <w:t>El auge de figuras políticas como</w:t>
      </w:r>
      <w:r w:rsidRPr="00970FFD">
        <w:rPr>
          <w:rStyle w:val="apple-converted-space"/>
          <w:color w:val="333333"/>
          <w:u w:val="single"/>
        </w:rPr>
        <w:t> </w:t>
      </w:r>
      <w:r w:rsidRPr="00B50D7D">
        <w:rPr>
          <w:rStyle w:val="Textoennegrita"/>
          <w:b w:val="0"/>
          <w:color w:val="333333"/>
          <w:u w:val="single"/>
          <w:bdr w:val="none" w:sz="0" w:space="0" w:color="auto" w:frame="1"/>
        </w:rPr>
        <w:t xml:space="preserve">Bernie </w:t>
      </w:r>
      <w:r w:rsidRPr="007F288B">
        <w:rPr>
          <w:rStyle w:val="Textoennegrita"/>
          <w:b w:val="0"/>
          <w:color w:val="333333"/>
          <w:u w:val="single"/>
          <w:bdr w:val="none" w:sz="0" w:space="0" w:color="auto" w:frame="1"/>
        </w:rPr>
        <w:t>Sanders</w:t>
      </w:r>
      <w:r w:rsidRPr="007F288B">
        <w:rPr>
          <w:rStyle w:val="apple-converted-space"/>
          <w:color w:val="333333"/>
          <w:u w:val="single"/>
        </w:rPr>
        <w:t> </w:t>
      </w:r>
      <w:r w:rsidRPr="007F288B">
        <w:rPr>
          <w:color w:val="333333"/>
          <w:u w:val="single"/>
        </w:rPr>
        <w:t>o</w:t>
      </w:r>
      <w:r w:rsidRPr="00B50D7D">
        <w:rPr>
          <w:rStyle w:val="apple-converted-space"/>
          <w:b/>
          <w:color w:val="333333"/>
          <w:u w:val="single"/>
        </w:rPr>
        <w:t> </w:t>
      </w:r>
      <w:r w:rsidRPr="00B50D7D">
        <w:rPr>
          <w:rStyle w:val="Textoennegrita"/>
          <w:b w:val="0"/>
          <w:color w:val="333333"/>
          <w:u w:val="single"/>
          <w:bdr w:val="none" w:sz="0" w:space="0" w:color="auto" w:frame="1"/>
        </w:rPr>
        <w:t>Donald Trump</w:t>
      </w:r>
      <w:r w:rsidRPr="00970FFD">
        <w:rPr>
          <w:color w:val="333333"/>
          <w:u w:val="single"/>
        </w:rPr>
        <w:t>, es la mejor muestra de que</w:t>
      </w:r>
      <w:r w:rsidRPr="00970FFD">
        <w:rPr>
          <w:rStyle w:val="apple-converted-space"/>
          <w:color w:val="333333"/>
          <w:u w:val="single"/>
        </w:rPr>
        <w:t> </w:t>
      </w:r>
      <w:r w:rsidRPr="00970FFD">
        <w:rPr>
          <w:rStyle w:val="nfasis"/>
          <w:rFonts w:eastAsiaTheme="majorEastAsia"/>
          <w:color w:val="333333"/>
          <w:u w:val="single"/>
          <w:bdr w:val="none" w:sz="0" w:space="0" w:color="auto" w:frame="1"/>
        </w:rPr>
        <w:t>Estados Unidos ya no es lo que era</w:t>
      </w:r>
      <w:r w:rsidRPr="00970FFD">
        <w:rPr>
          <w:color w:val="333333"/>
          <w:u w:val="single"/>
        </w:rPr>
        <w:t>. A menudo, hablamos del país del Tío Sam evocando su grandeza histórica y su dinamismo económico, pero la evolución de los últimos años muestra que las cosas están cambiando a peor.</w:t>
      </w:r>
    </w:p>
    <w:p w:rsidR="008D154E" w:rsidRPr="005D58D4" w:rsidRDefault="008D154E" w:rsidP="008D154E">
      <w:pPr>
        <w:pStyle w:val="NormalWeb"/>
        <w:shd w:val="clear" w:color="auto" w:fill="FFFFFF"/>
        <w:spacing w:before="0" w:beforeAutospacing="0" w:after="0" w:afterAutospacing="0"/>
        <w:jc w:val="both"/>
        <w:textAlignment w:val="baseline"/>
        <w:rPr>
          <w:color w:val="333333"/>
        </w:rPr>
      </w:pPr>
    </w:p>
    <w:p w:rsidR="008D154E" w:rsidRDefault="008D154E" w:rsidP="008D154E">
      <w:pPr>
        <w:pStyle w:val="NormalWeb"/>
        <w:shd w:val="clear" w:color="auto" w:fill="FFFFFF"/>
        <w:spacing w:before="0" w:beforeAutospacing="0" w:after="0" w:afterAutospacing="0"/>
        <w:jc w:val="both"/>
        <w:textAlignment w:val="baseline"/>
        <w:rPr>
          <w:color w:val="333333"/>
        </w:rPr>
      </w:pPr>
      <w:r w:rsidRPr="005D58D4">
        <w:rPr>
          <w:color w:val="333333"/>
        </w:rPr>
        <w:t>De entrada</w:t>
      </w:r>
      <w:r w:rsidRPr="00970FFD">
        <w:rPr>
          <w:color w:val="FF0000"/>
        </w:rPr>
        <w:t>,</w:t>
      </w:r>
      <w:r w:rsidRPr="00970FFD">
        <w:rPr>
          <w:rStyle w:val="apple-converted-space"/>
          <w:color w:val="FF0000"/>
        </w:rPr>
        <w:t> </w:t>
      </w:r>
      <w:hyperlink r:id="rId23" w:anchor=".elhfczqp9" w:history="1">
        <w:r w:rsidRPr="00970FFD">
          <w:rPr>
            <w:rStyle w:val="Hipervnculo"/>
            <w:color w:val="FF0000"/>
            <w:bdr w:val="none" w:sz="0" w:space="0" w:color="auto" w:frame="1"/>
          </w:rPr>
          <w:t>el nivel de libertad económica acumula una década a la baja</w:t>
        </w:r>
      </w:hyperlink>
      <w:r w:rsidRPr="005D58D4">
        <w:rPr>
          <w:color w:val="333333"/>
        </w:rPr>
        <w:t xml:space="preserve">, como acredita </w:t>
      </w:r>
      <w:r w:rsidRPr="00970FFD">
        <w:rPr>
          <w:color w:val="FF0000"/>
        </w:rPr>
        <w:t>el</w:t>
      </w:r>
      <w:r w:rsidRPr="00970FFD">
        <w:rPr>
          <w:rStyle w:val="apple-converted-space"/>
          <w:color w:val="FF0000"/>
        </w:rPr>
        <w:t> </w:t>
      </w:r>
      <w:hyperlink r:id="rId24" w:history="1">
        <w:r w:rsidRPr="00970FFD">
          <w:rPr>
            <w:rStyle w:val="Hipervnculo"/>
            <w:color w:val="FF0000"/>
            <w:bdr w:val="none" w:sz="0" w:space="0" w:color="auto" w:frame="1"/>
          </w:rPr>
          <w:t>índice que recopila la Fundación Heritage y que en España publica Civismo</w:t>
        </w:r>
      </w:hyperlink>
      <w:r w:rsidRPr="005D58D4">
        <w:rPr>
          <w:color w:val="333333"/>
        </w:rPr>
        <w:t>. Esto significa que la economía estadounidense está cada vez más</w:t>
      </w:r>
      <w:r w:rsidRPr="005D58D4">
        <w:rPr>
          <w:rStyle w:val="apple-converted-space"/>
          <w:color w:val="333333"/>
          <w:bdr w:val="none" w:sz="0" w:space="0" w:color="auto" w:frame="1"/>
        </w:rPr>
        <w:t> </w:t>
      </w:r>
      <w:r w:rsidRPr="00B50D7D">
        <w:rPr>
          <w:rStyle w:val="Textoennegrita"/>
          <w:b w:val="0"/>
          <w:color w:val="333333"/>
          <w:bdr w:val="none" w:sz="0" w:space="0" w:color="auto" w:frame="1"/>
        </w:rPr>
        <w:t>alejada del ideal liberal</w:t>
      </w:r>
      <w:r w:rsidRPr="00970FFD">
        <w:rPr>
          <w:rStyle w:val="apple-converted-space"/>
          <w:color w:val="333333"/>
        </w:rPr>
        <w:t> </w:t>
      </w:r>
      <w:r w:rsidRPr="005D58D4">
        <w:rPr>
          <w:color w:val="333333"/>
        </w:rPr>
        <w:t>que tanto caló en los años de gobierno de Ronald Reagan.</w:t>
      </w:r>
    </w:p>
    <w:p w:rsidR="008D154E" w:rsidRPr="005D58D4" w:rsidRDefault="008D154E" w:rsidP="008D154E">
      <w:pPr>
        <w:pStyle w:val="NormalWeb"/>
        <w:shd w:val="clear" w:color="auto" w:fill="FFFFFF"/>
        <w:spacing w:before="0" w:beforeAutospacing="0" w:after="0" w:afterAutospacing="0"/>
        <w:jc w:val="both"/>
        <w:textAlignment w:val="baseline"/>
        <w:rPr>
          <w:color w:val="333333"/>
        </w:rPr>
      </w:pPr>
    </w:p>
    <w:p w:rsidR="008D154E" w:rsidRPr="005D58D4" w:rsidRDefault="008D154E" w:rsidP="008D154E">
      <w:pPr>
        <w:spacing w:line="240" w:lineRule="auto"/>
        <w:jc w:val="both"/>
        <w:rPr>
          <w:rFonts w:ascii="Times New Roman" w:hAnsi="Times New Roman" w:cs="Times New Roman"/>
          <w:sz w:val="24"/>
          <w:szCs w:val="24"/>
        </w:rPr>
      </w:pPr>
      <w:r w:rsidRPr="005D58D4">
        <w:rPr>
          <w:rFonts w:ascii="Times New Roman" w:hAnsi="Times New Roman" w:cs="Times New Roman"/>
          <w:noProof/>
          <w:color w:val="E97D3B"/>
          <w:sz w:val="24"/>
          <w:szCs w:val="24"/>
          <w:bdr w:val="none" w:sz="0" w:space="0" w:color="auto" w:frame="1"/>
          <w:lang w:val="en-GB" w:eastAsia="en-GB"/>
        </w:rPr>
        <w:drawing>
          <wp:inline distT="0" distB="0" distL="0" distR="0">
            <wp:extent cx="5372100" cy="2171700"/>
            <wp:effectExtent l="0" t="0" r="0" b="0"/>
            <wp:docPr id="120" name="Imagen 120" descr="1-Cae-libertad-economica-eeuu.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Cae-libertad-economica-eeuu.jpg">
                      <a:hlinkClick r:id="rId25"/>
                    </pic:cNvPr>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2171700"/>
                    </a:xfrm>
                    <a:prstGeom prst="rect">
                      <a:avLst/>
                    </a:prstGeom>
                    <a:noFill/>
                    <a:ln>
                      <a:noFill/>
                    </a:ln>
                  </pic:spPr>
                </pic:pic>
              </a:graphicData>
            </a:graphic>
          </wp:inline>
        </w:drawing>
      </w:r>
    </w:p>
    <w:p w:rsidR="008D154E" w:rsidRDefault="008D154E" w:rsidP="008D154E">
      <w:pPr>
        <w:pStyle w:val="NormalWeb"/>
        <w:shd w:val="clear" w:color="auto" w:fill="FFFFFF"/>
        <w:spacing w:before="0" w:beforeAutospacing="0" w:after="0" w:afterAutospacing="0"/>
        <w:jc w:val="both"/>
        <w:textAlignment w:val="baseline"/>
        <w:rPr>
          <w:color w:val="FF0000"/>
          <w:u w:val="single"/>
        </w:rPr>
      </w:pPr>
    </w:p>
    <w:p w:rsidR="008D154E" w:rsidRDefault="008D154E" w:rsidP="008D154E">
      <w:pPr>
        <w:pStyle w:val="NormalWeb"/>
        <w:shd w:val="clear" w:color="auto" w:fill="FFFFFF"/>
        <w:spacing w:before="0" w:beforeAutospacing="0" w:after="0" w:afterAutospacing="0"/>
        <w:jc w:val="both"/>
        <w:textAlignment w:val="baseline"/>
        <w:rPr>
          <w:color w:val="333333"/>
        </w:rPr>
      </w:pPr>
      <w:r w:rsidRPr="00970FFD">
        <w:rPr>
          <w:color w:val="FF0000"/>
          <w:u w:val="single"/>
        </w:rPr>
        <w:t>Si nos fijamos en la evolución del clima regulatorio, también parece claro que el ideal liberal acumula ya una</w:t>
      </w:r>
      <w:r w:rsidRPr="00970FFD">
        <w:rPr>
          <w:rStyle w:val="apple-converted-space"/>
          <w:color w:val="FF0000"/>
          <w:u w:val="single"/>
        </w:rPr>
        <w:t> </w:t>
      </w:r>
      <w:r w:rsidRPr="00970FFD">
        <w:rPr>
          <w:rStyle w:val="nfasis"/>
          <w:rFonts w:eastAsiaTheme="majorEastAsia"/>
          <w:color w:val="FF0000"/>
          <w:u w:val="single"/>
          <w:bdr w:val="none" w:sz="0" w:space="0" w:color="auto" w:frame="1"/>
        </w:rPr>
        <w:t>década negra</w:t>
      </w:r>
      <w:r w:rsidRPr="00970FFD">
        <w:rPr>
          <w:color w:val="FF0000"/>
          <w:u w:val="single"/>
        </w:rPr>
        <w:t>.</w:t>
      </w:r>
      <w:hyperlink r:id="rId27" w:anchor=".n1jskz59l" w:history="1">
        <w:r w:rsidRPr="00970FFD">
          <w:rPr>
            <w:rStyle w:val="Hipervnculo"/>
            <w:color w:val="FF0000"/>
            <w:bdr w:val="none" w:sz="0" w:space="0" w:color="auto" w:frame="1"/>
          </w:rPr>
          <w:t>El número de regulaciones con un coste anual para la economía de más de 100 millones de dólares al año ha pasado de 75 a 125</w:t>
        </w:r>
      </w:hyperlink>
      <w:r w:rsidRPr="005D58D4">
        <w:rPr>
          <w:color w:val="333333"/>
        </w:rPr>
        <w:t>. No es de extrañar que</w:t>
      </w:r>
      <w:r w:rsidRPr="005D58D4">
        <w:rPr>
          <w:rStyle w:val="apple-converted-space"/>
          <w:color w:val="333333"/>
          <w:bdr w:val="none" w:sz="0" w:space="0" w:color="auto" w:frame="1"/>
        </w:rPr>
        <w:t> </w:t>
      </w:r>
      <w:r w:rsidRPr="00B50D7D">
        <w:rPr>
          <w:rStyle w:val="Textoennegrita"/>
          <w:b w:val="0"/>
          <w:color w:val="333333"/>
          <w:bdr w:val="none" w:sz="0" w:space="0" w:color="auto" w:frame="1"/>
        </w:rPr>
        <w:t>una de cada cinco pymes cite la regulación excesiva como su principal obstáculo</w:t>
      </w:r>
      <w:r w:rsidRPr="005D58D4">
        <w:rPr>
          <w:rStyle w:val="apple-converted-space"/>
          <w:color w:val="333333"/>
        </w:rPr>
        <w:t> </w:t>
      </w:r>
      <w:r w:rsidRPr="005D58D4">
        <w:rPr>
          <w:color w:val="333333"/>
        </w:rPr>
        <w:t>para el crecimiento.</w:t>
      </w:r>
    </w:p>
    <w:p w:rsidR="008D154E" w:rsidRPr="005D58D4" w:rsidRDefault="008D154E" w:rsidP="008D154E">
      <w:pPr>
        <w:pStyle w:val="NormalWeb"/>
        <w:shd w:val="clear" w:color="auto" w:fill="FFFFFF"/>
        <w:spacing w:before="0" w:beforeAutospacing="0" w:after="0" w:afterAutospacing="0"/>
        <w:jc w:val="both"/>
        <w:textAlignment w:val="baseline"/>
        <w:rPr>
          <w:color w:val="333333"/>
        </w:rPr>
      </w:pPr>
    </w:p>
    <w:p w:rsidR="008D154E" w:rsidRPr="005D58D4" w:rsidRDefault="008D154E" w:rsidP="008D154E">
      <w:pPr>
        <w:spacing w:line="240" w:lineRule="auto"/>
        <w:jc w:val="both"/>
        <w:rPr>
          <w:rFonts w:ascii="Times New Roman" w:hAnsi="Times New Roman" w:cs="Times New Roman"/>
          <w:sz w:val="24"/>
          <w:szCs w:val="24"/>
        </w:rPr>
      </w:pPr>
      <w:r w:rsidRPr="005D58D4">
        <w:rPr>
          <w:rFonts w:ascii="Times New Roman" w:hAnsi="Times New Roman" w:cs="Times New Roman"/>
          <w:noProof/>
          <w:color w:val="E97D3B"/>
          <w:sz w:val="24"/>
          <w:szCs w:val="24"/>
          <w:bdr w:val="none" w:sz="0" w:space="0" w:color="auto" w:frame="1"/>
          <w:lang w:val="en-GB" w:eastAsia="en-GB"/>
        </w:rPr>
        <w:drawing>
          <wp:inline distT="0" distB="0" distL="0" distR="0">
            <wp:extent cx="5416550" cy="2298700"/>
            <wp:effectExtent l="0" t="0" r="0" b="6350"/>
            <wp:docPr id="125" name="Imagen 125" descr="2-sobrerregulacion-eeuu.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sobrerregulacion-eeuu.jpg">
                      <a:hlinkClick r:id="rId28"/>
                    </pic:cNvPr>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6550" cy="2298700"/>
                    </a:xfrm>
                    <a:prstGeom prst="rect">
                      <a:avLst/>
                    </a:prstGeom>
                    <a:noFill/>
                    <a:ln>
                      <a:noFill/>
                    </a:ln>
                  </pic:spPr>
                </pic:pic>
              </a:graphicData>
            </a:graphic>
          </wp:inline>
        </w:drawing>
      </w:r>
    </w:p>
    <w:p w:rsidR="008D154E" w:rsidRDefault="008D154E" w:rsidP="008D154E">
      <w:pPr>
        <w:pStyle w:val="NormalWeb"/>
        <w:shd w:val="clear" w:color="auto" w:fill="FFFFFF"/>
        <w:spacing w:before="0" w:beforeAutospacing="0" w:after="0" w:afterAutospacing="0"/>
        <w:jc w:val="both"/>
        <w:textAlignment w:val="baseline"/>
        <w:rPr>
          <w:color w:val="333333"/>
        </w:rPr>
      </w:pPr>
    </w:p>
    <w:p w:rsidR="008D154E" w:rsidRDefault="008D154E" w:rsidP="008D154E">
      <w:pPr>
        <w:pStyle w:val="NormalWeb"/>
        <w:shd w:val="clear" w:color="auto" w:fill="FFFFFF"/>
        <w:spacing w:before="0" w:beforeAutospacing="0" w:after="0" w:afterAutospacing="0"/>
        <w:jc w:val="both"/>
        <w:textAlignment w:val="baseline"/>
        <w:rPr>
          <w:color w:val="FF0000"/>
          <w:u w:val="single"/>
        </w:rPr>
      </w:pPr>
      <w:r w:rsidRPr="00970FFD">
        <w:rPr>
          <w:color w:val="FF0000"/>
          <w:u w:val="single"/>
        </w:rPr>
        <w:t>El dinamismo innovador también está perdiendo su capacidad de crear empleo. En la década de 1980,</w:t>
      </w:r>
      <w:r w:rsidRPr="00970FFD">
        <w:rPr>
          <w:rStyle w:val="apple-converted-space"/>
          <w:color w:val="FF0000"/>
          <w:u w:val="single"/>
        </w:rPr>
        <w:t> </w:t>
      </w:r>
      <w:hyperlink r:id="rId30" w:anchor=".8pnscaeh4" w:history="1">
        <w:r w:rsidRPr="00970FFD">
          <w:rPr>
            <w:rStyle w:val="Hipervnculo"/>
            <w:color w:val="FF0000"/>
            <w:bdr w:val="none" w:sz="0" w:space="0" w:color="auto" w:frame="1"/>
          </w:rPr>
          <w:t>el empleo que generaban las startups llegaba al 4% de la fuerza laboral privada, pero en la actualidad este porcentaje ha caído al 2%</w:t>
        </w:r>
      </w:hyperlink>
      <w:r w:rsidRPr="00970FFD">
        <w:rPr>
          <w:color w:val="FF0000"/>
          <w:u w:val="single"/>
        </w:rPr>
        <w:t>.</w:t>
      </w:r>
    </w:p>
    <w:p w:rsidR="008D154E" w:rsidRPr="00970FFD" w:rsidRDefault="008D154E" w:rsidP="008D154E">
      <w:pPr>
        <w:pStyle w:val="NormalWeb"/>
        <w:shd w:val="clear" w:color="auto" w:fill="FFFFFF"/>
        <w:spacing w:before="0" w:beforeAutospacing="0" w:after="0" w:afterAutospacing="0"/>
        <w:jc w:val="both"/>
        <w:textAlignment w:val="baseline"/>
        <w:rPr>
          <w:color w:val="FF0000"/>
          <w:u w:val="single"/>
        </w:rPr>
      </w:pPr>
    </w:p>
    <w:p w:rsidR="008D154E" w:rsidRPr="00970FFD" w:rsidRDefault="008D154E" w:rsidP="008D154E">
      <w:pPr>
        <w:pStyle w:val="NormalWeb"/>
        <w:shd w:val="clear" w:color="auto" w:fill="FFFFFF"/>
        <w:spacing w:before="0" w:beforeAutospacing="0" w:after="0" w:afterAutospacing="0"/>
        <w:jc w:val="both"/>
        <w:textAlignment w:val="baseline"/>
        <w:rPr>
          <w:color w:val="FF0000"/>
          <w:u w:val="single"/>
        </w:rPr>
      </w:pPr>
    </w:p>
    <w:p w:rsidR="008D154E" w:rsidRPr="005D58D4" w:rsidRDefault="008D154E" w:rsidP="008D154E">
      <w:pPr>
        <w:spacing w:line="240" w:lineRule="auto"/>
        <w:jc w:val="both"/>
        <w:rPr>
          <w:rFonts w:ascii="Times New Roman" w:hAnsi="Times New Roman" w:cs="Times New Roman"/>
          <w:sz w:val="24"/>
          <w:szCs w:val="24"/>
        </w:rPr>
      </w:pPr>
      <w:r w:rsidRPr="005D58D4">
        <w:rPr>
          <w:rFonts w:ascii="Times New Roman" w:hAnsi="Times New Roman" w:cs="Times New Roman"/>
          <w:noProof/>
          <w:color w:val="E97D3B"/>
          <w:sz w:val="24"/>
          <w:szCs w:val="24"/>
          <w:bdr w:val="none" w:sz="0" w:space="0" w:color="auto" w:frame="1"/>
          <w:lang w:val="en-GB" w:eastAsia="en-GB"/>
        </w:rPr>
        <w:drawing>
          <wp:inline distT="0" distB="0" distL="0" distR="0">
            <wp:extent cx="5416550" cy="2393950"/>
            <wp:effectExtent l="0" t="0" r="0" b="6350"/>
            <wp:docPr id="141" name="Imagen 141" descr="3-empleo-startups-eeuu.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empleo-startups-eeuu.jpg">
                      <a:hlinkClick r:id="rId31"/>
                    </pic:cNvPr>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6550" cy="2393950"/>
                    </a:xfrm>
                    <a:prstGeom prst="rect">
                      <a:avLst/>
                    </a:prstGeom>
                    <a:noFill/>
                    <a:ln>
                      <a:noFill/>
                    </a:ln>
                  </pic:spPr>
                </pic:pic>
              </a:graphicData>
            </a:graphic>
          </wp:inline>
        </w:drawing>
      </w:r>
    </w:p>
    <w:p w:rsidR="008D154E" w:rsidRDefault="008D154E" w:rsidP="008D154E">
      <w:pPr>
        <w:pStyle w:val="NormalWeb"/>
        <w:shd w:val="clear" w:color="auto" w:fill="FFFFFF"/>
        <w:spacing w:before="0" w:beforeAutospacing="0" w:after="0" w:afterAutospacing="0"/>
        <w:jc w:val="both"/>
        <w:textAlignment w:val="baseline"/>
        <w:rPr>
          <w:color w:val="FF0000"/>
          <w:u w:val="single"/>
        </w:rPr>
      </w:pPr>
    </w:p>
    <w:p w:rsidR="008D154E" w:rsidRPr="00970FFD" w:rsidRDefault="008D154E" w:rsidP="008D154E">
      <w:pPr>
        <w:pStyle w:val="NormalWeb"/>
        <w:shd w:val="clear" w:color="auto" w:fill="FFFFFF"/>
        <w:spacing w:before="0" w:beforeAutospacing="0" w:after="0" w:afterAutospacing="0"/>
        <w:jc w:val="both"/>
        <w:textAlignment w:val="baseline"/>
        <w:rPr>
          <w:color w:val="FF0000"/>
          <w:u w:val="single"/>
        </w:rPr>
      </w:pPr>
      <w:r w:rsidRPr="00970FFD">
        <w:rPr>
          <w:color w:val="FF0000"/>
          <w:u w:val="single"/>
        </w:rPr>
        <w:t>Si ampliamos el foco a todo el mercado de trabajo vemos que tampoco hay buenas noticias en lo tocante a la participación laboral. Como muestra la siguiente gráfica,</w:t>
      </w:r>
      <w:r w:rsidRPr="00970FFD">
        <w:rPr>
          <w:rStyle w:val="apple-converted-space"/>
          <w:color w:val="FF0000"/>
          <w:u w:val="single"/>
        </w:rPr>
        <w:t> </w:t>
      </w:r>
      <w:hyperlink r:id="rId33" w:history="1">
        <w:r w:rsidRPr="00970FFD">
          <w:rPr>
            <w:rStyle w:val="Hipervnculo"/>
            <w:color w:val="FF0000"/>
            <w:bdr w:val="none" w:sz="0" w:space="0" w:color="auto" w:frame="1"/>
          </w:rPr>
          <w:t>el porcentaje de personas de entre 25 y 54 años que tiene un empleo creció diez puntos en las últimas décadas del siglo XX, pero ha caído cinco puntos en los últimos años</w:t>
        </w:r>
      </w:hyperlink>
      <w:r w:rsidRPr="00970FFD">
        <w:rPr>
          <w:color w:val="FF0000"/>
          <w:u w:val="single"/>
        </w:rPr>
        <w:t>.</w:t>
      </w:r>
    </w:p>
    <w:p w:rsidR="008D154E" w:rsidRPr="00970FFD" w:rsidRDefault="008D154E" w:rsidP="008D154E">
      <w:pPr>
        <w:pStyle w:val="NormalWeb"/>
        <w:shd w:val="clear" w:color="auto" w:fill="FFFFFF"/>
        <w:spacing w:before="0" w:beforeAutospacing="0" w:after="0" w:afterAutospacing="0"/>
        <w:jc w:val="both"/>
        <w:textAlignment w:val="baseline"/>
        <w:rPr>
          <w:color w:val="FF0000"/>
          <w:u w:val="single"/>
        </w:rPr>
      </w:pPr>
    </w:p>
    <w:p w:rsidR="008D154E" w:rsidRPr="005D58D4" w:rsidRDefault="008D154E" w:rsidP="008D154E">
      <w:pPr>
        <w:spacing w:line="240" w:lineRule="auto"/>
        <w:jc w:val="both"/>
        <w:rPr>
          <w:rFonts w:ascii="Times New Roman" w:hAnsi="Times New Roman" w:cs="Times New Roman"/>
          <w:sz w:val="24"/>
          <w:szCs w:val="24"/>
        </w:rPr>
      </w:pPr>
      <w:r w:rsidRPr="005D58D4">
        <w:rPr>
          <w:rFonts w:ascii="Times New Roman" w:hAnsi="Times New Roman" w:cs="Times New Roman"/>
          <w:noProof/>
          <w:color w:val="E97D3B"/>
          <w:sz w:val="24"/>
          <w:szCs w:val="24"/>
          <w:bdr w:val="none" w:sz="0" w:space="0" w:color="auto" w:frame="1"/>
          <w:lang w:val="en-GB" w:eastAsia="en-GB"/>
        </w:rPr>
        <w:drawing>
          <wp:inline distT="0" distB="0" distL="0" distR="0">
            <wp:extent cx="5435600" cy="2406650"/>
            <wp:effectExtent l="0" t="0" r="0" b="0"/>
            <wp:docPr id="167" name="Imagen 167" descr="4-empleo-eeuu-participacion-laboral.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empleo-eeuu-participacion-laboral.jpg">
                      <a:hlinkClick r:id="rId34"/>
                    </pic:cNvPr>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5600" cy="2406650"/>
                    </a:xfrm>
                    <a:prstGeom prst="rect">
                      <a:avLst/>
                    </a:prstGeom>
                    <a:noFill/>
                    <a:ln>
                      <a:noFill/>
                    </a:ln>
                  </pic:spPr>
                </pic:pic>
              </a:graphicData>
            </a:graphic>
          </wp:inline>
        </w:drawing>
      </w:r>
    </w:p>
    <w:p w:rsidR="008D154E" w:rsidRDefault="008D154E" w:rsidP="008D154E">
      <w:pPr>
        <w:pStyle w:val="Ttulo3"/>
        <w:shd w:val="clear" w:color="auto" w:fill="FFFFFF"/>
        <w:spacing w:before="0" w:after="242" w:line="240" w:lineRule="auto"/>
        <w:jc w:val="both"/>
        <w:textAlignment w:val="baseline"/>
        <w:rPr>
          <w:rFonts w:ascii="Times New Roman" w:hAnsi="Times New Roman" w:cs="Times New Roman"/>
          <w:b w:val="0"/>
          <w:bCs w:val="0"/>
          <w:color w:val="333333"/>
          <w:sz w:val="24"/>
          <w:szCs w:val="24"/>
        </w:rPr>
      </w:pPr>
    </w:p>
    <w:p w:rsidR="008D154E" w:rsidRPr="005D58D4" w:rsidRDefault="008D154E" w:rsidP="008D154E">
      <w:pPr>
        <w:pStyle w:val="Ttulo3"/>
        <w:shd w:val="clear" w:color="auto" w:fill="FFFFFF"/>
        <w:spacing w:before="0" w:after="242" w:line="240" w:lineRule="auto"/>
        <w:jc w:val="both"/>
        <w:textAlignment w:val="baseline"/>
        <w:rPr>
          <w:rFonts w:ascii="Times New Roman" w:hAnsi="Times New Roman" w:cs="Times New Roman"/>
          <w:b w:val="0"/>
          <w:bCs w:val="0"/>
          <w:color w:val="333333"/>
          <w:sz w:val="24"/>
          <w:szCs w:val="24"/>
        </w:rPr>
      </w:pPr>
      <w:r>
        <w:rPr>
          <w:rFonts w:ascii="Times New Roman" w:hAnsi="Times New Roman" w:cs="Times New Roman"/>
          <w:b w:val="0"/>
          <w:bCs w:val="0"/>
          <w:color w:val="333333"/>
          <w:sz w:val="24"/>
          <w:szCs w:val="24"/>
        </w:rPr>
        <w:t>La revisión del “gasto social”</w:t>
      </w:r>
      <w:r w:rsidRPr="005D58D4">
        <w:rPr>
          <w:rFonts w:ascii="Times New Roman" w:hAnsi="Times New Roman" w:cs="Times New Roman"/>
          <w:b w:val="0"/>
          <w:bCs w:val="0"/>
          <w:color w:val="333333"/>
          <w:sz w:val="24"/>
          <w:szCs w:val="24"/>
        </w:rPr>
        <w:t>, tarea pendiente</w:t>
      </w:r>
    </w:p>
    <w:p w:rsidR="008D154E" w:rsidRDefault="008D154E" w:rsidP="008D154E">
      <w:pPr>
        <w:pStyle w:val="NormalWeb"/>
        <w:shd w:val="clear" w:color="auto" w:fill="FFFFFF"/>
        <w:spacing w:before="0" w:beforeAutospacing="0" w:after="0" w:afterAutospacing="0"/>
        <w:jc w:val="both"/>
        <w:textAlignment w:val="baseline"/>
        <w:rPr>
          <w:color w:val="333333"/>
        </w:rPr>
      </w:pPr>
      <w:r>
        <w:rPr>
          <w:color w:val="FF0000"/>
          <w:u w:val="single"/>
        </w:rPr>
        <w:t>Los programas de “gasto social”</w:t>
      </w:r>
      <w:r w:rsidRPr="00970FFD">
        <w:rPr>
          <w:color w:val="FF0000"/>
          <w:u w:val="single"/>
        </w:rPr>
        <w:t xml:space="preserve"> no ayudan a lograr que un mayor número de personas esté ocupada</w:t>
      </w:r>
      <w:r w:rsidRPr="005D58D4">
        <w:rPr>
          <w:color w:val="333333"/>
        </w:rPr>
        <w:t>. Un eje</w:t>
      </w:r>
      <w:r w:rsidR="007F288B">
        <w:rPr>
          <w:color w:val="333333"/>
        </w:rPr>
        <w:t>mplo es la iniciativa TANF, de “</w:t>
      </w:r>
      <w:r w:rsidRPr="005D58D4">
        <w:rPr>
          <w:color w:val="333333"/>
        </w:rPr>
        <w:t>asistencia temp</w:t>
      </w:r>
      <w:r w:rsidR="007F288B">
        <w:rPr>
          <w:color w:val="333333"/>
        </w:rPr>
        <w:t>oral a familias con necesidades”</w:t>
      </w:r>
      <w:r w:rsidRPr="005D58D4">
        <w:rPr>
          <w:color w:val="333333"/>
        </w:rPr>
        <w:t>. Dentro de este programa se diferencian dos grupos de hogares: los que están en condiciones de trabajar y los que no. Las</w:t>
      </w:r>
      <w:r w:rsidRPr="005D58D4">
        <w:rPr>
          <w:rStyle w:val="apple-converted-space"/>
          <w:color w:val="333333"/>
          <w:bdr w:val="none" w:sz="0" w:space="0" w:color="auto" w:frame="1"/>
        </w:rPr>
        <w:t> </w:t>
      </w:r>
      <w:r>
        <w:rPr>
          <w:rStyle w:val="Textoennegrita"/>
          <w:b w:val="0"/>
          <w:color w:val="333333"/>
          <w:bdr w:val="none" w:sz="0" w:space="0" w:color="auto" w:frame="1"/>
        </w:rPr>
        <w:t>reformas del “gasto social”</w:t>
      </w:r>
      <w:r w:rsidRPr="00B50D7D">
        <w:rPr>
          <w:rStyle w:val="apple-converted-space"/>
          <w:b/>
          <w:color w:val="333333"/>
        </w:rPr>
        <w:t> </w:t>
      </w:r>
      <w:r w:rsidRPr="005D58D4">
        <w:rPr>
          <w:color w:val="333333"/>
        </w:rPr>
        <w:t>aprobadas en la segunda mitad de los años 90, redujeron el número de personas que cobraban las ayudas del TANF pero no trabajaban.</w:t>
      </w:r>
    </w:p>
    <w:p w:rsidR="008D154E" w:rsidRPr="005D58D4" w:rsidRDefault="008D154E" w:rsidP="008D154E">
      <w:pPr>
        <w:pStyle w:val="NormalWeb"/>
        <w:shd w:val="clear" w:color="auto" w:fill="FFFFFF"/>
        <w:spacing w:before="0" w:beforeAutospacing="0" w:after="0" w:afterAutospacing="0"/>
        <w:jc w:val="both"/>
        <w:textAlignment w:val="baseline"/>
        <w:rPr>
          <w:color w:val="333333"/>
        </w:rPr>
      </w:pPr>
    </w:p>
    <w:p w:rsidR="008D154E" w:rsidRPr="00970FFD" w:rsidRDefault="008D154E" w:rsidP="008D154E">
      <w:pPr>
        <w:pStyle w:val="NormalWeb"/>
        <w:shd w:val="clear" w:color="auto" w:fill="FFFFFF"/>
        <w:spacing w:before="0" w:beforeAutospacing="0" w:after="0" w:afterAutospacing="0"/>
        <w:jc w:val="both"/>
        <w:textAlignment w:val="baseline"/>
        <w:rPr>
          <w:color w:val="333333"/>
          <w:u w:val="single"/>
        </w:rPr>
      </w:pPr>
      <w:r w:rsidRPr="005D58D4">
        <w:rPr>
          <w:color w:val="333333"/>
        </w:rPr>
        <w:t>Sin embargo, esta tasa se ha estabilizado durante los últimos años, de manera que</w:t>
      </w:r>
      <w:r w:rsidRPr="005D58D4">
        <w:rPr>
          <w:rStyle w:val="apple-converted-space"/>
          <w:color w:val="333333"/>
        </w:rPr>
        <w:t> </w:t>
      </w:r>
      <w:hyperlink r:id="rId36" w:anchor=".bi0isykkm" w:history="1">
        <w:r w:rsidRPr="00970FFD">
          <w:rPr>
            <w:rStyle w:val="Hipervnculo"/>
            <w:color w:val="FF0000"/>
            <w:bdr w:val="none" w:sz="0" w:space="0" w:color="auto" w:frame="1"/>
          </w:rPr>
          <w:t>apenas el 30% de quienes reciben este subsidio y pueden trabajar están participando activamente en el mercado de trabajo</w:t>
        </w:r>
      </w:hyperlink>
      <w:r w:rsidRPr="00970FFD">
        <w:rPr>
          <w:color w:val="FF0000"/>
        </w:rPr>
        <w:t>.</w:t>
      </w:r>
      <w:r w:rsidRPr="005D58D4">
        <w:rPr>
          <w:color w:val="333333"/>
        </w:rPr>
        <w:t xml:space="preserve"> De igual modo,</w:t>
      </w:r>
      <w:r w:rsidRPr="005D58D4">
        <w:rPr>
          <w:rStyle w:val="apple-converted-space"/>
          <w:color w:val="333333"/>
        </w:rPr>
        <w:t> </w:t>
      </w:r>
      <w:hyperlink r:id="rId37" w:anchor=".hvxb35kqx" w:history="1">
        <w:r w:rsidRPr="00970FFD">
          <w:rPr>
            <w:rStyle w:val="Hipervnculo"/>
            <w:color w:val="FF0000"/>
            <w:bdr w:val="none" w:sz="0" w:space="0" w:color="auto" w:frame="1"/>
          </w:rPr>
          <w:t xml:space="preserve">el número total de perceptores de </w:t>
        </w:r>
        <w:r w:rsidRPr="00970FFD">
          <w:rPr>
            <w:rStyle w:val="Hipervnculo"/>
            <w:color w:val="FF0000"/>
            <w:bdr w:val="none" w:sz="0" w:space="0" w:color="auto" w:frame="1"/>
          </w:rPr>
          <w:lastRenderedPageBreak/>
          <w:t>estas ayudas parece haberse estancado en 5 millones de personas</w:t>
        </w:r>
      </w:hyperlink>
      <w:r w:rsidRPr="00970FFD">
        <w:rPr>
          <w:color w:val="FF0000"/>
        </w:rPr>
        <w:t>.</w:t>
      </w:r>
      <w:r w:rsidRPr="00970FFD">
        <w:rPr>
          <w:color w:val="333333"/>
          <w:u w:val="single"/>
        </w:rPr>
        <w:t>Al menos, esta cifra es tres veces menor que la registrada antes de la aprobación de las reformas de los años 90.</w:t>
      </w:r>
    </w:p>
    <w:p w:rsidR="008D154E" w:rsidRPr="005D58D4" w:rsidRDefault="008D154E" w:rsidP="008D154E">
      <w:pPr>
        <w:pStyle w:val="NormalWeb"/>
        <w:shd w:val="clear" w:color="auto" w:fill="FFFFFF"/>
        <w:spacing w:before="0" w:beforeAutospacing="0" w:after="0" w:afterAutospacing="0"/>
        <w:jc w:val="both"/>
        <w:textAlignment w:val="baseline"/>
        <w:rPr>
          <w:color w:val="333333"/>
        </w:rPr>
      </w:pPr>
    </w:p>
    <w:p w:rsidR="008D154E" w:rsidRPr="00970FFD" w:rsidRDefault="008D154E" w:rsidP="008D154E">
      <w:pPr>
        <w:pStyle w:val="NormalWeb"/>
        <w:shd w:val="clear" w:color="auto" w:fill="FFFFFF"/>
        <w:spacing w:before="0" w:beforeAutospacing="0" w:after="0" w:afterAutospacing="0"/>
        <w:jc w:val="both"/>
        <w:textAlignment w:val="baseline"/>
        <w:rPr>
          <w:color w:val="333333"/>
          <w:u w:val="single"/>
        </w:rPr>
      </w:pPr>
      <w:r w:rsidRPr="005D58D4">
        <w:rPr>
          <w:color w:val="333333"/>
        </w:rPr>
        <w:t>El TANF fue racionalizado a raíz de los acuerdos del gobierno de</w:t>
      </w:r>
      <w:r w:rsidRPr="005D58D4">
        <w:rPr>
          <w:rStyle w:val="apple-converted-space"/>
          <w:color w:val="333333"/>
        </w:rPr>
        <w:t> </w:t>
      </w:r>
      <w:r w:rsidRPr="00B50D7D">
        <w:rPr>
          <w:rStyle w:val="Textoennegrita"/>
          <w:b w:val="0"/>
          <w:color w:val="333333"/>
          <w:bdr w:val="none" w:sz="0" w:space="0" w:color="auto" w:frame="1"/>
        </w:rPr>
        <w:t>Bill Clinton</w:t>
      </w:r>
      <w:r w:rsidRPr="005D58D4">
        <w:rPr>
          <w:rStyle w:val="apple-converted-space"/>
          <w:color w:val="333333"/>
        </w:rPr>
        <w:t> </w:t>
      </w:r>
      <w:r w:rsidRPr="005D58D4">
        <w:rPr>
          <w:color w:val="333333"/>
        </w:rPr>
        <w:t>con la exigente bancada de parlamentarios republicanos que, desde el Congreso y el Senado, impulsó el llamado</w:t>
      </w:r>
      <w:r w:rsidRPr="005D58D4">
        <w:rPr>
          <w:rStyle w:val="apple-converted-space"/>
          <w:i/>
          <w:iCs/>
          <w:color w:val="333333"/>
          <w:bdr w:val="none" w:sz="0" w:space="0" w:color="auto" w:frame="1"/>
        </w:rPr>
        <w:t> </w:t>
      </w:r>
      <w:r w:rsidRPr="005D58D4">
        <w:rPr>
          <w:rStyle w:val="nfasis"/>
          <w:rFonts w:eastAsiaTheme="majorEastAsia"/>
          <w:color w:val="333333"/>
          <w:bdr w:val="none" w:sz="0" w:space="0" w:color="auto" w:frame="1"/>
        </w:rPr>
        <w:t>Contrato con América</w:t>
      </w:r>
      <w:r w:rsidRPr="005D58D4">
        <w:rPr>
          <w:color w:val="333333"/>
        </w:rPr>
        <w:t xml:space="preserve">, una serie de reformas liberales orientadas a impulsar la actividad privada y reducir el intervencionismo del Estado. Sin embargo, </w:t>
      </w:r>
      <w:r w:rsidRPr="00970FFD">
        <w:rPr>
          <w:color w:val="333333"/>
          <w:u w:val="single"/>
        </w:rPr>
        <w:t>las cifras confirman que es necesaria una nueva evaluación de esta partida presupuestaria que genera bolsas de dependencia y mina el potencial de empleo y crecimiento del país norteamericano.</w:t>
      </w:r>
    </w:p>
    <w:p w:rsidR="008D154E" w:rsidRPr="005D58D4" w:rsidRDefault="008D154E" w:rsidP="008D154E">
      <w:pPr>
        <w:pStyle w:val="NormalWeb"/>
        <w:shd w:val="clear" w:color="auto" w:fill="FFFFFF"/>
        <w:spacing w:before="0" w:beforeAutospacing="0" w:after="0" w:afterAutospacing="0"/>
        <w:jc w:val="both"/>
        <w:textAlignment w:val="baseline"/>
        <w:rPr>
          <w:color w:val="333333"/>
        </w:rPr>
      </w:pPr>
    </w:p>
    <w:p w:rsidR="008D154E" w:rsidRPr="00970FFD" w:rsidRDefault="008D154E" w:rsidP="008D154E">
      <w:pPr>
        <w:pStyle w:val="NormalWeb"/>
        <w:shd w:val="clear" w:color="auto" w:fill="FFFFFF"/>
        <w:spacing w:before="0" w:beforeAutospacing="0" w:after="0" w:afterAutospacing="0"/>
        <w:jc w:val="both"/>
        <w:textAlignment w:val="baseline"/>
        <w:rPr>
          <w:color w:val="FF0000"/>
          <w:u w:val="single"/>
        </w:rPr>
      </w:pPr>
      <w:r w:rsidRPr="00970FFD">
        <w:rPr>
          <w:color w:val="FF0000"/>
          <w:u w:val="single"/>
        </w:rPr>
        <w:t xml:space="preserve">Más problemática aún es la cuestión de los </w:t>
      </w:r>
      <w:r>
        <w:rPr>
          <w:color w:val="FF0000"/>
          <w:u w:val="single"/>
        </w:rPr>
        <w:t>“</w:t>
      </w:r>
      <w:r w:rsidRPr="00B50D7D">
        <w:rPr>
          <w:rStyle w:val="Textoennegrita"/>
          <w:b w:val="0"/>
          <w:color w:val="FF0000"/>
          <w:u w:val="single"/>
          <w:bdr w:val="none" w:sz="0" w:space="0" w:color="auto" w:frame="1"/>
        </w:rPr>
        <w:t>cheques de comida</w:t>
      </w:r>
      <w:r>
        <w:rPr>
          <w:color w:val="FF0000"/>
          <w:u w:val="single"/>
        </w:rPr>
        <w:t>”</w:t>
      </w:r>
      <w:r w:rsidRPr="00970FFD">
        <w:rPr>
          <w:color w:val="FF0000"/>
          <w:u w:val="single"/>
        </w:rPr>
        <w:t xml:space="preserve"> que entregan las Administraciones estadounidenses. La ampliación de los criterios de elección ha dado pie a la aparición de entidades que ayudan a que cada vez más gente reciba estas ayudas.</w:t>
      </w:r>
      <w:r w:rsidRPr="00970FFD">
        <w:rPr>
          <w:rStyle w:val="apple-converted-space"/>
          <w:color w:val="FF0000"/>
          <w:u w:val="single"/>
        </w:rPr>
        <w:t> </w:t>
      </w:r>
      <w:hyperlink r:id="rId38" w:anchor=".y2bs0rjyg" w:history="1">
        <w:r w:rsidRPr="00970FFD">
          <w:rPr>
            <w:rStyle w:val="Hipervnculo"/>
            <w:color w:val="FF0000"/>
            <w:bdr w:val="none" w:sz="0" w:space="0" w:color="auto" w:frame="1"/>
          </w:rPr>
          <w:t>Si en 1970 había 10 millo</w:t>
        </w:r>
        <w:r w:rsidR="00D50C14">
          <w:rPr>
            <w:rStyle w:val="Hipervnculo"/>
            <w:color w:val="FF0000"/>
            <w:bdr w:val="none" w:sz="0" w:space="0" w:color="auto" w:frame="1"/>
          </w:rPr>
          <w:t>nes de personas reclamando sus “cheques de comida”</w:t>
        </w:r>
        <w:r w:rsidRPr="00970FFD">
          <w:rPr>
            <w:rStyle w:val="Hipervnculo"/>
            <w:color w:val="FF0000"/>
            <w:bdr w:val="none" w:sz="0" w:space="0" w:color="auto" w:frame="1"/>
          </w:rPr>
          <w:t>, en 2015 son cerca de 50 millones de estadounidenses los que hacen lo propio</w:t>
        </w:r>
      </w:hyperlink>
      <w:r w:rsidRPr="00970FFD">
        <w:rPr>
          <w:color w:val="FF0000"/>
          <w:u w:val="single"/>
        </w:rPr>
        <w:t>.</w:t>
      </w:r>
    </w:p>
    <w:p w:rsidR="008D154E" w:rsidRPr="005D58D4" w:rsidRDefault="008D154E" w:rsidP="008D154E">
      <w:pPr>
        <w:pStyle w:val="NormalWeb"/>
        <w:shd w:val="clear" w:color="auto" w:fill="FFFFFF"/>
        <w:spacing w:before="0" w:beforeAutospacing="0" w:after="0" w:afterAutospacing="0"/>
        <w:jc w:val="both"/>
        <w:textAlignment w:val="baseline"/>
        <w:rPr>
          <w:color w:val="333333"/>
        </w:rPr>
      </w:pPr>
    </w:p>
    <w:p w:rsidR="008D154E" w:rsidRPr="005D58D4" w:rsidRDefault="008D154E" w:rsidP="008D154E">
      <w:pPr>
        <w:spacing w:line="240" w:lineRule="auto"/>
        <w:jc w:val="both"/>
        <w:rPr>
          <w:rFonts w:ascii="Times New Roman" w:hAnsi="Times New Roman" w:cs="Times New Roman"/>
          <w:sz w:val="24"/>
          <w:szCs w:val="24"/>
        </w:rPr>
      </w:pPr>
      <w:r w:rsidRPr="005D58D4">
        <w:rPr>
          <w:rFonts w:ascii="Times New Roman" w:hAnsi="Times New Roman" w:cs="Times New Roman"/>
          <w:noProof/>
          <w:color w:val="E97D3B"/>
          <w:sz w:val="24"/>
          <w:szCs w:val="24"/>
          <w:bdr w:val="none" w:sz="0" w:space="0" w:color="auto" w:frame="1"/>
          <w:lang w:val="en-GB" w:eastAsia="en-GB"/>
        </w:rPr>
        <w:drawing>
          <wp:inline distT="0" distB="0" distL="0" distR="0">
            <wp:extent cx="5295900" cy="2171700"/>
            <wp:effectExtent l="0" t="0" r="0" b="0"/>
            <wp:docPr id="186" name="Imagen 186" descr="5-cheques-comida-food-stamps-eeuu-usa.jp">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cheques-comida-food-stamps-eeuu-usa.jp">
                      <a:hlinkClick r:id="rId39"/>
                    </pic:cNvPr>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5900" cy="2171700"/>
                    </a:xfrm>
                    <a:prstGeom prst="rect">
                      <a:avLst/>
                    </a:prstGeom>
                    <a:noFill/>
                    <a:ln>
                      <a:noFill/>
                    </a:ln>
                  </pic:spPr>
                </pic:pic>
              </a:graphicData>
            </a:graphic>
          </wp:inline>
        </w:drawing>
      </w:r>
    </w:p>
    <w:p w:rsidR="008D154E" w:rsidRDefault="008D154E" w:rsidP="008D154E">
      <w:pPr>
        <w:pStyle w:val="NormalWeb"/>
        <w:shd w:val="clear" w:color="auto" w:fill="FFFFFF"/>
        <w:spacing w:before="0" w:beforeAutospacing="0" w:after="0" w:afterAutospacing="0"/>
        <w:jc w:val="both"/>
        <w:textAlignment w:val="baseline"/>
        <w:rPr>
          <w:color w:val="FF0000"/>
          <w:u w:val="single"/>
        </w:rPr>
      </w:pPr>
    </w:p>
    <w:p w:rsidR="008D154E" w:rsidRDefault="008D154E" w:rsidP="008D154E">
      <w:pPr>
        <w:pStyle w:val="NormalWeb"/>
        <w:shd w:val="clear" w:color="auto" w:fill="FFFFFF"/>
        <w:spacing w:before="0" w:beforeAutospacing="0" w:after="0" w:afterAutospacing="0"/>
        <w:jc w:val="both"/>
        <w:textAlignment w:val="baseline"/>
        <w:rPr>
          <w:color w:val="FF0000"/>
          <w:u w:val="single"/>
        </w:rPr>
      </w:pPr>
      <w:r w:rsidRPr="00970FFD">
        <w:rPr>
          <w:color w:val="FF0000"/>
          <w:u w:val="single"/>
        </w:rPr>
        <w:t>La suma</w:t>
      </w:r>
      <w:r>
        <w:rPr>
          <w:color w:val="FF0000"/>
          <w:u w:val="single"/>
        </w:rPr>
        <w:t xml:space="preserve"> de estos y otros programas de “gasto social”</w:t>
      </w:r>
      <w:r w:rsidRPr="00970FFD">
        <w:rPr>
          <w:color w:val="FF0000"/>
          <w:u w:val="single"/>
        </w:rPr>
        <w:t xml:space="preserve"> se traduce en un crecien</w:t>
      </w:r>
      <w:r>
        <w:rPr>
          <w:color w:val="FF0000"/>
          <w:u w:val="single"/>
        </w:rPr>
        <w:t xml:space="preserve">te nivel de gasto </w:t>
      </w:r>
      <w:r w:rsidR="005337CB">
        <w:rPr>
          <w:color w:val="FF0000"/>
          <w:u w:val="single"/>
        </w:rPr>
        <w:t>consignado</w:t>
      </w:r>
      <w:r>
        <w:rPr>
          <w:color w:val="FF0000"/>
          <w:u w:val="single"/>
        </w:rPr>
        <w:t xml:space="preserve"> al “Estado del Bienestar”</w:t>
      </w:r>
      <w:r w:rsidRPr="00970FFD">
        <w:rPr>
          <w:color w:val="FF0000"/>
          <w:u w:val="single"/>
        </w:rPr>
        <w:t>. En los años 70, los desembolsos totales ligados a estos programas eran un 80% más bajos de lo que hemos visto en los últimos años. La</w:t>
      </w:r>
      <w:r w:rsidRPr="00970FFD">
        <w:rPr>
          <w:rStyle w:val="apple-converted-space"/>
          <w:color w:val="FF0000"/>
          <w:u w:val="single"/>
        </w:rPr>
        <w:t> </w:t>
      </w:r>
      <w:r w:rsidRPr="00B50D7D">
        <w:rPr>
          <w:rStyle w:val="Textoennegrita"/>
          <w:b w:val="0"/>
          <w:color w:val="FF0000"/>
          <w:u w:val="single"/>
          <w:bdr w:val="none" w:sz="0" w:space="0" w:color="auto" w:frame="1"/>
        </w:rPr>
        <w:t>falta de control</w:t>
      </w:r>
      <w:r w:rsidRPr="00B50D7D">
        <w:rPr>
          <w:rStyle w:val="apple-converted-space"/>
          <w:b/>
          <w:color w:val="FF0000"/>
          <w:u w:val="single"/>
        </w:rPr>
        <w:t> </w:t>
      </w:r>
      <w:r w:rsidRPr="00B50D7D">
        <w:rPr>
          <w:color w:val="FF0000"/>
          <w:u w:val="single"/>
        </w:rPr>
        <w:t>y la</w:t>
      </w:r>
      <w:r w:rsidRPr="00B50D7D">
        <w:rPr>
          <w:rStyle w:val="apple-converted-space"/>
          <w:b/>
          <w:color w:val="FF0000"/>
          <w:u w:val="single"/>
        </w:rPr>
        <w:t> </w:t>
      </w:r>
      <w:r w:rsidRPr="00B50D7D">
        <w:rPr>
          <w:rStyle w:val="Textoennegrita"/>
          <w:b w:val="0"/>
          <w:color w:val="FF0000"/>
          <w:u w:val="single"/>
          <w:bdr w:val="none" w:sz="0" w:space="0" w:color="auto" w:frame="1"/>
        </w:rPr>
        <w:t>ausencia de reformas</w:t>
      </w:r>
      <w:r w:rsidRPr="00970FFD">
        <w:rPr>
          <w:rStyle w:val="apple-converted-space"/>
          <w:color w:val="FF0000"/>
          <w:u w:val="single"/>
        </w:rPr>
        <w:t> </w:t>
      </w:r>
      <w:r w:rsidRPr="00970FFD">
        <w:rPr>
          <w:color w:val="FF0000"/>
          <w:u w:val="single"/>
        </w:rPr>
        <w:t>en las condiciones de acceso a las ayudas, están alimentando una sociedad cada vez más dependiente del Estado.</w:t>
      </w:r>
    </w:p>
    <w:p w:rsidR="008D154E" w:rsidRPr="00970FFD" w:rsidRDefault="008D154E" w:rsidP="008D154E">
      <w:pPr>
        <w:pStyle w:val="NormalWeb"/>
        <w:shd w:val="clear" w:color="auto" w:fill="FFFFFF"/>
        <w:spacing w:before="0" w:beforeAutospacing="0" w:after="0" w:afterAutospacing="0"/>
        <w:jc w:val="both"/>
        <w:textAlignment w:val="baseline"/>
        <w:rPr>
          <w:color w:val="FF0000"/>
          <w:u w:val="single"/>
        </w:rPr>
      </w:pPr>
    </w:p>
    <w:p w:rsidR="008D154E" w:rsidRPr="00970FFD" w:rsidRDefault="008D154E" w:rsidP="008D154E">
      <w:pPr>
        <w:pStyle w:val="NormalWeb"/>
        <w:shd w:val="clear" w:color="auto" w:fill="FFFFFF"/>
        <w:spacing w:before="0" w:beforeAutospacing="0" w:after="0" w:afterAutospacing="0"/>
        <w:jc w:val="both"/>
        <w:textAlignment w:val="baseline"/>
        <w:rPr>
          <w:color w:val="FF0000"/>
          <w:u w:val="single"/>
        </w:rPr>
      </w:pPr>
    </w:p>
    <w:p w:rsidR="008D154E" w:rsidRPr="005D58D4" w:rsidRDefault="008D154E" w:rsidP="008D154E">
      <w:pPr>
        <w:spacing w:line="240" w:lineRule="auto"/>
        <w:jc w:val="both"/>
        <w:rPr>
          <w:rFonts w:ascii="Times New Roman" w:hAnsi="Times New Roman" w:cs="Times New Roman"/>
          <w:sz w:val="24"/>
          <w:szCs w:val="24"/>
        </w:rPr>
      </w:pPr>
      <w:r w:rsidRPr="005D58D4">
        <w:rPr>
          <w:rFonts w:ascii="Times New Roman" w:hAnsi="Times New Roman" w:cs="Times New Roman"/>
          <w:noProof/>
          <w:color w:val="E97D3B"/>
          <w:sz w:val="24"/>
          <w:szCs w:val="24"/>
          <w:bdr w:val="none" w:sz="0" w:space="0" w:color="auto" w:frame="1"/>
          <w:lang w:val="en-GB" w:eastAsia="en-GB"/>
        </w:rPr>
        <w:drawing>
          <wp:inline distT="0" distB="0" distL="0" distR="0">
            <wp:extent cx="5454650" cy="2133600"/>
            <wp:effectExtent l="0" t="0" r="0" b="0"/>
            <wp:docPr id="187" name="Imagen 187" descr="6-gasto-bienestar-social-eeuu.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gasto-bienestar-social-eeuu.jpg">
                      <a:hlinkClick r:id="rId41"/>
                    </pic:cNvPr>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4650" cy="2133600"/>
                    </a:xfrm>
                    <a:prstGeom prst="rect">
                      <a:avLst/>
                    </a:prstGeom>
                    <a:noFill/>
                    <a:ln>
                      <a:noFill/>
                    </a:ln>
                  </pic:spPr>
                </pic:pic>
              </a:graphicData>
            </a:graphic>
          </wp:inline>
        </w:drawing>
      </w:r>
    </w:p>
    <w:p w:rsidR="008D154E" w:rsidRPr="005D58D4" w:rsidRDefault="008D154E" w:rsidP="008D154E">
      <w:pPr>
        <w:pStyle w:val="Ttulo3"/>
        <w:shd w:val="clear" w:color="auto" w:fill="FFFFFF"/>
        <w:spacing w:before="0" w:after="242" w:line="240" w:lineRule="auto"/>
        <w:jc w:val="both"/>
        <w:textAlignment w:val="baseline"/>
        <w:rPr>
          <w:rFonts w:ascii="Times New Roman" w:hAnsi="Times New Roman" w:cs="Times New Roman"/>
          <w:b w:val="0"/>
          <w:bCs w:val="0"/>
          <w:color w:val="333333"/>
          <w:sz w:val="24"/>
          <w:szCs w:val="24"/>
        </w:rPr>
      </w:pPr>
      <w:r w:rsidRPr="005D58D4">
        <w:rPr>
          <w:rFonts w:ascii="Times New Roman" w:hAnsi="Times New Roman" w:cs="Times New Roman"/>
          <w:b w:val="0"/>
          <w:bCs w:val="0"/>
          <w:color w:val="333333"/>
          <w:sz w:val="24"/>
          <w:szCs w:val="24"/>
        </w:rPr>
        <w:lastRenderedPageBreak/>
        <w:t>Un panorama negro</w:t>
      </w:r>
    </w:p>
    <w:p w:rsidR="008D154E" w:rsidRPr="00970FFD" w:rsidRDefault="008D154E" w:rsidP="008D154E">
      <w:pPr>
        <w:pStyle w:val="NormalWeb"/>
        <w:shd w:val="clear" w:color="auto" w:fill="FFFFFF"/>
        <w:spacing w:before="0" w:beforeAutospacing="0" w:after="0" w:afterAutospacing="0"/>
        <w:jc w:val="both"/>
        <w:textAlignment w:val="baseline"/>
        <w:rPr>
          <w:color w:val="FF0000"/>
          <w:u w:val="single"/>
        </w:rPr>
      </w:pPr>
      <w:r w:rsidRPr="00970FFD">
        <w:rPr>
          <w:color w:val="FF0000"/>
          <w:u w:val="single"/>
        </w:rPr>
        <w:t xml:space="preserve">Los datos anteriores, incluidos en el Índice de Cultura y Oportunidad de la Fundación Heritage, confirman el declive del gigante estadounidense. Los datos son claros y nos dicen que </w:t>
      </w:r>
      <w:r w:rsidRPr="00B50D7D">
        <w:rPr>
          <w:rStyle w:val="Textoennegrita"/>
          <w:b w:val="0"/>
          <w:color w:val="FF0000"/>
          <w:u w:val="single"/>
          <w:bdr w:val="none" w:sz="0" w:space="0" w:color="auto" w:frame="1"/>
        </w:rPr>
        <w:t>el país norteamericano pierde libertad económica</w:t>
      </w:r>
      <w:r w:rsidRPr="00970FFD">
        <w:rPr>
          <w:rStyle w:val="apple-converted-space"/>
          <w:color w:val="FF0000"/>
          <w:u w:val="single"/>
        </w:rPr>
        <w:t> </w:t>
      </w:r>
      <w:r w:rsidRPr="00970FFD">
        <w:rPr>
          <w:color w:val="FF0000"/>
          <w:u w:val="single"/>
        </w:rPr>
        <w:t>a marchas forzadas mientras sube el nivel de dependencia del asistencialismo público.</w:t>
      </w:r>
    </w:p>
    <w:p w:rsidR="008D154E" w:rsidRPr="005D58D4" w:rsidRDefault="008D154E" w:rsidP="008D154E">
      <w:pPr>
        <w:pStyle w:val="NormalWeb"/>
        <w:shd w:val="clear" w:color="auto" w:fill="FFFFFF"/>
        <w:spacing w:before="0" w:beforeAutospacing="0" w:after="0" w:afterAutospacing="0"/>
        <w:jc w:val="both"/>
        <w:textAlignment w:val="baseline"/>
        <w:rPr>
          <w:color w:val="333333"/>
        </w:rPr>
      </w:pPr>
    </w:p>
    <w:p w:rsidR="008D154E" w:rsidRDefault="008D154E" w:rsidP="008D154E">
      <w:pPr>
        <w:pStyle w:val="NormalWeb"/>
        <w:shd w:val="clear" w:color="auto" w:fill="FFFFFF"/>
        <w:spacing w:before="0" w:beforeAutospacing="0" w:after="0" w:afterAutospacing="0"/>
        <w:jc w:val="both"/>
        <w:textAlignment w:val="baseline"/>
        <w:rPr>
          <w:color w:val="333333"/>
        </w:rPr>
      </w:pPr>
      <w:r w:rsidRPr="005D58D4">
        <w:rPr>
          <w:color w:val="333333"/>
        </w:rPr>
        <w:t>La solución pasa necesariamente por abordar ambos frentes: por un lado, una nueva</w:t>
      </w:r>
      <w:r w:rsidRPr="005D58D4">
        <w:rPr>
          <w:rStyle w:val="apple-converted-space"/>
          <w:color w:val="333333"/>
        </w:rPr>
        <w:t> </w:t>
      </w:r>
      <w:r w:rsidRPr="00B50D7D">
        <w:rPr>
          <w:rStyle w:val="Textoennegrita"/>
          <w:b w:val="0"/>
          <w:color w:val="333333"/>
          <w:bdr w:val="none" w:sz="0" w:space="0" w:color="auto" w:frame="1"/>
        </w:rPr>
        <w:t>revolución liberal</w:t>
      </w:r>
      <w:r w:rsidRPr="005D58D4">
        <w:rPr>
          <w:rStyle w:val="apple-converted-space"/>
          <w:color w:val="333333"/>
        </w:rPr>
        <w:t> </w:t>
      </w:r>
      <w:r w:rsidRPr="005D58D4">
        <w:rPr>
          <w:color w:val="333333"/>
        </w:rPr>
        <w:t>orientada a lograr una economía más flexible; por o</w:t>
      </w:r>
      <w:r>
        <w:rPr>
          <w:color w:val="333333"/>
        </w:rPr>
        <w:t>tro lado, una reordenación del “gasto social”</w:t>
      </w:r>
      <w:r w:rsidRPr="005D58D4">
        <w:rPr>
          <w:color w:val="333333"/>
        </w:rPr>
        <w:t xml:space="preserve"> pensada para simplificar estos programas y aplicarlos únicamente en casos de verdadera necesidad.</w:t>
      </w:r>
    </w:p>
    <w:p w:rsidR="008D154E" w:rsidRPr="005D58D4" w:rsidRDefault="008D154E" w:rsidP="008D154E">
      <w:pPr>
        <w:pStyle w:val="NormalWeb"/>
        <w:shd w:val="clear" w:color="auto" w:fill="FFFFFF"/>
        <w:spacing w:before="0" w:beforeAutospacing="0" w:after="0" w:afterAutospacing="0"/>
        <w:jc w:val="both"/>
        <w:textAlignment w:val="baseline"/>
        <w:rPr>
          <w:color w:val="333333"/>
        </w:rPr>
      </w:pPr>
    </w:p>
    <w:p w:rsidR="008D154E" w:rsidRDefault="008D154E" w:rsidP="008D154E">
      <w:pPr>
        <w:pStyle w:val="NormalWeb"/>
        <w:shd w:val="clear" w:color="auto" w:fill="FFFFFF"/>
        <w:spacing w:before="0" w:beforeAutospacing="0" w:after="0" w:afterAutospacing="0"/>
        <w:jc w:val="both"/>
        <w:textAlignment w:val="baseline"/>
        <w:rPr>
          <w:color w:val="333333"/>
          <w:u w:val="single"/>
        </w:rPr>
      </w:pPr>
      <w:r w:rsidRPr="005D58D4">
        <w:rPr>
          <w:color w:val="333333"/>
        </w:rPr>
        <w:t>Sin embargo, el panorama no es nada halagüeño. El auge de Donald Trump en las filas republicanas apunta a unos Estados Unidos cada vez más</w:t>
      </w:r>
      <w:r w:rsidRPr="005D58D4">
        <w:rPr>
          <w:rStyle w:val="apple-converted-space"/>
          <w:color w:val="333333"/>
        </w:rPr>
        <w:t> </w:t>
      </w:r>
      <w:r w:rsidRPr="00B50D7D">
        <w:rPr>
          <w:rStyle w:val="Textoennegrita"/>
          <w:b w:val="0"/>
          <w:color w:val="333333"/>
          <w:bdr w:val="none" w:sz="0" w:space="0" w:color="auto" w:frame="1"/>
        </w:rPr>
        <w:t>recelosos de la globalización económica y el capitalismo</w:t>
      </w:r>
      <w:r w:rsidRPr="005D58D4">
        <w:rPr>
          <w:color w:val="333333"/>
        </w:rPr>
        <w:t xml:space="preserve">. Algo parecido apunta el buen desempeño que tuvo Bernie Sanders en las primarias del partido demócrata. Si a esto le sumamos el giro izquierdista que ha asumido Hillary Clinton para alcanzar la nominación, </w:t>
      </w:r>
      <w:r w:rsidRPr="00A56D28">
        <w:rPr>
          <w:color w:val="333333"/>
          <w:u w:val="single"/>
        </w:rPr>
        <w:t>parece claro que las dudas sobre el futuro del país norteamericano son más que razonables.</w:t>
      </w:r>
    </w:p>
    <w:p w:rsidR="008D154E" w:rsidRDefault="008D154E" w:rsidP="008D154E">
      <w:pPr>
        <w:spacing w:line="240" w:lineRule="auto"/>
        <w:jc w:val="both"/>
        <w:rPr>
          <w:rFonts w:ascii="Times New Roman" w:hAnsi="Times New Roman"/>
          <w:sz w:val="24"/>
          <w:szCs w:val="24"/>
        </w:rPr>
      </w:pPr>
    </w:p>
    <w:p w:rsidR="008D154E" w:rsidRPr="008D154E" w:rsidRDefault="008D154E" w:rsidP="008D154E">
      <w:pPr>
        <w:pStyle w:val="NormalWeb"/>
        <w:spacing w:before="0" w:beforeAutospacing="0" w:after="0" w:afterAutospacing="0"/>
        <w:jc w:val="both"/>
        <w:textAlignment w:val="baseline"/>
        <w:rPr>
          <w:i/>
        </w:rPr>
      </w:pPr>
      <w:r>
        <w:rPr>
          <w:i/>
        </w:rPr>
        <w:t>“</w:t>
      </w:r>
      <w:r w:rsidRPr="008D154E">
        <w:rPr>
          <w:i/>
        </w:rPr>
        <w:t>Los datos de la semana pasada en EEUU son consistentes con una recesión cercana. Esta semana, el analista Albert Edwards de Societé Generale apuntaba a lo que ya comentábamos</w:t>
      </w:r>
      <w:r w:rsidRPr="008D154E">
        <w:rPr>
          <w:rStyle w:val="apple-converted-space"/>
          <w:i/>
        </w:rPr>
        <w:t> </w:t>
      </w:r>
      <w:hyperlink r:id="rId43" w:tgtFrame="_blank" w:history="1">
        <w:r w:rsidRPr="008D154E">
          <w:rPr>
            <w:rStyle w:val="Hipervnculo"/>
            <w:i/>
            <w:color w:val="auto"/>
            <w:u w:val="none"/>
            <w:bdr w:val="none" w:sz="0" w:space="0" w:color="auto" w:frame="1"/>
          </w:rPr>
          <w:t>aquí</w:t>
        </w:r>
      </w:hyperlink>
      <w:r w:rsidRPr="008D154E">
        <w:rPr>
          <w:i/>
        </w:rPr>
        <w:t> hace unos meses... Lo único que previene a Estados Unidos de entrar en recesión técnica es el consumo, y una enorme parte de este viene de aumento del endeudamiento.</w:t>
      </w:r>
    </w:p>
    <w:p w:rsidR="008D154E" w:rsidRPr="008D154E" w:rsidRDefault="008D154E" w:rsidP="008D154E">
      <w:pPr>
        <w:pStyle w:val="NormalWeb"/>
        <w:spacing w:before="0" w:beforeAutospacing="0" w:after="0" w:afterAutospacing="0"/>
        <w:jc w:val="both"/>
        <w:textAlignment w:val="baseline"/>
        <w:rPr>
          <w:i/>
        </w:rPr>
      </w:pPr>
    </w:p>
    <w:p w:rsidR="008D154E" w:rsidRDefault="008D154E" w:rsidP="008D154E">
      <w:pPr>
        <w:shd w:val="clear" w:color="auto" w:fill="FFFFFF"/>
        <w:jc w:val="both"/>
        <w:textAlignment w:val="baseline"/>
        <w:rPr>
          <w:rFonts w:ascii="Times New Roman" w:hAnsi="Times New Roman"/>
          <w:sz w:val="24"/>
          <w:szCs w:val="24"/>
        </w:rPr>
      </w:pPr>
      <w:r w:rsidRPr="008D154E">
        <w:rPr>
          <w:rFonts w:ascii="Times New Roman" w:hAnsi="Times New Roman" w:cs="Times New Roman"/>
          <w:i/>
          <w:sz w:val="24"/>
          <w:szCs w:val="24"/>
        </w:rPr>
        <w:t>De hecho, sin la aportación del consumo al PIB, EEUU ya habría entrado en recesión a principios de 2016”...</w:t>
      </w:r>
      <w:r w:rsidRPr="000D58FA">
        <w:rPr>
          <w:rFonts w:ascii="Times New Roman" w:hAnsi="Times New Roman"/>
          <w:sz w:val="24"/>
          <w:szCs w:val="24"/>
          <w:u w:val="single"/>
        </w:rPr>
        <w:t>Estados Unidos muestra señales pre-recesivas</w:t>
      </w:r>
      <w:r w:rsidRPr="000D58FA">
        <w:rPr>
          <w:rFonts w:ascii="Times New Roman" w:hAnsi="Times New Roman"/>
          <w:sz w:val="24"/>
          <w:szCs w:val="24"/>
        </w:rPr>
        <w:t xml:space="preserve"> (El Español - </w:t>
      </w:r>
      <w:r w:rsidRPr="000D58FA">
        <w:rPr>
          <w:rFonts w:ascii="Times New Roman" w:hAnsi="Times New Roman"/>
          <w:b/>
          <w:sz w:val="24"/>
          <w:szCs w:val="24"/>
        </w:rPr>
        <w:t>5/9/16</w:t>
      </w:r>
      <w:r w:rsidRPr="000D58FA">
        <w:rPr>
          <w:rFonts w:ascii="Times New Roman" w:hAnsi="Times New Roman"/>
          <w:sz w:val="24"/>
          <w:szCs w:val="24"/>
        </w:rPr>
        <w:t>)</w:t>
      </w:r>
    </w:p>
    <w:p w:rsidR="008D154E" w:rsidRDefault="008D154E" w:rsidP="008D154E">
      <w:pPr>
        <w:shd w:val="clear" w:color="auto" w:fill="FFFFFF"/>
        <w:jc w:val="both"/>
        <w:textAlignment w:val="baseline"/>
        <w:rPr>
          <w:rFonts w:ascii="Times New Roman" w:hAnsi="Times New Roman"/>
          <w:sz w:val="24"/>
          <w:szCs w:val="24"/>
        </w:rPr>
      </w:pPr>
    </w:p>
    <w:p w:rsidR="008D154E" w:rsidRDefault="008D154E" w:rsidP="008D154E">
      <w:pPr>
        <w:shd w:val="clear" w:color="auto" w:fill="FFFFFF"/>
        <w:jc w:val="both"/>
        <w:textAlignment w:val="baseline"/>
        <w:rPr>
          <w:rFonts w:ascii="Times New Roman" w:hAnsi="Times New Roman"/>
          <w:sz w:val="24"/>
          <w:szCs w:val="24"/>
        </w:rPr>
      </w:pPr>
      <w:r w:rsidRPr="000D58FA">
        <w:rPr>
          <w:rFonts w:ascii="Times New Roman" w:hAnsi="Times New Roman"/>
          <w:noProof/>
          <w:sz w:val="24"/>
          <w:szCs w:val="24"/>
          <w:bdr w:val="none" w:sz="0" w:space="0" w:color="auto" w:frame="1"/>
          <w:lang w:val="en-GB" w:eastAsia="en-GB"/>
        </w:rPr>
        <w:drawing>
          <wp:inline distT="0" distB="0" distL="0" distR="0">
            <wp:extent cx="5346700" cy="2844800"/>
            <wp:effectExtent l="0" t="0" r="6350" b="0"/>
            <wp:docPr id="228" name="Imagen 228" descr="http://s4.eestatic.com/2016/09/04/actualidad/Actualidad_152997777_15519234_1706x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4.eestatic.com/2016/09/04/actualidad/Actualidad_152997777_15519234_1706x882.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6700" cy="2844800"/>
                    </a:xfrm>
                    <a:prstGeom prst="rect">
                      <a:avLst/>
                    </a:prstGeom>
                    <a:noFill/>
                    <a:ln>
                      <a:noFill/>
                    </a:ln>
                  </pic:spPr>
                </pic:pic>
              </a:graphicData>
            </a:graphic>
          </wp:inline>
        </w:drawing>
      </w:r>
    </w:p>
    <w:p w:rsidR="008D154E" w:rsidRDefault="008D154E" w:rsidP="008D154E">
      <w:pPr>
        <w:shd w:val="clear" w:color="auto" w:fill="FFFFFF"/>
        <w:jc w:val="both"/>
        <w:textAlignment w:val="baseline"/>
        <w:rPr>
          <w:rFonts w:ascii="Times New Roman" w:hAnsi="Times New Roman"/>
          <w:sz w:val="24"/>
          <w:szCs w:val="24"/>
        </w:rPr>
      </w:pPr>
    </w:p>
    <w:p w:rsidR="008D154E" w:rsidRDefault="008D154E" w:rsidP="008D154E">
      <w:pPr>
        <w:spacing w:before="150" w:after="15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Fracaso financiero: un mercado “adicto” al “helicóptero monetario” del BC</w:t>
      </w:r>
    </w:p>
    <w:p w:rsidR="008D154E" w:rsidRPr="008D154E" w:rsidRDefault="008D154E" w:rsidP="008D154E">
      <w:pPr>
        <w:pStyle w:val="NormalWeb"/>
        <w:shd w:val="clear" w:color="auto" w:fill="FFFFFF"/>
        <w:spacing w:before="0" w:beforeAutospacing="0" w:after="0" w:afterAutospacing="0"/>
        <w:jc w:val="both"/>
        <w:textAlignment w:val="baseline"/>
        <w:rPr>
          <w:i/>
        </w:rPr>
      </w:pPr>
      <w:r>
        <w:rPr>
          <w:i/>
        </w:rPr>
        <w:t>“</w:t>
      </w:r>
      <w:r w:rsidRPr="008D154E">
        <w:rPr>
          <w:i/>
        </w:rPr>
        <w:t>Una mentira sustentada en la</w:t>
      </w:r>
      <w:r w:rsidRPr="008D154E">
        <w:rPr>
          <w:rStyle w:val="apple-converted-space"/>
          <w:rFonts w:eastAsiaTheme="majorEastAsia"/>
          <w:i/>
          <w:bdr w:val="none" w:sz="0" w:space="0" w:color="auto" w:frame="1"/>
        </w:rPr>
        <w:t> </w:t>
      </w:r>
      <w:r w:rsidRPr="008D154E">
        <w:rPr>
          <w:bCs/>
          <w:i/>
          <w:bdr w:val="none" w:sz="0" w:space="0" w:color="auto" w:frame="1"/>
        </w:rPr>
        <w:t>expansión artificial del crédito de los últimos 20 años y que ha distorsionado enormemente la economía</w:t>
      </w:r>
      <w:r w:rsidRPr="008D154E">
        <w:rPr>
          <w:rStyle w:val="apple-converted-space"/>
          <w:rFonts w:eastAsiaTheme="majorEastAsia"/>
          <w:i/>
        </w:rPr>
        <w:t> </w:t>
      </w:r>
      <w:r w:rsidRPr="008D154E">
        <w:rPr>
          <w:i/>
        </w:rPr>
        <w:t>y cuyas consecuencias estamos viviendo. Piensen si es propio de una economía sana, una cuyo crecimiento se basa en el ahorro previo, y con un mínimo de disciplina financiera y prudencia inversora,</w:t>
      </w:r>
      <w:r w:rsidRPr="008D154E">
        <w:rPr>
          <w:rStyle w:val="apple-converted-space"/>
          <w:rFonts w:eastAsiaTheme="majorEastAsia"/>
          <w:i/>
          <w:bdr w:val="none" w:sz="0" w:space="0" w:color="auto" w:frame="1"/>
        </w:rPr>
        <w:t> </w:t>
      </w:r>
      <w:r w:rsidRPr="008D154E">
        <w:rPr>
          <w:rStyle w:val="Textoennegrita"/>
          <w:b w:val="0"/>
          <w:i/>
          <w:bdr w:val="none" w:sz="0" w:space="0" w:color="auto" w:frame="1"/>
        </w:rPr>
        <w:t>construir ciudades fantasmas</w:t>
      </w:r>
      <w:r w:rsidRPr="008D154E">
        <w:rPr>
          <w:rStyle w:val="apple-converted-space"/>
          <w:rFonts w:eastAsiaTheme="majorEastAsia"/>
          <w:i/>
        </w:rPr>
        <w:t> </w:t>
      </w:r>
      <w:r w:rsidRPr="008D154E">
        <w:rPr>
          <w:i/>
        </w:rPr>
        <w:t>en un país como China, donde se estima que hay entre 50 y 65 millones de apartamentos vacíos -en la década de 2000 al 2010, se construyó cada año en China cerca del equivalente a todo el parque residencial de España-. Pero no es de la burbuja inmobiliaria china de lo que quería hablarles hoy sino de las materias primas y sus industrias asociadas.</w:t>
      </w:r>
    </w:p>
    <w:p w:rsidR="008D154E" w:rsidRPr="008D154E" w:rsidRDefault="008D154E" w:rsidP="008D154E">
      <w:pPr>
        <w:pStyle w:val="NormalWeb"/>
        <w:shd w:val="clear" w:color="auto" w:fill="FFFFFF"/>
        <w:spacing w:before="0" w:beforeAutospacing="0" w:after="0" w:afterAutospacing="0"/>
        <w:jc w:val="both"/>
        <w:textAlignment w:val="baseline"/>
        <w:rPr>
          <w:i/>
        </w:rPr>
      </w:pPr>
    </w:p>
    <w:p w:rsidR="007F40A6" w:rsidRPr="000D5937" w:rsidRDefault="008D154E" w:rsidP="007F40A6">
      <w:pPr>
        <w:pStyle w:val="NormalWeb"/>
        <w:shd w:val="clear" w:color="auto" w:fill="FFFFFF"/>
        <w:spacing w:before="0" w:beforeAutospacing="0" w:after="0" w:afterAutospacing="0"/>
        <w:jc w:val="both"/>
        <w:textAlignment w:val="baseline"/>
      </w:pPr>
      <w:r w:rsidRPr="008D154E">
        <w:rPr>
          <w:i/>
        </w:rPr>
        <w:t>Y es que</w:t>
      </w:r>
      <w:r w:rsidRPr="008D154E">
        <w:rPr>
          <w:rStyle w:val="apple-converted-space"/>
          <w:rFonts w:eastAsiaTheme="majorEastAsia"/>
          <w:i/>
        </w:rPr>
        <w:t> </w:t>
      </w:r>
      <w:hyperlink r:id="rId45" w:history="1">
        <w:r w:rsidRPr="008D154E">
          <w:rPr>
            <w:rStyle w:val="Hipervnculo"/>
            <w:bCs/>
            <w:i/>
            <w:color w:val="auto"/>
            <w:u w:val="none"/>
          </w:rPr>
          <w:t>la burbuja de crédito alimentada por los bancos centrales</w:t>
        </w:r>
      </w:hyperlink>
      <w:r w:rsidRPr="008D154E">
        <w:rPr>
          <w:rStyle w:val="apple-converted-space"/>
          <w:rFonts w:eastAsiaTheme="majorEastAsia"/>
          <w:i/>
        </w:rPr>
        <w:t> </w:t>
      </w:r>
      <w:r w:rsidRPr="008D154E">
        <w:rPr>
          <w:i/>
        </w:rPr>
        <w:t>desde mediados de los años 90 ha causado que la deuda global haya crecido, en valor absoluto, prácticamente</w:t>
      </w:r>
      <w:r w:rsidRPr="008D154E">
        <w:rPr>
          <w:rStyle w:val="apple-converted-space"/>
          <w:rFonts w:eastAsiaTheme="majorEastAsia"/>
          <w:i/>
        </w:rPr>
        <w:t> </w:t>
      </w:r>
      <w:r w:rsidRPr="008D154E">
        <w:rPr>
          <w:bCs/>
          <w:i/>
          <w:bdr w:val="none" w:sz="0" w:space="0" w:color="auto" w:frame="1"/>
        </w:rPr>
        <w:t>cuatro veces lo que lo ha hecho el PIB mundial</w:t>
      </w:r>
      <w:r w:rsidRPr="008D154E">
        <w:rPr>
          <w:i/>
        </w:rPr>
        <w:t> -el balance de los cuatro grandes bancos centrales, sin contar China-, ha alcanzado cerca de 11 billones de euros, y subiendo.</w:t>
      </w:r>
      <w:r w:rsidRPr="008D154E">
        <w:rPr>
          <w:rStyle w:val="apple-converted-space"/>
          <w:rFonts w:eastAsiaTheme="majorEastAsia"/>
          <w:i/>
        </w:rPr>
        <w:t> </w:t>
      </w:r>
      <w:r w:rsidRPr="008D154E">
        <w:rPr>
          <w:bCs/>
          <w:i/>
          <w:bdr w:val="none" w:sz="0" w:space="0" w:color="auto" w:frame="1"/>
        </w:rPr>
        <w:t>Una expansión artificial, es decir, no sustentada en el ahorro,</w:t>
      </w:r>
      <w:r w:rsidRPr="008D154E">
        <w:rPr>
          <w:rStyle w:val="apple-converted-space"/>
          <w:rFonts w:eastAsiaTheme="majorEastAsia"/>
          <w:i/>
          <w:bdr w:val="none" w:sz="0" w:space="0" w:color="auto" w:frame="1"/>
        </w:rPr>
        <w:t> </w:t>
      </w:r>
      <w:r w:rsidRPr="008D154E">
        <w:rPr>
          <w:i/>
        </w:rPr>
        <w:t>que ha conducido a un crecimiento rápido e insostenible de la demanda de materias primas y maquinaria industrial generando una formidable estafa piramidal al estilo Ponzi, que se ha filtrado por todas las capas de la economía y del sistema financiero</w:t>
      </w:r>
      <w:r w:rsidRPr="003E312E">
        <w:rPr>
          <w:i/>
        </w:rPr>
        <w:t>”...</w:t>
      </w:r>
      <w:r w:rsidR="007F40A6" w:rsidRPr="000D5937">
        <w:rPr>
          <w:u w:val="single"/>
        </w:rPr>
        <w:t>El desplome de las materias primas no debe sorprendernos</w:t>
      </w:r>
      <w:r w:rsidR="007F40A6" w:rsidRPr="000D5937">
        <w:t xml:space="preserve"> (El Confidencial - </w:t>
      </w:r>
      <w:r w:rsidR="007F40A6" w:rsidRPr="000D5937">
        <w:rPr>
          <w:b/>
        </w:rPr>
        <w:t>16/1/16</w:t>
      </w:r>
      <w:r w:rsidR="007F40A6" w:rsidRPr="000D5937">
        <w:t>)</w:t>
      </w:r>
    </w:p>
    <w:p w:rsidR="007F40A6" w:rsidRPr="000D5937" w:rsidRDefault="007F40A6" w:rsidP="007F40A6">
      <w:pPr>
        <w:pStyle w:val="NormalWeb"/>
        <w:shd w:val="clear" w:color="auto" w:fill="FFFFFF"/>
        <w:spacing w:before="0" w:beforeAutospacing="0" w:after="0" w:afterAutospacing="0"/>
        <w:jc w:val="both"/>
        <w:textAlignment w:val="baseline"/>
        <w:rPr>
          <w:i/>
        </w:rPr>
      </w:pPr>
    </w:p>
    <w:p w:rsidR="007F40A6" w:rsidRDefault="007F40A6" w:rsidP="007F40A6">
      <w:pPr>
        <w:pStyle w:val="NormalWeb"/>
        <w:shd w:val="clear" w:color="auto" w:fill="FFFFFF"/>
        <w:spacing w:before="0" w:beforeAutospacing="0" w:after="0" w:afterAutospacing="0"/>
        <w:jc w:val="both"/>
        <w:textAlignment w:val="baseline"/>
        <w:rPr>
          <w:i/>
        </w:rPr>
      </w:pPr>
      <w:r w:rsidRPr="00643A06">
        <w:rPr>
          <w:noProof/>
          <w:color w:val="1A1A1A"/>
          <w:lang w:val="en-GB" w:eastAsia="en-GB"/>
        </w:rPr>
        <w:drawing>
          <wp:inline distT="0" distB="0" distL="0" distR="0">
            <wp:extent cx="5397500" cy="2978150"/>
            <wp:effectExtent l="0" t="0" r="0" b="0"/>
            <wp:docPr id="189" name="Imagen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
                    <pic:cNvPicPr>
                      <a:picLocks noChangeAspect="1" noChangeArrowheads="1"/>
                    </pic:cNvPicPr>
                  </pic:nvPicPr>
                  <pic:blipFill>
                    <a:blip r:embed="rId46"/>
                    <a:srcRect/>
                    <a:stretch>
                      <a:fillRect/>
                    </a:stretch>
                  </pic:blipFill>
                  <pic:spPr bwMode="auto">
                    <a:xfrm>
                      <a:off x="0" y="0"/>
                      <a:ext cx="5400040" cy="2979551"/>
                    </a:xfrm>
                    <a:prstGeom prst="rect">
                      <a:avLst/>
                    </a:prstGeom>
                    <a:noFill/>
                    <a:ln w="9525">
                      <a:noFill/>
                      <a:miter lim="800000"/>
                      <a:headEnd/>
                      <a:tailEnd/>
                    </a:ln>
                  </pic:spPr>
                </pic:pic>
              </a:graphicData>
            </a:graphic>
          </wp:inline>
        </w:drawing>
      </w:r>
    </w:p>
    <w:p w:rsidR="007F40A6" w:rsidRDefault="007F40A6" w:rsidP="007F40A6">
      <w:pPr>
        <w:pStyle w:val="NormalWeb"/>
        <w:shd w:val="clear" w:color="auto" w:fill="FFFFFF"/>
        <w:spacing w:before="0" w:beforeAutospacing="0" w:after="0" w:afterAutospacing="0"/>
        <w:jc w:val="both"/>
        <w:textAlignment w:val="baseline"/>
        <w:rPr>
          <w:i/>
        </w:rPr>
      </w:pPr>
      <w:r w:rsidRPr="00643A06">
        <w:rPr>
          <w:noProof/>
          <w:color w:val="1A1A1A"/>
          <w:lang w:val="en-GB" w:eastAsia="en-GB"/>
        </w:rPr>
        <w:drawing>
          <wp:inline distT="0" distB="0" distL="0" distR="0">
            <wp:extent cx="5321300" cy="2114550"/>
            <wp:effectExtent l="0" t="0" r="0" b="0"/>
            <wp:docPr id="190" name="Imagen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47"/>
                    <a:srcRect/>
                    <a:stretch>
                      <a:fillRect/>
                    </a:stretch>
                  </pic:blipFill>
                  <pic:spPr bwMode="auto">
                    <a:xfrm>
                      <a:off x="0" y="0"/>
                      <a:ext cx="5320806" cy="2114354"/>
                    </a:xfrm>
                    <a:prstGeom prst="rect">
                      <a:avLst/>
                    </a:prstGeom>
                    <a:noFill/>
                    <a:ln w="9525">
                      <a:noFill/>
                      <a:miter lim="800000"/>
                      <a:headEnd/>
                      <a:tailEnd/>
                    </a:ln>
                  </pic:spPr>
                </pic:pic>
              </a:graphicData>
            </a:graphic>
          </wp:inline>
        </w:drawing>
      </w:r>
    </w:p>
    <w:p w:rsidR="007F40A6" w:rsidRPr="007F40A6" w:rsidRDefault="007F40A6" w:rsidP="007F40A6">
      <w:pPr>
        <w:pStyle w:val="NormalWeb"/>
        <w:shd w:val="clear" w:color="auto" w:fill="FFFFFF"/>
        <w:spacing w:before="0" w:beforeAutospacing="0" w:after="0" w:afterAutospacing="0"/>
        <w:jc w:val="both"/>
        <w:textAlignment w:val="baseline"/>
        <w:rPr>
          <w:i/>
        </w:rPr>
      </w:pPr>
      <w:r w:rsidRPr="00643A06">
        <w:rPr>
          <w:noProof/>
          <w:color w:val="1A1A1A"/>
          <w:lang w:val="en-GB" w:eastAsia="en-GB"/>
        </w:rPr>
        <w:lastRenderedPageBreak/>
        <w:drawing>
          <wp:inline distT="0" distB="0" distL="0" distR="0">
            <wp:extent cx="5353050" cy="2673350"/>
            <wp:effectExtent l="0" t="0" r="0" b="0"/>
            <wp:docPr id="191" name="Imagen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48"/>
                    <a:srcRect/>
                    <a:stretch>
                      <a:fillRect/>
                    </a:stretch>
                  </pic:blipFill>
                  <pic:spPr bwMode="auto">
                    <a:xfrm>
                      <a:off x="0" y="0"/>
                      <a:ext cx="5351523" cy="2672587"/>
                    </a:xfrm>
                    <a:prstGeom prst="rect">
                      <a:avLst/>
                    </a:prstGeom>
                    <a:noFill/>
                    <a:ln w="9525">
                      <a:noFill/>
                      <a:miter lim="800000"/>
                      <a:headEnd/>
                      <a:tailEnd/>
                    </a:ln>
                  </pic:spPr>
                </pic:pic>
              </a:graphicData>
            </a:graphic>
          </wp:inline>
        </w:drawing>
      </w:r>
    </w:p>
    <w:p w:rsidR="007F40A6" w:rsidRDefault="007F40A6" w:rsidP="008D154E">
      <w:pPr>
        <w:pStyle w:val="NormalWeb"/>
        <w:shd w:val="clear" w:color="auto" w:fill="FFFFFF"/>
        <w:spacing w:before="0" w:beforeAutospacing="0" w:after="0" w:afterAutospacing="0"/>
        <w:jc w:val="both"/>
        <w:textAlignment w:val="baseline"/>
        <w:rPr>
          <w:i/>
        </w:rPr>
      </w:pPr>
      <w:r w:rsidRPr="00643A06">
        <w:rPr>
          <w:noProof/>
          <w:color w:val="1A1A1A"/>
          <w:lang w:val="en-GB" w:eastAsia="en-GB"/>
        </w:rPr>
        <w:drawing>
          <wp:inline distT="0" distB="0" distL="0" distR="0">
            <wp:extent cx="5397500" cy="2673350"/>
            <wp:effectExtent l="0" t="0" r="0" b="0"/>
            <wp:docPr id="192" name="Imagen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49"/>
                    <a:srcRect/>
                    <a:stretch>
                      <a:fillRect/>
                    </a:stretch>
                  </pic:blipFill>
                  <pic:spPr bwMode="auto">
                    <a:xfrm>
                      <a:off x="0" y="0"/>
                      <a:ext cx="5400040" cy="2674608"/>
                    </a:xfrm>
                    <a:prstGeom prst="rect">
                      <a:avLst/>
                    </a:prstGeom>
                    <a:noFill/>
                    <a:ln w="9525">
                      <a:noFill/>
                      <a:miter lim="800000"/>
                      <a:headEnd/>
                      <a:tailEnd/>
                    </a:ln>
                  </pic:spPr>
                </pic:pic>
              </a:graphicData>
            </a:graphic>
          </wp:inline>
        </w:drawing>
      </w:r>
    </w:p>
    <w:p w:rsidR="007F40A6" w:rsidRPr="00E27BFB" w:rsidRDefault="007F40A6" w:rsidP="007F40A6">
      <w:pPr>
        <w:spacing w:line="240" w:lineRule="auto"/>
        <w:jc w:val="both"/>
        <w:rPr>
          <w:rFonts w:ascii="Times New Roman" w:hAnsi="Times New Roman" w:cs="Times New Roman"/>
          <w:sz w:val="24"/>
          <w:szCs w:val="24"/>
          <w:lang w:val="es-ES_tradnl"/>
        </w:rPr>
      </w:pPr>
      <w:r>
        <w:rPr>
          <w:rFonts w:ascii="Times New Roman" w:hAnsi="Times New Roman" w:cs="Times New Roman"/>
          <w:sz w:val="24"/>
          <w:szCs w:val="24"/>
        </w:rPr>
        <w:t xml:space="preserve">- </w:t>
      </w:r>
      <w:r w:rsidRPr="004817FB">
        <w:rPr>
          <w:rFonts w:ascii="Times New Roman" w:hAnsi="Times New Roman" w:cs="Times New Roman"/>
          <w:sz w:val="24"/>
          <w:szCs w:val="24"/>
        </w:rPr>
        <w:t>¿</w:t>
      </w:r>
      <w:r w:rsidRPr="004817FB">
        <w:rPr>
          <w:rFonts w:ascii="Times New Roman" w:hAnsi="Times New Roman" w:cs="Times New Roman"/>
          <w:sz w:val="24"/>
          <w:szCs w:val="24"/>
          <w:u w:val="single"/>
        </w:rPr>
        <w:t xml:space="preserve">Por qué los </w:t>
      </w:r>
      <w:r>
        <w:rPr>
          <w:rFonts w:ascii="Times New Roman" w:hAnsi="Times New Roman" w:cs="Times New Roman"/>
          <w:sz w:val="24"/>
          <w:szCs w:val="24"/>
          <w:u w:val="single"/>
        </w:rPr>
        <w:t xml:space="preserve">mercados se siguen derrumbando? </w:t>
      </w:r>
      <w:r w:rsidRPr="00E27BFB">
        <w:rPr>
          <w:rFonts w:ascii="Times New Roman" w:hAnsi="Times New Roman" w:cs="Times New Roman"/>
          <w:sz w:val="24"/>
          <w:szCs w:val="24"/>
          <w:u w:val="single"/>
          <w:lang w:val="es-ES_tradnl"/>
        </w:rPr>
        <w:t>Cinco explicaciones</w:t>
      </w:r>
      <w:r w:rsidRPr="00E27BFB">
        <w:rPr>
          <w:rFonts w:ascii="Times New Roman" w:hAnsi="Times New Roman" w:cs="Times New Roman"/>
          <w:sz w:val="24"/>
          <w:szCs w:val="24"/>
          <w:lang w:val="es-ES_tradnl"/>
        </w:rPr>
        <w:t xml:space="preserve"> (</w:t>
      </w:r>
      <w:proofErr w:type="spellStart"/>
      <w:r w:rsidRPr="00E27BFB">
        <w:rPr>
          <w:rFonts w:ascii="Times New Roman" w:hAnsi="Times New Roman" w:cs="Times New Roman"/>
          <w:sz w:val="24"/>
          <w:szCs w:val="24"/>
          <w:lang w:val="es-ES_tradnl"/>
        </w:rPr>
        <w:t>The</w:t>
      </w:r>
      <w:proofErr w:type="spellEnd"/>
      <w:r w:rsidRPr="00E27BFB">
        <w:rPr>
          <w:rFonts w:ascii="Times New Roman" w:hAnsi="Times New Roman" w:cs="Times New Roman"/>
          <w:sz w:val="24"/>
          <w:szCs w:val="24"/>
          <w:lang w:val="es-ES_tradnl"/>
        </w:rPr>
        <w:t xml:space="preserve"> Wall </w:t>
      </w:r>
      <w:proofErr w:type="spellStart"/>
      <w:r w:rsidRPr="00E27BFB">
        <w:rPr>
          <w:rFonts w:ascii="Times New Roman" w:hAnsi="Times New Roman" w:cs="Times New Roman"/>
          <w:sz w:val="24"/>
          <w:szCs w:val="24"/>
          <w:lang w:val="es-ES_tradnl"/>
        </w:rPr>
        <w:t>Street</w:t>
      </w:r>
      <w:proofErr w:type="spellEnd"/>
      <w:r w:rsidRPr="00E27BFB">
        <w:rPr>
          <w:rFonts w:ascii="Times New Roman" w:hAnsi="Times New Roman" w:cs="Times New Roman"/>
          <w:sz w:val="24"/>
          <w:szCs w:val="24"/>
          <w:lang w:val="es-ES_tradnl"/>
        </w:rPr>
        <w:t xml:space="preserve"> </w:t>
      </w:r>
      <w:proofErr w:type="spellStart"/>
      <w:r w:rsidRPr="00E27BFB">
        <w:rPr>
          <w:rFonts w:ascii="Times New Roman" w:hAnsi="Times New Roman" w:cs="Times New Roman"/>
          <w:sz w:val="24"/>
          <w:szCs w:val="24"/>
          <w:lang w:val="es-ES_tradnl"/>
        </w:rPr>
        <w:t>Journal</w:t>
      </w:r>
      <w:proofErr w:type="spellEnd"/>
      <w:r w:rsidRPr="00E27BFB">
        <w:rPr>
          <w:rFonts w:ascii="Times New Roman" w:hAnsi="Times New Roman" w:cs="Times New Roman"/>
          <w:sz w:val="24"/>
          <w:szCs w:val="24"/>
          <w:lang w:val="es-ES_tradnl"/>
        </w:rPr>
        <w:t xml:space="preserve"> - </w:t>
      </w:r>
      <w:r w:rsidRPr="00E27BFB">
        <w:rPr>
          <w:rFonts w:ascii="Times New Roman" w:hAnsi="Times New Roman" w:cs="Times New Roman"/>
          <w:b/>
          <w:sz w:val="24"/>
          <w:szCs w:val="24"/>
          <w:lang w:val="es-ES_tradnl"/>
        </w:rPr>
        <w:t>11/2/16</w:t>
      </w:r>
      <w:r w:rsidRPr="00E27BFB">
        <w:rPr>
          <w:rFonts w:ascii="Times New Roman" w:hAnsi="Times New Roman" w:cs="Times New Roman"/>
          <w:sz w:val="24"/>
          <w:szCs w:val="24"/>
          <w:lang w:val="es-ES_tradnl"/>
        </w:rPr>
        <w:t>)                                                                              Lectura recomendada</w:t>
      </w:r>
    </w:p>
    <w:p w:rsidR="007F40A6" w:rsidRPr="004817FB" w:rsidRDefault="007F40A6" w:rsidP="007F40A6">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bdr w:val="none" w:sz="0" w:space="0" w:color="auto" w:frame="1"/>
        </w:rPr>
        <w:t>(</w:t>
      </w:r>
      <w:r w:rsidRPr="004817FB">
        <w:rPr>
          <w:rFonts w:ascii="Times New Roman" w:hAnsi="Times New Roman" w:cs="Times New Roman"/>
          <w:sz w:val="24"/>
          <w:szCs w:val="24"/>
          <w:bdr w:val="none" w:sz="0" w:space="0" w:color="auto" w:frame="1"/>
        </w:rPr>
        <w:t>Por</w:t>
      </w:r>
      <w:r>
        <w:rPr>
          <w:rFonts w:ascii="Times New Roman" w:hAnsi="Times New Roman" w:cs="Times New Roman"/>
          <w:sz w:val="24"/>
          <w:szCs w:val="24"/>
          <w:bdr w:val="none" w:sz="0" w:space="0" w:color="auto" w:frame="1"/>
        </w:rPr>
        <w:t xml:space="preserve"> </w:t>
      </w:r>
      <w:proofErr w:type="spellStart"/>
      <w:r>
        <w:rPr>
          <w:rFonts w:ascii="Times New Roman" w:hAnsi="Times New Roman" w:cs="Times New Roman"/>
          <w:sz w:val="24"/>
          <w:szCs w:val="24"/>
          <w:bdr w:val="none" w:sz="0" w:space="0" w:color="auto" w:frame="1"/>
        </w:rPr>
        <w:t>Saumya</w:t>
      </w:r>
      <w:proofErr w:type="spellEnd"/>
      <w:r>
        <w:rPr>
          <w:rFonts w:ascii="Times New Roman" w:hAnsi="Times New Roman" w:cs="Times New Roman"/>
          <w:sz w:val="24"/>
          <w:szCs w:val="24"/>
          <w:bdr w:val="none" w:sz="0" w:space="0" w:color="auto" w:frame="1"/>
        </w:rPr>
        <w:t xml:space="preserve"> </w:t>
      </w:r>
      <w:proofErr w:type="spellStart"/>
      <w:r>
        <w:rPr>
          <w:rFonts w:ascii="Times New Roman" w:hAnsi="Times New Roman" w:cs="Times New Roman"/>
          <w:sz w:val="24"/>
          <w:szCs w:val="24"/>
          <w:bdr w:val="none" w:sz="0" w:space="0" w:color="auto" w:frame="1"/>
        </w:rPr>
        <w:t>Vaishampayan</w:t>
      </w:r>
      <w:proofErr w:type="spellEnd"/>
      <w:r>
        <w:rPr>
          <w:rFonts w:ascii="Times New Roman" w:hAnsi="Times New Roman" w:cs="Times New Roman"/>
          <w:sz w:val="24"/>
          <w:szCs w:val="24"/>
          <w:bdr w:val="none" w:sz="0" w:space="0" w:color="auto" w:frame="1"/>
        </w:rPr>
        <w:t>)</w:t>
      </w:r>
      <w:r w:rsidRPr="004817FB">
        <w:rPr>
          <w:rStyle w:val="apple-converted-space"/>
          <w:rFonts w:ascii="Times New Roman" w:hAnsi="Times New Roman" w:cs="Times New Roman"/>
          <w:sz w:val="24"/>
          <w:szCs w:val="24"/>
        </w:rPr>
        <w:t> </w:t>
      </w:r>
    </w:p>
    <w:p w:rsidR="007F40A6" w:rsidRPr="00712399" w:rsidRDefault="007F40A6" w:rsidP="007F40A6">
      <w:pPr>
        <w:pStyle w:val="NormalWeb"/>
        <w:shd w:val="clear" w:color="auto" w:fill="FFFFFF"/>
        <w:spacing w:before="0" w:beforeAutospacing="0" w:after="270" w:afterAutospacing="0"/>
        <w:jc w:val="both"/>
        <w:textAlignment w:val="baseline"/>
        <w:rPr>
          <w:color w:val="FF0000"/>
          <w:u w:val="single"/>
        </w:rPr>
      </w:pPr>
      <w:r w:rsidRPr="00712399">
        <w:rPr>
          <w:color w:val="FF0000"/>
          <w:u w:val="single"/>
        </w:rPr>
        <w:t>El aumento de la volatilidad en los precios de acciones, bonos, divisas y materias primas este año ha dejado a los inversionistas perplejos y en busca de respuestas.</w:t>
      </w:r>
    </w:p>
    <w:p w:rsidR="007F40A6" w:rsidRDefault="007F40A6" w:rsidP="007F40A6">
      <w:pPr>
        <w:pStyle w:val="NormalWeb"/>
        <w:shd w:val="clear" w:color="auto" w:fill="FFFFFF"/>
        <w:spacing w:before="0" w:beforeAutospacing="0" w:after="270" w:afterAutospacing="0"/>
        <w:jc w:val="both"/>
        <w:textAlignment w:val="baseline"/>
      </w:pPr>
      <w:r w:rsidRPr="004817FB">
        <w:t>Las turbulencias se intensificaron el jueves, cuando los inversionistas vendieron acciones y se refugiaron en los bonos del Tesoro estadounidense, el yen y el oro. El Promedio Industrial Dow Jones cayó 255 puntos, 1,6%, a 15.660 unidades mientras que el rendimiento del bono del Tesoro a 10 años, la referencia del mercado, descendió a 1,642% (los rendimientos caen cuando los precios suben). Por su parte, la cotización del oro subió 4,5% a US$1.247,90 la onza. El precio del petróleo, en cambio, cayó 4,5% y cerró en US$26,21 el barril en la Bolsa Mercantil de Nueva York, su menor nivel desde 2003.</w:t>
      </w:r>
    </w:p>
    <w:p w:rsidR="007F40A6" w:rsidRPr="004817FB" w:rsidRDefault="007F40A6" w:rsidP="007F40A6">
      <w:pPr>
        <w:pStyle w:val="NormalWeb"/>
        <w:shd w:val="clear" w:color="auto" w:fill="FFFFFF"/>
        <w:spacing w:before="0" w:beforeAutospacing="0" w:after="270" w:afterAutospacing="0"/>
        <w:jc w:val="both"/>
        <w:textAlignment w:val="baseline"/>
      </w:pPr>
      <w:r w:rsidRPr="004817FB">
        <w:rPr>
          <w:noProof/>
          <w:lang w:val="en-GB" w:eastAsia="en-GB"/>
        </w:rPr>
        <w:lastRenderedPageBreak/>
        <w:drawing>
          <wp:inline distT="0" distB="0" distL="0" distR="0">
            <wp:extent cx="5384800" cy="3340100"/>
            <wp:effectExtent l="0" t="0" r="6350" b="0"/>
            <wp:docPr id="8" name="Imagen 8" descr="http://si.wsj.net/public/resources/images/AO-AA777_wsjamd_NS_20160211191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777_wsjamd_NS_20160211191557.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4800" cy="3340100"/>
                    </a:xfrm>
                    <a:prstGeom prst="rect">
                      <a:avLst/>
                    </a:prstGeom>
                    <a:noFill/>
                    <a:ln>
                      <a:noFill/>
                    </a:ln>
                  </pic:spPr>
                </pic:pic>
              </a:graphicData>
            </a:graphic>
          </wp:inline>
        </w:drawing>
      </w:r>
    </w:p>
    <w:p w:rsidR="007F40A6" w:rsidRDefault="007F40A6" w:rsidP="007F40A6">
      <w:pPr>
        <w:pStyle w:val="NormalWeb"/>
        <w:shd w:val="clear" w:color="auto" w:fill="FFFFFF"/>
        <w:spacing w:before="0" w:beforeAutospacing="0" w:after="270" w:afterAutospacing="0"/>
        <w:jc w:val="both"/>
        <w:textAlignment w:val="baseline"/>
        <w:rPr>
          <w:u w:val="single"/>
        </w:rPr>
      </w:pPr>
      <w:r w:rsidRPr="00712399">
        <w:rPr>
          <w:u w:val="single"/>
        </w:rPr>
        <w:t>Encontrar una tesis aceptada por la mayoría se ha vuelto difícil. En lugar de ello, hay múltiples explicaciones, la mayoría poco satisfactorias, que compiten entre sí. Presentamos cinco teorías:</w:t>
      </w:r>
    </w:p>
    <w:p w:rsidR="007F40A6" w:rsidRPr="001E707E" w:rsidRDefault="007F40A6" w:rsidP="007F40A6">
      <w:pPr>
        <w:pStyle w:val="NormalWeb"/>
        <w:shd w:val="clear" w:color="auto" w:fill="FFFFFF"/>
        <w:spacing w:before="0" w:beforeAutospacing="0" w:after="0" w:afterAutospacing="0"/>
        <w:jc w:val="both"/>
        <w:textAlignment w:val="baseline"/>
        <w:rPr>
          <w:rStyle w:val="Textoennegrita"/>
          <w:b w:val="0"/>
          <w:color w:val="FF0000"/>
          <w:bdr w:val="none" w:sz="0" w:space="0" w:color="auto" w:frame="1"/>
        </w:rPr>
      </w:pPr>
      <w:r w:rsidRPr="001E707E">
        <w:rPr>
          <w:rStyle w:val="Textoennegrita"/>
          <w:b w:val="0"/>
          <w:color w:val="FF0000"/>
          <w:bdr w:val="none" w:sz="0" w:space="0" w:color="auto" w:frame="1"/>
        </w:rPr>
        <w:t>El crédito barato</w:t>
      </w:r>
    </w:p>
    <w:p w:rsidR="007F40A6" w:rsidRPr="004817FB" w:rsidRDefault="007F40A6" w:rsidP="007F40A6">
      <w:pPr>
        <w:pStyle w:val="NormalWeb"/>
        <w:shd w:val="clear" w:color="auto" w:fill="FFFFFF"/>
        <w:spacing w:before="0" w:beforeAutospacing="0" w:after="0" w:afterAutospacing="0"/>
        <w:jc w:val="both"/>
        <w:textAlignment w:val="baseline"/>
      </w:pPr>
    </w:p>
    <w:p w:rsidR="007F40A6" w:rsidRPr="004817FB" w:rsidRDefault="007F40A6" w:rsidP="007F40A6">
      <w:pPr>
        <w:pStyle w:val="NormalWeb"/>
        <w:shd w:val="clear" w:color="auto" w:fill="FFFFFF"/>
        <w:spacing w:before="0" w:beforeAutospacing="0" w:after="270" w:afterAutospacing="0"/>
        <w:jc w:val="both"/>
        <w:textAlignment w:val="baseline"/>
      </w:pPr>
      <w:r w:rsidRPr="004817FB">
        <w:t>Durante gran parte de 2015, mientras la Reserva Federal se disponía a elevar las tasas de interés de corto plazo, los inversionistas apostaron a que los bancos se beneficiarían al embolsar la diferencia entre lo que cobran por sus préstamos y lo que pagan por los depósitos. Sin embargo, este año las acciones financieras se desplomaron cuando los inversionistas concluyeron que las tasas no subirán mucho durante varios años. El Banco de Japón sacudió a un sector financiero ya herido cuando recortó el 29 de enero las tasas y las dejó en territorio negativo.</w:t>
      </w:r>
    </w:p>
    <w:p w:rsidR="007F40A6" w:rsidRPr="004817FB" w:rsidRDefault="007F40A6" w:rsidP="007F40A6">
      <w:pPr>
        <w:pStyle w:val="NormalWeb"/>
        <w:shd w:val="clear" w:color="auto" w:fill="FFFFFF"/>
        <w:spacing w:before="0" w:beforeAutospacing="0" w:after="270" w:afterAutospacing="0"/>
        <w:jc w:val="both"/>
        <w:textAlignment w:val="baseline"/>
      </w:pPr>
      <w:r w:rsidRPr="004817FB">
        <w:t>El episodio pone de manifiesto tanto las sombrías perspectivas sobre la economía mundial como la volatilidad que ha acompañado a los principales temas macroeconómicos en los últimos 12 meses.</w:t>
      </w:r>
    </w:p>
    <w:p w:rsidR="007F40A6" w:rsidRPr="004817FB" w:rsidRDefault="007F40A6" w:rsidP="007F40A6">
      <w:pPr>
        <w:pStyle w:val="NormalWeb"/>
        <w:shd w:val="clear" w:color="auto" w:fill="FFFFFF"/>
        <w:spacing w:before="0" w:beforeAutospacing="0" w:after="270" w:afterAutospacing="0"/>
        <w:jc w:val="both"/>
        <w:textAlignment w:val="baseline"/>
      </w:pPr>
      <w:r w:rsidRPr="004817FB">
        <w:t>“El dinero fácil se trasladó a los bancos a finales de 2015 porque se preveían aumentos de tasas, y luego el dinero salió igual de rápido”, manifiesta</w:t>
      </w:r>
      <w:r w:rsidRPr="004817FB">
        <w:rPr>
          <w:rStyle w:val="apple-converted-space"/>
        </w:rPr>
        <w:t> </w:t>
      </w:r>
      <w:r w:rsidRPr="004817FB">
        <w:t>Diane Jaffee,</w:t>
      </w:r>
      <w:r w:rsidRPr="004817FB">
        <w:rPr>
          <w:rStyle w:val="apple-converted-space"/>
        </w:rPr>
        <w:t> </w:t>
      </w:r>
      <w:r w:rsidRPr="004817FB">
        <w:t>gerente de cartera de TCW Group Inc.</w:t>
      </w:r>
    </w:p>
    <w:p w:rsidR="007F40A6" w:rsidRPr="001E707E" w:rsidRDefault="007F40A6" w:rsidP="007F40A6">
      <w:pPr>
        <w:pStyle w:val="NormalWeb"/>
        <w:shd w:val="clear" w:color="auto" w:fill="FFFFFF"/>
        <w:spacing w:before="0" w:beforeAutospacing="0" w:after="0" w:afterAutospacing="0"/>
        <w:jc w:val="both"/>
        <w:textAlignment w:val="baseline"/>
        <w:rPr>
          <w:rStyle w:val="Textoennegrita"/>
          <w:b w:val="0"/>
          <w:color w:val="FF0000"/>
          <w:bdr w:val="none" w:sz="0" w:space="0" w:color="auto" w:frame="1"/>
        </w:rPr>
      </w:pPr>
      <w:r w:rsidRPr="001E707E">
        <w:rPr>
          <w:rStyle w:val="Textoennegrita"/>
          <w:b w:val="0"/>
          <w:color w:val="FF0000"/>
          <w:bdr w:val="none" w:sz="0" w:space="0" w:color="auto" w:frame="1"/>
        </w:rPr>
        <w:t>Nerviosismo por el yuan</w:t>
      </w:r>
    </w:p>
    <w:p w:rsidR="007F40A6" w:rsidRPr="004817FB" w:rsidRDefault="007F40A6" w:rsidP="007F40A6">
      <w:pPr>
        <w:pStyle w:val="NormalWeb"/>
        <w:shd w:val="clear" w:color="auto" w:fill="FFFFFF"/>
        <w:spacing w:before="0" w:beforeAutospacing="0" w:after="0" w:afterAutospacing="0"/>
        <w:jc w:val="both"/>
        <w:textAlignment w:val="baseline"/>
      </w:pPr>
    </w:p>
    <w:p w:rsidR="007F40A6" w:rsidRPr="004817FB" w:rsidRDefault="007F40A6" w:rsidP="007F40A6">
      <w:pPr>
        <w:pStyle w:val="NormalWeb"/>
        <w:shd w:val="clear" w:color="auto" w:fill="FFFFFF"/>
        <w:spacing w:before="0" w:beforeAutospacing="0" w:after="270" w:afterAutospacing="0"/>
        <w:jc w:val="both"/>
        <w:textAlignment w:val="baseline"/>
      </w:pPr>
      <w:r w:rsidRPr="004817FB">
        <w:t>Muchos inversionistas creen que China no tendrá más remedio que devaluar el yuan, una medida que probablemente agravará los problemas de la economía global. El gobierno asegura que no tiene la intención de devaluar, pero algunos fondos de cobertura tratan de doblarle la mano al apostar miles de millones de dólares contra su moneda.</w:t>
      </w:r>
    </w:p>
    <w:p w:rsidR="007F40A6" w:rsidRDefault="007F40A6" w:rsidP="007F40A6">
      <w:pPr>
        <w:pStyle w:val="NormalWeb"/>
        <w:shd w:val="clear" w:color="auto" w:fill="FFFFFF"/>
        <w:spacing w:before="0" w:beforeAutospacing="0" w:after="270" w:afterAutospacing="0"/>
        <w:jc w:val="both"/>
        <w:textAlignment w:val="baseline"/>
      </w:pPr>
      <w:r w:rsidRPr="004817FB">
        <w:lastRenderedPageBreak/>
        <w:t>Los analistas observan de cerca esta pelea desde que en agosto una devaluación del yuan provocó una ola mundial de ventas en medio de preocupaciones de que China se encamina a un aterrizaje forzoso.</w:t>
      </w:r>
    </w:p>
    <w:p w:rsidR="007F40A6" w:rsidRPr="001E707E" w:rsidRDefault="007F40A6" w:rsidP="007F40A6">
      <w:pPr>
        <w:pStyle w:val="NormalWeb"/>
        <w:shd w:val="clear" w:color="auto" w:fill="FFFFFF"/>
        <w:spacing w:before="0" w:beforeAutospacing="0" w:after="0" w:afterAutospacing="0"/>
        <w:jc w:val="both"/>
        <w:textAlignment w:val="baseline"/>
        <w:rPr>
          <w:rStyle w:val="Textoennegrita"/>
          <w:b w:val="0"/>
          <w:color w:val="FF0000"/>
          <w:bdr w:val="none" w:sz="0" w:space="0" w:color="auto" w:frame="1"/>
        </w:rPr>
      </w:pPr>
      <w:r w:rsidRPr="001E707E">
        <w:rPr>
          <w:rStyle w:val="Textoennegrita"/>
          <w:b w:val="0"/>
          <w:color w:val="FF0000"/>
          <w:bdr w:val="none" w:sz="0" w:space="0" w:color="auto" w:frame="1"/>
        </w:rPr>
        <w:t>Los fondos soberanos</w:t>
      </w:r>
    </w:p>
    <w:p w:rsidR="007F40A6" w:rsidRPr="004817FB" w:rsidRDefault="007F40A6" w:rsidP="007F40A6">
      <w:pPr>
        <w:pStyle w:val="NormalWeb"/>
        <w:shd w:val="clear" w:color="auto" w:fill="FFFFFF"/>
        <w:spacing w:before="0" w:beforeAutospacing="0" w:after="0" w:afterAutospacing="0"/>
        <w:jc w:val="both"/>
        <w:textAlignment w:val="baseline"/>
      </w:pPr>
    </w:p>
    <w:p w:rsidR="007F40A6" w:rsidRPr="004817FB" w:rsidRDefault="007F40A6" w:rsidP="007F40A6">
      <w:pPr>
        <w:pStyle w:val="NormalWeb"/>
        <w:shd w:val="clear" w:color="auto" w:fill="FFFFFF"/>
        <w:spacing w:before="0" w:beforeAutospacing="0" w:after="270" w:afterAutospacing="0"/>
        <w:jc w:val="both"/>
        <w:textAlignment w:val="baseline"/>
      </w:pPr>
      <w:r w:rsidRPr="004817FB">
        <w:t>Cuando los precios del crudo estaban más altos, los países productores de petróleo inyectaron miles de millones de dólares en fondos soberanos de inversión. Algunos estiman que ahora esos fondos están liquidando acciones que compraron en tiempos más felices, ac</w:t>
      </w:r>
      <w:r>
        <w:t>elerando la ola de ventas en EE</w:t>
      </w:r>
      <w:r w:rsidRPr="004817FB">
        <w:t>UU.</w:t>
      </w:r>
    </w:p>
    <w:p w:rsidR="007F40A6" w:rsidRPr="004817FB" w:rsidRDefault="007F40A6" w:rsidP="007F40A6">
      <w:pPr>
        <w:pStyle w:val="NormalWeb"/>
        <w:shd w:val="clear" w:color="auto" w:fill="FFFFFF"/>
        <w:spacing w:before="0" w:beforeAutospacing="0" w:after="270" w:afterAutospacing="0"/>
        <w:jc w:val="both"/>
        <w:textAlignment w:val="baseline"/>
      </w:pPr>
      <w:r w:rsidRPr="004817FB">
        <w:t>La información sobre quién está vendiendo es escasa y hay razones para preguntarse si estos fondos, por más grandes que sean, podrían realmente tener un efecto sign</w:t>
      </w:r>
      <w:r>
        <w:t>ificativo en los mercados de EE</w:t>
      </w:r>
      <w:r w:rsidRPr="004817FB">
        <w:t>UU.</w:t>
      </w:r>
    </w:p>
    <w:p w:rsidR="007F40A6" w:rsidRDefault="007F40A6" w:rsidP="007F40A6">
      <w:pPr>
        <w:pStyle w:val="NormalWeb"/>
        <w:shd w:val="clear" w:color="auto" w:fill="FFFFFF"/>
        <w:spacing w:before="0" w:beforeAutospacing="0" w:after="0" w:afterAutospacing="0"/>
        <w:jc w:val="both"/>
        <w:textAlignment w:val="baseline"/>
      </w:pPr>
      <w:r w:rsidRPr="004817FB">
        <w:t>Aunque</w:t>
      </w:r>
      <w:r w:rsidRPr="004817FB">
        <w:rPr>
          <w:rStyle w:val="apple-converted-space"/>
        </w:rPr>
        <w:t> </w:t>
      </w:r>
      <w:hyperlink r:id="rId51" w:history="1">
        <w:r w:rsidRPr="001E707E">
          <w:rPr>
            <w:rStyle w:val="Hipervnculo"/>
            <w:color w:val="auto"/>
            <w:u w:val="none"/>
          </w:rPr>
          <w:t>J.P. Morgan</w:t>
        </w:r>
      </w:hyperlink>
      <w:r w:rsidRPr="004817FB">
        <w:rPr>
          <w:rStyle w:val="apple-converted-space"/>
        </w:rPr>
        <w:t> </w:t>
      </w:r>
      <w:r w:rsidRPr="004817FB">
        <w:t xml:space="preserve">prevé que los fondos soberanos se verán forzados este año a vender US$75.000 millones en acciones en </w:t>
      </w:r>
      <w:r>
        <w:t>todo el mundo, el mercado de EEUU</w:t>
      </w:r>
      <w:r w:rsidRPr="004817FB">
        <w:t xml:space="preserve"> fue recientemente estimado en US$20,95 billones.</w:t>
      </w:r>
    </w:p>
    <w:p w:rsidR="007F40A6" w:rsidRDefault="007F40A6" w:rsidP="007F40A6">
      <w:pPr>
        <w:pStyle w:val="NormalWeb"/>
        <w:shd w:val="clear" w:color="auto" w:fill="FFFFFF"/>
        <w:spacing w:before="0" w:beforeAutospacing="0" w:after="0" w:afterAutospacing="0"/>
        <w:jc w:val="both"/>
        <w:textAlignment w:val="baseline"/>
      </w:pPr>
    </w:p>
    <w:p w:rsidR="007F40A6" w:rsidRPr="001E707E" w:rsidRDefault="007F40A6" w:rsidP="007F40A6">
      <w:pPr>
        <w:pStyle w:val="NormalWeb"/>
        <w:shd w:val="clear" w:color="auto" w:fill="FFFFFF"/>
        <w:spacing w:before="0" w:beforeAutospacing="0" w:after="0" w:afterAutospacing="0"/>
        <w:jc w:val="both"/>
        <w:textAlignment w:val="baseline"/>
        <w:rPr>
          <w:rStyle w:val="Textoennegrita"/>
          <w:b w:val="0"/>
          <w:color w:val="FF0000"/>
          <w:bdr w:val="none" w:sz="0" w:space="0" w:color="auto" w:frame="1"/>
        </w:rPr>
      </w:pPr>
      <w:r>
        <w:rPr>
          <w:rStyle w:val="Textoennegrita"/>
          <w:b w:val="0"/>
          <w:color w:val="FF0000"/>
          <w:bdr w:val="none" w:sz="0" w:space="0" w:color="auto" w:frame="1"/>
        </w:rPr>
        <w:t>EEUU</w:t>
      </w:r>
      <w:r w:rsidRPr="001E707E">
        <w:rPr>
          <w:rStyle w:val="Textoennegrita"/>
          <w:b w:val="0"/>
          <w:color w:val="FF0000"/>
          <w:bdr w:val="none" w:sz="0" w:space="0" w:color="auto" w:frame="1"/>
        </w:rPr>
        <w:t xml:space="preserve"> no despega</w:t>
      </w:r>
    </w:p>
    <w:p w:rsidR="007F40A6" w:rsidRPr="004817FB" w:rsidRDefault="007F40A6" w:rsidP="007F40A6">
      <w:pPr>
        <w:pStyle w:val="NormalWeb"/>
        <w:shd w:val="clear" w:color="auto" w:fill="FFFFFF"/>
        <w:spacing w:before="0" w:beforeAutospacing="0" w:after="0" w:afterAutospacing="0"/>
        <w:jc w:val="both"/>
        <w:textAlignment w:val="baseline"/>
      </w:pPr>
    </w:p>
    <w:p w:rsidR="007F40A6" w:rsidRPr="004817FB" w:rsidRDefault="007F40A6" w:rsidP="007F40A6">
      <w:pPr>
        <w:pStyle w:val="NormalWeb"/>
        <w:shd w:val="clear" w:color="auto" w:fill="FFFFFF"/>
        <w:spacing w:before="0" w:beforeAutospacing="0" w:after="270" w:afterAutospacing="0"/>
        <w:jc w:val="both"/>
        <w:textAlignment w:val="baseline"/>
      </w:pPr>
      <w:r w:rsidRPr="004817FB">
        <w:t>Muc</w:t>
      </w:r>
      <w:r>
        <w:t>hos inversionistas temen que EEUU</w:t>
      </w:r>
      <w:r w:rsidRPr="004817FB">
        <w:t>, la economía de mejor rendimiento del mundo desarrollado, sea arrastrado por fuerzas globales como el fortalecimiento del dólar.</w:t>
      </w:r>
    </w:p>
    <w:p w:rsidR="007F40A6" w:rsidRPr="004817FB" w:rsidRDefault="007F40A6" w:rsidP="007F40A6">
      <w:pPr>
        <w:pStyle w:val="NormalWeb"/>
        <w:shd w:val="clear" w:color="auto" w:fill="FFFFFF"/>
        <w:spacing w:before="0" w:beforeAutospacing="0" w:after="270" w:afterAutospacing="0"/>
        <w:jc w:val="both"/>
        <w:textAlignment w:val="baseline"/>
      </w:pPr>
      <w:r w:rsidRPr="004817FB">
        <w:t>El sector manufacturero se contrajo en enero por cuarto mes consecutivo. El crecimiento del empleo, durante mucho tiempo el aspecto más positivo de la expansión económica, se desaceleró el mes pasado. La Reserva Federal no ha escondido su preocupación.</w:t>
      </w:r>
    </w:p>
    <w:p w:rsidR="007F40A6" w:rsidRPr="004817FB" w:rsidRDefault="007F40A6" w:rsidP="007F40A6">
      <w:pPr>
        <w:pStyle w:val="NormalWeb"/>
        <w:shd w:val="clear" w:color="auto" w:fill="FFFFFF"/>
        <w:spacing w:before="0" w:beforeAutospacing="0" w:after="270" w:afterAutospacing="0"/>
        <w:jc w:val="both"/>
        <w:textAlignment w:val="baseline"/>
      </w:pPr>
      <w:r w:rsidRPr="004817FB">
        <w:t>Al mismo tiempo, el desempleo cayó y los salarios subieron en enero. Además, muchos indicadores que podrían apuntar a futuras dificultades parecen exagerados (téngase en cuenta, por ejemplo, la caída de las acciones de los bancos, que ha dejado a muchos de los principales prestamistas comerciales de</w:t>
      </w:r>
      <w:r>
        <w:t xml:space="preserve"> EEUU</w:t>
      </w:r>
      <w:r w:rsidRPr="004817FB">
        <w:t xml:space="preserve"> negociando por debajo del valor declarado de sus activos netos). Esto acentúa la incertidumbre.</w:t>
      </w:r>
    </w:p>
    <w:p w:rsidR="007F40A6" w:rsidRDefault="007F40A6" w:rsidP="007F40A6">
      <w:pPr>
        <w:pStyle w:val="NormalWeb"/>
        <w:shd w:val="clear" w:color="auto" w:fill="FFFFFF"/>
        <w:spacing w:before="0" w:beforeAutospacing="0" w:after="270" w:afterAutospacing="0"/>
        <w:jc w:val="both"/>
        <w:textAlignment w:val="baseline"/>
      </w:pPr>
      <w:r w:rsidRPr="004817FB">
        <w:t>“El mayor riesgo en la mente de todos es que se produzca una brusca desaceleración en los mercados emergen</w:t>
      </w:r>
      <w:r>
        <w:t>tes que vaya a repercutir en EEUU</w:t>
      </w:r>
      <w:r w:rsidRPr="004817FB">
        <w:t>”, dice</w:t>
      </w:r>
      <w:r w:rsidRPr="004817FB">
        <w:rPr>
          <w:rStyle w:val="apple-converted-space"/>
        </w:rPr>
        <w:t> </w:t>
      </w:r>
      <w:r w:rsidRPr="004817FB">
        <w:t>David Lefkowitz,</w:t>
      </w:r>
      <w:r w:rsidRPr="004817FB">
        <w:rPr>
          <w:rStyle w:val="apple-converted-space"/>
        </w:rPr>
        <w:t> </w:t>
      </w:r>
      <w:r w:rsidRPr="004817FB">
        <w:t>estratega de acciones de UBS Wealth Management Americas.</w:t>
      </w:r>
    </w:p>
    <w:p w:rsidR="007F40A6" w:rsidRPr="001E707E" w:rsidRDefault="007F40A6" w:rsidP="007F40A6">
      <w:pPr>
        <w:pStyle w:val="NormalWeb"/>
        <w:shd w:val="clear" w:color="auto" w:fill="FFFFFF"/>
        <w:spacing w:before="0" w:beforeAutospacing="0" w:after="0" w:afterAutospacing="0"/>
        <w:jc w:val="both"/>
        <w:textAlignment w:val="baseline"/>
        <w:rPr>
          <w:rStyle w:val="Textoennegrita"/>
          <w:b w:val="0"/>
          <w:color w:val="FF0000"/>
          <w:bdr w:val="none" w:sz="0" w:space="0" w:color="auto" w:frame="1"/>
        </w:rPr>
      </w:pPr>
      <w:r w:rsidRPr="001E707E">
        <w:rPr>
          <w:rStyle w:val="Textoennegrita"/>
          <w:b w:val="0"/>
          <w:color w:val="FF0000"/>
          <w:bdr w:val="none" w:sz="0" w:space="0" w:color="auto" w:frame="1"/>
        </w:rPr>
        <w:t>El crecimiento se estancó</w:t>
      </w:r>
    </w:p>
    <w:p w:rsidR="007F40A6" w:rsidRPr="004817FB" w:rsidRDefault="007F40A6" w:rsidP="007F40A6">
      <w:pPr>
        <w:pStyle w:val="NormalWeb"/>
        <w:shd w:val="clear" w:color="auto" w:fill="FFFFFF"/>
        <w:spacing w:before="0" w:beforeAutospacing="0" w:after="0" w:afterAutospacing="0"/>
        <w:jc w:val="both"/>
        <w:textAlignment w:val="baseline"/>
      </w:pPr>
    </w:p>
    <w:p w:rsidR="007F40A6" w:rsidRPr="004817FB" w:rsidRDefault="007F40A6" w:rsidP="007F40A6">
      <w:pPr>
        <w:pStyle w:val="NormalWeb"/>
        <w:shd w:val="clear" w:color="auto" w:fill="FFFFFF"/>
        <w:spacing w:before="0" w:beforeAutospacing="0" w:after="270" w:afterAutospacing="0"/>
        <w:jc w:val="both"/>
        <w:textAlignment w:val="baseline"/>
      </w:pPr>
      <w:r w:rsidRPr="004817FB">
        <w:t>La caída de los precios del petróleo desde junio de 2014 ha sido atribuida al exceso de oferta. No obstante, cuando este año los precios de referencia cayeron por debajo de US$30, los inversionistas comenzaron a apuntar a una desaceleración de la demanda.</w:t>
      </w:r>
    </w:p>
    <w:p w:rsidR="007F40A6" w:rsidRDefault="007F40A6" w:rsidP="007F40A6">
      <w:pPr>
        <w:pStyle w:val="NormalWeb"/>
        <w:shd w:val="clear" w:color="auto" w:fill="FFFFFF"/>
        <w:spacing w:before="0" w:beforeAutospacing="0" w:after="270" w:afterAutospacing="0"/>
        <w:jc w:val="both"/>
        <w:textAlignment w:val="baseline"/>
      </w:pPr>
      <w:r w:rsidRPr="004817FB">
        <w:t>“Si los precios de las materias primas en su conjunto son en general débiles, esto me dice que, en general, la demanda mundial es débil”, afirma</w:t>
      </w:r>
      <w:r w:rsidRPr="004817FB">
        <w:rPr>
          <w:rStyle w:val="apple-converted-space"/>
        </w:rPr>
        <w:t> </w:t>
      </w:r>
      <w:r w:rsidRPr="004817FB">
        <w:t>Paul Nolte,</w:t>
      </w:r>
      <w:r w:rsidRPr="004817FB">
        <w:rPr>
          <w:rStyle w:val="apple-converted-space"/>
        </w:rPr>
        <w:t> </w:t>
      </w:r>
      <w:r w:rsidRPr="004817FB">
        <w:t>gestor de cartera de Kingsview Asset Management, que administra cerca de US$150 millones.</w:t>
      </w:r>
    </w:p>
    <w:p w:rsidR="007F40A6" w:rsidRPr="00E27BFB" w:rsidRDefault="007F40A6" w:rsidP="007F40A6">
      <w:pPr>
        <w:spacing w:line="240" w:lineRule="auto"/>
        <w:jc w:val="both"/>
        <w:rPr>
          <w:rFonts w:ascii="Times New Roman" w:hAnsi="Times New Roman" w:cs="Times New Roman"/>
          <w:i/>
          <w:sz w:val="24"/>
          <w:szCs w:val="24"/>
          <w:lang w:val="es-ES_tradnl"/>
        </w:rPr>
      </w:pPr>
      <w:r w:rsidRPr="00E27BFB">
        <w:rPr>
          <w:rFonts w:ascii="Times New Roman" w:hAnsi="Times New Roman" w:cs="Times New Roman"/>
          <w:i/>
          <w:sz w:val="24"/>
          <w:szCs w:val="24"/>
          <w:lang w:val="es-ES_tradnl"/>
        </w:rPr>
        <w:lastRenderedPageBreak/>
        <w:t>“Con las firmas de capital riesgo batiéndose en retirada, las “</w:t>
      </w:r>
      <w:proofErr w:type="spellStart"/>
      <w:r w:rsidRPr="00E27BFB">
        <w:rPr>
          <w:rFonts w:ascii="Times New Roman" w:hAnsi="Times New Roman" w:cs="Times New Roman"/>
          <w:i/>
          <w:sz w:val="24"/>
          <w:szCs w:val="24"/>
          <w:lang w:val="es-ES_tradnl"/>
        </w:rPr>
        <w:t>start</w:t>
      </w:r>
      <w:proofErr w:type="spellEnd"/>
      <w:r w:rsidRPr="00E27BFB">
        <w:rPr>
          <w:rFonts w:ascii="Times New Roman" w:hAnsi="Times New Roman" w:cs="Times New Roman"/>
          <w:i/>
          <w:sz w:val="24"/>
          <w:szCs w:val="24"/>
          <w:lang w:val="es-ES_tradnl"/>
        </w:rPr>
        <w:t xml:space="preserve"> ups” tecnológicas optan por recortar plantillas y reducir gastos.</w:t>
      </w:r>
    </w:p>
    <w:p w:rsidR="007F40A6" w:rsidRPr="00E27BFB" w:rsidRDefault="007F40A6" w:rsidP="007F40A6">
      <w:pPr>
        <w:spacing w:line="240" w:lineRule="auto"/>
        <w:jc w:val="both"/>
        <w:rPr>
          <w:rFonts w:ascii="Times New Roman" w:hAnsi="Times New Roman" w:cs="Times New Roman"/>
          <w:i/>
          <w:sz w:val="24"/>
          <w:szCs w:val="24"/>
          <w:lang w:val="es-ES_tradnl"/>
        </w:rPr>
      </w:pPr>
      <w:r w:rsidRPr="00E27BFB">
        <w:rPr>
          <w:rFonts w:ascii="Times New Roman" w:hAnsi="Times New Roman" w:cs="Times New Roman"/>
          <w:i/>
          <w:sz w:val="24"/>
          <w:szCs w:val="24"/>
          <w:lang w:val="es-ES_tradnl"/>
        </w:rPr>
        <w:t xml:space="preserve">No hace mucho, los trabajadores de </w:t>
      </w:r>
      <w:proofErr w:type="spellStart"/>
      <w:r w:rsidRPr="00E27BFB">
        <w:rPr>
          <w:rFonts w:ascii="Times New Roman" w:hAnsi="Times New Roman" w:cs="Times New Roman"/>
          <w:i/>
          <w:sz w:val="24"/>
          <w:szCs w:val="24"/>
          <w:lang w:val="es-ES_tradnl"/>
        </w:rPr>
        <w:t>Practice</w:t>
      </w:r>
      <w:proofErr w:type="spellEnd"/>
      <w:r w:rsidRPr="00E27BFB">
        <w:rPr>
          <w:rFonts w:ascii="Times New Roman" w:hAnsi="Times New Roman" w:cs="Times New Roman"/>
          <w:i/>
          <w:sz w:val="24"/>
          <w:szCs w:val="24"/>
          <w:lang w:val="es-ES_tradnl"/>
        </w:rPr>
        <w:t xml:space="preserve"> </w:t>
      </w:r>
      <w:proofErr w:type="spellStart"/>
      <w:r w:rsidRPr="00E27BFB">
        <w:rPr>
          <w:rFonts w:ascii="Times New Roman" w:hAnsi="Times New Roman" w:cs="Times New Roman"/>
          <w:i/>
          <w:sz w:val="24"/>
          <w:szCs w:val="24"/>
          <w:lang w:val="es-ES_tradnl"/>
        </w:rPr>
        <w:t>Fusion</w:t>
      </w:r>
      <w:proofErr w:type="spellEnd"/>
      <w:r w:rsidRPr="00E27BFB">
        <w:rPr>
          <w:rFonts w:ascii="Times New Roman" w:hAnsi="Times New Roman" w:cs="Times New Roman"/>
          <w:i/>
          <w:sz w:val="24"/>
          <w:szCs w:val="24"/>
          <w:lang w:val="es-ES_tradnl"/>
        </w:rPr>
        <w:t>, la plataforma en la nube que permite acceder al historial clínico de los pacientes, saboreaban comida sana gratis y participaban en carreras de triciclos en la oficina.</w:t>
      </w:r>
    </w:p>
    <w:p w:rsidR="007F40A6" w:rsidRPr="00E27BFB" w:rsidRDefault="007F40A6" w:rsidP="007F40A6">
      <w:pPr>
        <w:spacing w:line="240" w:lineRule="auto"/>
        <w:jc w:val="both"/>
        <w:rPr>
          <w:rFonts w:ascii="Times New Roman" w:hAnsi="Times New Roman" w:cs="Times New Roman"/>
          <w:i/>
          <w:sz w:val="24"/>
          <w:szCs w:val="24"/>
          <w:lang w:val="es-ES_tradnl"/>
        </w:rPr>
      </w:pPr>
      <w:r w:rsidRPr="00E27BFB">
        <w:rPr>
          <w:rFonts w:ascii="Times New Roman" w:hAnsi="Times New Roman" w:cs="Times New Roman"/>
          <w:i/>
          <w:sz w:val="24"/>
          <w:szCs w:val="24"/>
          <w:lang w:val="es-ES_tradnl"/>
        </w:rPr>
        <w:t xml:space="preserve">Sin embargo, la extravagancia de </w:t>
      </w:r>
      <w:proofErr w:type="spellStart"/>
      <w:r w:rsidRPr="00E27BFB">
        <w:rPr>
          <w:rFonts w:ascii="Times New Roman" w:hAnsi="Times New Roman" w:cs="Times New Roman"/>
          <w:i/>
          <w:sz w:val="24"/>
          <w:szCs w:val="24"/>
          <w:lang w:val="es-ES_tradnl"/>
        </w:rPr>
        <w:t>Silicon</w:t>
      </w:r>
      <w:proofErr w:type="spellEnd"/>
      <w:r w:rsidRPr="00E27BFB">
        <w:rPr>
          <w:rFonts w:ascii="Times New Roman" w:hAnsi="Times New Roman" w:cs="Times New Roman"/>
          <w:i/>
          <w:sz w:val="24"/>
          <w:szCs w:val="24"/>
          <w:lang w:val="es-ES_tradnl"/>
        </w:rPr>
        <w:t xml:space="preserve"> Valley se está acabando. </w:t>
      </w:r>
      <w:proofErr w:type="spellStart"/>
      <w:r w:rsidRPr="00E27BFB">
        <w:rPr>
          <w:rFonts w:ascii="Times New Roman" w:hAnsi="Times New Roman" w:cs="Times New Roman"/>
          <w:i/>
          <w:sz w:val="24"/>
          <w:szCs w:val="24"/>
          <w:lang w:val="es-ES_tradnl"/>
        </w:rPr>
        <w:t>Practice</w:t>
      </w:r>
      <w:proofErr w:type="spellEnd"/>
      <w:r w:rsidRPr="00E27BFB">
        <w:rPr>
          <w:rFonts w:ascii="Times New Roman" w:hAnsi="Times New Roman" w:cs="Times New Roman"/>
          <w:i/>
          <w:sz w:val="24"/>
          <w:szCs w:val="24"/>
          <w:lang w:val="es-ES_tradnl"/>
        </w:rPr>
        <w:t xml:space="preserve"> </w:t>
      </w:r>
      <w:proofErr w:type="spellStart"/>
      <w:r w:rsidRPr="00E27BFB">
        <w:rPr>
          <w:rFonts w:ascii="Times New Roman" w:hAnsi="Times New Roman" w:cs="Times New Roman"/>
          <w:i/>
          <w:sz w:val="24"/>
          <w:szCs w:val="24"/>
          <w:lang w:val="es-ES_tradnl"/>
        </w:rPr>
        <w:t>Fusion</w:t>
      </w:r>
      <w:proofErr w:type="spellEnd"/>
      <w:r w:rsidRPr="00E27BFB">
        <w:rPr>
          <w:rFonts w:ascii="Times New Roman" w:hAnsi="Times New Roman" w:cs="Times New Roman"/>
          <w:i/>
          <w:sz w:val="24"/>
          <w:szCs w:val="24"/>
          <w:lang w:val="es-ES_tradnl"/>
        </w:rPr>
        <w:t xml:space="preserve"> ha despedido a su consejero delegado y a una cuarta parte de su personal, además de reducir gastos en proyectos para ahorrar.</w:t>
      </w:r>
    </w:p>
    <w:p w:rsidR="007F40A6" w:rsidRPr="00E27BFB" w:rsidRDefault="007F40A6" w:rsidP="007F40A6">
      <w:pPr>
        <w:spacing w:line="240" w:lineRule="auto"/>
        <w:jc w:val="both"/>
        <w:rPr>
          <w:rFonts w:ascii="Times New Roman" w:hAnsi="Times New Roman" w:cs="Times New Roman"/>
          <w:i/>
          <w:sz w:val="24"/>
          <w:szCs w:val="24"/>
          <w:lang w:val="es-ES_tradnl"/>
        </w:rPr>
      </w:pPr>
      <w:r w:rsidRPr="00E27BFB">
        <w:rPr>
          <w:rFonts w:ascii="Times New Roman" w:hAnsi="Times New Roman" w:cs="Times New Roman"/>
          <w:i/>
          <w:sz w:val="24"/>
          <w:szCs w:val="24"/>
          <w:lang w:val="es-ES_tradnl"/>
        </w:rPr>
        <w:t xml:space="preserve">Hace un año, las </w:t>
      </w:r>
      <w:proofErr w:type="spellStart"/>
      <w:r w:rsidRPr="00E27BFB">
        <w:rPr>
          <w:rFonts w:ascii="Times New Roman" w:hAnsi="Times New Roman" w:cs="Times New Roman"/>
          <w:i/>
          <w:sz w:val="24"/>
          <w:szCs w:val="24"/>
          <w:lang w:val="es-ES_tradnl"/>
        </w:rPr>
        <w:t>start</w:t>
      </w:r>
      <w:proofErr w:type="spellEnd"/>
      <w:r w:rsidRPr="00E27BFB">
        <w:rPr>
          <w:rFonts w:ascii="Times New Roman" w:hAnsi="Times New Roman" w:cs="Times New Roman"/>
          <w:i/>
          <w:sz w:val="24"/>
          <w:szCs w:val="24"/>
          <w:lang w:val="es-ES_tradnl"/>
        </w:rPr>
        <w:t xml:space="preserve"> up con modelos de negocio emergentes obtuvieron tasaciones de miles de millones de dólares al tiempo que los inversores competían entre ellos para entrar en estas firmas. Hoy en día, el capital riesgo afronta una escasez de </w:t>
      </w:r>
      <w:proofErr w:type="spellStart"/>
      <w:r w:rsidRPr="00E27BFB">
        <w:rPr>
          <w:rFonts w:ascii="Times New Roman" w:hAnsi="Times New Roman" w:cs="Times New Roman"/>
          <w:i/>
          <w:sz w:val="24"/>
          <w:szCs w:val="24"/>
          <w:lang w:val="es-ES_tradnl"/>
        </w:rPr>
        <w:t>start</w:t>
      </w:r>
      <w:proofErr w:type="spellEnd"/>
      <w:r w:rsidRPr="00E27BFB">
        <w:rPr>
          <w:rFonts w:ascii="Times New Roman" w:hAnsi="Times New Roman" w:cs="Times New Roman"/>
          <w:i/>
          <w:sz w:val="24"/>
          <w:szCs w:val="24"/>
          <w:lang w:val="es-ES_tradnl"/>
        </w:rPr>
        <w:t xml:space="preserve"> up</w:t>
      </w:r>
      <w:r w:rsidR="005337CB" w:rsidRPr="00E27BFB">
        <w:rPr>
          <w:rFonts w:ascii="Times New Roman" w:hAnsi="Times New Roman" w:cs="Times New Roman"/>
          <w:i/>
          <w:sz w:val="24"/>
          <w:szCs w:val="24"/>
          <w:lang w:val="es-ES_tradnl"/>
        </w:rPr>
        <w:t>s</w:t>
      </w:r>
      <w:r w:rsidRPr="00E27BFB">
        <w:rPr>
          <w:rFonts w:ascii="Times New Roman" w:hAnsi="Times New Roman" w:cs="Times New Roman"/>
          <w:i/>
          <w:sz w:val="24"/>
          <w:szCs w:val="24"/>
          <w:lang w:val="es-ES_tradnl"/>
        </w:rPr>
        <w:t xml:space="preserve"> exitosas. Los inversores, al presenciar el colapso de las acciones tecnológicas y la debilidad económica, están haciendo una selección en sus carteras y obligando a las empresas con necesidades de liquidez a cerrar o a reducir su tamaño.</w:t>
      </w:r>
    </w:p>
    <w:p w:rsidR="007F40A6" w:rsidRPr="00E27BFB" w:rsidRDefault="007F40A6" w:rsidP="007F40A6">
      <w:pPr>
        <w:spacing w:line="240" w:lineRule="auto"/>
        <w:jc w:val="both"/>
        <w:rPr>
          <w:rFonts w:ascii="Times New Roman" w:hAnsi="Times New Roman" w:cs="Times New Roman"/>
          <w:sz w:val="24"/>
          <w:szCs w:val="24"/>
          <w:lang w:val="es-ES_tradnl"/>
        </w:rPr>
      </w:pPr>
      <w:r w:rsidRPr="00E27BFB">
        <w:rPr>
          <w:rFonts w:ascii="Times New Roman" w:hAnsi="Times New Roman" w:cs="Times New Roman"/>
          <w:i/>
          <w:sz w:val="24"/>
          <w:szCs w:val="24"/>
          <w:lang w:val="es-ES_tradnl"/>
        </w:rPr>
        <w:t xml:space="preserve">Estos cambios están deteriorando la idea que dirige la economía de </w:t>
      </w:r>
      <w:proofErr w:type="spellStart"/>
      <w:r w:rsidRPr="00E27BFB">
        <w:rPr>
          <w:rFonts w:ascii="Times New Roman" w:hAnsi="Times New Roman" w:cs="Times New Roman"/>
          <w:i/>
          <w:sz w:val="24"/>
          <w:szCs w:val="24"/>
          <w:lang w:val="es-ES_tradnl"/>
        </w:rPr>
        <w:t>Silicon</w:t>
      </w:r>
      <w:proofErr w:type="spellEnd"/>
      <w:r w:rsidRPr="00E27BFB">
        <w:rPr>
          <w:rFonts w:ascii="Times New Roman" w:hAnsi="Times New Roman" w:cs="Times New Roman"/>
          <w:i/>
          <w:sz w:val="24"/>
          <w:szCs w:val="24"/>
          <w:lang w:val="es-ES_tradnl"/>
        </w:rPr>
        <w:t xml:space="preserve"> Valley: Trabajar duro, garantizar fondos de capital riesgo y hacerse rico. Con las tasaciones cayendo, para algunos la quiebra está a la vuelta de la esquina”...</w:t>
      </w:r>
      <w:r w:rsidRPr="00E27BFB">
        <w:rPr>
          <w:rFonts w:ascii="Times New Roman" w:hAnsi="Times New Roman" w:cs="Times New Roman"/>
          <w:sz w:val="24"/>
          <w:szCs w:val="24"/>
          <w:u w:val="single"/>
          <w:lang w:val="es-ES_tradnl"/>
        </w:rPr>
        <w:t xml:space="preserve">La resaca financiera llega a </w:t>
      </w:r>
      <w:proofErr w:type="spellStart"/>
      <w:r w:rsidRPr="00E27BFB">
        <w:rPr>
          <w:rFonts w:ascii="Times New Roman" w:hAnsi="Times New Roman" w:cs="Times New Roman"/>
          <w:sz w:val="24"/>
          <w:szCs w:val="24"/>
          <w:u w:val="single"/>
          <w:lang w:val="es-ES_tradnl"/>
        </w:rPr>
        <w:t>Silicon</w:t>
      </w:r>
      <w:proofErr w:type="spellEnd"/>
      <w:r w:rsidRPr="00E27BFB">
        <w:rPr>
          <w:rFonts w:ascii="Times New Roman" w:hAnsi="Times New Roman" w:cs="Times New Roman"/>
          <w:sz w:val="24"/>
          <w:szCs w:val="24"/>
          <w:u w:val="single"/>
          <w:lang w:val="es-ES_tradnl"/>
        </w:rPr>
        <w:t xml:space="preserve"> Valley</w:t>
      </w:r>
      <w:r w:rsidRPr="00E27BFB">
        <w:rPr>
          <w:rFonts w:ascii="Times New Roman" w:hAnsi="Times New Roman" w:cs="Times New Roman"/>
          <w:sz w:val="24"/>
          <w:szCs w:val="24"/>
          <w:lang w:val="es-ES_tradnl"/>
        </w:rPr>
        <w:t xml:space="preserve"> (Expansión - WSJ - </w:t>
      </w:r>
      <w:r w:rsidRPr="00E27BFB">
        <w:rPr>
          <w:rFonts w:ascii="Times New Roman" w:hAnsi="Times New Roman" w:cs="Times New Roman"/>
          <w:b/>
          <w:sz w:val="24"/>
          <w:szCs w:val="24"/>
          <w:lang w:val="es-ES_tradnl"/>
        </w:rPr>
        <w:t>28/2/16</w:t>
      </w:r>
      <w:r w:rsidRPr="00E27BFB">
        <w:rPr>
          <w:rFonts w:ascii="Times New Roman" w:hAnsi="Times New Roman" w:cs="Times New Roman"/>
          <w:sz w:val="24"/>
          <w:szCs w:val="24"/>
          <w:lang w:val="es-ES_tradnl"/>
        </w:rPr>
        <w:t>)</w:t>
      </w:r>
    </w:p>
    <w:p w:rsidR="007F40A6" w:rsidRDefault="007F40A6" w:rsidP="007F40A6">
      <w:pPr>
        <w:spacing w:line="240" w:lineRule="auto"/>
        <w:jc w:val="both"/>
        <w:rPr>
          <w:rFonts w:ascii="Times New Roman" w:hAnsi="Times New Roman" w:cs="Times New Roman"/>
          <w:sz w:val="24"/>
          <w:szCs w:val="24"/>
          <w:lang w:val="en-US"/>
        </w:rPr>
      </w:pPr>
      <w:r>
        <w:rPr>
          <w:noProof/>
          <w:lang w:val="en-GB" w:eastAsia="en-GB"/>
        </w:rPr>
        <w:drawing>
          <wp:inline distT="0" distB="0" distL="0" distR="0">
            <wp:extent cx="5397011" cy="2527300"/>
            <wp:effectExtent l="0" t="0" r="0" b="6350"/>
            <wp:docPr id="198" name="Imagen 198" descr="http://estaticos04.expansion.com/assets/multimedia/imagenes/2016/02/25/14564215113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04.expansion.com/assets/multimedia/imagenes/2016/02/25/14564215113915.jp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528719"/>
                    </a:xfrm>
                    <a:prstGeom prst="rect">
                      <a:avLst/>
                    </a:prstGeom>
                    <a:noFill/>
                    <a:ln>
                      <a:noFill/>
                    </a:ln>
                  </pic:spPr>
                </pic:pic>
              </a:graphicData>
            </a:graphic>
          </wp:inline>
        </w:drawing>
      </w:r>
    </w:p>
    <w:p w:rsidR="007F40A6" w:rsidRDefault="007F40A6" w:rsidP="007F40A6">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3E10F8">
        <w:rPr>
          <w:rFonts w:ascii="Times New Roman" w:eastAsia="Times New Roman" w:hAnsi="Times New Roman" w:cs="Times New Roman"/>
          <w:sz w:val="24"/>
          <w:szCs w:val="24"/>
          <w:u w:val="single"/>
        </w:rPr>
        <w:t>Dos premios Nobel de Economía destapan las trampas del mercado</w:t>
      </w:r>
      <w:r>
        <w:rPr>
          <w:rFonts w:ascii="Times New Roman" w:eastAsia="Times New Roman" w:hAnsi="Times New Roman" w:cs="Times New Roman"/>
          <w:sz w:val="24"/>
          <w:szCs w:val="24"/>
        </w:rPr>
        <w:t xml:space="preserve"> (El Economista - </w:t>
      </w:r>
      <w:r>
        <w:rPr>
          <w:rFonts w:ascii="Times New Roman" w:eastAsia="Times New Roman" w:hAnsi="Times New Roman" w:cs="Times New Roman"/>
          <w:b/>
          <w:sz w:val="24"/>
          <w:szCs w:val="24"/>
        </w:rPr>
        <w:t>20</w:t>
      </w:r>
      <w:r w:rsidRPr="003E10F8">
        <w:rPr>
          <w:rFonts w:ascii="Times New Roman" w:eastAsia="Times New Roman" w:hAnsi="Times New Roman" w:cs="Times New Roman"/>
          <w:b/>
          <w:sz w:val="24"/>
          <w:szCs w:val="24"/>
        </w:rPr>
        <w:t>/3/16</w:t>
      </w:r>
      <w:r>
        <w:rPr>
          <w:rFonts w:ascii="Times New Roman" w:eastAsia="Times New Roman" w:hAnsi="Times New Roman" w:cs="Times New Roman"/>
          <w:sz w:val="24"/>
          <w:szCs w:val="24"/>
        </w:rPr>
        <w:t>)                                                                                             Lectura recomendada</w:t>
      </w:r>
    </w:p>
    <w:p w:rsidR="007F40A6" w:rsidRPr="001E741A" w:rsidRDefault="007F40A6" w:rsidP="007F40A6">
      <w:pPr>
        <w:spacing w:line="240" w:lineRule="auto"/>
        <w:jc w:val="both"/>
        <w:rPr>
          <w:rFonts w:ascii="Times New Roman" w:eastAsia="Times New Roman" w:hAnsi="Times New Roman" w:cs="Times New Roman"/>
          <w:color w:val="FF0000"/>
          <w:sz w:val="24"/>
          <w:szCs w:val="24"/>
          <w:u w:val="single"/>
        </w:rPr>
      </w:pPr>
      <w:r w:rsidRPr="001E741A">
        <w:rPr>
          <w:rFonts w:ascii="Times New Roman" w:eastAsia="Times New Roman" w:hAnsi="Times New Roman" w:cs="Times New Roman"/>
          <w:color w:val="FF0000"/>
          <w:sz w:val="24"/>
          <w:szCs w:val="24"/>
          <w:u w:val="single"/>
        </w:rPr>
        <w:t>Las trampas</w:t>
      </w:r>
      <w:r>
        <w:rPr>
          <w:rFonts w:ascii="Times New Roman" w:eastAsia="Times New Roman" w:hAnsi="Times New Roman" w:cs="Times New Roman"/>
          <w:color w:val="FF0000"/>
          <w:sz w:val="24"/>
          <w:szCs w:val="24"/>
          <w:u w:val="single"/>
        </w:rPr>
        <w:t xml:space="preserve"> del mercado son eficaces para “pescar”</w:t>
      </w:r>
      <w:r w:rsidRPr="001E741A">
        <w:rPr>
          <w:rFonts w:ascii="Times New Roman" w:eastAsia="Times New Roman" w:hAnsi="Times New Roman" w:cs="Times New Roman"/>
          <w:color w:val="FF0000"/>
          <w:sz w:val="24"/>
          <w:szCs w:val="24"/>
          <w:u w:val="single"/>
        </w:rPr>
        <w:t xml:space="preserve"> incautos y arrastrarlos con falsas necesidades a pagos exagerados en compras importantes como una vivienda, nos alertan dos premios Nobel en el libro La economía de la manipulación.</w:t>
      </w:r>
    </w:p>
    <w:p w:rsidR="007F40A6" w:rsidRPr="001E741A" w:rsidRDefault="007F40A6" w:rsidP="007F40A6">
      <w:pPr>
        <w:spacing w:line="240" w:lineRule="auto"/>
        <w:jc w:val="both"/>
        <w:rPr>
          <w:rFonts w:ascii="Times New Roman" w:eastAsia="Times New Roman" w:hAnsi="Times New Roman" w:cs="Times New Roman"/>
          <w:sz w:val="24"/>
          <w:szCs w:val="24"/>
          <w:u w:val="single"/>
        </w:rPr>
      </w:pPr>
      <w:r w:rsidRPr="001E741A">
        <w:rPr>
          <w:rFonts w:ascii="Times New Roman" w:eastAsia="Times New Roman" w:hAnsi="Times New Roman" w:cs="Times New Roman"/>
          <w:sz w:val="24"/>
          <w:szCs w:val="24"/>
          <w:u w:val="single"/>
        </w:rPr>
        <w:t>La presión de la competencia empuja a directivos y empresarios a practicar el engaño y la manipulación, según George A. Akerlof (Nobel de Economía en 2001) y Robert J. Shiller (que obtuvo el galardón en 2013), y autores de Animal Spirits.</w:t>
      </w:r>
    </w:p>
    <w:p w:rsidR="007F40A6" w:rsidRPr="003E10F8" w:rsidRDefault="007F40A6" w:rsidP="007F40A6">
      <w:pPr>
        <w:spacing w:line="240" w:lineRule="auto"/>
        <w:jc w:val="both"/>
        <w:rPr>
          <w:rFonts w:ascii="Times New Roman" w:eastAsia="Times New Roman" w:hAnsi="Times New Roman" w:cs="Times New Roman"/>
          <w:sz w:val="24"/>
          <w:szCs w:val="24"/>
        </w:rPr>
      </w:pPr>
      <w:r w:rsidRPr="003E10F8">
        <w:rPr>
          <w:rFonts w:ascii="Times New Roman" w:eastAsia="Times New Roman" w:hAnsi="Times New Roman" w:cs="Times New Roman"/>
          <w:sz w:val="24"/>
          <w:szCs w:val="24"/>
        </w:rPr>
        <w:t>Au</w:t>
      </w:r>
      <w:r>
        <w:rPr>
          <w:rFonts w:ascii="Times New Roman" w:eastAsia="Times New Roman" w:hAnsi="Times New Roman" w:cs="Times New Roman"/>
          <w:sz w:val="24"/>
          <w:szCs w:val="24"/>
        </w:rPr>
        <w:t>nque no se consideran ningunos “antisistema”</w:t>
      </w:r>
      <w:r w:rsidRPr="003E10F8">
        <w:rPr>
          <w:rFonts w:ascii="Times New Roman" w:eastAsia="Times New Roman" w:hAnsi="Times New Roman" w:cs="Times New Roman"/>
          <w:sz w:val="24"/>
          <w:szCs w:val="24"/>
        </w:rPr>
        <w:t>, admiten que su nuevo libro (editado por Deusto) no será muy popular para quienes piensan que adoptan las mejores decisiones por sí mismos.</w:t>
      </w:r>
    </w:p>
    <w:p w:rsidR="007F40A6" w:rsidRPr="003E10F8" w:rsidRDefault="007F40A6" w:rsidP="007F40A6">
      <w:pPr>
        <w:spacing w:line="240" w:lineRule="auto"/>
        <w:jc w:val="both"/>
        <w:rPr>
          <w:rFonts w:ascii="Times New Roman" w:eastAsia="Times New Roman" w:hAnsi="Times New Roman" w:cs="Times New Roman"/>
          <w:sz w:val="24"/>
          <w:szCs w:val="24"/>
        </w:rPr>
      </w:pPr>
      <w:r w:rsidRPr="003E10F8">
        <w:rPr>
          <w:rFonts w:ascii="Times New Roman" w:eastAsia="Times New Roman" w:hAnsi="Times New Roman" w:cs="Times New Roman"/>
          <w:sz w:val="24"/>
          <w:szCs w:val="24"/>
        </w:rPr>
        <w:lastRenderedPageBreak/>
        <w:t>Artimañas del sistema económico</w:t>
      </w:r>
    </w:p>
    <w:p w:rsidR="007F40A6" w:rsidRPr="003E10F8" w:rsidRDefault="007F40A6" w:rsidP="007F40A6">
      <w:pPr>
        <w:spacing w:line="240" w:lineRule="auto"/>
        <w:jc w:val="both"/>
        <w:rPr>
          <w:rFonts w:ascii="Times New Roman" w:eastAsia="Times New Roman" w:hAnsi="Times New Roman" w:cs="Times New Roman"/>
          <w:sz w:val="24"/>
          <w:szCs w:val="24"/>
        </w:rPr>
      </w:pPr>
      <w:r w:rsidRPr="003E10F8">
        <w:rPr>
          <w:rFonts w:ascii="Times New Roman" w:eastAsia="Times New Roman" w:hAnsi="Times New Roman" w:cs="Times New Roman"/>
          <w:sz w:val="24"/>
          <w:szCs w:val="24"/>
        </w:rPr>
        <w:t xml:space="preserve">El ensayo repasa con seriedad y también con un toque de humor, y sin apenas jerga económica, </w:t>
      </w:r>
      <w:r w:rsidRPr="001E741A">
        <w:rPr>
          <w:rFonts w:ascii="Times New Roman" w:eastAsia="Times New Roman" w:hAnsi="Times New Roman" w:cs="Times New Roman"/>
          <w:sz w:val="24"/>
          <w:szCs w:val="24"/>
          <w:u w:val="single"/>
        </w:rPr>
        <w:t>las artimañas que pueblan el sistema económico</w:t>
      </w:r>
      <w:r w:rsidRPr="003E10F8">
        <w:rPr>
          <w:rFonts w:ascii="Times New Roman" w:eastAsia="Times New Roman" w:hAnsi="Times New Roman" w:cs="Times New Roman"/>
          <w:sz w:val="24"/>
          <w:szCs w:val="24"/>
        </w:rPr>
        <w:t xml:space="preserve"> (desde las finanzas a la salud y hasta la alimentación) y que a juicio de los autores es necesario que todo el mundo conozca.</w:t>
      </w:r>
    </w:p>
    <w:p w:rsidR="007F40A6" w:rsidRPr="001E741A" w:rsidRDefault="007F40A6" w:rsidP="007F40A6">
      <w:pPr>
        <w:spacing w:line="240" w:lineRule="auto"/>
        <w:jc w:val="both"/>
        <w:rPr>
          <w:rFonts w:ascii="Times New Roman" w:eastAsia="Times New Roman" w:hAnsi="Times New Roman" w:cs="Times New Roman"/>
          <w:sz w:val="24"/>
          <w:szCs w:val="24"/>
          <w:u w:val="single"/>
        </w:rPr>
      </w:pPr>
      <w:r w:rsidRPr="001E741A">
        <w:rPr>
          <w:rFonts w:ascii="Times New Roman" w:eastAsia="Times New Roman" w:hAnsi="Times New Roman" w:cs="Times New Roman"/>
          <w:sz w:val="24"/>
          <w:szCs w:val="24"/>
          <w:u w:val="single"/>
        </w:rPr>
        <w:t>Una de las figuras con las que ilustran su visión dual de la economía d</w:t>
      </w:r>
      <w:r>
        <w:rPr>
          <w:rFonts w:ascii="Times New Roman" w:eastAsia="Times New Roman" w:hAnsi="Times New Roman" w:cs="Times New Roman"/>
          <w:sz w:val="24"/>
          <w:szCs w:val="24"/>
          <w:u w:val="single"/>
        </w:rPr>
        <w:t>e mercado es la contraposición “</w:t>
      </w:r>
      <w:r w:rsidRPr="001E741A">
        <w:rPr>
          <w:rFonts w:ascii="Times New Roman" w:eastAsia="Times New Roman" w:hAnsi="Times New Roman" w:cs="Times New Roman"/>
          <w:sz w:val="24"/>
          <w:szCs w:val="24"/>
          <w:u w:val="single"/>
        </w:rPr>
        <w:t>traga</w:t>
      </w:r>
      <w:r>
        <w:rPr>
          <w:rFonts w:ascii="Times New Roman" w:eastAsia="Times New Roman" w:hAnsi="Times New Roman" w:cs="Times New Roman"/>
          <w:sz w:val="24"/>
          <w:szCs w:val="24"/>
          <w:u w:val="single"/>
        </w:rPr>
        <w:t>perras buenas-tragaperras malas”</w:t>
      </w:r>
      <w:r w:rsidRPr="001E741A">
        <w:rPr>
          <w:rFonts w:ascii="Times New Roman" w:eastAsia="Times New Roman" w:hAnsi="Times New Roman" w:cs="Times New Roman"/>
          <w:sz w:val="24"/>
          <w:szCs w:val="24"/>
          <w:u w:val="single"/>
        </w:rPr>
        <w:t>.</w:t>
      </w:r>
    </w:p>
    <w:p w:rsidR="007F40A6" w:rsidRPr="003E10F8" w:rsidRDefault="007F40A6" w:rsidP="007F40A6">
      <w:pPr>
        <w:spacing w:line="240" w:lineRule="auto"/>
        <w:jc w:val="both"/>
        <w:rPr>
          <w:rFonts w:ascii="Times New Roman" w:eastAsia="Times New Roman" w:hAnsi="Times New Roman" w:cs="Times New Roman"/>
          <w:sz w:val="24"/>
          <w:szCs w:val="24"/>
        </w:rPr>
      </w:pPr>
      <w:r w:rsidRPr="003E10F8">
        <w:rPr>
          <w:rFonts w:ascii="Times New Roman" w:eastAsia="Times New Roman" w:hAnsi="Times New Roman" w:cs="Times New Roman"/>
          <w:sz w:val="24"/>
          <w:szCs w:val="24"/>
        </w:rPr>
        <w:t>Esta máquina, que se inventa a finales del siglo XIX con la función de expendedora (al introducir una moneda por la ranura se abría un cajón con objetos como anteojos para la ópera), muy p</w:t>
      </w:r>
      <w:r>
        <w:rPr>
          <w:rFonts w:ascii="Times New Roman" w:eastAsia="Times New Roman" w:hAnsi="Times New Roman" w:cs="Times New Roman"/>
          <w:sz w:val="24"/>
          <w:szCs w:val="24"/>
        </w:rPr>
        <w:t>ronto empezó a utilizarse como “adictivo”</w:t>
      </w:r>
      <w:r w:rsidRPr="003E10F8">
        <w:rPr>
          <w:rFonts w:ascii="Times New Roman" w:eastAsia="Times New Roman" w:hAnsi="Times New Roman" w:cs="Times New Roman"/>
          <w:sz w:val="24"/>
          <w:szCs w:val="24"/>
        </w:rPr>
        <w:t xml:space="preserve"> para premios de azar.</w:t>
      </w:r>
    </w:p>
    <w:p w:rsidR="007F40A6" w:rsidRPr="0031484E" w:rsidRDefault="007F40A6" w:rsidP="007F40A6">
      <w:pPr>
        <w:spacing w:line="240" w:lineRule="auto"/>
        <w:jc w:val="both"/>
        <w:rPr>
          <w:rFonts w:ascii="Times New Roman" w:eastAsia="Times New Roman" w:hAnsi="Times New Roman" w:cs="Times New Roman"/>
          <w:sz w:val="24"/>
          <w:szCs w:val="24"/>
          <w:u w:val="single"/>
        </w:rPr>
      </w:pPr>
      <w:r w:rsidRPr="003E10F8">
        <w:rPr>
          <w:rFonts w:ascii="Times New Roman" w:eastAsia="Times New Roman" w:hAnsi="Times New Roman" w:cs="Times New Roman"/>
          <w:sz w:val="24"/>
          <w:szCs w:val="24"/>
        </w:rPr>
        <w:t xml:space="preserve">Desde entonces hasta nuestros días, </w:t>
      </w:r>
      <w:r w:rsidRPr="0031484E">
        <w:rPr>
          <w:rFonts w:ascii="Times New Roman" w:eastAsia="Times New Roman" w:hAnsi="Times New Roman" w:cs="Times New Roman"/>
          <w:sz w:val="24"/>
          <w:szCs w:val="24"/>
          <w:u w:val="single"/>
        </w:rPr>
        <w:t xml:space="preserve">los jugadores acuden a ellas movidos por la compulsión, a sabiendas de que perderán, </w:t>
      </w:r>
      <w:r>
        <w:rPr>
          <w:rFonts w:ascii="Times New Roman" w:eastAsia="Times New Roman" w:hAnsi="Times New Roman" w:cs="Times New Roman"/>
          <w:sz w:val="24"/>
          <w:szCs w:val="24"/>
          <w:u w:val="single"/>
        </w:rPr>
        <w:t>en una muestra de lo que es un “incauto psicológico”</w:t>
      </w:r>
      <w:r w:rsidRPr="0031484E">
        <w:rPr>
          <w:rFonts w:ascii="Times New Roman" w:eastAsia="Times New Roman" w:hAnsi="Times New Roman" w:cs="Times New Roman"/>
          <w:sz w:val="24"/>
          <w:szCs w:val="24"/>
          <w:u w:val="single"/>
        </w:rPr>
        <w:t>.</w:t>
      </w:r>
    </w:p>
    <w:p w:rsidR="007F40A6" w:rsidRPr="0031484E" w:rsidRDefault="007F40A6" w:rsidP="007F40A6">
      <w:pPr>
        <w:spacing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Así, “</w:t>
      </w:r>
      <w:r w:rsidRPr="0031484E">
        <w:rPr>
          <w:rFonts w:ascii="Times New Roman" w:eastAsia="Times New Roman" w:hAnsi="Times New Roman" w:cs="Times New Roman"/>
          <w:sz w:val="24"/>
          <w:szCs w:val="24"/>
          <w:u w:val="single"/>
        </w:rPr>
        <w:t>en la medida en que las debilidades puedan ser rentables</w:t>
      </w:r>
      <w:r>
        <w:rPr>
          <w:rFonts w:ascii="Times New Roman" w:eastAsia="Times New Roman" w:hAnsi="Times New Roman" w:cs="Times New Roman"/>
          <w:sz w:val="24"/>
          <w:szCs w:val="24"/>
          <w:u w:val="single"/>
        </w:rPr>
        <w:t>, serán generadas y alimentadas”, y esto afectará tanto a “incautos psicológicos”</w:t>
      </w:r>
      <w:r w:rsidRPr="0031484E">
        <w:rPr>
          <w:rFonts w:ascii="Times New Roman" w:eastAsia="Times New Roman" w:hAnsi="Times New Roman" w:cs="Times New Roman"/>
          <w:sz w:val="24"/>
          <w:szCs w:val="24"/>
          <w:u w:val="single"/>
        </w:rPr>
        <w:t xml:space="preserve"> como los del anterior ejempl</w:t>
      </w:r>
      <w:r>
        <w:rPr>
          <w:rFonts w:ascii="Times New Roman" w:eastAsia="Times New Roman" w:hAnsi="Times New Roman" w:cs="Times New Roman"/>
          <w:sz w:val="24"/>
          <w:szCs w:val="24"/>
          <w:u w:val="single"/>
        </w:rPr>
        <w:t>o, como a “informacionales”</w:t>
      </w:r>
      <w:r w:rsidRPr="0031484E">
        <w:rPr>
          <w:rFonts w:ascii="Times New Roman" w:eastAsia="Times New Roman" w:hAnsi="Times New Roman" w:cs="Times New Roman"/>
          <w:sz w:val="24"/>
          <w:szCs w:val="24"/>
          <w:u w:val="single"/>
        </w:rPr>
        <w:t>, los que actúan según una información intencionadamente preparada para inducir a error. Es el caso de los accionistas de Enron,</w:t>
      </w:r>
      <w:r>
        <w:rPr>
          <w:rFonts w:ascii="Times New Roman" w:eastAsia="Times New Roman" w:hAnsi="Times New Roman" w:cs="Times New Roman"/>
          <w:sz w:val="24"/>
          <w:szCs w:val="24"/>
          <w:u w:val="single"/>
        </w:rPr>
        <w:t xml:space="preserve"> considerada entre 1995 y 2000 “empresa más innovadora”</w:t>
      </w:r>
      <w:r w:rsidRPr="0031484E">
        <w:rPr>
          <w:rFonts w:ascii="Times New Roman" w:eastAsia="Times New Roman" w:hAnsi="Times New Roman" w:cs="Times New Roman"/>
          <w:sz w:val="24"/>
          <w:szCs w:val="24"/>
          <w:u w:val="single"/>
        </w:rPr>
        <w:t xml:space="preserve"> por la revista Fortune, a pesar de que ahora es sinónimo de timo empresarial planificado (maquillaban sus cuentas para ocultar sus enormes deudas).</w:t>
      </w:r>
    </w:p>
    <w:p w:rsidR="007F40A6" w:rsidRPr="003E10F8" w:rsidRDefault="007F40A6" w:rsidP="007F40A6">
      <w:pPr>
        <w:spacing w:line="240" w:lineRule="auto"/>
        <w:jc w:val="both"/>
        <w:rPr>
          <w:rFonts w:ascii="Times New Roman" w:eastAsia="Times New Roman" w:hAnsi="Times New Roman" w:cs="Times New Roman"/>
          <w:sz w:val="24"/>
          <w:szCs w:val="24"/>
        </w:rPr>
      </w:pPr>
      <w:r w:rsidRPr="003E10F8">
        <w:rPr>
          <w:rFonts w:ascii="Times New Roman" w:eastAsia="Times New Roman" w:hAnsi="Times New Roman" w:cs="Times New Roman"/>
          <w:sz w:val="24"/>
          <w:szCs w:val="24"/>
        </w:rPr>
        <w:t>Señuelos ingeniosos</w:t>
      </w:r>
    </w:p>
    <w:p w:rsidR="007F40A6" w:rsidRPr="0031484E" w:rsidRDefault="007F40A6" w:rsidP="007F40A6">
      <w:pPr>
        <w:spacing w:line="240" w:lineRule="auto"/>
        <w:jc w:val="both"/>
        <w:rPr>
          <w:rFonts w:ascii="Times New Roman" w:eastAsia="Times New Roman" w:hAnsi="Times New Roman" w:cs="Times New Roman"/>
          <w:color w:val="FF0000"/>
          <w:sz w:val="24"/>
          <w:szCs w:val="24"/>
          <w:u w:val="single"/>
        </w:rPr>
      </w:pPr>
      <w:r w:rsidRPr="0031484E">
        <w:rPr>
          <w:rFonts w:ascii="Times New Roman" w:eastAsia="Times New Roman" w:hAnsi="Times New Roman" w:cs="Times New Roman"/>
          <w:color w:val="FF0000"/>
          <w:sz w:val="24"/>
          <w:szCs w:val="24"/>
          <w:u w:val="single"/>
        </w:rPr>
        <w:t>Según</w:t>
      </w:r>
      <w:r>
        <w:rPr>
          <w:rFonts w:ascii="Times New Roman" w:eastAsia="Times New Roman" w:hAnsi="Times New Roman" w:cs="Times New Roman"/>
          <w:color w:val="FF0000"/>
          <w:sz w:val="24"/>
          <w:szCs w:val="24"/>
          <w:u w:val="single"/>
        </w:rPr>
        <w:t xml:space="preserve"> Akerlof y Shiller, hay tantos “pescadores”</w:t>
      </w:r>
      <w:r w:rsidRPr="0031484E">
        <w:rPr>
          <w:rFonts w:ascii="Times New Roman" w:eastAsia="Times New Roman" w:hAnsi="Times New Roman" w:cs="Times New Roman"/>
          <w:color w:val="FF0000"/>
          <w:sz w:val="24"/>
          <w:szCs w:val="24"/>
          <w:u w:val="single"/>
        </w:rPr>
        <w:t xml:space="preserve"> y son tan ingeniosos en l</w:t>
      </w:r>
      <w:r>
        <w:rPr>
          <w:rFonts w:ascii="Times New Roman" w:eastAsia="Times New Roman" w:hAnsi="Times New Roman" w:cs="Times New Roman"/>
          <w:color w:val="FF0000"/>
          <w:sz w:val="24"/>
          <w:szCs w:val="24"/>
          <w:u w:val="single"/>
        </w:rPr>
        <w:t>a variedad de sus señuelos que “</w:t>
      </w:r>
      <w:r w:rsidRPr="0031484E">
        <w:rPr>
          <w:rFonts w:ascii="Times New Roman" w:eastAsia="Times New Roman" w:hAnsi="Times New Roman" w:cs="Times New Roman"/>
          <w:color w:val="FF0000"/>
          <w:sz w:val="24"/>
          <w:szCs w:val="24"/>
          <w:u w:val="single"/>
        </w:rPr>
        <w:t>todos somos atrapados más pronto o más tarde, sin importar l</w:t>
      </w:r>
      <w:r>
        <w:rPr>
          <w:rFonts w:ascii="Times New Roman" w:eastAsia="Times New Roman" w:hAnsi="Times New Roman" w:cs="Times New Roman"/>
          <w:color w:val="FF0000"/>
          <w:sz w:val="24"/>
          <w:szCs w:val="24"/>
          <w:u w:val="single"/>
        </w:rPr>
        <w:t>o precavidos que intentemos ser”</w:t>
      </w:r>
      <w:r w:rsidRPr="0031484E">
        <w:rPr>
          <w:rFonts w:ascii="Times New Roman" w:eastAsia="Times New Roman" w:hAnsi="Times New Roman" w:cs="Times New Roman"/>
          <w:color w:val="FF0000"/>
          <w:sz w:val="24"/>
          <w:szCs w:val="24"/>
          <w:u w:val="single"/>
        </w:rPr>
        <w:t xml:space="preserve">, y la consecuencia </w:t>
      </w:r>
      <w:r w:rsidR="005337CB" w:rsidRPr="0031484E">
        <w:rPr>
          <w:rFonts w:ascii="Times New Roman" w:eastAsia="Times New Roman" w:hAnsi="Times New Roman" w:cs="Times New Roman"/>
          <w:color w:val="FF0000"/>
          <w:sz w:val="24"/>
          <w:szCs w:val="24"/>
          <w:u w:val="single"/>
        </w:rPr>
        <w:t>es</w:t>
      </w:r>
      <w:r w:rsidRPr="0031484E">
        <w:rPr>
          <w:rFonts w:ascii="Times New Roman" w:eastAsia="Times New Roman" w:hAnsi="Times New Roman" w:cs="Times New Roman"/>
          <w:color w:val="FF0000"/>
          <w:sz w:val="24"/>
          <w:szCs w:val="24"/>
          <w:u w:val="single"/>
        </w:rPr>
        <w:t xml:space="preserve"> que la mayoría de los adultos, incluso en países ricos, se van a la cama preocupados por cómo pagar sus facturas.</w:t>
      </w:r>
    </w:p>
    <w:p w:rsidR="007F40A6" w:rsidRPr="003E10F8" w:rsidRDefault="007F40A6" w:rsidP="007F40A6">
      <w:pPr>
        <w:spacing w:line="240" w:lineRule="auto"/>
        <w:jc w:val="both"/>
        <w:rPr>
          <w:rFonts w:ascii="Times New Roman" w:eastAsia="Times New Roman" w:hAnsi="Times New Roman" w:cs="Times New Roman"/>
          <w:sz w:val="24"/>
          <w:szCs w:val="24"/>
        </w:rPr>
      </w:pPr>
      <w:r w:rsidRPr="003E10F8">
        <w:rPr>
          <w:rFonts w:ascii="Times New Roman" w:eastAsia="Times New Roman" w:hAnsi="Times New Roman" w:cs="Times New Roman"/>
          <w:sz w:val="24"/>
          <w:szCs w:val="24"/>
        </w:rPr>
        <w:t>De este modo, algunas empresas fijan como objetivo el 1% de los momentos de una vida en que una persona precavida baja la guardia de su cautela presupuestaria (nacimientos, bodas, defunciones y situaciones similares).</w:t>
      </w:r>
    </w:p>
    <w:p w:rsidR="007F40A6" w:rsidRPr="003E10F8" w:rsidRDefault="007F40A6" w:rsidP="007F40A6">
      <w:pPr>
        <w:spacing w:line="240" w:lineRule="auto"/>
        <w:jc w:val="both"/>
        <w:rPr>
          <w:rFonts w:ascii="Times New Roman" w:eastAsia="Times New Roman" w:hAnsi="Times New Roman" w:cs="Times New Roman"/>
          <w:sz w:val="24"/>
          <w:szCs w:val="24"/>
        </w:rPr>
      </w:pPr>
      <w:r w:rsidRPr="003E10F8">
        <w:rPr>
          <w:rFonts w:ascii="Times New Roman" w:eastAsia="Times New Roman" w:hAnsi="Times New Roman" w:cs="Times New Roman"/>
          <w:sz w:val="24"/>
          <w:szCs w:val="24"/>
        </w:rPr>
        <w:t>También ju</w:t>
      </w:r>
      <w:r>
        <w:rPr>
          <w:rFonts w:ascii="Times New Roman" w:eastAsia="Times New Roman" w:hAnsi="Times New Roman" w:cs="Times New Roman"/>
          <w:sz w:val="24"/>
          <w:szCs w:val="24"/>
        </w:rPr>
        <w:t>egan con que como consumidores “</w:t>
      </w:r>
      <w:r w:rsidRPr="003E10F8">
        <w:rPr>
          <w:rFonts w:ascii="Times New Roman" w:eastAsia="Times New Roman" w:hAnsi="Times New Roman" w:cs="Times New Roman"/>
          <w:sz w:val="24"/>
          <w:szCs w:val="24"/>
        </w:rPr>
        <w:t>somos proclives a pagar demasiado cuando salimos de nuestra zona de confort para hace</w:t>
      </w:r>
      <w:r>
        <w:rPr>
          <w:rFonts w:ascii="Times New Roman" w:eastAsia="Times New Roman" w:hAnsi="Times New Roman" w:cs="Times New Roman"/>
          <w:sz w:val="24"/>
          <w:szCs w:val="24"/>
        </w:rPr>
        <w:t>r una compra cara e infrecuente”</w:t>
      </w:r>
      <w:r w:rsidRPr="003E10F8">
        <w:rPr>
          <w:rFonts w:ascii="Times New Roman" w:eastAsia="Times New Roman" w:hAnsi="Times New Roman" w:cs="Times New Roman"/>
          <w:sz w:val="24"/>
          <w:szCs w:val="24"/>
        </w:rPr>
        <w:t>, como una vivienda o un coche.</w:t>
      </w:r>
    </w:p>
    <w:p w:rsidR="007F40A6" w:rsidRPr="0031484E" w:rsidRDefault="007F40A6" w:rsidP="007F40A6">
      <w:pPr>
        <w:spacing w:line="240" w:lineRule="auto"/>
        <w:jc w:val="both"/>
        <w:rPr>
          <w:rFonts w:ascii="Times New Roman" w:eastAsia="Times New Roman" w:hAnsi="Times New Roman" w:cs="Times New Roman"/>
          <w:sz w:val="24"/>
          <w:szCs w:val="24"/>
          <w:u w:val="single"/>
        </w:rPr>
      </w:pPr>
      <w:r w:rsidRPr="0031484E">
        <w:rPr>
          <w:rFonts w:ascii="Times New Roman" w:eastAsia="Times New Roman" w:hAnsi="Times New Roman" w:cs="Times New Roman"/>
          <w:sz w:val="24"/>
          <w:szCs w:val="24"/>
          <w:u w:val="single"/>
        </w:rPr>
        <w:t>Este escenario no se produce por la maldad generalizada de los empresarios, advierten, sino porque las presiones competitivas llevan a premiar comportamientos poco escrupulosos para sobrevivi</w:t>
      </w:r>
      <w:r>
        <w:rPr>
          <w:rFonts w:ascii="Times New Roman" w:eastAsia="Times New Roman" w:hAnsi="Times New Roman" w:cs="Times New Roman"/>
          <w:sz w:val="24"/>
          <w:szCs w:val="24"/>
          <w:u w:val="single"/>
        </w:rPr>
        <w:t>r, y los mercados no regulados “</w:t>
      </w:r>
      <w:r w:rsidRPr="0031484E">
        <w:rPr>
          <w:rFonts w:ascii="Times New Roman" w:eastAsia="Times New Roman" w:hAnsi="Times New Roman" w:cs="Times New Roman"/>
          <w:sz w:val="24"/>
          <w:szCs w:val="24"/>
          <w:u w:val="single"/>
        </w:rPr>
        <w:t>raramente recompensan el heroísmo de los gestores que se reprimen de aprovecharse de las debilidades psicológicas</w:t>
      </w:r>
      <w:r>
        <w:rPr>
          <w:rFonts w:ascii="Times New Roman" w:eastAsia="Times New Roman" w:hAnsi="Times New Roman" w:cs="Times New Roman"/>
          <w:sz w:val="24"/>
          <w:szCs w:val="24"/>
          <w:u w:val="single"/>
        </w:rPr>
        <w:t xml:space="preserve"> o informativas de sus clientes”</w:t>
      </w:r>
      <w:r w:rsidRPr="0031484E">
        <w:rPr>
          <w:rFonts w:ascii="Times New Roman" w:eastAsia="Times New Roman" w:hAnsi="Times New Roman" w:cs="Times New Roman"/>
          <w:sz w:val="24"/>
          <w:szCs w:val="24"/>
          <w:u w:val="single"/>
        </w:rPr>
        <w:t>.</w:t>
      </w:r>
    </w:p>
    <w:p w:rsidR="007F40A6" w:rsidRDefault="007F40A6" w:rsidP="007F40A6">
      <w:pPr>
        <w:spacing w:line="240" w:lineRule="auto"/>
        <w:jc w:val="both"/>
        <w:rPr>
          <w:rFonts w:ascii="Times New Roman" w:eastAsia="Times New Roman" w:hAnsi="Times New Roman" w:cs="Times New Roman"/>
          <w:sz w:val="24"/>
          <w:szCs w:val="24"/>
          <w:u w:val="single"/>
        </w:rPr>
      </w:pPr>
      <w:r w:rsidRPr="0031484E">
        <w:rPr>
          <w:rFonts w:ascii="Times New Roman" w:eastAsia="Times New Roman" w:hAnsi="Times New Roman" w:cs="Times New Roman"/>
          <w:sz w:val="24"/>
          <w:szCs w:val="24"/>
          <w:u w:val="single"/>
        </w:rPr>
        <w:t>Estas presiones son las que llevan a comprar -y a pagar demasiado por ello- productos que no necesitamos, a trabajar en empleos que tienen poco sentido para nosotros y a preguntarnos que por qué nuestras vidas se han desperdiciado.</w:t>
      </w:r>
    </w:p>
    <w:p w:rsidR="007F40A6" w:rsidRPr="007F40A6" w:rsidRDefault="007F40A6" w:rsidP="007F40A6">
      <w:pPr>
        <w:pStyle w:val="NormalWeb"/>
        <w:shd w:val="clear" w:color="auto" w:fill="FFFFFF"/>
        <w:spacing w:after="300"/>
        <w:jc w:val="both"/>
        <w:textAlignment w:val="baseline"/>
        <w:rPr>
          <w:i/>
        </w:rPr>
      </w:pPr>
      <w:r>
        <w:rPr>
          <w:i/>
        </w:rPr>
        <w:t>“</w:t>
      </w:r>
      <w:r w:rsidRPr="007F40A6">
        <w:rPr>
          <w:i/>
        </w:rPr>
        <w:t xml:space="preserve">Si estalla una nueva crisis financiera y la banca en la sombra no es la responsable de la explosión, muchos se verán sorprendidos. Las alertas sobre el riesgo de este sistema </w:t>
      </w:r>
      <w:r w:rsidRPr="007F40A6">
        <w:rPr>
          <w:i/>
        </w:rPr>
        <w:lastRenderedPageBreak/>
        <w:t xml:space="preserve">financiero paralelo formado por vehículos e instituciones capaces de conceder crédito sin tener ficha bancaria ni asumir la regulación pertinente se </w:t>
      </w:r>
      <w:r w:rsidR="005337CB" w:rsidRPr="007F40A6">
        <w:rPr>
          <w:i/>
        </w:rPr>
        <w:t>sucede</w:t>
      </w:r>
      <w:r w:rsidRPr="007F40A6">
        <w:rPr>
          <w:i/>
        </w:rPr>
        <w:t xml:space="preserve"> cada día que pasa.</w:t>
      </w:r>
    </w:p>
    <w:p w:rsidR="007F40A6" w:rsidRPr="007F40A6" w:rsidRDefault="007F40A6" w:rsidP="007F40A6">
      <w:pPr>
        <w:pStyle w:val="NormalWeb"/>
        <w:shd w:val="clear" w:color="auto" w:fill="FFFFFF"/>
        <w:spacing w:after="300"/>
        <w:jc w:val="both"/>
        <w:textAlignment w:val="baseline"/>
        <w:rPr>
          <w:i/>
        </w:rPr>
      </w:pPr>
      <w:r w:rsidRPr="007F40A6">
        <w:rPr>
          <w:i/>
        </w:rPr>
        <w:t>El Banco Central Europeo las ha emitido, al igual que el Fondo Monetario Internacional. “El sector bancario en la sombra (...) constituye una fuente significativa de riesgo potencial para la estabilidad del sistema financiero de la zona del euro», advirtió el banco central en su último informe anual. Tampoco faltan los llamamientos de patronales bancarias y entidades financieras con nombres y apellidos para que la banca en la sombra sea regulada cuanto antes.</w:t>
      </w:r>
    </w:p>
    <w:p w:rsidR="007F40A6" w:rsidRPr="007F40A6" w:rsidRDefault="007F40A6" w:rsidP="007F40A6">
      <w:pPr>
        <w:pStyle w:val="NormalWeb"/>
        <w:shd w:val="clear" w:color="auto" w:fill="FFFFFF"/>
        <w:spacing w:after="300"/>
        <w:jc w:val="both"/>
        <w:textAlignment w:val="baseline"/>
        <w:rPr>
          <w:i/>
        </w:rPr>
      </w:pPr>
      <w:r w:rsidRPr="007F40A6">
        <w:rPr>
          <w:i/>
        </w:rPr>
        <w:t>Hace años que las grandes potencias mundiales demostraron su preocupación por este segmento de la industria financiera, hasta el punto de que encargaron al Consejo de Estabilidad Financiera Mundial (FSB, por sus siglas en inglés) un seguimiento de este mercado y sus potenciales riesgos.</w:t>
      </w:r>
    </w:p>
    <w:p w:rsidR="007F40A6" w:rsidRPr="007F40A6" w:rsidRDefault="007F40A6" w:rsidP="007F40A6">
      <w:pPr>
        <w:pStyle w:val="NormalWeb"/>
        <w:shd w:val="clear" w:color="auto" w:fill="FFFFFF"/>
        <w:spacing w:after="300"/>
        <w:jc w:val="both"/>
        <w:textAlignment w:val="baseline"/>
        <w:rPr>
          <w:i/>
        </w:rPr>
      </w:pPr>
      <w:r w:rsidRPr="007F40A6">
        <w:rPr>
          <w:i/>
        </w:rPr>
        <w:t>Eso fue en 2010. Desde entonces se han sucedido los informes sobre el tamaño y el crecimiento de la banca en la sombra, pero la intervención regulatoria ha sido mínima.</w:t>
      </w:r>
    </w:p>
    <w:p w:rsidR="002014AD" w:rsidRDefault="007F40A6" w:rsidP="002014AD">
      <w:pPr>
        <w:pStyle w:val="NormalWeb"/>
        <w:shd w:val="clear" w:color="auto" w:fill="FFFFFF"/>
        <w:spacing w:before="0" w:beforeAutospacing="0" w:after="300" w:afterAutospacing="0"/>
        <w:jc w:val="both"/>
        <w:textAlignment w:val="baseline"/>
        <w:rPr>
          <w:color w:val="000000"/>
        </w:rPr>
      </w:pPr>
      <w:r w:rsidRPr="007F40A6">
        <w:rPr>
          <w:i/>
        </w:rPr>
        <w:t>No faltan voces que aseguran que ese retraso a la hora de meter en cintura el riesgo de la banca en la sombra no es casual</w:t>
      </w:r>
      <w:r>
        <w:rPr>
          <w:i/>
        </w:rPr>
        <w:t>”..</w:t>
      </w:r>
      <w:r w:rsidRPr="007F40A6">
        <w:rPr>
          <w:i/>
        </w:rPr>
        <w:t>.</w:t>
      </w:r>
      <w:r w:rsidR="002014AD" w:rsidRPr="002D68F6">
        <w:rPr>
          <w:color w:val="000000"/>
        </w:rPr>
        <w:t>¿</w:t>
      </w:r>
      <w:r w:rsidR="002014AD" w:rsidRPr="002D68F6">
        <w:rPr>
          <w:color w:val="000000"/>
          <w:u w:val="single"/>
        </w:rPr>
        <w:t>Existe una consigna para proteger a la banca en la sombra</w:t>
      </w:r>
      <w:r w:rsidR="002014AD" w:rsidRPr="002D68F6">
        <w:rPr>
          <w:color w:val="000000"/>
        </w:rPr>
        <w:t>?</w:t>
      </w:r>
      <w:r w:rsidR="002014AD">
        <w:rPr>
          <w:color w:val="000000"/>
        </w:rPr>
        <w:t xml:space="preserve"> (Expansión - </w:t>
      </w:r>
      <w:r w:rsidR="002014AD" w:rsidRPr="002D68F6">
        <w:rPr>
          <w:b/>
          <w:color w:val="000000"/>
        </w:rPr>
        <w:t>23/4/16</w:t>
      </w:r>
      <w:r w:rsidR="002014AD">
        <w:rPr>
          <w:color w:val="000000"/>
        </w:rPr>
        <w:t>)</w:t>
      </w:r>
    </w:p>
    <w:p w:rsidR="002014AD" w:rsidRPr="002014AD" w:rsidRDefault="002014AD" w:rsidP="002014AD">
      <w:pPr>
        <w:spacing w:line="240" w:lineRule="auto"/>
        <w:jc w:val="both"/>
        <w:rPr>
          <w:rFonts w:ascii="Times New Roman" w:hAnsi="Times New Roman"/>
          <w:i/>
          <w:sz w:val="24"/>
          <w:szCs w:val="24"/>
        </w:rPr>
      </w:pPr>
      <w:r>
        <w:rPr>
          <w:rFonts w:ascii="Times New Roman" w:hAnsi="Times New Roman"/>
          <w:i/>
          <w:sz w:val="24"/>
          <w:szCs w:val="24"/>
        </w:rPr>
        <w:t>“</w:t>
      </w:r>
      <w:r w:rsidRPr="002014AD">
        <w:rPr>
          <w:rFonts w:ascii="Times New Roman" w:hAnsi="Times New Roman"/>
          <w:i/>
          <w:sz w:val="24"/>
          <w:szCs w:val="24"/>
        </w:rPr>
        <w:t>Cuando estalló la burbuja puntocom a comienzos del año 2000, las consecuencias para las acciones fueron rápidas y severas. El índice Compuesto Nasdaq se derrumbó 37% en las 10 semanas posteriores al 10 de marzo, cuando alcanzó su máximo.</w:t>
      </w:r>
    </w:p>
    <w:p w:rsidR="002014AD" w:rsidRPr="002014AD" w:rsidRDefault="002014AD" w:rsidP="002014AD">
      <w:pPr>
        <w:spacing w:line="240" w:lineRule="auto"/>
        <w:jc w:val="both"/>
        <w:rPr>
          <w:rFonts w:ascii="Times New Roman" w:hAnsi="Times New Roman"/>
          <w:i/>
          <w:sz w:val="24"/>
          <w:szCs w:val="24"/>
        </w:rPr>
      </w:pPr>
      <w:r w:rsidRPr="002014AD">
        <w:rPr>
          <w:rFonts w:ascii="Times New Roman" w:hAnsi="Times New Roman"/>
          <w:i/>
          <w:sz w:val="24"/>
          <w:szCs w:val="24"/>
        </w:rPr>
        <w:t>Para las startups, el impacto inmediato fue menos dramático. En el segundo trimestre de 2000, los inversionistas de capital de riesgo volcaron US$ 25.000 millones en estas firmas, apenas 5% por debajo del récord del primer trimestre. “Había mucha suspensión de la incredulidad entre marzo y junio”, recuerda Keith Rabois, que entonces era vicepresidente de PayPal Inc. y hoy es socio de Khosla Ventures.</w:t>
      </w:r>
    </w:p>
    <w:p w:rsidR="002014AD" w:rsidRPr="002014AD" w:rsidRDefault="002014AD" w:rsidP="002014AD">
      <w:pPr>
        <w:spacing w:line="240" w:lineRule="auto"/>
        <w:jc w:val="both"/>
        <w:rPr>
          <w:rFonts w:ascii="Times New Roman" w:hAnsi="Times New Roman"/>
          <w:i/>
          <w:sz w:val="24"/>
          <w:szCs w:val="24"/>
        </w:rPr>
      </w:pPr>
      <w:r w:rsidRPr="002014AD">
        <w:rPr>
          <w:rFonts w:ascii="Times New Roman" w:hAnsi="Times New Roman"/>
          <w:i/>
          <w:sz w:val="24"/>
          <w:szCs w:val="24"/>
        </w:rPr>
        <w:t>Rabois y otros creen que estamos en un período similar de suspensión de la incredulidad. La inversión en startups se ha enfriado y las valuaciones están cayendo. Sin embargo, Rabois cree que muchos inversionistas y emprendedores no han tomado conciencia de la nueva realidad.</w:t>
      </w:r>
    </w:p>
    <w:p w:rsidR="002014AD" w:rsidRDefault="002014AD" w:rsidP="002014AD">
      <w:pPr>
        <w:spacing w:line="240" w:lineRule="auto"/>
        <w:jc w:val="both"/>
        <w:rPr>
          <w:rFonts w:ascii="Times New Roman" w:hAnsi="Times New Roman"/>
          <w:sz w:val="24"/>
          <w:szCs w:val="24"/>
        </w:rPr>
      </w:pPr>
      <w:r w:rsidRPr="002014AD">
        <w:rPr>
          <w:rFonts w:ascii="Times New Roman" w:hAnsi="Times New Roman"/>
          <w:i/>
          <w:sz w:val="24"/>
          <w:szCs w:val="24"/>
        </w:rPr>
        <w:t>“Si esa suspensión de la incredulidad se acaba, se viene todo abajo”, advierte</w:t>
      </w:r>
      <w:r>
        <w:rPr>
          <w:rFonts w:ascii="Times New Roman" w:hAnsi="Times New Roman"/>
          <w:i/>
          <w:sz w:val="24"/>
          <w:szCs w:val="24"/>
        </w:rPr>
        <w:t>”..</w:t>
      </w:r>
      <w:r w:rsidRPr="002014AD">
        <w:rPr>
          <w:rFonts w:ascii="Times New Roman" w:hAnsi="Times New Roman"/>
          <w:i/>
          <w:sz w:val="24"/>
          <w:szCs w:val="24"/>
        </w:rPr>
        <w:t>.</w:t>
      </w:r>
      <w:r w:rsidRPr="002844B6">
        <w:rPr>
          <w:rFonts w:ascii="Times New Roman" w:hAnsi="Times New Roman"/>
          <w:sz w:val="24"/>
          <w:szCs w:val="24"/>
          <w:u w:val="single"/>
        </w:rPr>
        <w:t>La inversión en startups se enfría, lo que augura otra burbuja tecnológica</w:t>
      </w:r>
      <w:r>
        <w:rPr>
          <w:rFonts w:ascii="Times New Roman" w:hAnsi="Times New Roman"/>
          <w:sz w:val="24"/>
          <w:szCs w:val="24"/>
        </w:rPr>
        <w:t xml:space="preserve"> (The Wall Street Journal - </w:t>
      </w:r>
      <w:r w:rsidRPr="002844B6">
        <w:rPr>
          <w:rFonts w:ascii="Times New Roman" w:hAnsi="Times New Roman"/>
          <w:b/>
          <w:sz w:val="24"/>
          <w:szCs w:val="24"/>
        </w:rPr>
        <w:t>2/5/16</w:t>
      </w:r>
      <w:r>
        <w:rPr>
          <w:rFonts w:ascii="Times New Roman" w:hAnsi="Times New Roman"/>
          <w:sz w:val="24"/>
          <w:szCs w:val="24"/>
        </w:rPr>
        <w:t>)</w:t>
      </w:r>
    </w:p>
    <w:p w:rsidR="002014AD" w:rsidRPr="002014AD" w:rsidRDefault="007F288B" w:rsidP="002014AD">
      <w:pPr>
        <w:shd w:val="clear" w:color="auto" w:fill="FFFFFF"/>
        <w:spacing w:after="0" w:line="240" w:lineRule="auto"/>
        <w:jc w:val="both"/>
        <w:textAlignment w:val="baseline"/>
        <w:rPr>
          <w:rFonts w:ascii="Times New Roman" w:hAnsi="Times New Roman"/>
          <w:i/>
          <w:sz w:val="24"/>
          <w:szCs w:val="24"/>
        </w:rPr>
      </w:pPr>
      <w:r>
        <w:rPr>
          <w:rFonts w:ascii="Times New Roman" w:hAnsi="Times New Roman"/>
          <w:i/>
          <w:sz w:val="24"/>
          <w:szCs w:val="24"/>
        </w:rPr>
        <w:t>“</w:t>
      </w:r>
      <w:r w:rsidR="002014AD" w:rsidRPr="002014AD">
        <w:rPr>
          <w:rFonts w:ascii="Times New Roman" w:hAnsi="Times New Roman"/>
          <w:i/>
          <w:sz w:val="24"/>
          <w:szCs w:val="24"/>
        </w:rPr>
        <w:t>La euforia generada por Airbnb o Uber tocó su punto álgido a mediados de 2015, cuando los inversores y entidades de capital de riesgo apostaban por estas compañías basadas en la economía colaborativa y los servicios “</w:t>
      </w:r>
      <w:r w:rsidR="002014AD" w:rsidRPr="002014AD">
        <w:rPr>
          <w:rFonts w:ascii="Times New Roman" w:hAnsi="Times New Roman"/>
          <w:i/>
          <w:iCs/>
          <w:sz w:val="24"/>
          <w:szCs w:val="24"/>
          <w:bdr w:val="none" w:sz="0" w:space="0" w:color="auto" w:frame="1"/>
        </w:rPr>
        <w:t>on demand</w:t>
      </w:r>
      <w:r w:rsidR="002014AD" w:rsidRPr="002014AD">
        <w:rPr>
          <w:rFonts w:ascii="Times New Roman" w:hAnsi="Times New Roman"/>
          <w:i/>
          <w:sz w:val="24"/>
          <w:szCs w:val="24"/>
        </w:rPr>
        <w:t>” (o bajo demanda) a la hora de plantar cara a empresas convencionales en sectores que varían desde el transporte, la comida a domicilio o los servicios de limpieza, por nombrar algunos. Sin embargo, la financiación a esta clase de startups sigue sufriendo un recorte sustancial, que continuó agudizándose en el primer trimestre del año.</w:t>
      </w:r>
    </w:p>
    <w:p w:rsidR="002014AD" w:rsidRPr="002014AD" w:rsidRDefault="002014AD" w:rsidP="002014AD">
      <w:pPr>
        <w:shd w:val="clear" w:color="auto" w:fill="FFFFFF"/>
        <w:spacing w:after="0" w:line="240" w:lineRule="auto"/>
        <w:jc w:val="both"/>
        <w:textAlignment w:val="baseline"/>
        <w:rPr>
          <w:rFonts w:ascii="Times New Roman" w:hAnsi="Times New Roman"/>
          <w:i/>
          <w:sz w:val="24"/>
          <w:szCs w:val="24"/>
        </w:rPr>
      </w:pPr>
    </w:p>
    <w:p w:rsidR="002014AD" w:rsidRPr="002014AD" w:rsidRDefault="002014AD" w:rsidP="002014AD">
      <w:pPr>
        <w:shd w:val="clear" w:color="auto" w:fill="FFFFFF"/>
        <w:spacing w:after="300" w:line="240" w:lineRule="auto"/>
        <w:jc w:val="both"/>
        <w:textAlignment w:val="baseline"/>
        <w:rPr>
          <w:rFonts w:ascii="Times New Roman" w:hAnsi="Times New Roman"/>
          <w:i/>
          <w:sz w:val="24"/>
          <w:szCs w:val="24"/>
        </w:rPr>
      </w:pPr>
      <w:r w:rsidRPr="002014AD">
        <w:rPr>
          <w:rFonts w:ascii="Times New Roman" w:hAnsi="Times New Roman"/>
          <w:i/>
          <w:sz w:val="24"/>
          <w:szCs w:val="24"/>
        </w:rPr>
        <w:t xml:space="preserve">Según datos recopilados por la consultora CB Insights y KPMG, en los tres primeros meses del año, la financiación global en toda clase de startups cayó un 8% con </w:t>
      </w:r>
      <w:r w:rsidRPr="002014AD">
        <w:rPr>
          <w:rFonts w:ascii="Times New Roman" w:hAnsi="Times New Roman"/>
          <w:i/>
          <w:sz w:val="24"/>
          <w:szCs w:val="24"/>
        </w:rPr>
        <w:lastRenderedPageBreak/>
        <w:t>respecto al trimestre anterior, hasta tocar los 25.500 millones de dólares. Una dinámica que se deja notar también dentro del sector de servicios bajo demanda que no sólo incluyen a Uber y Airbnb sino a otras startups como Blue Apron, Munchery, Chef´d, Homejoy, TaskRabbit o FlyCleaners.</w:t>
      </w:r>
    </w:p>
    <w:p w:rsidR="002014AD" w:rsidRDefault="002014AD" w:rsidP="002014AD">
      <w:pPr>
        <w:shd w:val="clear" w:color="auto" w:fill="FFFFFF"/>
        <w:spacing w:after="300" w:line="240" w:lineRule="auto"/>
        <w:jc w:val="both"/>
        <w:textAlignment w:val="baseline"/>
        <w:rPr>
          <w:rFonts w:ascii="Times New Roman" w:hAnsi="Times New Roman"/>
          <w:i/>
          <w:sz w:val="24"/>
          <w:szCs w:val="24"/>
        </w:rPr>
      </w:pPr>
      <w:r w:rsidRPr="002014AD">
        <w:rPr>
          <w:rFonts w:ascii="Times New Roman" w:hAnsi="Times New Roman"/>
          <w:i/>
          <w:sz w:val="24"/>
          <w:szCs w:val="24"/>
        </w:rPr>
        <w:t>El año pasado, los inversores llegaron a distribuir hasta 17.900 millones de dólares en esta categoría a través de un total de 244 operaciones. Dicho esto, la tendencia comenzó a desinflarse en el tercer y cuarto trimestre de 2015. En los tres primeros meses de 2016, las inversiones en este sector han caído hasta los 1.300 millones de dólares, su menor nivel desde comienzos de 2014.</w:t>
      </w:r>
    </w:p>
    <w:p w:rsidR="002014AD" w:rsidRPr="002014AD" w:rsidRDefault="002014AD" w:rsidP="002014AD">
      <w:pPr>
        <w:spacing w:line="240" w:lineRule="auto"/>
        <w:jc w:val="both"/>
        <w:rPr>
          <w:rFonts w:ascii="Times New Roman" w:hAnsi="Times New Roman"/>
          <w:sz w:val="24"/>
          <w:szCs w:val="24"/>
        </w:rPr>
      </w:pPr>
      <w:r w:rsidRPr="002014AD">
        <w:rPr>
          <w:rFonts w:ascii="Times New Roman" w:hAnsi="Times New Roman"/>
          <w:i/>
          <w:color w:val="000000"/>
          <w:sz w:val="24"/>
          <w:szCs w:val="24"/>
        </w:rPr>
        <w:t>Al fin y al cabo, pesos pesados de esta categoría, como Uber, Didi Kuaidi y Airbnb, fueron los responsables de hinchar la burbuja generada desde mediados de 2014 en el mercado privado. Estas tres compañías acumularon un 65% de la financiación destinada al sector bajo demanda en los 9 primeros meses del año pasado, lo que supone más de 10.300 millones de dólares</w:t>
      </w:r>
      <w:r>
        <w:rPr>
          <w:rFonts w:ascii="Times New Roman" w:hAnsi="Times New Roman"/>
          <w:i/>
          <w:color w:val="000000"/>
          <w:sz w:val="24"/>
          <w:szCs w:val="24"/>
        </w:rPr>
        <w:t>”..</w:t>
      </w:r>
      <w:r w:rsidRPr="002014AD">
        <w:rPr>
          <w:rFonts w:ascii="Times New Roman" w:hAnsi="Times New Roman"/>
          <w:i/>
          <w:color w:val="000000"/>
          <w:sz w:val="24"/>
          <w:szCs w:val="24"/>
        </w:rPr>
        <w:t>.</w:t>
      </w:r>
      <w:r w:rsidRPr="00373E5D">
        <w:rPr>
          <w:rFonts w:ascii="Times New Roman" w:hAnsi="Times New Roman"/>
          <w:sz w:val="24"/>
          <w:szCs w:val="24"/>
          <w:u w:val="single"/>
        </w:rPr>
        <w:t>La burbuja de la economía colaborativa y bajo demanda se desinfla en 2016</w:t>
      </w:r>
      <w:r w:rsidRPr="00373E5D">
        <w:rPr>
          <w:rFonts w:ascii="Times New Roman" w:hAnsi="Times New Roman"/>
          <w:sz w:val="24"/>
          <w:szCs w:val="24"/>
        </w:rPr>
        <w:t xml:space="preserve"> (El Economista - </w:t>
      </w:r>
      <w:r w:rsidRPr="00373E5D">
        <w:rPr>
          <w:rFonts w:ascii="Times New Roman" w:hAnsi="Times New Roman"/>
          <w:b/>
          <w:sz w:val="24"/>
          <w:szCs w:val="24"/>
        </w:rPr>
        <w:t>2/5/16</w:t>
      </w:r>
      <w:r>
        <w:rPr>
          <w:rFonts w:ascii="Times New Roman" w:hAnsi="Times New Roman"/>
          <w:sz w:val="24"/>
          <w:szCs w:val="24"/>
        </w:rPr>
        <w:t>)</w:t>
      </w:r>
    </w:p>
    <w:p w:rsidR="002014AD" w:rsidRDefault="002014AD" w:rsidP="002014AD">
      <w:pPr>
        <w:spacing w:after="0" w:line="240" w:lineRule="auto"/>
        <w:jc w:val="both"/>
        <w:rPr>
          <w:rFonts w:ascii="Times New Roman" w:hAnsi="Times New Roman"/>
          <w:sz w:val="24"/>
          <w:szCs w:val="24"/>
        </w:rPr>
      </w:pPr>
      <w:r>
        <w:rPr>
          <w:rFonts w:ascii="Times New Roman" w:hAnsi="Times New Roman"/>
          <w:noProof/>
          <w:sz w:val="24"/>
          <w:szCs w:val="24"/>
          <w:lang w:val="en-GB" w:eastAsia="en-GB"/>
        </w:rPr>
        <w:drawing>
          <wp:inline distT="0" distB="0" distL="0" distR="0">
            <wp:extent cx="5384800" cy="2393950"/>
            <wp:effectExtent l="0" t="0" r="6350" b="6350"/>
            <wp:docPr id="199" name="Imagen 199" descr="http://s03.s3c.es/imag/_v0/635x337/5/0/1/1-on-demand-2016q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http://s03.s3c.es/imag/_v0/635x337/5/0/1/1-on-demand-2016q1.pn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4800" cy="2393950"/>
                    </a:xfrm>
                    <a:prstGeom prst="rect">
                      <a:avLst/>
                    </a:prstGeom>
                    <a:noFill/>
                    <a:ln>
                      <a:noFill/>
                    </a:ln>
                  </pic:spPr>
                </pic:pic>
              </a:graphicData>
            </a:graphic>
          </wp:inline>
        </w:drawing>
      </w:r>
    </w:p>
    <w:p w:rsidR="002014AD" w:rsidRDefault="002014AD" w:rsidP="002014AD">
      <w:pPr>
        <w:spacing w:line="240" w:lineRule="auto"/>
        <w:jc w:val="both"/>
        <w:rPr>
          <w:rFonts w:ascii="Times New Roman" w:hAnsi="Times New Roman"/>
          <w:sz w:val="24"/>
          <w:szCs w:val="24"/>
        </w:rPr>
      </w:pPr>
    </w:p>
    <w:p w:rsidR="002014AD" w:rsidRDefault="002014AD" w:rsidP="002014AD">
      <w:pPr>
        <w:spacing w:line="240" w:lineRule="auto"/>
        <w:jc w:val="both"/>
        <w:rPr>
          <w:rFonts w:ascii="Times New Roman" w:hAnsi="Times New Roman"/>
          <w:sz w:val="24"/>
          <w:szCs w:val="24"/>
        </w:rPr>
      </w:pPr>
      <w:r>
        <w:rPr>
          <w:noProof/>
          <w:lang w:val="en-GB" w:eastAsia="en-GB"/>
        </w:rPr>
        <w:drawing>
          <wp:inline distT="0" distB="0" distL="0" distR="0">
            <wp:extent cx="5397499" cy="2508250"/>
            <wp:effectExtent l="0" t="0" r="0" b="6350"/>
            <wp:docPr id="200" name="Imagen 200" descr="http://s03.s3c.es/imag/_v0/635x337/3/9/0/2-on-demand-comp-2016q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http://s03.s3c.es/imag/_v0/635x337/3/9/0/2-on-demand-comp-2016q1.pn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509431"/>
                    </a:xfrm>
                    <a:prstGeom prst="rect">
                      <a:avLst/>
                    </a:prstGeom>
                    <a:noFill/>
                    <a:ln>
                      <a:noFill/>
                    </a:ln>
                  </pic:spPr>
                </pic:pic>
              </a:graphicData>
            </a:graphic>
          </wp:inline>
        </w:drawing>
      </w:r>
    </w:p>
    <w:p w:rsidR="002014AD" w:rsidRPr="00E27BFB" w:rsidRDefault="002014AD" w:rsidP="002014AD">
      <w:pPr>
        <w:pStyle w:val="NormalWeb"/>
        <w:shd w:val="clear" w:color="auto" w:fill="FFFFFF"/>
        <w:spacing w:before="0" w:beforeAutospacing="0" w:after="0" w:afterAutospacing="0"/>
        <w:jc w:val="both"/>
        <w:textAlignment w:val="baseline"/>
        <w:rPr>
          <w:i/>
          <w:lang w:val="en-GB"/>
        </w:rPr>
      </w:pPr>
      <w:r w:rsidRPr="00E27BFB">
        <w:rPr>
          <w:i/>
          <w:lang w:val="en-GB"/>
        </w:rPr>
        <w:t>““Global yields lowest in 500 years of recorded history. $10 trillion of neg. rate bonds. This is a supernova that will explode one day” Bill Gross.</w:t>
      </w:r>
    </w:p>
    <w:p w:rsidR="002014AD" w:rsidRPr="00E27BFB" w:rsidRDefault="002014AD" w:rsidP="002014AD">
      <w:pPr>
        <w:pStyle w:val="NormalWeb"/>
        <w:shd w:val="clear" w:color="auto" w:fill="FFFFFF"/>
        <w:spacing w:before="0" w:beforeAutospacing="0" w:after="0" w:afterAutospacing="0"/>
        <w:jc w:val="both"/>
        <w:textAlignment w:val="baseline"/>
        <w:rPr>
          <w:i/>
          <w:lang w:val="en-GB"/>
        </w:rPr>
      </w:pPr>
    </w:p>
    <w:p w:rsidR="002014AD" w:rsidRPr="00193BD2" w:rsidRDefault="002014AD" w:rsidP="002014AD">
      <w:pPr>
        <w:pStyle w:val="NormalWeb"/>
        <w:shd w:val="clear" w:color="auto" w:fill="FFFFFF"/>
        <w:spacing w:before="0" w:beforeAutospacing="0" w:after="0" w:afterAutospacing="0"/>
        <w:jc w:val="both"/>
        <w:textAlignment w:val="baseline"/>
        <w:rPr>
          <w:i/>
        </w:rPr>
      </w:pPr>
      <w:r w:rsidRPr="00193BD2">
        <w:rPr>
          <w:i/>
        </w:rPr>
        <w:t>Vivimos en un mundo en donde obtener retorno para nuestro dinero es un privilegio, al menos de una forma razonablemente segura.</w:t>
      </w:r>
      <w:r w:rsidRPr="00193BD2">
        <w:rPr>
          <w:rStyle w:val="apple-converted-space"/>
          <w:rFonts w:eastAsiaTheme="majorEastAsia"/>
          <w:i/>
        </w:rPr>
        <w:t> </w:t>
      </w:r>
      <w:r w:rsidRPr="00193BD2">
        <w:rPr>
          <w:rStyle w:val="Textoennegrita"/>
          <w:b w:val="0"/>
          <w:i/>
          <w:bdr w:val="none" w:sz="0" w:space="0" w:color="auto" w:frame="1"/>
        </w:rPr>
        <w:t>La deuda ofrece los menores rendimientos a nivel global en los últimos 500 años de historia registrada</w:t>
      </w:r>
      <w:r w:rsidRPr="00193BD2">
        <w:rPr>
          <w:b/>
          <w:i/>
        </w:rPr>
        <w:t>,</w:t>
      </w:r>
      <w:r w:rsidRPr="00193BD2">
        <w:rPr>
          <w:rStyle w:val="apple-converted-space"/>
          <w:rFonts w:eastAsiaTheme="majorEastAsia"/>
          <w:i/>
        </w:rPr>
        <w:t> </w:t>
      </w:r>
      <w:hyperlink r:id="rId55" w:anchor=".V172ftKLTZ4" w:history="1">
        <w:r w:rsidRPr="00193BD2">
          <w:rPr>
            <w:rStyle w:val="Hipervnculo"/>
            <w:bCs/>
            <w:i/>
            <w:color w:val="auto"/>
            <w:u w:val="none"/>
          </w:rPr>
          <w:t>existiendo actualmente unos 10 billones de dólares en activos con rentabilidades negativas según Bill Gross</w:t>
        </w:r>
      </w:hyperlink>
      <w:r w:rsidRPr="00193BD2">
        <w:rPr>
          <w:rStyle w:val="apple-converted-space"/>
          <w:rFonts w:eastAsiaTheme="majorEastAsia"/>
          <w:i/>
        </w:rPr>
        <w:t> </w:t>
      </w:r>
      <w:r w:rsidRPr="00193BD2">
        <w:rPr>
          <w:i/>
        </w:rPr>
        <w:t xml:space="preserve">(algo menos según otras estimaciones). </w:t>
      </w:r>
    </w:p>
    <w:p w:rsidR="002014AD" w:rsidRPr="00193BD2" w:rsidRDefault="002014AD" w:rsidP="002014AD">
      <w:pPr>
        <w:pStyle w:val="NormalWeb"/>
        <w:shd w:val="clear" w:color="auto" w:fill="FFFFFF"/>
        <w:spacing w:after="0"/>
        <w:jc w:val="both"/>
        <w:textAlignment w:val="baseline"/>
      </w:pPr>
      <w:r w:rsidRPr="00193BD2">
        <w:rPr>
          <w:i/>
        </w:rPr>
        <w:t>¿Estamos ante una enfermedad global, ante un pesimismo extremo o ante una</w:t>
      </w:r>
      <w:r w:rsidRPr="00193BD2">
        <w:rPr>
          <w:rStyle w:val="apple-converted-space"/>
          <w:rFonts w:eastAsiaTheme="majorEastAsia"/>
          <w:i/>
        </w:rPr>
        <w:t> </w:t>
      </w:r>
      <w:r w:rsidRPr="00193BD2">
        <w:rPr>
          <w:rStyle w:val="Textoennegrita"/>
          <w:b w:val="0"/>
          <w:i/>
          <w:bdr w:val="none" w:sz="0" w:space="0" w:color="auto" w:frame="1"/>
        </w:rPr>
        <w:t>supernova</w:t>
      </w:r>
      <w:r w:rsidRPr="00193BD2">
        <w:rPr>
          <w:rStyle w:val="apple-converted-space"/>
          <w:rFonts w:eastAsiaTheme="majorEastAsia"/>
          <w:i/>
        </w:rPr>
        <w:t> </w:t>
      </w:r>
      <w:r w:rsidRPr="00193BD2">
        <w:rPr>
          <w:i/>
        </w:rPr>
        <w:t xml:space="preserve">que un día explotará parafraseando al “rey de los bonos”?”…  </w:t>
      </w:r>
      <w:r w:rsidRPr="00193BD2">
        <w:rPr>
          <w:u w:val="single"/>
        </w:rPr>
        <w:t>El fin del activo libre de riesgo</w:t>
      </w:r>
      <w:r w:rsidRPr="00193BD2">
        <w:t xml:space="preserve"> (El Confidencial - </w:t>
      </w:r>
      <w:r w:rsidRPr="00193BD2">
        <w:rPr>
          <w:b/>
        </w:rPr>
        <w:t>14/6/16</w:t>
      </w:r>
      <w:r w:rsidRPr="00193BD2">
        <w:t>)</w:t>
      </w: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r w:rsidRPr="000D5937">
        <w:rPr>
          <w:rFonts w:ascii="Times New Roman" w:eastAsia="Times New Roman" w:hAnsi="Times New Roman" w:cs="Times New Roman"/>
          <w:i/>
          <w:spacing w:val="5"/>
          <w:sz w:val="24"/>
          <w:szCs w:val="24"/>
        </w:rPr>
        <w:t>“El declive del sector financiero en Estados Unidos ha coincidido en el tiempo con la explosión del sector tecnológico, que se ha convertido en el favorito de los inversores…</w:t>
      </w: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r w:rsidRPr="000D5937">
        <w:rPr>
          <w:rFonts w:ascii="Times New Roman" w:eastAsia="Times New Roman" w:hAnsi="Times New Roman" w:cs="Times New Roman"/>
          <w:i/>
          <w:spacing w:val="5"/>
          <w:sz w:val="24"/>
          <w:szCs w:val="24"/>
        </w:rPr>
        <w:t>El interés de los inversores por las nuevas empresas del sector tecnológico ha crecido de manera exponencial en el último año. En este tiempo, las acciones de Google se han revalorizado un 36%, Amazon se ha disparado un 66% en Bolsa y Facebook se ha revalorizado un 44%. El apetito por esta industria ha multiplicado también las valoraciones de las compañías que no cotizan. El valor de Uber ha subido más de un 60% en un año, apuntalando un negocio que, en sus cinco años de vida, ha levantado más de 12.000 millones de dólares de capital y deuda. Uber es la única empresa que ha superado los 60.000 millones de dólares de valoración antes de salir a Bolsa.</w:t>
      </w: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r w:rsidRPr="000D5937">
        <w:rPr>
          <w:rFonts w:ascii="Times New Roman" w:eastAsia="Times New Roman" w:hAnsi="Times New Roman" w:cs="Times New Roman"/>
          <w:i/>
          <w:spacing w:val="5"/>
          <w:sz w:val="24"/>
          <w:szCs w:val="24"/>
        </w:rPr>
        <w:t>Un tesoro tecnológico de 2,3 billones de dólares…</w:t>
      </w: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r w:rsidRPr="000D5937">
        <w:rPr>
          <w:rFonts w:ascii="Times New Roman" w:eastAsia="Times New Roman" w:hAnsi="Times New Roman" w:cs="Times New Roman"/>
          <w:i/>
          <w:spacing w:val="5"/>
          <w:sz w:val="24"/>
          <w:szCs w:val="24"/>
        </w:rPr>
        <w:t>… Frente a un sector financiero de 892.000 millones</w:t>
      </w: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r w:rsidRPr="000D5937">
        <w:rPr>
          <w:rFonts w:ascii="Times New Roman" w:eastAsia="Times New Roman" w:hAnsi="Times New Roman" w:cs="Times New Roman"/>
          <w:i/>
          <w:spacing w:val="5"/>
          <w:sz w:val="24"/>
          <w:szCs w:val="24"/>
        </w:rPr>
        <w:t>Wells Fargo, JPMorgan Chase, Bank of America Merril Lynch, Citigroup, Goldman Sachs y Morgan Stanley, representantes del poder de Wall Street, son las mayores entidades financieras de Estados Unidos. Su dominio en los mercados de todo el mundo sigue siendo indiscutible, pero la mayor crisis financiera en décadas que provocó el colapso de Lehman Brothers ha debilitado su posición. Los seis mayores bancos de Estados Unidos valen conjuntamente en Bolsa casi 900.000 millones de dólares, un 60% menos que las mayores tecnológicas.</w:t>
      </w:r>
    </w:p>
    <w:p w:rsidR="0027211A" w:rsidRPr="000D5937" w:rsidRDefault="0027211A" w:rsidP="0027211A">
      <w:pPr>
        <w:spacing w:after="0" w:line="240" w:lineRule="auto"/>
        <w:jc w:val="both"/>
        <w:textAlignment w:val="baseline"/>
        <w:rPr>
          <w:rFonts w:ascii="Times New Roman" w:eastAsia="Times New Roman" w:hAnsi="Times New Roman" w:cs="Times New Roman"/>
          <w:i/>
          <w:spacing w:val="5"/>
          <w:sz w:val="24"/>
          <w:szCs w:val="24"/>
        </w:rPr>
      </w:pPr>
    </w:p>
    <w:p w:rsidR="0027211A" w:rsidRPr="000D5937" w:rsidRDefault="0027211A" w:rsidP="0027211A">
      <w:pPr>
        <w:spacing w:after="0" w:line="240" w:lineRule="auto"/>
        <w:jc w:val="both"/>
        <w:textAlignment w:val="baseline"/>
        <w:rPr>
          <w:rFonts w:ascii="Times New Roman" w:eastAsia="Times New Roman" w:hAnsi="Times New Roman" w:cs="Times New Roman"/>
          <w:spacing w:val="5"/>
          <w:sz w:val="24"/>
          <w:szCs w:val="24"/>
        </w:rPr>
      </w:pPr>
      <w:r w:rsidRPr="000D5937">
        <w:rPr>
          <w:rFonts w:ascii="Times New Roman" w:eastAsia="Times New Roman" w:hAnsi="Times New Roman" w:cs="Times New Roman"/>
          <w:i/>
          <w:spacing w:val="5"/>
          <w:sz w:val="24"/>
          <w:szCs w:val="24"/>
        </w:rPr>
        <w:t xml:space="preserve">Los seis mayores bancos de Estados Unidos valen en bolsa un 60% menos que las mayores tecnológicas”… </w:t>
      </w:r>
      <w:r w:rsidRPr="000D5937">
        <w:rPr>
          <w:rFonts w:ascii="Times New Roman" w:eastAsia="Times New Roman" w:hAnsi="Times New Roman" w:cs="Times New Roman"/>
          <w:spacing w:val="5"/>
          <w:sz w:val="24"/>
          <w:szCs w:val="24"/>
          <w:u w:val="single"/>
        </w:rPr>
        <w:t>Silicon Valley gana la batalla a Wall Street</w:t>
      </w:r>
      <w:r w:rsidRPr="000D5937">
        <w:rPr>
          <w:rFonts w:ascii="Times New Roman" w:eastAsia="Times New Roman" w:hAnsi="Times New Roman" w:cs="Times New Roman"/>
          <w:spacing w:val="5"/>
          <w:sz w:val="24"/>
          <w:szCs w:val="24"/>
        </w:rPr>
        <w:t xml:space="preserve"> (Expansión - </w:t>
      </w:r>
      <w:r w:rsidRPr="000D5937">
        <w:rPr>
          <w:rFonts w:ascii="Times New Roman" w:eastAsia="Times New Roman" w:hAnsi="Times New Roman" w:cs="Times New Roman"/>
          <w:b/>
          <w:spacing w:val="5"/>
          <w:sz w:val="24"/>
          <w:szCs w:val="24"/>
        </w:rPr>
        <w:t>16/6/16</w:t>
      </w:r>
      <w:r w:rsidRPr="000D5937">
        <w:rPr>
          <w:rFonts w:ascii="Times New Roman" w:eastAsia="Times New Roman" w:hAnsi="Times New Roman" w:cs="Times New Roman"/>
          <w:spacing w:val="5"/>
          <w:sz w:val="24"/>
          <w:szCs w:val="24"/>
        </w:rPr>
        <w:t>)</w:t>
      </w:r>
    </w:p>
    <w:p w:rsidR="0027211A" w:rsidRPr="0027211A" w:rsidRDefault="0027211A" w:rsidP="0027211A">
      <w:pPr>
        <w:spacing w:after="0" w:line="240" w:lineRule="auto"/>
        <w:jc w:val="both"/>
        <w:textAlignment w:val="baseline"/>
        <w:rPr>
          <w:rFonts w:ascii="Times New Roman" w:eastAsia="Times New Roman" w:hAnsi="Times New Roman" w:cs="Times New Roman"/>
          <w:i/>
          <w:spacing w:val="5"/>
          <w:sz w:val="24"/>
          <w:szCs w:val="24"/>
        </w:rPr>
      </w:pPr>
      <w:r w:rsidRPr="00631D54">
        <w:rPr>
          <w:rFonts w:ascii="Times New Roman" w:hAnsi="Times New Roman" w:cs="Times New Roman"/>
          <w:noProof/>
          <w:sz w:val="24"/>
          <w:szCs w:val="24"/>
          <w:lang w:val="en-GB" w:eastAsia="en-GB"/>
        </w:rPr>
        <w:lastRenderedPageBreak/>
        <w:drawing>
          <wp:inline distT="0" distB="0" distL="0" distR="0">
            <wp:extent cx="5397500" cy="4108450"/>
            <wp:effectExtent l="0" t="0" r="0" b="6350"/>
            <wp:docPr id="202" name="Imagen 202" descr="http://estaticos.expansion.com/assets/multimedia/imagenes/2016/06/14/14659223811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estaticos.expansion.com/assets/multimedia/imagenes/2016/06/14/14659223811581.jpg"/>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110383"/>
                    </a:xfrm>
                    <a:prstGeom prst="rect">
                      <a:avLst/>
                    </a:prstGeom>
                    <a:noFill/>
                    <a:ln>
                      <a:noFill/>
                    </a:ln>
                  </pic:spPr>
                </pic:pic>
              </a:graphicData>
            </a:graphic>
          </wp:inline>
        </w:drawing>
      </w:r>
    </w:p>
    <w:p w:rsidR="0027211A" w:rsidRDefault="0027211A" w:rsidP="0027211A">
      <w:pPr>
        <w:spacing w:after="0" w:line="240" w:lineRule="auto"/>
        <w:jc w:val="both"/>
        <w:textAlignment w:val="baseline"/>
        <w:rPr>
          <w:rFonts w:ascii="Times New Roman" w:eastAsia="Times New Roman" w:hAnsi="Times New Roman" w:cs="Times New Roman"/>
          <w:i/>
          <w:spacing w:val="5"/>
          <w:sz w:val="24"/>
          <w:szCs w:val="24"/>
        </w:rPr>
      </w:pPr>
    </w:p>
    <w:p w:rsidR="0027211A" w:rsidRPr="0027211A" w:rsidRDefault="0027211A" w:rsidP="0027211A">
      <w:pPr>
        <w:spacing w:after="0" w:line="240" w:lineRule="auto"/>
        <w:jc w:val="both"/>
        <w:textAlignment w:val="baseline"/>
        <w:rPr>
          <w:rFonts w:ascii="Times New Roman" w:eastAsia="Times New Roman" w:hAnsi="Times New Roman" w:cs="Times New Roman"/>
          <w:i/>
          <w:spacing w:val="5"/>
          <w:sz w:val="24"/>
          <w:szCs w:val="24"/>
        </w:rPr>
      </w:pPr>
    </w:p>
    <w:p w:rsidR="0027211A" w:rsidRPr="0027211A" w:rsidRDefault="0027211A" w:rsidP="0027211A">
      <w:pPr>
        <w:pStyle w:val="NormalWeb"/>
        <w:shd w:val="clear" w:color="auto" w:fill="FFFFFF"/>
        <w:spacing w:after="0"/>
        <w:jc w:val="both"/>
        <w:textAlignment w:val="baseline"/>
        <w:rPr>
          <w:i/>
        </w:rPr>
      </w:pPr>
      <w:r>
        <w:rPr>
          <w:i/>
        </w:rPr>
        <w:t>“</w:t>
      </w:r>
      <w:r w:rsidRPr="0027211A">
        <w:rPr>
          <w:i/>
        </w:rPr>
        <w:t>¿Algún lector teme el “trading de alta frecuencia”? Entonces esta noticia quizá pueda resultarle de interés. El pasado 17 de junio IEX Group Inc consiguió autorización por parte del regulador norteamericano, la SEC, para operar como un mercado de valores para todos los públicos. Esto es, lo equivalente al NYSE o al Nasdaq. Esto no tendría mayor importancia si no fuese porque la principal ventaja competitiva del nuevo mercado de IEX es que ralentiza artificialmente en 350 microsegundos las órdenes de los inversores (o 350 millonésimas partes de un segundo, si pestañean se lo han perdido). Puede parecer algo sin importancia, pero ha desatado una de las batallas más encarnizadas que se recuerdan en Wall Street.</w:t>
      </w:r>
    </w:p>
    <w:p w:rsidR="0027211A" w:rsidRPr="0027211A" w:rsidRDefault="0027211A" w:rsidP="0027211A">
      <w:pPr>
        <w:pStyle w:val="NormalWeb"/>
        <w:shd w:val="clear" w:color="auto" w:fill="FFFFFF"/>
        <w:spacing w:after="0"/>
        <w:jc w:val="both"/>
        <w:textAlignment w:val="baseline"/>
        <w:rPr>
          <w:i/>
        </w:rPr>
      </w:pPr>
      <w:r w:rsidRPr="0027211A">
        <w:rPr>
          <w:i/>
        </w:rPr>
        <w:t xml:space="preserve">Para entender la controversia, veamos primero de forma muy breve los antecedentes. En el 2013 IEX empezó a operar como un mercado de valores </w:t>
      </w:r>
      <w:r w:rsidR="005337CB">
        <w:rPr>
          <w:i/>
        </w:rPr>
        <w:t>privado, también conocido como “dark pool”</w:t>
      </w:r>
      <w:r w:rsidRPr="0027211A">
        <w:rPr>
          <w:i/>
        </w:rPr>
        <w:t>. Hablamos de un mercado paralelo, ajeno a la regulación tradicional, cuya principal ventaja es que las órdenes de compraventa pueden ser anónimas. Esto es un gran aliciente para los inversores institucionales, quienes temen que otros operadores descubran sus cartas, o que el “High Frequency Trading” o “HFT” se adelante y les haga perder dinero. Lejos de ser irrelevante, hay meses en los que los “dark pools” mueven más volumen que mercados como el NYSE.</w:t>
      </w:r>
    </w:p>
    <w:p w:rsidR="0027211A" w:rsidRPr="00631D54" w:rsidRDefault="0027211A" w:rsidP="0027211A">
      <w:pPr>
        <w:pStyle w:val="NormalWeb"/>
        <w:shd w:val="clear" w:color="auto" w:fill="FFFFFF"/>
        <w:spacing w:after="0"/>
        <w:jc w:val="both"/>
        <w:textAlignment w:val="baseline"/>
        <w:rPr>
          <w:color w:val="1A1A1A"/>
        </w:rPr>
      </w:pPr>
      <w:r w:rsidRPr="0027211A">
        <w:rPr>
          <w:i/>
        </w:rPr>
        <w:t>Aunque, si cuantioso es el vol</w:t>
      </w:r>
      <w:r w:rsidR="003E312E">
        <w:rPr>
          <w:i/>
        </w:rPr>
        <w:t>umen de estos mercados “oscuro”</w:t>
      </w:r>
      <w:r w:rsidRPr="0027211A">
        <w:rPr>
          <w:i/>
        </w:rPr>
        <w:t xml:space="preserve">, aun mayor lo es el creado por el monstruo del que escapan, y es que el HFT mueve más de la mitad del volumen actual. De hecho el HFT tiene altas probabilidades de ganar la batalla: su operativa es legal, generan altas comisiones a las bolsas tradicionales (no solo de compraventa, también por la venta de información adelantada, por situar sus </w:t>
      </w:r>
      <w:r w:rsidRPr="0027211A">
        <w:rPr>
          <w:i/>
        </w:rPr>
        <w:lastRenderedPageBreak/>
        <w:t>servidores en el propio edificio y así no perder latencia…) e incluso algunos “dark pools” se han dedicado a vender información de la operativa de los inversores institucionales a los traders de alta frecuencia (yendo en contra del sentido de su propia existencia). Todo el mundo parecía sucumbir al nuevo monstruo de la rapidez… salvo IEX</w:t>
      </w:r>
      <w:r>
        <w:rPr>
          <w:i/>
        </w:rPr>
        <w:t>”..</w:t>
      </w:r>
      <w:r w:rsidRPr="0027211A">
        <w:rPr>
          <w:i/>
        </w:rPr>
        <w:t>.</w:t>
      </w:r>
      <w:r>
        <w:rPr>
          <w:color w:val="1A1A1A"/>
          <w:u w:val="single"/>
        </w:rPr>
        <w:t>Golpe al “trading de alta frecuencia”</w:t>
      </w:r>
      <w:r w:rsidRPr="00631D54">
        <w:rPr>
          <w:color w:val="1A1A1A"/>
        </w:rPr>
        <w:t xml:space="preserve"> (El Confidencial - </w:t>
      </w:r>
      <w:r w:rsidRPr="00631D54">
        <w:rPr>
          <w:b/>
          <w:color w:val="1A1A1A"/>
        </w:rPr>
        <w:t>5/7/16</w:t>
      </w:r>
      <w:r w:rsidRPr="00631D54">
        <w:rPr>
          <w:color w:val="1A1A1A"/>
        </w:rPr>
        <w:t>)</w:t>
      </w:r>
    </w:p>
    <w:p w:rsidR="0027211A" w:rsidRPr="0027211A" w:rsidRDefault="0027211A" w:rsidP="0027211A">
      <w:pPr>
        <w:shd w:val="clear" w:color="auto" w:fill="FFFFFF"/>
        <w:spacing w:after="270" w:line="240" w:lineRule="auto"/>
        <w:jc w:val="both"/>
        <w:textAlignment w:val="baseline"/>
        <w:rPr>
          <w:rFonts w:ascii="Times New Roman" w:eastAsia="Times New Roman" w:hAnsi="Times New Roman"/>
          <w:i/>
          <w:sz w:val="24"/>
          <w:szCs w:val="24"/>
        </w:rPr>
      </w:pPr>
      <w:r>
        <w:rPr>
          <w:rFonts w:ascii="Times New Roman" w:eastAsia="Times New Roman" w:hAnsi="Times New Roman"/>
          <w:i/>
          <w:sz w:val="24"/>
          <w:szCs w:val="24"/>
        </w:rPr>
        <w:t>“</w:t>
      </w:r>
      <w:r w:rsidRPr="0027211A">
        <w:rPr>
          <w:rFonts w:ascii="Times New Roman" w:eastAsia="Times New Roman" w:hAnsi="Times New Roman"/>
          <w:i/>
          <w:sz w:val="24"/>
          <w:szCs w:val="24"/>
        </w:rPr>
        <w:t>Londres es uno de los principales mercados para el oro, el petróleo y los bonos. En los derivados, sin embargo, su poderío no tiene rival, y es eso lo que la salida británica de la Unión Europea, un proceso conocido como brexit, pondrá a prueba.</w:t>
      </w:r>
    </w:p>
    <w:p w:rsidR="0027211A" w:rsidRPr="0027211A" w:rsidRDefault="0027211A" w:rsidP="0027211A">
      <w:pPr>
        <w:shd w:val="clear" w:color="auto" w:fill="FFFFFF"/>
        <w:spacing w:after="270" w:line="240" w:lineRule="auto"/>
        <w:jc w:val="both"/>
        <w:textAlignment w:val="baseline"/>
        <w:rPr>
          <w:rFonts w:ascii="Times New Roman" w:eastAsia="Times New Roman" w:hAnsi="Times New Roman"/>
          <w:i/>
          <w:sz w:val="24"/>
          <w:szCs w:val="24"/>
        </w:rPr>
      </w:pPr>
      <w:r w:rsidRPr="0027211A">
        <w:rPr>
          <w:rFonts w:ascii="Times New Roman" w:eastAsia="Times New Roman" w:hAnsi="Times New Roman"/>
          <w:i/>
          <w:sz w:val="24"/>
          <w:szCs w:val="24"/>
        </w:rPr>
        <w:t>De los cerca de US$ 9,4 billones que se transan a diario en contratos de derivados y que monitorea el Banco de Pagos Internacionales, 43% tiene lugar en el Reino Unido. Y no es porque estén denominados en libras esterlinas, ya que los operadores británicos manejan cuatro veces los derivados en euros que gestionan Francia y Alemania combinados.</w:t>
      </w:r>
    </w:p>
    <w:p w:rsidR="0027211A" w:rsidRDefault="0027211A" w:rsidP="0027211A">
      <w:pPr>
        <w:spacing w:line="240" w:lineRule="auto"/>
        <w:jc w:val="both"/>
        <w:textAlignment w:val="baseline"/>
        <w:outlineLvl w:val="0"/>
        <w:rPr>
          <w:rFonts w:ascii="Times New Roman" w:eastAsia="Times New Roman" w:hAnsi="Times New Roman"/>
          <w:bCs/>
          <w:kern w:val="36"/>
          <w:sz w:val="24"/>
          <w:szCs w:val="24"/>
        </w:rPr>
      </w:pPr>
      <w:r w:rsidRPr="0027211A">
        <w:rPr>
          <w:rFonts w:ascii="Times New Roman" w:eastAsia="Times New Roman" w:hAnsi="Times New Roman"/>
          <w:i/>
          <w:sz w:val="24"/>
          <w:szCs w:val="24"/>
        </w:rPr>
        <w:t>El brexit, no obstante, puede desafiar una posición que Londres ha forjado durante más de 50 años como el mejor lugar para transar y liquidar transacciones financieras, sin importar la divisa</w:t>
      </w:r>
      <w:r>
        <w:rPr>
          <w:rFonts w:ascii="Times New Roman" w:eastAsia="Times New Roman" w:hAnsi="Times New Roman"/>
          <w:i/>
          <w:sz w:val="24"/>
          <w:szCs w:val="24"/>
        </w:rPr>
        <w:t>”..</w:t>
      </w:r>
      <w:r w:rsidRPr="0027211A">
        <w:rPr>
          <w:rFonts w:ascii="Times New Roman" w:eastAsia="Times New Roman" w:hAnsi="Times New Roman"/>
          <w:i/>
          <w:sz w:val="24"/>
          <w:szCs w:val="24"/>
        </w:rPr>
        <w:t>.</w:t>
      </w:r>
      <w:r>
        <w:rPr>
          <w:rFonts w:ascii="Times New Roman" w:eastAsia="Times New Roman" w:hAnsi="Times New Roman"/>
          <w:bCs/>
          <w:kern w:val="36"/>
          <w:sz w:val="24"/>
          <w:szCs w:val="24"/>
          <w:u w:val="single"/>
        </w:rPr>
        <w:t>El “brexit”</w:t>
      </w:r>
      <w:r w:rsidRPr="00410FE2">
        <w:rPr>
          <w:rFonts w:ascii="Times New Roman" w:eastAsia="Times New Roman" w:hAnsi="Times New Roman"/>
          <w:bCs/>
          <w:kern w:val="36"/>
          <w:sz w:val="24"/>
          <w:szCs w:val="24"/>
          <w:u w:val="single"/>
        </w:rPr>
        <w:t xml:space="preserve"> desafía el dominio de Londres en el mercado de derivados</w:t>
      </w:r>
      <w:r>
        <w:rPr>
          <w:rFonts w:ascii="Times New Roman" w:eastAsia="Times New Roman" w:hAnsi="Times New Roman"/>
          <w:bCs/>
          <w:kern w:val="36"/>
          <w:sz w:val="24"/>
          <w:szCs w:val="24"/>
        </w:rPr>
        <w:t xml:space="preserve"> (The Wall Street Journal - </w:t>
      </w:r>
      <w:r w:rsidRPr="00410FE2">
        <w:rPr>
          <w:rFonts w:ascii="Times New Roman" w:eastAsia="Times New Roman" w:hAnsi="Times New Roman"/>
          <w:b/>
          <w:bCs/>
          <w:kern w:val="36"/>
          <w:sz w:val="24"/>
          <w:szCs w:val="24"/>
        </w:rPr>
        <w:t>1/8/16</w:t>
      </w:r>
      <w:r>
        <w:rPr>
          <w:rFonts w:ascii="Times New Roman" w:eastAsia="Times New Roman" w:hAnsi="Times New Roman"/>
          <w:bCs/>
          <w:kern w:val="36"/>
          <w:sz w:val="24"/>
          <w:szCs w:val="24"/>
        </w:rPr>
        <w:t>)</w:t>
      </w:r>
    </w:p>
    <w:p w:rsidR="0027211A" w:rsidRDefault="0027211A" w:rsidP="0027211A">
      <w:pPr>
        <w:spacing w:line="240" w:lineRule="auto"/>
        <w:jc w:val="both"/>
        <w:textAlignment w:val="baseline"/>
        <w:outlineLvl w:val="0"/>
        <w:rPr>
          <w:rFonts w:ascii="Times New Roman" w:eastAsia="Times New Roman" w:hAnsi="Times New Roman"/>
          <w:bCs/>
          <w:kern w:val="36"/>
          <w:sz w:val="24"/>
          <w:szCs w:val="24"/>
        </w:rPr>
      </w:pPr>
      <w:r w:rsidRPr="00410FE2">
        <w:rPr>
          <w:rFonts w:ascii="Times New Roman" w:eastAsia="Times New Roman" w:hAnsi="Times New Roman"/>
          <w:noProof/>
          <w:sz w:val="24"/>
          <w:szCs w:val="24"/>
          <w:lang w:val="en-GB" w:eastAsia="en-GB"/>
        </w:rPr>
        <w:drawing>
          <wp:inline distT="0" distB="0" distL="0" distR="0">
            <wp:extent cx="5232400" cy="4203700"/>
            <wp:effectExtent l="0" t="0" r="6350" b="6350"/>
            <wp:docPr id="203" name="Imagen 203" descr="https://si.wsj.net/public/resources/images/OA-BD179_DBrxci_NS_20160731190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i.wsj.net/public/resources/images/OA-BD179_DBrxci_NS_20160731190239.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2400" cy="4203700"/>
                    </a:xfrm>
                    <a:prstGeom prst="rect">
                      <a:avLst/>
                    </a:prstGeom>
                    <a:noFill/>
                    <a:ln>
                      <a:noFill/>
                    </a:ln>
                  </pic:spPr>
                </pic:pic>
              </a:graphicData>
            </a:graphic>
          </wp:inline>
        </w:drawing>
      </w:r>
    </w:p>
    <w:p w:rsidR="00257468" w:rsidRPr="00B76D52" w:rsidRDefault="00257468" w:rsidP="00257468">
      <w:pPr>
        <w:spacing w:line="240" w:lineRule="auto"/>
        <w:jc w:val="both"/>
        <w:rPr>
          <w:rFonts w:ascii="Times New Roman" w:hAnsi="Times New Roman"/>
          <w:sz w:val="24"/>
          <w:szCs w:val="24"/>
        </w:rPr>
      </w:pPr>
      <w:r>
        <w:rPr>
          <w:rFonts w:ascii="Times New Roman" w:hAnsi="Times New Roman"/>
          <w:sz w:val="24"/>
          <w:szCs w:val="24"/>
        </w:rPr>
        <w:t xml:space="preserve">- </w:t>
      </w:r>
      <w:r w:rsidRPr="00B76D52">
        <w:rPr>
          <w:rFonts w:ascii="Times New Roman" w:hAnsi="Times New Roman"/>
          <w:sz w:val="24"/>
          <w:szCs w:val="24"/>
          <w:u w:val="single"/>
        </w:rPr>
        <w:t>El exgobernador del Banco de Inglaterra alerta del gran problema del capitalismo</w:t>
      </w:r>
      <w:r>
        <w:rPr>
          <w:rFonts w:ascii="Times New Roman" w:hAnsi="Times New Roman"/>
          <w:sz w:val="24"/>
          <w:szCs w:val="24"/>
        </w:rPr>
        <w:t xml:space="preserve"> (El Confidencial - </w:t>
      </w:r>
      <w:r w:rsidRPr="00A77482">
        <w:rPr>
          <w:rFonts w:ascii="Times New Roman" w:hAnsi="Times New Roman"/>
          <w:b/>
          <w:sz w:val="24"/>
          <w:szCs w:val="24"/>
        </w:rPr>
        <w:t>29/8/16</w:t>
      </w:r>
      <w:r>
        <w:rPr>
          <w:rFonts w:ascii="Times New Roman" w:hAnsi="Times New Roman"/>
          <w:sz w:val="24"/>
          <w:szCs w:val="24"/>
        </w:rPr>
        <w:t>)                                                                     Lectura recomendada</w:t>
      </w:r>
    </w:p>
    <w:p w:rsidR="00257468" w:rsidRPr="00112D03" w:rsidRDefault="00257468" w:rsidP="00257468">
      <w:pPr>
        <w:spacing w:line="240" w:lineRule="auto"/>
        <w:jc w:val="both"/>
        <w:rPr>
          <w:rFonts w:ascii="Times New Roman" w:hAnsi="Times New Roman"/>
          <w:color w:val="FF0000"/>
          <w:sz w:val="24"/>
          <w:szCs w:val="24"/>
        </w:rPr>
      </w:pPr>
      <w:r w:rsidRPr="00112D03">
        <w:rPr>
          <w:rFonts w:ascii="Times New Roman" w:hAnsi="Times New Roman"/>
          <w:color w:val="FF0000"/>
          <w:sz w:val="24"/>
          <w:szCs w:val="24"/>
        </w:rPr>
        <w:t xml:space="preserve">Mervyn King avisa en </w:t>
      </w:r>
      <w:r>
        <w:rPr>
          <w:rFonts w:ascii="Times New Roman" w:hAnsi="Times New Roman"/>
          <w:b/>
          <w:color w:val="FF0000"/>
          <w:sz w:val="24"/>
          <w:szCs w:val="24"/>
        </w:rPr>
        <w:t>“</w:t>
      </w:r>
      <w:r w:rsidRPr="00112D03">
        <w:rPr>
          <w:rFonts w:ascii="Times New Roman" w:hAnsi="Times New Roman"/>
          <w:b/>
          <w:color w:val="FF0000"/>
          <w:sz w:val="24"/>
          <w:szCs w:val="24"/>
        </w:rPr>
        <w:t>El fin de la alquimia</w:t>
      </w:r>
      <w:r>
        <w:rPr>
          <w:rFonts w:ascii="Times New Roman" w:hAnsi="Times New Roman"/>
          <w:color w:val="FF0000"/>
          <w:sz w:val="24"/>
          <w:szCs w:val="24"/>
        </w:rPr>
        <w:t>”</w:t>
      </w:r>
      <w:r w:rsidRPr="00112D03">
        <w:rPr>
          <w:rFonts w:ascii="Times New Roman" w:hAnsi="Times New Roman"/>
          <w:color w:val="FF0000"/>
          <w:sz w:val="24"/>
          <w:szCs w:val="24"/>
        </w:rPr>
        <w:t xml:space="preserve"> del peligro que supone la conversión del plomo en oro que practican los bancos. Pero subraya un riesgo que es todavía peor</w:t>
      </w:r>
    </w:p>
    <w:p w:rsidR="00257468" w:rsidRDefault="00257468" w:rsidP="00257468">
      <w:pPr>
        <w:spacing w:line="240" w:lineRule="auto"/>
        <w:jc w:val="both"/>
        <w:rPr>
          <w:rFonts w:ascii="Times New Roman" w:hAnsi="Times New Roman"/>
          <w:sz w:val="24"/>
          <w:szCs w:val="24"/>
        </w:rPr>
      </w:pPr>
      <w:r>
        <w:rPr>
          <w:rFonts w:ascii="Times New Roman" w:hAnsi="Times New Roman"/>
          <w:sz w:val="24"/>
          <w:szCs w:val="24"/>
        </w:rPr>
        <w:lastRenderedPageBreak/>
        <w:t>(Por Esteban Hernández)</w:t>
      </w:r>
    </w:p>
    <w:p w:rsidR="00257468" w:rsidRPr="00112D03" w:rsidRDefault="00257468" w:rsidP="00257468">
      <w:pPr>
        <w:spacing w:line="240" w:lineRule="auto"/>
        <w:jc w:val="both"/>
        <w:rPr>
          <w:rFonts w:ascii="Times New Roman" w:hAnsi="Times New Roman"/>
          <w:color w:val="FF0000"/>
          <w:sz w:val="24"/>
          <w:szCs w:val="24"/>
          <w:u w:val="single"/>
        </w:rPr>
      </w:pPr>
      <w:r w:rsidRPr="00112D03">
        <w:rPr>
          <w:rFonts w:ascii="Times New Roman" w:hAnsi="Times New Roman"/>
          <w:sz w:val="24"/>
          <w:szCs w:val="24"/>
          <w:u w:val="single"/>
        </w:rPr>
        <w:t>Mervyn King fue gobernador del Banco de Inglaterra de 2003 a 2013. Le dio tiempo a conocer tanto la época de bonanza macroeconómica como la de la recesión, y por su cargo ha sido un testigo de primera mano de las tensiones que se han vivido, de los problemas que se afrontaron y de las soluciones que se han trat</w:t>
      </w:r>
      <w:r w:rsidR="007F288B">
        <w:rPr>
          <w:rFonts w:ascii="Times New Roman" w:hAnsi="Times New Roman"/>
          <w:sz w:val="24"/>
          <w:szCs w:val="24"/>
          <w:u w:val="single"/>
        </w:rPr>
        <w:t>ado de aportar. Es el autor de “</w:t>
      </w:r>
      <w:r w:rsidRPr="00112D03">
        <w:rPr>
          <w:rFonts w:ascii="Times New Roman" w:hAnsi="Times New Roman"/>
          <w:sz w:val="24"/>
          <w:szCs w:val="24"/>
          <w:u w:val="single"/>
        </w:rPr>
        <w:t>El fin de la alquimi</w:t>
      </w:r>
      <w:r w:rsidR="007F288B">
        <w:rPr>
          <w:rFonts w:ascii="Times New Roman" w:hAnsi="Times New Roman"/>
          <w:sz w:val="24"/>
          <w:szCs w:val="24"/>
          <w:u w:val="single"/>
        </w:rPr>
        <w:t>a”</w:t>
      </w:r>
      <w:r w:rsidRPr="00112D03">
        <w:rPr>
          <w:rFonts w:ascii="Times New Roman" w:hAnsi="Times New Roman"/>
          <w:sz w:val="24"/>
          <w:szCs w:val="24"/>
          <w:u w:val="single"/>
        </w:rPr>
        <w:t>, un libro que publicará el 20 de septiembre Deusto en nuestro país.</w:t>
      </w:r>
      <w:r w:rsidRPr="00112D03">
        <w:rPr>
          <w:rFonts w:ascii="Times New Roman" w:hAnsi="Times New Roman"/>
          <w:color w:val="FF0000"/>
          <w:sz w:val="24"/>
          <w:szCs w:val="24"/>
          <w:u w:val="single"/>
        </w:rPr>
        <w:t>Es un texto valiente, en la medida en que trata de poner sobre la mesa el núcleo de los problemas y no sus aspectos accesorios, al mismo tiempo que se aleja de los libros que suelen escribir quienes tuvieron parte activa en la crisis, esos en los que sus autores nos ofrecen su lectura sobre lo que pasó mientras dejan caer que menos mal que ellos estuvieron allí, porque si no las cosas hubieran ido mucho peor.</w:t>
      </w:r>
    </w:p>
    <w:p w:rsidR="00257468" w:rsidRPr="006A6A76" w:rsidRDefault="00257468" w:rsidP="00257468">
      <w:pPr>
        <w:spacing w:line="240" w:lineRule="auto"/>
        <w:jc w:val="both"/>
        <w:rPr>
          <w:rFonts w:ascii="Times New Roman" w:hAnsi="Times New Roman"/>
          <w:b/>
          <w:color w:val="FF0000"/>
          <w:sz w:val="24"/>
          <w:szCs w:val="24"/>
          <w:u w:val="single"/>
        </w:rPr>
      </w:pPr>
      <w:r w:rsidRPr="00112D03">
        <w:rPr>
          <w:rFonts w:ascii="Times New Roman" w:hAnsi="Times New Roman"/>
          <w:sz w:val="24"/>
          <w:szCs w:val="24"/>
          <w:u w:val="single"/>
        </w:rPr>
        <w:t xml:space="preserve">King, por el contrario, ofrece una mirada de largo alcance sobre las disfunciones del sistema y sobre cómo podrían afrontarse. Su perspectiva no es rupturista y se maneja dentro de la ortodoxia, pero eso no le impide realizar </w:t>
      </w:r>
      <w:r w:rsidRPr="00112D03">
        <w:rPr>
          <w:rFonts w:ascii="Times New Roman" w:hAnsi="Times New Roman"/>
          <w:color w:val="FF0000"/>
          <w:sz w:val="24"/>
          <w:szCs w:val="24"/>
          <w:u w:val="single"/>
        </w:rPr>
        <w:t>un diagnóstico que identifica con precisión los problemas</w:t>
      </w:r>
      <w:r w:rsidRPr="00B76D52">
        <w:rPr>
          <w:rFonts w:ascii="Times New Roman" w:hAnsi="Times New Roman"/>
          <w:sz w:val="24"/>
          <w:szCs w:val="24"/>
        </w:rPr>
        <w:t xml:space="preserve">. </w:t>
      </w:r>
      <w:r w:rsidRPr="006A6A76">
        <w:rPr>
          <w:rFonts w:ascii="Times New Roman" w:hAnsi="Times New Roman"/>
          <w:b/>
          <w:color w:val="FF0000"/>
          <w:sz w:val="24"/>
          <w:szCs w:val="24"/>
          <w:u w:val="single"/>
        </w:rPr>
        <w:t>El primero de ellos es lo que llama la alqu</w:t>
      </w:r>
      <w:r>
        <w:rPr>
          <w:rFonts w:ascii="Times New Roman" w:hAnsi="Times New Roman"/>
          <w:b/>
          <w:color w:val="FF0000"/>
          <w:sz w:val="24"/>
          <w:szCs w:val="24"/>
          <w:u w:val="single"/>
        </w:rPr>
        <w:t>imia del dinero y de la banca, “</w:t>
      </w:r>
      <w:r w:rsidRPr="006A6A76">
        <w:rPr>
          <w:rFonts w:ascii="Times New Roman" w:hAnsi="Times New Roman"/>
          <w:b/>
          <w:color w:val="FF0000"/>
          <w:sz w:val="24"/>
          <w:szCs w:val="24"/>
          <w:u w:val="single"/>
        </w:rPr>
        <w:t>la transmutación de depósitos bancarios con un valor seguro -dinero- en inversiones de riesgo ilíquidas”. King se refiere, como explica Lorenzo Bernaldo de Quirós en el prólogo, a que “un sistema bancario de reserva fraccionaria permite una casi ilimitada creación de crédito sobre una base de capital muy pequeña. Los bancos prestan mucho más de lo que les permitirían sus reservas si sus préstamos tuviesen que estar respaldados en su totalidad por estas. Ahí está la génesis de todas las bancarrotas bancarias”.</w:t>
      </w:r>
    </w:p>
    <w:p w:rsidR="00257468" w:rsidRPr="006A6A76" w:rsidRDefault="00257468" w:rsidP="00257468">
      <w:pPr>
        <w:spacing w:line="240" w:lineRule="auto"/>
        <w:jc w:val="both"/>
        <w:rPr>
          <w:rFonts w:ascii="Times New Roman" w:hAnsi="Times New Roman"/>
          <w:color w:val="FF0000"/>
          <w:sz w:val="24"/>
          <w:szCs w:val="24"/>
          <w:u w:val="single"/>
        </w:rPr>
      </w:pPr>
      <w:r w:rsidRPr="006A6A76">
        <w:rPr>
          <w:rFonts w:ascii="Times New Roman" w:hAnsi="Times New Roman"/>
          <w:sz w:val="24"/>
          <w:szCs w:val="24"/>
          <w:u w:val="single"/>
        </w:rPr>
        <w:t>Esto significa, sin entrar en detalles, que los bancos pueden prestar mucho más de lo que tienen en sus reservas</w:t>
      </w:r>
      <w:r w:rsidRPr="00B76D52">
        <w:rPr>
          <w:rFonts w:ascii="Times New Roman" w:hAnsi="Times New Roman"/>
          <w:sz w:val="24"/>
          <w:szCs w:val="24"/>
        </w:rPr>
        <w:t xml:space="preserve">. Por ejemplo, los Acuerdos de Basilea III, promovidos por el G-20, fijaron una reserva fraccionaria del 3%, lo que implica que por cada tres euros que tengan en los activos pueden conceder 100 en préstamos (y eso sin contar con la capacidad multiplicadora que han encontrado en los nuevos instrumentos financieros). </w:t>
      </w:r>
      <w:r w:rsidRPr="006A6A76">
        <w:rPr>
          <w:rFonts w:ascii="Times New Roman" w:hAnsi="Times New Roman"/>
          <w:color w:val="FF0000"/>
          <w:sz w:val="24"/>
          <w:szCs w:val="24"/>
          <w:u w:val="single"/>
        </w:rPr>
        <w:t>Como es fácilmente comprensible, al introducir tanto dinero en el sistema a través del crédito, el riesgo aumenta de modo notable.</w:t>
      </w:r>
    </w:p>
    <w:p w:rsidR="00257468" w:rsidRPr="006A6A76" w:rsidRDefault="00257468" w:rsidP="00257468">
      <w:pPr>
        <w:spacing w:line="240" w:lineRule="auto"/>
        <w:jc w:val="both"/>
        <w:rPr>
          <w:rFonts w:ascii="Times New Roman" w:hAnsi="Times New Roman"/>
          <w:b/>
          <w:color w:val="FF0000"/>
          <w:sz w:val="24"/>
          <w:szCs w:val="24"/>
          <w:u w:val="single"/>
        </w:rPr>
      </w:pPr>
      <w:r w:rsidRPr="006A6A76">
        <w:rPr>
          <w:rFonts w:ascii="Times New Roman" w:hAnsi="Times New Roman"/>
          <w:b/>
          <w:color w:val="FF0000"/>
          <w:sz w:val="24"/>
          <w:szCs w:val="24"/>
          <w:u w:val="single"/>
        </w:rPr>
        <w:t xml:space="preserve">El segundo problema es que esta alquimia se ha practicado a gran escala, porque los bancos han crecido y se han concentrado, y ahora son menos y más potentes. Como señala King, “el tamaño del sector bancario estadounidense medido en términos del total de activos ha crecido desde alrededor de un 20% del PIB anual hace 100 años, hasta alrededor de un ciento por ciento, en la actualidad. En el Reino Unido, la expansión es más pronunciada: del 50% del PIB hasta el 500%. Esta expansión se ha producido sobre todo en los últimos 30 años, y ha venido acompañada de una creciente concentración: las principales instituciones han sido las que más se han extendido. En el Reino Unido, el volumen de activos de los 10 principales bancos supone más de un 45% del PIB”. </w:t>
      </w:r>
    </w:p>
    <w:p w:rsidR="00257468" w:rsidRDefault="00257468" w:rsidP="00257468">
      <w:pPr>
        <w:spacing w:line="240" w:lineRule="auto"/>
        <w:jc w:val="both"/>
        <w:rPr>
          <w:rFonts w:ascii="Times New Roman" w:hAnsi="Times New Roman"/>
          <w:color w:val="FF0000"/>
          <w:sz w:val="24"/>
          <w:szCs w:val="24"/>
          <w:u w:val="single"/>
        </w:rPr>
      </w:pPr>
      <w:r w:rsidRPr="006A6A76">
        <w:rPr>
          <w:rFonts w:ascii="Times New Roman" w:hAnsi="Times New Roman"/>
          <w:color w:val="FF0000"/>
          <w:sz w:val="24"/>
          <w:szCs w:val="24"/>
          <w:u w:val="single"/>
        </w:rPr>
        <w:t>El tamaño ha sido y es una obsesión para las entidades bancarias</w:t>
      </w:r>
      <w:r w:rsidRPr="006A6A76">
        <w:rPr>
          <w:rFonts w:ascii="Times New Roman" w:hAnsi="Times New Roman"/>
          <w:sz w:val="24"/>
          <w:szCs w:val="24"/>
          <w:u w:val="single"/>
        </w:rPr>
        <w:t xml:space="preserve">, porque les permite financiarse a menor coste e incluso ofrecer préstamos más baratos a sus consumidores, porque </w:t>
      </w:r>
      <w:r w:rsidRPr="006A6A76">
        <w:rPr>
          <w:rFonts w:ascii="Times New Roman" w:hAnsi="Times New Roman"/>
          <w:color w:val="FF0000"/>
          <w:sz w:val="24"/>
          <w:szCs w:val="24"/>
          <w:u w:val="single"/>
        </w:rPr>
        <w:t>pueden resistir mejor la presión de los competidores y les es más sencillo conseguir más beneficios y porque si son lo suficientemente relevantes, las instituciones saldrán a su rescate cuando las cosas se tuerzan, eso que suele abreviarse en la expresión “too big to fail”.</w:t>
      </w:r>
    </w:p>
    <w:p w:rsidR="00257468" w:rsidRPr="006A6A76" w:rsidRDefault="00257468" w:rsidP="00257468">
      <w:pPr>
        <w:spacing w:line="240" w:lineRule="auto"/>
        <w:jc w:val="both"/>
        <w:rPr>
          <w:rFonts w:ascii="Times New Roman" w:hAnsi="Times New Roman"/>
          <w:color w:val="FF0000"/>
          <w:sz w:val="24"/>
          <w:szCs w:val="24"/>
          <w:u w:val="single"/>
        </w:rPr>
      </w:pPr>
    </w:p>
    <w:p w:rsidR="00257468" w:rsidRPr="00B76D52" w:rsidRDefault="00257468" w:rsidP="00257468">
      <w:pPr>
        <w:spacing w:line="240" w:lineRule="auto"/>
        <w:jc w:val="both"/>
        <w:rPr>
          <w:rFonts w:ascii="Times New Roman" w:hAnsi="Times New Roman"/>
          <w:sz w:val="24"/>
          <w:szCs w:val="24"/>
        </w:rPr>
      </w:pPr>
      <w:r w:rsidRPr="00B76D52">
        <w:rPr>
          <w:rFonts w:ascii="Times New Roman" w:hAnsi="Times New Roman"/>
          <w:sz w:val="24"/>
          <w:szCs w:val="24"/>
        </w:rPr>
        <w:lastRenderedPageBreak/>
        <w:t>Parches, no soluciones</w:t>
      </w:r>
    </w:p>
    <w:p w:rsidR="00257468" w:rsidRPr="006A6A76" w:rsidRDefault="00257468" w:rsidP="00257468">
      <w:pPr>
        <w:spacing w:line="240" w:lineRule="auto"/>
        <w:jc w:val="both"/>
        <w:rPr>
          <w:rFonts w:ascii="Times New Roman" w:hAnsi="Times New Roman"/>
          <w:b/>
          <w:color w:val="FF0000"/>
          <w:sz w:val="24"/>
          <w:szCs w:val="24"/>
          <w:u w:val="single"/>
        </w:rPr>
      </w:pPr>
      <w:r w:rsidRPr="006A6A76">
        <w:rPr>
          <w:rFonts w:ascii="Times New Roman" w:hAnsi="Times New Roman"/>
          <w:b/>
          <w:color w:val="FF0000"/>
          <w:sz w:val="24"/>
          <w:szCs w:val="24"/>
          <w:u w:val="single"/>
        </w:rPr>
        <w:t>El tercer problema es lo que se hizo después de que la crisis se manifestara. Desde entonces, el sector oficial ha estado hiperactivo tanto a escala nacional como internacional, afirma King, y los reguladores se han hecho más estrictos respecto a las libertades concedidas a los bancos relativas a su financiación, su estructura y sus conductas. “Ha aumentado la cantidad mínima de capital social que un banco debe usar p</w:t>
      </w:r>
      <w:r>
        <w:rPr>
          <w:rFonts w:ascii="Times New Roman" w:hAnsi="Times New Roman"/>
          <w:b/>
          <w:color w:val="FF0000"/>
          <w:sz w:val="24"/>
          <w:szCs w:val="24"/>
          <w:u w:val="single"/>
        </w:rPr>
        <w:t>ara financiarse, conocida como “</w:t>
      </w:r>
      <w:r w:rsidRPr="006A6A76">
        <w:rPr>
          <w:rFonts w:ascii="Times New Roman" w:hAnsi="Times New Roman"/>
          <w:b/>
          <w:color w:val="FF0000"/>
          <w:sz w:val="24"/>
          <w:szCs w:val="24"/>
          <w:u w:val="single"/>
        </w:rPr>
        <w:t>requisito d</w:t>
      </w:r>
      <w:r>
        <w:rPr>
          <w:rFonts w:ascii="Times New Roman" w:hAnsi="Times New Roman"/>
          <w:b/>
          <w:color w:val="FF0000"/>
          <w:sz w:val="24"/>
          <w:szCs w:val="24"/>
          <w:u w:val="single"/>
        </w:rPr>
        <w:t>e capital”</w:t>
      </w:r>
      <w:r w:rsidRPr="006A6A76">
        <w:rPr>
          <w:rFonts w:ascii="Times New Roman" w:hAnsi="Times New Roman"/>
          <w:b/>
          <w:color w:val="FF0000"/>
          <w:sz w:val="24"/>
          <w:szCs w:val="24"/>
          <w:u w:val="single"/>
        </w:rPr>
        <w:t>, y los bancos también tienen que mantener un nivel mínimo de activos líquidos en relación con los depósitos y con otra financiación de corto plazo que pudiera fugarse del banco en un plazo de 3</w:t>
      </w:r>
      <w:r>
        <w:rPr>
          <w:rFonts w:ascii="Times New Roman" w:hAnsi="Times New Roman"/>
          <w:b/>
          <w:color w:val="FF0000"/>
          <w:sz w:val="24"/>
          <w:szCs w:val="24"/>
          <w:u w:val="single"/>
        </w:rPr>
        <w:t>0 días, lo cual se conoce como “</w:t>
      </w:r>
      <w:r w:rsidRPr="006A6A76">
        <w:rPr>
          <w:rFonts w:ascii="Times New Roman" w:hAnsi="Times New Roman"/>
          <w:b/>
          <w:color w:val="FF0000"/>
          <w:sz w:val="24"/>
          <w:szCs w:val="24"/>
          <w:u w:val="single"/>
        </w:rPr>
        <w:t>ratio de cobertura d</w:t>
      </w:r>
      <w:r>
        <w:rPr>
          <w:rFonts w:ascii="Times New Roman" w:hAnsi="Times New Roman"/>
          <w:b/>
          <w:color w:val="FF0000"/>
          <w:sz w:val="24"/>
          <w:szCs w:val="24"/>
          <w:u w:val="single"/>
        </w:rPr>
        <w:t>e liquidez”</w:t>
      </w:r>
      <w:r w:rsidRPr="006A6A76">
        <w:rPr>
          <w:rFonts w:ascii="Times New Roman" w:hAnsi="Times New Roman"/>
          <w:b/>
          <w:color w:val="FF0000"/>
          <w:sz w:val="24"/>
          <w:szCs w:val="24"/>
          <w:u w:val="single"/>
        </w:rPr>
        <w:t xml:space="preserve">. Los reguladores son también conscientes de la necesidad de mirar más allá de las fronteras del sector bancario tradicional para ver si están apareciendo elementos </w:t>
      </w:r>
      <w:r>
        <w:rPr>
          <w:rFonts w:ascii="Times New Roman" w:hAnsi="Times New Roman"/>
          <w:b/>
          <w:color w:val="FF0000"/>
          <w:sz w:val="24"/>
          <w:szCs w:val="24"/>
          <w:u w:val="single"/>
        </w:rPr>
        <w:t>de alquimia en el sector de la “banca en la sombra”</w:t>
      </w:r>
      <w:r w:rsidRPr="006A6A76">
        <w:rPr>
          <w:rFonts w:ascii="Times New Roman" w:hAnsi="Times New Roman"/>
          <w:b/>
          <w:color w:val="FF0000"/>
          <w:sz w:val="24"/>
          <w:szCs w:val="24"/>
          <w:u w:val="single"/>
        </w:rPr>
        <w:t>, así como de realizar pruebas de estrés para ver si los bancos son capaces de soportar las pérdidas en que incurrirían en e</w:t>
      </w:r>
      <w:r>
        <w:rPr>
          <w:rFonts w:ascii="Times New Roman" w:hAnsi="Times New Roman"/>
          <w:b/>
          <w:color w:val="FF0000"/>
          <w:sz w:val="24"/>
          <w:szCs w:val="24"/>
          <w:u w:val="single"/>
        </w:rPr>
        <w:t>scenarios adversos particulares”</w:t>
      </w:r>
      <w:r w:rsidRPr="006A6A76">
        <w:rPr>
          <w:rFonts w:ascii="Times New Roman" w:hAnsi="Times New Roman"/>
          <w:b/>
          <w:color w:val="FF0000"/>
          <w:sz w:val="24"/>
          <w:szCs w:val="24"/>
          <w:u w:val="single"/>
        </w:rPr>
        <w:t>.</w:t>
      </w:r>
    </w:p>
    <w:p w:rsidR="00257468" w:rsidRPr="006A6A76" w:rsidRDefault="00257468" w:rsidP="00257468">
      <w:pPr>
        <w:spacing w:line="240" w:lineRule="auto"/>
        <w:jc w:val="both"/>
        <w:rPr>
          <w:rFonts w:ascii="Times New Roman" w:hAnsi="Times New Roman"/>
          <w:color w:val="FF0000"/>
          <w:sz w:val="24"/>
          <w:szCs w:val="24"/>
          <w:u w:val="single"/>
        </w:rPr>
      </w:pPr>
      <w:r w:rsidRPr="006A6A76">
        <w:rPr>
          <w:rFonts w:ascii="Times New Roman" w:hAnsi="Times New Roman"/>
          <w:b/>
          <w:color w:val="FF0000"/>
          <w:sz w:val="24"/>
          <w:szCs w:val="24"/>
          <w:u w:val="single"/>
        </w:rPr>
        <w:t>Se han hecho muchas cosas, pero la mayoría son parches, porque los problemas sistémicos siguen asomando por el horizonte. “Tratar los síntomas más inmediatos de las crisis tomando medidas de corto plazo para mantener la confianza del mercado -normalmente lanzándoles grandes cantidades de dinero- solo perpetuará el desequilibrio subyacente.</w:t>
      </w:r>
      <w:r w:rsidRPr="00B76D52">
        <w:rPr>
          <w:rFonts w:ascii="Times New Roman" w:hAnsi="Times New Roman"/>
          <w:sz w:val="24"/>
          <w:szCs w:val="24"/>
        </w:rPr>
        <w:t xml:space="preserve">Casi todas las crisis financieras empiezan con </w:t>
      </w:r>
      <w:r w:rsidRPr="006A6A76">
        <w:rPr>
          <w:rFonts w:ascii="Times New Roman" w:hAnsi="Times New Roman"/>
          <w:sz w:val="24"/>
          <w:szCs w:val="24"/>
          <w:u w:val="single"/>
        </w:rPr>
        <w:t>la creencia de que la provisión de más liquidez es la respuesta</w:t>
      </w:r>
      <w:r w:rsidRPr="00B76D52">
        <w:rPr>
          <w:rFonts w:ascii="Times New Roman" w:hAnsi="Times New Roman"/>
          <w:sz w:val="24"/>
          <w:szCs w:val="24"/>
        </w:rPr>
        <w:t xml:space="preserve">, solo para que el tiempo revele que </w:t>
      </w:r>
      <w:r w:rsidRPr="006A6A76">
        <w:rPr>
          <w:rFonts w:ascii="Times New Roman" w:hAnsi="Times New Roman"/>
          <w:sz w:val="24"/>
          <w:szCs w:val="24"/>
          <w:u w:val="single"/>
        </w:rPr>
        <w:t>bajo la superficie hay problemas genuinos de solvencia</w:t>
      </w:r>
      <w:r w:rsidRPr="00B76D52">
        <w:rPr>
          <w:rFonts w:ascii="Times New Roman" w:hAnsi="Times New Roman"/>
          <w:sz w:val="24"/>
          <w:szCs w:val="24"/>
        </w:rPr>
        <w:t xml:space="preserve">. </w:t>
      </w:r>
      <w:r w:rsidRPr="006A6A76">
        <w:rPr>
          <w:rFonts w:ascii="Times New Roman" w:hAnsi="Times New Roman"/>
          <w:color w:val="FF0000"/>
          <w:sz w:val="24"/>
          <w:szCs w:val="24"/>
          <w:u w:val="single"/>
        </w:rPr>
        <w:t>La reticencia a admitir que el problema es de solvencia y no de liquidez -incluso si la provisión de liquidez es parte de un puente hacia la solución adecuada- yace en el corazón de la lenta respuesta de Japón a sus problemas tras el estallido de la burbuja del precio de los activos a finales de los años ochenta, de las respuestas de los diferentes países al colapso bancario en 2008 y de la continua aflicción de la eurozona”.</w:t>
      </w:r>
    </w:p>
    <w:p w:rsidR="00257468" w:rsidRPr="0010058E" w:rsidRDefault="00257468" w:rsidP="00257468">
      <w:pPr>
        <w:spacing w:line="240" w:lineRule="auto"/>
        <w:jc w:val="both"/>
        <w:rPr>
          <w:rFonts w:ascii="Times New Roman" w:hAnsi="Times New Roman"/>
          <w:color w:val="FF0000"/>
          <w:sz w:val="24"/>
          <w:szCs w:val="24"/>
          <w:u w:val="single"/>
        </w:rPr>
      </w:pPr>
      <w:r w:rsidRPr="0010058E">
        <w:rPr>
          <w:rFonts w:ascii="Times New Roman" w:hAnsi="Times New Roman"/>
          <w:color w:val="FF0000"/>
          <w:sz w:val="24"/>
          <w:szCs w:val="24"/>
          <w:u w:val="single"/>
        </w:rPr>
        <w:t>Además, advierte King, este conjunto de medidas tampoco es suficiente, porque la incertidumbre siempre va a estar ahí. Los mecanismos de previsión nunca serán lo suficientemente sólidos como para anticipar los movimientos futuros: ya no estamos en la economía de las cosas, sino que es, dice gráficamente King, “la economía de las cosas que pasan”.</w:t>
      </w:r>
    </w:p>
    <w:p w:rsidR="00257468" w:rsidRPr="00B76D52" w:rsidRDefault="00257468" w:rsidP="00257468">
      <w:pPr>
        <w:spacing w:line="240" w:lineRule="auto"/>
        <w:jc w:val="both"/>
        <w:rPr>
          <w:rFonts w:ascii="Times New Roman" w:hAnsi="Times New Roman"/>
          <w:sz w:val="24"/>
          <w:szCs w:val="24"/>
        </w:rPr>
      </w:pPr>
      <w:r>
        <w:rPr>
          <w:rFonts w:ascii="Times New Roman" w:hAnsi="Times New Roman"/>
          <w:sz w:val="24"/>
          <w:szCs w:val="24"/>
        </w:rPr>
        <w:t>Los “empeñistas”</w:t>
      </w:r>
      <w:r w:rsidRPr="00B76D52">
        <w:rPr>
          <w:rFonts w:ascii="Times New Roman" w:hAnsi="Times New Roman"/>
          <w:sz w:val="24"/>
          <w:szCs w:val="24"/>
        </w:rPr>
        <w:t xml:space="preserve"> para todas las estaciones</w:t>
      </w:r>
    </w:p>
    <w:p w:rsidR="00257468" w:rsidRPr="0010058E" w:rsidRDefault="00257468" w:rsidP="00257468">
      <w:pPr>
        <w:spacing w:line="240" w:lineRule="auto"/>
        <w:jc w:val="both"/>
        <w:rPr>
          <w:rFonts w:ascii="Times New Roman" w:hAnsi="Times New Roman"/>
          <w:b/>
          <w:color w:val="FF0000"/>
          <w:sz w:val="24"/>
          <w:szCs w:val="24"/>
          <w:u w:val="single"/>
        </w:rPr>
      </w:pPr>
      <w:r w:rsidRPr="0010058E">
        <w:rPr>
          <w:rFonts w:ascii="Times New Roman" w:hAnsi="Times New Roman"/>
          <w:b/>
          <w:color w:val="FF0000"/>
          <w:sz w:val="24"/>
          <w:szCs w:val="24"/>
          <w:u w:val="single"/>
        </w:rPr>
        <w:t xml:space="preserve">A este conjunto de males endémicos, y a la imprevisibilidad típica de la vida económica, el exgobernador del Banco de Inglaterra opone una nueva solución técnica, la conversión de los </w:t>
      </w:r>
      <w:r w:rsidR="007F288B">
        <w:rPr>
          <w:rFonts w:ascii="Times New Roman" w:hAnsi="Times New Roman"/>
          <w:b/>
          <w:color w:val="FF0000"/>
          <w:sz w:val="24"/>
          <w:szCs w:val="24"/>
          <w:u w:val="single"/>
        </w:rPr>
        <w:t>bancos centrales en “empeñistas”</w:t>
      </w:r>
      <w:r w:rsidRPr="0010058E">
        <w:rPr>
          <w:rFonts w:ascii="Times New Roman" w:hAnsi="Times New Roman"/>
          <w:b/>
          <w:color w:val="FF0000"/>
          <w:sz w:val="24"/>
          <w:szCs w:val="24"/>
          <w:u w:val="single"/>
        </w:rPr>
        <w:t xml:space="preserve"> para todas las estaciones” en lugar de en esos prestamistas de última instancia en </w:t>
      </w:r>
      <w:r>
        <w:rPr>
          <w:rFonts w:ascii="Times New Roman" w:hAnsi="Times New Roman"/>
          <w:b/>
          <w:color w:val="FF0000"/>
          <w:sz w:val="24"/>
          <w:szCs w:val="24"/>
          <w:u w:val="single"/>
        </w:rPr>
        <w:t>los que se han convertido. “Un “empeñista”</w:t>
      </w:r>
      <w:r w:rsidRPr="0010058E">
        <w:rPr>
          <w:rFonts w:ascii="Times New Roman" w:hAnsi="Times New Roman"/>
          <w:b/>
          <w:color w:val="FF0000"/>
          <w:sz w:val="24"/>
          <w:szCs w:val="24"/>
          <w:u w:val="single"/>
        </w:rPr>
        <w:t xml:space="preserve"> (o prestamista de casa de empeños) es alguien que está dispuesto a prestarle a casi cualquiera que deje en prenda una garantía que cubra el valor del préstamo”. Con este giro, King pretende que el sistema consiga tres objetivos, “asegurar que todos los depósitos están respaldados por efectivo real o por un derecho contingente, ambos garantizados sobre reservas en el banco central, asegurar que la provisión de aseguramiento de liquidez es obligatoria y se paga por adelantado y diseñar un sistema que, en efecto, imponga un impuesto sobre el grado de alquimia en nuestro sistema financiero: los intermediarios financieros privados deberían soportar los costes sociales de la alquimia”.</w:t>
      </w:r>
    </w:p>
    <w:p w:rsidR="00257468" w:rsidRPr="0010058E" w:rsidRDefault="00257468" w:rsidP="00257468">
      <w:pPr>
        <w:spacing w:line="240" w:lineRule="auto"/>
        <w:jc w:val="both"/>
        <w:rPr>
          <w:rFonts w:ascii="Times New Roman" w:hAnsi="Times New Roman"/>
          <w:color w:val="FF0000"/>
          <w:sz w:val="24"/>
          <w:szCs w:val="24"/>
          <w:u w:val="single"/>
        </w:rPr>
      </w:pPr>
      <w:r w:rsidRPr="00B76D52">
        <w:rPr>
          <w:rFonts w:ascii="Times New Roman" w:hAnsi="Times New Roman"/>
          <w:sz w:val="24"/>
          <w:szCs w:val="24"/>
        </w:rPr>
        <w:lastRenderedPageBreak/>
        <w:t xml:space="preserve">Más allá de la utilidad de su propuesta, lo significativo es el diagnóstico. Esto es economía, lo cual supone que cualquier idea diferente será sometida a un montón de disquisiciones teóricas sobre su bondad o maldad, será más refutada que alabada y encontrará muchos detractores y algunos partidarios. </w:t>
      </w:r>
      <w:r>
        <w:rPr>
          <w:rFonts w:ascii="Times New Roman" w:hAnsi="Times New Roman"/>
          <w:color w:val="FF0000"/>
          <w:sz w:val="24"/>
          <w:szCs w:val="24"/>
          <w:u w:val="single"/>
        </w:rPr>
        <w:t>Podría decirse que en “El fin de la alquimia”</w:t>
      </w:r>
      <w:r w:rsidRPr="0010058E">
        <w:rPr>
          <w:rFonts w:ascii="Times New Roman" w:hAnsi="Times New Roman"/>
          <w:color w:val="FF0000"/>
          <w:sz w:val="24"/>
          <w:szCs w:val="24"/>
          <w:u w:val="single"/>
        </w:rPr>
        <w:t xml:space="preserve"> lo significativo, más que la solución, es el diagnóstico, la identificación de una serie de problemas serios que amenazan con llevarnos inevitablemente, de seguir por este camino, a otra recesión.</w:t>
      </w:r>
    </w:p>
    <w:p w:rsidR="00257468" w:rsidRPr="00B76D52" w:rsidRDefault="00257468" w:rsidP="00257468">
      <w:pPr>
        <w:spacing w:line="240" w:lineRule="auto"/>
        <w:jc w:val="both"/>
        <w:rPr>
          <w:rFonts w:ascii="Times New Roman" w:hAnsi="Times New Roman"/>
          <w:sz w:val="24"/>
          <w:szCs w:val="24"/>
        </w:rPr>
      </w:pPr>
      <w:r w:rsidRPr="00B76D52">
        <w:rPr>
          <w:rFonts w:ascii="Times New Roman" w:hAnsi="Times New Roman"/>
          <w:sz w:val="24"/>
          <w:szCs w:val="24"/>
        </w:rPr>
        <w:t>Un mundo inflexible</w:t>
      </w:r>
    </w:p>
    <w:p w:rsidR="00257468" w:rsidRPr="007A2D40" w:rsidRDefault="00257468" w:rsidP="00257468">
      <w:pPr>
        <w:spacing w:line="240" w:lineRule="auto"/>
        <w:jc w:val="both"/>
        <w:rPr>
          <w:rFonts w:ascii="Times New Roman" w:hAnsi="Times New Roman"/>
          <w:sz w:val="24"/>
          <w:szCs w:val="24"/>
          <w:u w:val="single"/>
        </w:rPr>
      </w:pPr>
      <w:r w:rsidRPr="0010058E">
        <w:rPr>
          <w:rFonts w:ascii="Times New Roman" w:hAnsi="Times New Roman"/>
          <w:color w:val="FF0000"/>
          <w:sz w:val="24"/>
          <w:szCs w:val="24"/>
          <w:u w:val="single"/>
        </w:rPr>
        <w:t>Y el problema más serio de todos los que señala el libro ni siquiera es este diseño del sistema, sino la constatación de que carecemos de la flexibilidad necesaria para cambiarlo cuando se demuestra ineficaz</w:t>
      </w:r>
      <w:r w:rsidRPr="00B76D52">
        <w:rPr>
          <w:rFonts w:ascii="Times New Roman" w:hAnsi="Times New Roman"/>
          <w:sz w:val="24"/>
          <w:szCs w:val="24"/>
        </w:rPr>
        <w:t xml:space="preserve">. </w:t>
      </w:r>
      <w:r w:rsidRPr="007A2D40">
        <w:rPr>
          <w:rFonts w:ascii="Times New Roman" w:hAnsi="Times New Roman"/>
          <w:sz w:val="24"/>
          <w:szCs w:val="24"/>
          <w:u w:val="single"/>
        </w:rPr>
        <w:t>King lo explica de esta manera: “Pocas de las soluciones anteriores al actual desequilibrio de la economía mundial son nuevas, pero las que están tras ellas lo son. A lo largo del último medio siglo, la corriente dominante en macroeconomía ha desarrollado una impresionante caja de herramientas para analizar las oscilaciones en la demanda agregada y la producción. Pero al adoptar tan estrechamente la idea del comportamiento de optimización, y al considerar cualquier otra forma de análisis ilegítima, ha dejado de iluminar zonas clave del panorama económico. El comportamiento de optimización es un caso especial de una teoría más general de comportamiento bajo incertidumbre. Y en situaciones de incertidumbre radical, donde es imposible optimizar, se requiere un nuevo enfoque”.</w:t>
      </w:r>
    </w:p>
    <w:p w:rsidR="00257468" w:rsidRPr="007A2D40" w:rsidRDefault="00257468" w:rsidP="00257468">
      <w:pPr>
        <w:spacing w:line="240" w:lineRule="auto"/>
        <w:jc w:val="both"/>
        <w:rPr>
          <w:rFonts w:ascii="Times New Roman" w:hAnsi="Times New Roman"/>
          <w:color w:val="FF0000"/>
          <w:sz w:val="24"/>
          <w:szCs w:val="24"/>
          <w:u w:val="single"/>
        </w:rPr>
      </w:pPr>
      <w:r w:rsidRPr="007A2D40">
        <w:rPr>
          <w:rFonts w:ascii="Times New Roman" w:hAnsi="Times New Roman"/>
          <w:color w:val="FF0000"/>
          <w:sz w:val="24"/>
          <w:szCs w:val="24"/>
          <w:u w:val="single"/>
        </w:rPr>
        <w:t>Este es el gran escollo: se supone que el principal activo de nuestro mundo son las ideas y la capacidad de innovación que estas generan. Desde luego, no es así en economía: has</w:t>
      </w:r>
      <w:r>
        <w:rPr>
          <w:rFonts w:ascii="Times New Roman" w:hAnsi="Times New Roman"/>
          <w:color w:val="FF0000"/>
          <w:sz w:val="24"/>
          <w:szCs w:val="24"/>
          <w:u w:val="single"/>
        </w:rPr>
        <w:t>ta la fecha, como bien subraya “</w:t>
      </w:r>
      <w:r w:rsidRPr="007A2D40">
        <w:rPr>
          <w:rFonts w:ascii="Times New Roman" w:hAnsi="Times New Roman"/>
          <w:color w:val="FF0000"/>
          <w:sz w:val="24"/>
          <w:szCs w:val="24"/>
          <w:u w:val="single"/>
        </w:rPr>
        <w:t>El fin de la al</w:t>
      </w:r>
      <w:r>
        <w:rPr>
          <w:rFonts w:ascii="Times New Roman" w:hAnsi="Times New Roman"/>
          <w:color w:val="FF0000"/>
          <w:sz w:val="24"/>
          <w:szCs w:val="24"/>
          <w:u w:val="single"/>
        </w:rPr>
        <w:t>quimia”</w:t>
      </w:r>
      <w:r w:rsidRPr="007A2D40">
        <w:rPr>
          <w:rFonts w:ascii="Times New Roman" w:hAnsi="Times New Roman"/>
          <w:color w:val="FF0000"/>
          <w:sz w:val="24"/>
          <w:szCs w:val="24"/>
          <w:u w:val="single"/>
        </w:rPr>
        <w:t>, todo lo que se ha hecho ha sido poner parches, tratando de no tocar el núcleo de las disfunciones, cuando se precisaban cambios más profundos</w:t>
      </w:r>
      <w:r w:rsidRPr="00B76D52">
        <w:rPr>
          <w:rFonts w:ascii="Times New Roman" w:hAnsi="Times New Roman"/>
          <w:sz w:val="24"/>
          <w:szCs w:val="24"/>
        </w:rPr>
        <w:t xml:space="preserve">. Esto es llamativo, porque pone al descubierto una rigidez tremendamente dañina, esa que aqueja a quienes toman las decisiones: </w:t>
      </w:r>
      <w:r w:rsidRPr="007A2D40">
        <w:rPr>
          <w:rFonts w:ascii="Times New Roman" w:hAnsi="Times New Roman"/>
          <w:b/>
          <w:color w:val="FF0000"/>
          <w:sz w:val="24"/>
          <w:szCs w:val="24"/>
          <w:u w:val="single"/>
        </w:rPr>
        <w:t>hemos construido un sistema demasiado pendiente de las certidumbres teóricas, las que funcionan bien sobre el papel, pero cuyos efectos en la realidad son muy distintos</w:t>
      </w:r>
      <w:r w:rsidRPr="00B76D52">
        <w:rPr>
          <w:rFonts w:ascii="Times New Roman" w:hAnsi="Times New Roman"/>
          <w:sz w:val="24"/>
          <w:szCs w:val="24"/>
        </w:rPr>
        <w:t xml:space="preserve">. No salir del marco estrecho en el que han decidido desenvolverse no es un problema ideológico en el sentido de que revele tensión entre posiciones de derecha e izquierda, pero sí lo es en tanto </w:t>
      </w:r>
      <w:r w:rsidRPr="007A2D40">
        <w:rPr>
          <w:rFonts w:ascii="Times New Roman" w:hAnsi="Times New Roman"/>
          <w:color w:val="FF0000"/>
          <w:sz w:val="24"/>
          <w:szCs w:val="24"/>
          <w:u w:val="single"/>
        </w:rPr>
        <w:t>revela uno de los males típicos de los entornos ideologizados: su anquilosamiento, la sensación de que solo existe una fórmula que hay que seguir hasta el final.</w:t>
      </w:r>
    </w:p>
    <w:p w:rsidR="00257468" w:rsidRPr="00B76D52" w:rsidRDefault="00257468" w:rsidP="00257468">
      <w:pPr>
        <w:spacing w:line="240" w:lineRule="auto"/>
        <w:jc w:val="both"/>
        <w:rPr>
          <w:rFonts w:ascii="Times New Roman" w:hAnsi="Times New Roman"/>
          <w:sz w:val="24"/>
          <w:szCs w:val="24"/>
        </w:rPr>
      </w:pPr>
      <w:r w:rsidRPr="00B76D52">
        <w:rPr>
          <w:rFonts w:ascii="Times New Roman" w:hAnsi="Times New Roman"/>
          <w:sz w:val="24"/>
          <w:szCs w:val="24"/>
        </w:rPr>
        <w:t>El papel y los hechos</w:t>
      </w:r>
    </w:p>
    <w:p w:rsidR="00257468" w:rsidRDefault="00257468" w:rsidP="00257468">
      <w:pPr>
        <w:spacing w:line="240" w:lineRule="auto"/>
        <w:jc w:val="both"/>
        <w:rPr>
          <w:rFonts w:ascii="Times New Roman" w:hAnsi="Times New Roman"/>
          <w:color w:val="FF0000"/>
          <w:sz w:val="24"/>
          <w:szCs w:val="24"/>
          <w:u w:val="single"/>
        </w:rPr>
      </w:pPr>
      <w:r w:rsidRPr="007A2D40">
        <w:rPr>
          <w:rFonts w:ascii="Times New Roman" w:hAnsi="Times New Roman"/>
          <w:color w:val="FF0000"/>
          <w:sz w:val="24"/>
          <w:szCs w:val="24"/>
          <w:u w:val="single"/>
        </w:rPr>
        <w:t>Hay una idea subyacente en la gran mayoría de los análisis, y es que nuestro sistema posee la racionalidad suficiente como para modificar su rumbo cuando las cosas se tuercen. Lo que la crisis ha demostrado es que no es así: cuando los hechos se enfrentaron a las ideas escritas en el papel, en lugar de escribir cosas nuevas, se optó para añadir más líneas a lo ya redactado. Esa rigidez es el gran problema de todos los sistemas que se anquilosan. Gran parte de ese descrédito del capitalismo que señala King en su libro proviene exactamente de aquí.</w:t>
      </w:r>
    </w:p>
    <w:p w:rsidR="00257468" w:rsidRPr="00257468" w:rsidRDefault="00257468" w:rsidP="00257468">
      <w:pPr>
        <w:pStyle w:val="entradilla"/>
        <w:spacing w:before="0" w:beforeAutospacing="0" w:after="345" w:afterAutospacing="0"/>
        <w:jc w:val="both"/>
        <w:textAlignment w:val="baseline"/>
        <w:rPr>
          <w:i/>
        </w:rPr>
      </w:pPr>
      <w:r>
        <w:rPr>
          <w:i/>
        </w:rPr>
        <w:t>“</w:t>
      </w:r>
      <w:r w:rsidRPr="00257468">
        <w:rPr>
          <w:i/>
        </w:rPr>
        <w:t>El apoyo de los bancos centrales ha otorgado a la renta fija global un vigor nunca antes visto, pero algunos expertos advierten de que las valoraciones alcanzadas son insostenibles.</w:t>
      </w:r>
    </w:p>
    <w:p w:rsidR="00257468" w:rsidRDefault="00257468" w:rsidP="00257468">
      <w:pPr>
        <w:pStyle w:val="NormalWeb"/>
        <w:spacing w:before="0" w:beforeAutospacing="0" w:after="300" w:afterAutospacing="0"/>
        <w:jc w:val="both"/>
        <w:textAlignment w:val="baseline"/>
        <w:rPr>
          <w:i/>
        </w:rPr>
      </w:pPr>
      <w:r w:rsidRPr="00257468">
        <w:rPr>
          <w:i/>
        </w:rPr>
        <w:lastRenderedPageBreak/>
        <w:t>Más de 13 billones de dólares cotizando a tasas negativas. Sólo esta cifra es lo suficientemente elocuente para ejemplificar el insólito escenario en el que se halla inmerso el mercado de deuda desde hace ya varios trimestres. Las políticas de tipos de interés en mínimos aplicadas por los principales bancos centrales del mundo, las ingentes cantidades de dinero inyectadas en los mercados, la debilidad de las expectativas de inflación y los recelos hacia otros activos han conformado un cóctel que ha conducido los tipos de interés de la deuda global hacia mínimos históricos, casi sin excepciones</w:t>
      </w:r>
      <w:r>
        <w:rPr>
          <w:i/>
        </w:rPr>
        <w:t>…</w:t>
      </w:r>
    </w:p>
    <w:p w:rsidR="00257468" w:rsidRPr="00257468" w:rsidRDefault="00257468" w:rsidP="00257468">
      <w:pPr>
        <w:pStyle w:val="NormalWeb"/>
        <w:spacing w:before="0" w:beforeAutospacing="0" w:after="300" w:afterAutospacing="0"/>
        <w:jc w:val="both"/>
        <w:textAlignment w:val="baseline"/>
        <w:rPr>
          <w:i/>
        </w:rPr>
      </w:pPr>
      <w:r w:rsidRPr="00257468">
        <w:rPr>
          <w:i/>
        </w:rPr>
        <w:t>Según Alberto Gallo, jefe de estrategia macro de Algebris Investment, las políticas de los bancos centrales “han creado un monstruo que constantemente necesita ser alimentado, para evitar que se vuelva contra ellos”. Ese monstruo sería el mercado de deuda: “Invertir hoy en el mercado de deuda es como subirse a la espalda del monstruo, sabiendo que puede despertar en cualquier momento”, añade. En su opinión, un repunte de la inflación, las incertidumbres económicas o el cambio de rumbo de las políticas monetarias podrían dar al traste con la actual seguridad de los mercados de deuda.</w:t>
      </w:r>
    </w:p>
    <w:p w:rsidR="00257468" w:rsidRDefault="00257468" w:rsidP="00257468">
      <w:pPr>
        <w:pStyle w:val="NormalWeb"/>
        <w:spacing w:before="0" w:beforeAutospacing="0" w:after="300" w:afterAutospacing="0"/>
        <w:jc w:val="both"/>
        <w:textAlignment w:val="baseline"/>
        <w:rPr>
          <w:bCs/>
          <w:color w:val="1A1816"/>
        </w:rPr>
      </w:pPr>
      <w:r w:rsidRPr="00257468">
        <w:rPr>
          <w:i/>
        </w:rPr>
        <w:t>Todos estos riesgos parecen estar adormecidos por la creencia de que el sostén de los bancos centrales es ilimitado. Los inversores asumen cada vez mayores riesgos, alargando vencimientos y adquiriendo títulos de menor calidad crediticia</w:t>
      </w:r>
      <w:r>
        <w:rPr>
          <w:i/>
        </w:rPr>
        <w:t xml:space="preserve">”… </w:t>
      </w:r>
      <w:r w:rsidRPr="00257468">
        <w:rPr>
          <w:bCs/>
          <w:color w:val="1A1816"/>
        </w:rPr>
        <w:t>¿</w:t>
      </w:r>
      <w:r w:rsidRPr="00257468">
        <w:rPr>
          <w:bCs/>
          <w:color w:val="1A1816"/>
          <w:u w:val="single"/>
        </w:rPr>
        <w:t>Es sostenible el boom de los mercados de deuda</w:t>
      </w:r>
      <w:r w:rsidRPr="00257468">
        <w:rPr>
          <w:bCs/>
          <w:color w:val="1A1816"/>
        </w:rPr>
        <w:t xml:space="preserve">? (Expansión - </w:t>
      </w:r>
      <w:r w:rsidRPr="00257468">
        <w:rPr>
          <w:b/>
          <w:bCs/>
          <w:color w:val="1A1816"/>
        </w:rPr>
        <w:t>30/8/16</w:t>
      </w:r>
      <w:r w:rsidRPr="00257468">
        <w:rPr>
          <w:bCs/>
          <w:color w:val="1A1816"/>
        </w:rPr>
        <w:t>)</w:t>
      </w:r>
    </w:p>
    <w:p w:rsidR="00257468" w:rsidRDefault="00257468" w:rsidP="00257468">
      <w:pPr>
        <w:pStyle w:val="NormalWeb"/>
        <w:spacing w:before="0" w:beforeAutospacing="0" w:after="300" w:afterAutospacing="0"/>
        <w:jc w:val="both"/>
        <w:textAlignment w:val="baseline"/>
        <w:rPr>
          <w:i/>
        </w:rPr>
      </w:pPr>
      <w:r w:rsidRPr="009E7D29">
        <w:rPr>
          <w:noProof/>
          <w:color w:val="305B96"/>
          <w:bdr w:val="none" w:sz="0" w:space="0" w:color="auto" w:frame="1"/>
          <w:lang w:val="en-GB" w:eastAsia="en-GB"/>
        </w:rPr>
        <w:drawing>
          <wp:inline distT="0" distB="0" distL="0" distR="0">
            <wp:extent cx="5397500" cy="2025650"/>
            <wp:effectExtent l="0" t="0" r="0" b="0"/>
            <wp:docPr id="211" name="Imagen 211" descr="http://e04-expansion.uecdn.es/assets/multimedia/imagenes/2016/08/29/14724990082333.gif">
              <a:hlinkClick xmlns:a="http://schemas.openxmlformats.org/drawingml/2006/main" r:id="rId58" tgtFrame="&quot;_sel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04-expansion.uecdn.es/assets/multimedia/imagenes/2016/08/29/14724990082333.gif">
                      <a:hlinkClick r:id="rId58" tgtFrame="&quot;_self&quot;"/>
                    </pic:cNvPr>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026603"/>
                    </a:xfrm>
                    <a:prstGeom prst="rect">
                      <a:avLst/>
                    </a:prstGeom>
                    <a:noFill/>
                    <a:ln>
                      <a:noFill/>
                    </a:ln>
                  </pic:spPr>
                </pic:pic>
              </a:graphicData>
            </a:graphic>
          </wp:inline>
        </w:drawing>
      </w:r>
    </w:p>
    <w:p w:rsidR="00257468" w:rsidRDefault="00257468" w:rsidP="00257468">
      <w:pPr>
        <w:pStyle w:val="NormalWeb"/>
        <w:spacing w:before="0" w:beforeAutospacing="0" w:after="300" w:afterAutospacing="0"/>
        <w:jc w:val="both"/>
        <w:textAlignment w:val="baseline"/>
        <w:rPr>
          <w:i/>
        </w:rPr>
      </w:pPr>
      <w:r w:rsidRPr="009E7D29">
        <w:rPr>
          <w:noProof/>
          <w:color w:val="000000"/>
          <w:lang w:val="en-GB" w:eastAsia="en-GB"/>
        </w:rPr>
        <w:drawing>
          <wp:inline distT="0" distB="0" distL="0" distR="0">
            <wp:extent cx="5200650" cy="2451100"/>
            <wp:effectExtent l="0" t="0" r="0" b="6350"/>
            <wp:docPr id="212" name="Imagen 212" descr="http://e01-expansion.uecdn.es/assets/multimedia/imagenes/2016/08/29/14724989214078_546x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e01-expansion.uecdn.es/assets/multimedia/imagenes/2016/08/29/14724989214078_546x0.gif"/>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00650" cy="2451100"/>
                    </a:xfrm>
                    <a:prstGeom prst="rect">
                      <a:avLst/>
                    </a:prstGeom>
                    <a:noFill/>
                    <a:ln>
                      <a:noFill/>
                    </a:ln>
                  </pic:spPr>
                </pic:pic>
              </a:graphicData>
            </a:graphic>
          </wp:inline>
        </w:drawing>
      </w:r>
    </w:p>
    <w:p w:rsidR="00257468" w:rsidRPr="00051191" w:rsidRDefault="00257468" w:rsidP="00257468">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051191">
        <w:rPr>
          <w:rFonts w:ascii="Times New Roman" w:hAnsi="Times New Roman"/>
          <w:sz w:val="24"/>
          <w:szCs w:val="24"/>
          <w:u w:val="single"/>
        </w:rPr>
        <w:t>La firma de inversión de riesgo de la CIA también opera en las sombras</w:t>
      </w:r>
      <w:r>
        <w:rPr>
          <w:rFonts w:ascii="Times New Roman" w:hAnsi="Times New Roman"/>
          <w:sz w:val="24"/>
          <w:szCs w:val="24"/>
        </w:rPr>
        <w:t xml:space="preserve"> (The Wall Street Journal - </w:t>
      </w:r>
      <w:r w:rsidRPr="00051191">
        <w:rPr>
          <w:rFonts w:ascii="Times New Roman" w:hAnsi="Times New Roman"/>
          <w:b/>
          <w:sz w:val="24"/>
          <w:szCs w:val="24"/>
        </w:rPr>
        <w:t>31/8/16</w:t>
      </w:r>
      <w:r>
        <w:rPr>
          <w:rFonts w:ascii="Times New Roman" w:hAnsi="Times New Roman"/>
          <w:sz w:val="24"/>
          <w:szCs w:val="24"/>
        </w:rPr>
        <w:t>)                                                                    Lectura recomendada</w:t>
      </w:r>
    </w:p>
    <w:p w:rsidR="00257468" w:rsidRPr="0085358A" w:rsidRDefault="00257468" w:rsidP="00257468">
      <w:pPr>
        <w:spacing w:line="240" w:lineRule="auto"/>
        <w:jc w:val="both"/>
        <w:rPr>
          <w:rFonts w:ascii="Times New Roman" w:hAnsi="Times New Roman"/>
          <w:color w:val="FF0000"/>
          <w:sz w:val="24"/>
          <w:szCs w:val="24"/>
        </w:rPr>
      </w:pPr>
      <w:r w:rsidRPr="0085358A">
        <w:rPr>
          <w:rFonts w:ascii="Times New Roman" w:hAnsi="Times New Roman"/>
          <w:color w:val="FF0000"/>
          <w:sz w:val="24"/>
          <w:szCs w:val="24"/>
        </w:rPr>
        <w:t>In-Q-Tel revela muy poca información acerca de sus inversiones en startups y algunos de sus fideicomisarios tienen vínculos estrechos con las empresas respaldadas</w:t>
      </w:r>
    </w:p>
    <w:p w:rsidR="00257468" w:rsidRDefault="00257468" w:rsidP="00257468">
      <w:pPr>
        <w:shd w:val="clear" w:color="auto" w:fill="FFFFFF"/>
        <w:spacing w:after="0" w:line="240" w:lineRule="auto"/>
        <w:jc w:val="both"/>
        <w:textAlignment w:val="baseline"/>
        <w:rPr>
          <w:rFonts w:ascii="Times New Roman" w:eastAsia="Times New Roman" w:hAnsi="Times New Roman"/>
          <w:bCs/>
          <w:caps/>
          <w:sz w:val="24"/>
          <w:szCs w:val="24"/>
          <w:bdr w:val="none" w:sz="0" w:space="0" w:color="auto" w:frame="1"/>
        </w:rPr>
      </w:pPr>
      <w:r>
        <w:rPr>
          <w:rFonts w:ascii="Times New Roman" w:eastAsia="Times New Roman" w:hAnsi="Times New Roman"/>
          <w:sz w:val="24"/>
          <w:szCs w:val="24"/>
          <w:bdr w:val="none" w:sz="0" w:space="0" w:color="auto" w:frame="1"/>
        </w:rPr>
        <w:t>(</w:t>
      </w:r>
      <w:r w:rsidRPr="00051191">
        <w:rPr>
          <w:rFonts w:ascii="Times New Roman" w:eastAsia="Times New Roman" w:hAnsi="Times New Roman"/>
          <w:sz w:val="24"/>
          <w:szCs w:val="24"/>
          <w:bdr w:val="none" w:sz="0" w:space="0" w:color="auto" w:frame="1"/>
        </w:rPr>
        <w:t>Por</w:t>
      </w:r>
      <w:r>
        <w:rPr>
          <w:rFonts w:ascii="Times New Roman" w:eastAsia="Times New Roman" w:hAnsi="Times New Roman"/>
          <w:sz w:val="24"/>
          <w:szCs w:val="24"/>
          <w:bdr w:val="none" w:sz="0" w:space="0" w:color="auto" w:frame="1"/>
        </w:rPr>
        <w:t xml:space="preserve"> Damian Paletta)</w:t>
      </w:r>
      <w:r w:rsidRPr="00051191">
        <w:rPr>
          <w:rFonts w:ascii="Times New Roman" w:eastAsia="Times New Roman" w:hAnsi="Times New Roman"/>
          <w:sz w:val="24"/>
          <w:szCs w:val="24"/>
        </w:rPr>
        <w:t> </w:t>
      </w:r>
    </w:p>
    <w:p w:rsidR="00257468" w:rsidRPr="00051191" w:rsidRDefault="00257468" w:rsidP="00257468">
      <w:pPr>
        <w:shd w:val="clear" w:color="auto" w:fill="FFFFFF"/>
        <w:spacing w:after="0" w:line="240" w:lineRule="auto"/>
        <w:jc w:val="both"/>
        <w:textAlignment w:val="baseline"/>
        <w:rPr>
          <w:rFonts w:ascii="Times New Roman" w:eastAsia="Times New Roman" w:hAnsi="Times New Roman"/>
          <w:sz w:val="24"/>
          <w:szCs w:val="24"/>
        </w:rPr>
      </w:pP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85358A">
        <w:rPr>
          <w:rFonts w:ascii="Times New Roman" w:eastAsia="Times New Roman" w:hAnsi="Times New Roman"/>
          <w:color w:val="FF0000"/>
          <w:sz w:val="24"/>
          <w:szCs w:val="24"/>
          <w:u w:val="single"/>
        </w:rPr>
        <w:t>Forterra Systems Inc., una startup de California dedicada a la realidad virtual, necesitaba fondos, pero sus productos no generaban un gran interés comercial. El dinero provino de la firma de capital de riesgo In-Q-Tel Inc., que opera desde Virginia, bastante lejos de Silicon Valley. In-Q-Tel es financiada por la Agencia Central de Inteligencia de Estados Unidos (CIA).</w:t>
      </w: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sz w:val="24"/>
          <w:szCs w:val="24"/>
          <w:u w:val="single"/>
        </w:rPr>
      </w:pPr>
      <w:r w:rsidRPr="0085358A">
        <w:rPr>
          <w:rFonts w:ascii="Times New Roman" w:eastAsia="Times New Roman" w:hAnsi="Times New Roman"/>
          <w:sz w:val="24"/>
          <w:szCs w:val="24"/>
          <w:u w:val="single"/>
        </w:rPr>
        <w:t>Una de las razones que explica esa inyección de dinero de 2007 fue la recomendación de un ejecutivo que era miembro de las juntas directivas de la misma firma de capital de riesgo y de Forterra, según fuentes cercanas.</w:t>
      </w:r>
    </w:p>
    <w:p w:rsidR="00257468"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85358A">
        <w:rPr>
          <w:rFonts w:ascii="Times New Roman" w:eastAsia="Times New Roman" w:hAnsi="Times New Roman"/>
          <w:color w:val="FF0000"/>
          <w:sz w:val="24"/>
          <w:szCs w:val="24"/>
          <w:u w:val="single"/>
        </w:rPr>
        <w:t>In-Q-Tel invirtió dinero, Forterra desarrolló algunas herramientas útiles para las fuerzas armadas y los contratos con el gobierno empezaron a llegar.</w:t>
      </w: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051191">
        <w:rPr>
          <w:rFonts w:ascii="Times New Roman" w:eastAsia="Times New Roman" w:hAnsi="Times New Roman"/>
          <w:noProof/>
          <w:sz w:val="24"/>
          <w:szCs w:val="24"/>
          <w:lang w:val="en-GB" w:eastAsia="en-GB"/>
        </w:rPr>
        <w:drawing>
          <wp:inline distT="0" distB="0" distL="0" distR="0">
            <wp:extent cx="5378450" cy="3308350"/>
            <wp:effectExtent l="0" t="0" r="0" b="6350"/>
            <wp:docPr id="3" name="Imagen 3" descr="https://si.wsj.net/public/resources/images/AO-AB268_wsjamd_NS_20160831192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wsj.net/public/resources/images/AO-AB268_wsjamd_NS_20160831192550.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8450" cy="3308350"/>
                    </a:xfrm>
                    <a:prstGeom prst="rect">
                      <a:avLst/>
                    </a:prstGeom>
                    <a:noFill/>
                    <a:ln>
                      <a:noFill/>
                    </a:ln>
                  </pic:spPr>
                </pic:pic>
              </a:graphicData>
            </a:graphic>
          </wp:inline>
        </w:drawing>
      </w: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85358A">
        <w:rPr>
          <w:rFonts w:ascii="Times New Roman" w:eastAsia="Times New Roman" w:hAnsi="Times New Roman"/>
          <w:color w:val="FF0000"/>
          <w:sz w:val="24"/>
          <w:szCs w:val="24"/>
          <w:u w:val="single"/>
        </w:rPr>
        <w:t>Al igual que la agencia que la fundó y la financia, In-Q-Tel opera en las sombras. Aunque sus ejecutivos consideran que se trata de una empresa independiente, tiene lazos muy estrechos con la CIA, la cual revisa prácticamente todas sus decisiones de inversión. La firma divulga muy poca información acerca de cómo escoge las compañías en las cuales invierte, nunca revela el monto, y a veces ni siquiera divulga las inversiones.</w:t>
      </w: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051191">
        <w:rPr>
          <w:rFonts w:ascii="Times New Roman" w:eastAsia="Times New Roman" w:hAnsi="Times New Roman"/>
          <w:sz w:val="24"/>
          <w:szCs w:val="24"/>
        </w:rPr>
        <w:t xml:space="preserve">Se sabe incluso menos de los posibles conflictos de intereses que acarrea el acuerdo, como lo evidencia el ejemplo de Forterra y otros que continúan hasta hoy. </w:t>
      </w:r>
      <w:r w:rsidRPr="0085358A">
        <w:rPr>
          <w:rFonts w:ascii="Times New Roman" w:eastAsia="Times New Roman" w:hAnsi="Times New Roman"/>
          <w:color w:val="FF0000"/>
          <w:sz w:val="24"/>
          <w:szCs w:val="24"/>
          <w:u w:val="single"/>
        </w:rPr>
        <w:t xml:space="preserve">Casi la mitad de los fideicomisarios de In-Q-Tel tiene algún tipo de conexión financiera con una </w:t>
      </w:r>
      <w:r w:rsidRPr="0085358A">
        <w:rPr>
          <w:rFonts w:ascii="Times New Roman" w:eastAsia="Times New Roman" w:hAnsi="Times New Roman"/>
          <w:color w:val="FF0000"/>
          <w:sz w:val="24"/>
          <w:szCs w:val="24"/>
          <w:u w:val="single"/>
        </w:rPr>
        <w:lastRenderedPageBreak/>
        <w:t>empresa financiada por la firma, según un análisis de The Wall Street Journal sobre sus inversiones.</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85358A">
        <w:rPr>
          <w:rFonts w:ascii="Times New Roman" w:eastAsia="Times New Roman" w:hAnsi="Times New Roman"/>
          <w:color w:val="FF0000"/>
          <w:sz w:val="24"/>
          <w:szCs w:val="24"/>
          <w:u w:val="single"/>
        </w:rPr>
        <w:t>En su búsqueda de tecnologías prometedoras, In-Q-Tel ha financiado, en al menos 17 ocasiones, empresas con un vínculo financiero con un fideicomisario de la firma.</w:t>
      </w:r>
      <w:r w:rsidRPr="00051191">
        <w:rPr>
          <w:rFonts w:ascii="Times New Roman" w:eastAsia="Times New Roman" w:hAnsi="Times New Roman"/>
          <w:sz w:val="24"/>
          <w:szCs w:val="24"/>
        </w:rPr>
        <w:t xml:space="preserve"> En tres instancias, un fideicomisario integraba el directorio de una empresa en la cual había invertido In-Q-Tel, como ocurrió en el caso de Forterra, según el análisis de The Wall Street Journal, que se basó en una revisión de las inversiones y entrevistas con antiguos y actuales ejecutivos de la empresa y otras firmas de capital de riesgo.</w:t>
      </w: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85358A">
        <w:rPr>
          <w:rFonts w:ascii="Times New Roman" w:eastAsia="Times New Roman" w:hAnsi="Times New Roman"/>
          <w:color w:val="FF0000"/>
          <w:sz w:val="24"/>
          <w:szCs w:val="24"/>
          <w:u w:val="single"/>
        </w:rPr>
        <w:t>In-Q-Tel, sin embargo, tiene una característica que la distingue de otras firmas de capital de riesgo: es una entidad sin fines de lucro. En lugar de tratar de generar ganancias, intenta fomentar el desarrollo de tecnologías que ayuden a la CIA a cumplir su misión de recabar inteligencia.</w:t>
      </w: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85358A">
        <w:rPr>
          <w:rFonts w:ascii="Times New Roman" w:eastAsia="Times New Roman" w:hAnsi="Times New Roman"/>
          <w:color w:val="FF0000"/>
          <w:sz w:val="24"/>
          <w:szCs w:val="24"/>
          <w:u w:val="single"/>
        </w:rPr>
        <w:t>Las conexiones entrecruzadas son endémicas en el negocio del capital de riesgo, donde el conocimiento a fondo de un sector es esencial para prosperar. Otras firmas de capital de riesgo, sin embargo, apuestan sus propios recursos o los de inversionistas privados.</w:t>
      </w: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85358A">
        <w:rPr>
          <w:rFonts w:ascii="Times New Roman" w:eastAsia="Times New Roman" w:hAnsi="Times New Roman"/>
          <w:color w:val="FF0000"/>
          <w:sz w:val="24"/>
          <w:szCs w:val="24"/>
          <w:u w:val="single"/>
        </w:rPr>
        <w:t>In-Q-Tel utiliza fondos públicos, que están sujetos a estrictas normas de conflicto de interés, al menos US$120 millones al año, según fuentes al tanto. En ocasiones distribuye este capital de maneras que, aunque sean sin intención, pueden beneficiar a los fideicomisarios de la compañía debido a otros papeles que juegan en el sector tecnológico.</w:t>
      </w: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sz w:val="24"/>
          <w:szCs w:val="24"/>
          <w:u w:val="single"/>
        </w:rPr>
      </w:pPr>
      <w:r w:rsidRPr="0085358A">
        <w:rPr>
          <w:rFonts w:ascii="Times New Roman" w:eastAsia="Times New Roman" w:hAnsi="Times New Roman"/>
          <w:sz w:val="24"/>
          <w:szCs w:val="24"/>
          <w:u w:val="single"/>
        </w:rPr>
        <w:t>Las empresas en las que invierte In-Q-Tel a menudo atraen otras fuentes de financiamiento. Por cada dólar que invierte en una pequeña empresa, otros inversionistas aportan US$15, indica la propia firma. Eso aumenta la probabilidad de que la empresa que recibe los fondos prospere y sube el valor de sus opciones sobre acciones.</w:t>
      </w:r>
    </w:p>
    <w:p w:rsidR="00257468"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85358A">
        <w:rPr>
          <w:rFonts w:ascii="Times New Roman" w:eastAsia="Times New Roman" w:hAnsi="Times New Roman"/>
          <w:sz w:val="24"/>
          <w:szCs w:val="24"/>
          <w:u w:val="single"/>
        </w:rPr>
        <w:t>In-Q-Tel dice que necesita trabajar con personas que tengan buenos contactos en el sector si quiere tener una buena probabilidad de hallar tecnología promisoria. Algunos de los fideicomisarios, indicó, están tan inmersos en el rubro de la tecnología que sería difícil eludir los lazos que pueden ser interpretados como un conflicto de interés</w:t>
      </w:r>
      <w:r w:rsidRPr="00051191">
        <w:rPr>
          <w:rFonts w:ascii="Times New Roman" w:eastAsia="Times New Roman" w:hAnsi="Times New Roman"/>
          <w:sz w:val="24"/>
          <w:szCs w:val="24"/>
        </w:rPr>
        <w:t>. Aparte del sector tecnológico, los fideicomisarios provienen de diversos entornos, como el académico, el de seguridad nacional y el de capital de riesgo.</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sz w:val="24"/>
          <w:szCs w:val="24"/>
        </w:rPr>
        <w:t>“En In-Q-Tel fijamos políticas rigurosas para resguardar los fondos de los contribuyentes, prevenir posibles conflictos de interés y seguir abocados a desarrollar tecnología que cumpla con los requisitos de nuestra misión”, dijo el portavoz de la CIA, Ryan Trapani. “Estamos complacidos de que tanto el modelo de In-Q-Tel como los resguardos que hemos establecido hayan funcionado tan bien”, agregó.</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85358A">
        <w:rPr>
          <w:rFonts w:ascii="Times New Roman" w:eastAsia="Times New Roman" w:hAnsi="Times New Roman"/>
          <w:color w:val="FF0000"/>
          <w:sz w:val="24"/>
          <w:szCs w:val="24"/>
          <w:u w:val="single"/>
        </w:rPr>
        <w:t>In-Q-Tel permite a sus fideicomisarios recomendar inversiones en empresas con las cuales tienen algún vínculo, siempre y cuando lo divulguen a la firma y a la CIA</w:t>
      </w:r>
      <w:r w:rsidRPr="00051191">
        <w:rPr>
          <w:rFonts w:ascii="Times New Roman" w:eastAsia="Times New Roman" w:hAnsi="Times New Roman"/>
          <w:sz w:val="24"/>
          <w:szCs w:val="24"/>
        </w:rPr>
        <w:t>. Los fideicomisarios tienen la obligación de eximirse de las evaluaciones y las votaciones que se realizan después de las recomendaciones.</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p>
    <w:p w:rsidR="00257468" w:rsidRPr="00051191" w:rsidRDefault="00257468" w:rsidP="00257468">
      <w:pPr>
        <w:shd w:val="clear" w:color="auto" w:fill="FFFFFF"/>
        <w:spacing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noProof/>
          <w:sz w:val="24"/>
          <w:szCs w:val="24"/>
          <w:lang w:val="en-GB" w:eastAsia="en-GB"/>
        </w:rPr>
        <w:lastRenderedPageBreak/>
        <w:drawing>
          <wp:inline distT="0" distB="0" distL="0" distR="0">
            <wp:extent cx="4102100" cy="2736850"/>
            <wp:effectExtent l="0" t="0" r="0" b="6350"/>
            <wp:docPr id="214" name="Imagen 214" descr="https://si.wsj.net/public/resources/images/AO-AB269_wsjamd_NS_2016083119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wsj.net/public/resources/images/AO-AB269_wsjamd_NS_20160831192611.jpg"/>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02100" cy="2736850"/>
                    </a:xfrm>
                    <a:prstGeom prst="rect">
                      <a:avLst/>
                    </a:prstGeom>
                    <a:noFill/>
                    <a:ln>
                      <a:noFill/>
                    </a:ln>
                  </pic:spPr>
                </pic:pic>
              </a:graphicData>
            </a:graphic>
          </wp:inline>
        </w:drawing>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sz w:val="24"/>
          <w:szCs w:val="24"/>
        </w:rPr>
        <w:t>Para alcanzar el éxito, hay que contar con “una junta directiva que sepa lo que está haciendo”, señala Jeffrey Smith, quien ayudó a diseñar In-Q-Tel cuando era abogado general de la CIA y hoy se desempeña como asesor externo de la agencia y abogado del bufete Arnold &amp; Porter. “Se trata, hasta cierto punto, de alcanzar un equilibrio y estamos al tanto de eso”.</w:t>
      </w:r>
    </w:p>
    <w:p w:rsidR="00257468" w:rsidRPr="0085358A" w:rsidRDefault="00257468" w:rsidP="00257468">
      <w:pPr>
        <w:shd w:val="clear" w:color="auto" w:fill="FFFFFF"/>
        <w:spacing w:after="270" w:line="240" w:lineRule="auto"/>
        <w:jc w:val="both"/>
        <w:textAlignment w:val="baseline"/>
        <w:rPr>
          <w:rFonts w:ascii="Times New Roman" w:eastAsia="Times New Roman" w:hAnsi="Times New Roman"/>
          <w:sz w:val="24"/>
          <w:szCs w:val="24"/>
          <w:u w:val="single"/>
        </w:rPr>
      </w:pPr>
      <w:r w:rsidRPr="0085358A">
        <w:rPr>
          <w:rFonts w:ascii="Times New Roman" w:eastAsia="Times New Roman" w:hAnsi="Times New Roman"/>
          <w:sz w:val="24"/>
          <w:szCs w:val="24"/>
          <w:u w:val="single"/>
        </w:rPr>
        <w:t>En el caso de Forterra, Charles Boyd, un general de cuatro estrellas retirado de la Fuerza Aérea, se integró en 2006 a las juntas de Forterra e In-Q-Tel. Al año siguiente, In-Q-Tel invirtió en Forterra, según un comunicado de la firma de capital de riesgo. No se pudo determinar el monto.</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sz w:val="24"/>
          <w:szCs w:val="24"/>
        </w:rPr>
        <w:t>Boyd dice que hizo una recomendación inicial de invertir, pero que no tuvo nada que ver con la decisión final. Añade que no recibió remuneración alguna por la recomendación.</w:t>
      </w:r>
    </w:p>
    <w:p w:rsidR="00257468" w:rsidRPr="00970FFD" w:rsidRDefault="00257468" w:rsidP="00257468">
      <w:pPr>
        <w:shd w:val="clear" w:color="auto" w:fill="FFFFFF"/>
        <w:spacing w:after="270" w:line="240" w:lineRule="auto"/>
        <w:jc w:val="both"/>
        <w:textAlignment w:val="baseline"/>
        <w:rPr>
          <w:rFonts w:ascii="Times New Roman" w:eastAsia="Times New Roman" w:hAnsi="Times New Roman"/>
          <w:sz w:val="24"/>
          <w:szCs w:val="24"/>
          <w:u w:val="single"/>
        </w:rPr>
      </w:pPr>
      <w:r w:rsidRPr="00970FFD">
        <w:rPr>
          <w:rFonts w:ascii="Times New Roman" w:eastAsia="Times New Roman" w:hAnsi="Times New Roman"/>
          <w:sz w:val="24"/>
          <w:szCs w:val="24"/>
          <w:u w:val="single"/>
        </w:rPr>
        <w:t>“Desde nuestra perspectiva, definitivamente todos salieron ganando al tener a Charles en el directorio para que nos abriera esas puertas”, cuenta Chris Badger, quien era vicepresidente de marketing de Forterra.</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sz w:val="24"/>
          <w:szCs w:val="24"/>
        </w:rPr>
        <w:t>A la postre, los fondos inyectados por In-Q-Tel y los contratos con el gobierno estadounidense fueron insuficientes. Forterra no atrajo un gran interés comercial y dejó de operar en 2010 después de vender algunos de sus negocios. El comprador fue otra empresa que contaba entre sus directores a un fideicomisario de In-Q-Tel.</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sz w:val="24"/>
          <w:szCs w:val="24"/>
        </w:rPr>
        <w:t>Los inversionistas en Forterra, incluyendo In-Q-Tel, asumieron grandes pérdidas, indican fuentes cercanas al proceso de liquidación. Boyd no tenía inversiones personales en Forterra, según In-Q-Tel. El general afirma que la única remuneración que obtuvo de Forterra fueron los US$5.000 que recibió cuando la empresa se disponía a cerrar sus puertas. Boyd dejó la junta de fideicomisarios de In-Q-Tel en 2013.</w:t>
      </w:r>
    </w:p>
    <w:p w:rsidR="00257468" w:rsidRPr="00970FFD"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970FFD">
        <w:rPr>
          <w:rFonts w:ascii="Times New Roman" w:eastAsia="Times New Roman" w:hAnsi="Times New Roman"/>
          <w:color w:val="FF0000"/>
          <w:sz w:val="24"/>
          <w:szCs w:val="24"/>
          <w:u w:val="single"/>
        </w:rPr>
        <w:t>Para la CIA, una firma cautiva de capital de riesgo es una manera de fomentar e influir en el desarrollo de tecnologías sin verse entorpecida por la burocracia.</w:t>
      </w:r>
    </w:p>
    <w:p w:rsidR="00257468" w:rsidRPr="00970FFD" w:rsidRDefault="00257468" w:rsidP="00257468">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970FFD">
        <w:rPr>
          <w:rFonts w:ascii="Times New Roman" w:eastAsia="Times New Roman" w:hAnsi="Times New Roman"/>
          <w:color w:val="FF0000"/>
          <w:sz w:val="24"/>
          <w:szCs w:val="24"/>
          <w:u w:val="single"/>
        </w:rPr>
        <w:lastRenderedPageBreak/>
        <w:t>In-Q-Tel, que empezó a invertir en 2000, ha recibido fondos de otras agencias del gobierno estadounidense, como la Agencia de Seguridad Nacional (NSA), el FBI y el Departamento de Defensa, pero su principal inversionista sigue siendo la CIA.</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sz w:val="24"/>
          <w:szCs w:val="24"/>
        </w:rPr>
        <w:t>En una ocasión, invirtió en una empresa que analizaba compuestos químicos en las alfombras, lo que contribuyó al desarrollo de un método para detectar sustancias letales en Afganistán e Irak, apunta su presidente ejecutivo, Christopher Darby.</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sz w:val="24"/>
          <w:szCs w:val="24"/>
        </w:rPr>
        <w:t>También invirtió en un fabricante de antenas satelitales, lo que, a la larga, desembocó en el desarrollo de antenas satelitales portables que ayudan a las tropas y los agentes de inteligencia a comunicarse desde ubicaciones remotas, agrega Darby.</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sz w:val="24"/>
          <w:szCs w:val="24"/>
        </w:rPr>
        <w:t>“Nuestros clientes me han dicho que la tecnología que hemos desarrollado ha salvado un sinnúmero de vidas”, asevera. Darby, en todo caso, también se desempeña en la junta directiva de una tecnológica con fines de lucro, Endgame Inc., aunque In-Q-Tel no ha invertido en ella.</w:t>
      </w:r>
    </w:p>
    <w:p w:rsidR="00257468" w:rsidRPr="00051191" w:rsidRDefault="00257468" w:rsidP="00257468">
      <w:pPr>
        <w:shd w:val="clear" w:color="auto" w:fill="FFFFFF"/>
        <w:spacing w:after="270" w:line="240" w:lineRule="auto"/>
        <w:jc w:val="both"/>
        <w:textAlignment w:val="baseline"/>
        <w:rPr>
          <w:rFonts w:ascii="Times New Roman" w:eastAsia="Times New Roman" w:hAnsi="Times New Roman"/>
          <w:sz w:val="24"/>
          <w:szCs w:val="24"/>
        </w:rPr>
      </w:pPr>
      <w:r w:rsidRPr="00051191">
        <w:rPr>
          <w:rFonts w:ascii="Times New Roman" w:eastAsia="Times New Roman" w:hAnsi="Times New Roman"/>
          <w:sz w:val="24"/>
          <w:szCs w:val="24"/>
        </w:rPr>
        <w:t>Ronald Gilson, profesor de la Escuela de Derecho de la Universidad de Columbia, quien ha escrito acerca del gobierno corporativo y el capital de riesgo, afirma que el peculiar modelo semigubernamental de In-Q-Tel deja a la firma en una situación en la que necesita la asesoría de expertos mientras, al mismo tiempo, trata de evitar relaciones financieras demasiado estrechas.</w:t>
      </w:r>
    </w:p>
    <w:p w:rsidR="00257468" w:rsidRDefault="00257468" w:rsidP="00257468">
      <w:pPr>
        <w:shd w:val="clear" w:color="auto" w:fill="FFFFFF"/>
        <w:spacing w:after="270" w:line="240" w:lineRule="auto"/>
        <w:jc w:val="both"/>
        <w:textAlignment w:val="baseline"/>
        <w:rPr>
          <w:rFonts w:ascii="Times New Roman" w:eastAsia="Times New Roman" w:hAnsi="Times New Roman"/>
          <w:sz w:val="24"/>
          <w:szCs w:val="24"/>
          <w:u w:val="single"/>
        </w:rPr>
      </w:pPr>
      <w:r w:rsidRPr="00970FFD">
        <w:rPr>
          <w:rFonts w:ascii="Times New Roman" w:eastAsia="Times New Roman" w:hAnsi="Times New Roman"/>
          <w:sz w:val="24"/>
          <w:szCs w:val="24"/>
          <w:u w:val="single"/>
        </w:rPr>
        <w:t>“Por una parte, si se quiere tener una independencia impoluta, hay que tener personas que no tengan relaciones comerciales con el sector”, insiste. “Por la otra, si tiene personas sin ningún lazo comercial con la industria, no son muy valiosas”.</w:t>
      </w:r>
    </w:p>
    <w:p w:rsidR="00257468" w:rsidRPr="00257468" w:rsidRDefault="00257468" w:rsidP="00257468">
      <w:pPr>
        <w:spacing w:line="240" w:lineRule="auto"/>
        <w:jc w:val="both"/>
        <w:rPr>
          <w:rFonts w:ascii="Times New Roman" w:hAnsi="Times New Roman"/>
          <w:sz w:val="24"/>
          <w:szCs w:val="24"/>
        </w:rPr>
      </w:pPr>
      <w:r w:rsidRPr="00CF4AD3">
        <w:rPr>
          <w:rFonts w:ascii="Times New Roman" w:hAnsi="Times New Roman"/>
          <w:b/>
          <w:sz w:val="24"/>
          <w:szCs w:val="24"/>
        </w:rPr>
        <w:t>La trampa del “High Frequency Trading”</w:t>
      </w:r>
      <w:r w:rsidRPr="00257468">
        <w:rPr>
          <w:rFonts w:ascii="Times New Roman" w:hAnsi="Times New Roman"/>
          <w:sz w:val="24"/>
          <w:szCs w:val="24"/>
        </w:rPr>
        <w:t>Lectura recomendada</w:t>
      </w:r>
    </w:p>
    <w:p w:rsidR="00257468" w:rsidRPr="006352D7" w:rsidRDefault="00257468" w:rsidP="00257468">
      <w:pPr>
        <w:spacing w:line="240" w:lineRule="auto"/>
        <w:jc w:val="both"/>
        <w:rPr>
          <w:rFonts w:ascii="Times New Roman" w:hAnsi="Times New Roman"/>
          <w:sz w:val="24"/>
          <w:szCs w:val="24"/>
        </w:rPr>
      </w:pPr>
      <w:r>
        <w:rPr>
          <w:rFonts w:ascii="Times New Roman" w:hAnsi="Times New Roman"/>
          <w:sz w:val="24"/>
          <w:szCs w:val="24"/>
        </w:rPr>
        <w:t>Michael Lewis: “</w:t>
      </w:r>
      <w:r w:rsidRPr="006352D7">
        <w:rPr>
          <w:rFonts w:ascii="Times New Roman" w:hAnsi="Times New Roman"/>
          <w:sz w:val="24"/>
          <w:szCs w:val="24"/>
        </w:rPr>
        <w:t>Los bancos de Wall Street amañan los mercados en milisegun</w:t>
      </w:r>
      <w:r>
        <w:rPr>
          <w:rFonts w:ascii="Times New Roman" w:hAnsi="Times New Roman"/>
          <w:sz w:val="24"/>
          <w:szCs w:val="24"/>
        </w:rPr>
        <w:t>dos”</w:t>
      </w:r>
    </w:p>
    <w:p w:rsidR="00257468" w:rsidRPr="006352D7" w:rsidRDefault="00257468" w:rsidP="00257468">
      <w:pPr>
        <w:spacing w:line="240" w:lineRule="auto"/>
        <w:jc w:val="both"/>
        <w:rPr>
          <w:rFonts w:ascii="Times New Roman" w:hAnsi="Times New Roman"/>
          <w:sz w:val="24"/>
          <w:szCs w:val="24"/>
        </w:rPr>
      </w:pPr>
      <w:r>
        <w:rPr>
          <w:noProof/>
          <w:lang w:val="en-GB" w:eastAsia="en-GB"/>
        </w:rPr>
        <w:drawing>
          <wp:inline distT="0" distB="0" distL="0" distR="0">
            <wp:extent cx="5397291" cy="2495550"/>
            <wp:effectExtent l="0" t="0" r="0" b="0"/>
            <wp:docPr id="229" name="Imagen 229" descr="Foto: En opinión de Lewis, la bolsa, los 'traders' y los bancos han manipulado la venta de acciones. (Corb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oto: En opinión de Lewis, la bolsa, los 'traders' y los bancos han manipulado la venta de acciones. (Corbis)"/>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496821"/>
                    </a:xfrm>
                    <a:prstGeom prst="rect">
                      <a:avLst/>
                    </a:prstGeom>
                    <a:noFill/>
                    <a:ln>
                      <a:noFill/>
                    </a:ln>
                  </pic:spPr>
                </pic:pic>
              </a:graphicData>
            </a:graphic>
          </wp:inline>
        </w:drawing>
      </w:r>
    </w:p>
    <w:p w:rsidR="007F56EB" w:rsidRDefault="007F56EB" w:rsidP="007F56EB">
      <w:pPr>
        <w:spacing w:line="240" w:lineRule="auto"/>
        <w:jc w:val="both"/>
        <w:rPr>
          <w:rFonts w:ascii="Times New Roman" w:hAnsi="Times New Roman"/>
          <w:sz w:val="24"/>
          <w:szCs w:val="24"/>
        </w:rPr>
      </w:pPr>
      <w:r w:rsidRPr="006352D7">
        <w:rPr>
          <w:rFonts w:ascii="Times New Roman" w:hAnsi="Times New Roman"/>
          <w:sz w:val="24"/>
          <w:szCs w:val="24"/>
        </w:rPr>
        <w:t>En su nuevo libro, Michael Lewis denunci</w:t>
      </w:r>
      <w:r>
        <w:rPr>
          <w:rFonts w:ascii="Times New Roman" w:hAnsi="Times New Roman"/>
          <w:sz w:val="24"/>
          <w:szCs w:val="24"/>
        </w:rPr>
        <w:t>a el sistema utilizado por los “traders”</w:t>
      </w:r>
      <w:r w:rsidRPr="006352D7">
        <w:rPr>
          <w:rFonts w:ascii="Times New Roman" w:hAnsi="Times New Roman"/>
          <w:sz w:val="24"/>
          <w:szCs w:val="24"/>
        </w:rPr>
        <w:t xml:space="preserve"> de alta velocidad para controlar el sistema y revender acciones rápidamente</w:t>
      </w:r>
    </w:p>
    <w:p w:rsidR="00257468" w:rsidRPr="001B4AA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 xml:space="preserve">Michael Lewis ha pasado de ser un autor de referencia para el sector económico a uno de los ensayistas más importantes a nivel global. A finales de los años ochenta, </w:t>
      </w:r>
      <w:r w:rsidRPr="001B4AA8">
        <w:rPr>
          <w:rFonts w:ascii="Times New Roman" w:hAnsi="Times New Roman"/>
          <w:sz w:val="24"/>
          <w:szCs w:val="24"/>
        </w:rPr>
        <w:lastRenderedPageBreak/>
        <w:t>describió su experiencia en Wall Street en El póquer del mentiroso (Alienta), y consiguió que Moneyball: Rompiendo las reglas, en el que analizaba el programa que permitió alcanzar el éxito al equipo de béisbol de Oakland, fuese adaptado al cine en una película protagonizada por Brad Pitt. Ahora vuelve al sector financiero con un libro que ya está dando mucho que hablar y en el que denuncia que el sector financiero “está amañado por una combinación de las bolsas, los grandes bancos de Wall Street y los traders de alta frecuencia (high frequency trading)”.</w:t>
      </w:r>
    </w:p>
    <w:p w:rsidR="00257468" w:rsidRPr="001B4AA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En concreto, Lewis detalla un sistema por el cual estos traders sacan provecho de las ventas de acciones ordinarias, inflando sus precios. “Voy a utilizar un ejemplo. Si yo soy un trader ordinario en un banco, o un inversor en Manhattan, e intento comprar acciones, pulso un botón que dice que voy a comprar 10.000 acciones de Microsoft”, explicó Lewis este pasado fin de semana en el programa de la CBS 60 minutos, actualmente presentado por Steve Kroft.</w:t>
      </w:r>
    </w:p>
    <w:p w:rsidR="00257468" w:rsidRPr="001B4AA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“La petición pasa por el túnel de Lincoln y llega a un lugar que se conoce como BATS”, prosiguió el autor de Flash Boys: a Wall Street Revolt (W.W. Norton &amp; Company), que ha sido publicado este martes. “Allí esperan los traders de alta frecuencia, que tienen algoritmos capaces de determinar qué es lo que quiero hacer”. En ese momento, compran las acciones que ha solicitado el minorista y las revenden a un mayor precio.</w:t>
      </w:r>
    </w:p>
    <w:p w:rsidR="00257468" w:rsidRPr="001B4AA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¿Están haciendo eso de verdad?, preguntaba Kroft, sorprendido ante la acusación. “Lo están haciendo, pero no para vencerme a mí, que es sencillo, sino para vencerse mutuamente”, explicaba Lewis, que recordaba que los traders ordinarios operan a una velocidad mucho menor que los de alta frecuencia, lo que permite que estos últimos saquen continuamente ventaja (y unos escasos céntimos) a sus competidores. Es lo que el autor denomina speed advantage, o ventaja por la velocidad, y que puede dirimirse en milésimas de segundo.</w:t>
      </w:r>
    </w:p>
    <w:p w:rsidR="00257468" w:rsidRPr="001B4AA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“Es más que suficiente para identificar aquello que vas a hacer y hacerlo antes que tú en tu perjuicio”, señaló Lewis en la entrevista en la cadena CBS. “Es front running legalizado”, concluyó el hombre que en su día recordó a los alumnos de Princeton que, en realidad, el éxito no está tan determinado por el esfuerzo o el talento sino por la suerte. “Es una locura que sea legal para ciertas personas tener noticias avanzadas sobre los precios y lo que los inversores piensan hacer. Es simplemente una chaladura. No debería ocurrir”.</w:t>
      </w:r>
    </w:p>
    <w:p w:rsidR="00257468" w:rsidRPr="001B4AA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Se trata de una tesis muy parecida a la que mantenía Robert Harris en El índice del miedo (Ed. Grijalbo), a partir de la cual explicaba cómo la dependencia del sector financiero de las máquinas podía conducir al cataclismo. Como abordamos en un artículo previo, el high frequency trading está definido por la “fuerza bruta”, tal y como aseguró un quant británico. “Cuanto más rápido sea tu ordenador, más rápido será tu programa. Estamos hablando de milisegundos, así que hasta la velocidad de la luz es significativa”.</w:t>
      </w:r>
    </w:p>
    <w:p w:rsidR="0025746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 xml:space="preserve">Ello también daba lugar a una feroz competencia entre estos sistemas de trading por operar con una mayor velocidad. Como explicaba Roberto P. Reizábal, un quant research trader, la calidad de los programas y la cercanía física respecto a los servidores son factores decisivos. “Cuando avanzas una orden, los mercados tienen la obligación de ejecutarla al mejor precio existente en los mercados. Lo que hacen estos programas es engañar a la orden para que la ejecute al peor de los precios existentes”. Algo muy </w:t>
      </w:r>
      <w:r w:rsidRPr="001B4AA8">
        <w:rPr>
          <w:rFonts w:ascii="Times New Roman" w:hAnsi="Times New Roman"/>
          <w:sz w:val="24"/>
          <w:szCs w:val="24"/>
        </w:rPr>
        <w:lastRenderedPageBreak/>
        <w:t>semejante a lo que Lewis averiguó de mano de Brad Katsuyama, del Royal Bank of Canada, el auténtico protagonista de Flash Boys.</w:t>
      </w:r>
    </w:p>
    <w:p w:rsidR="00257468" w:rsidRPr="001B4AA8" w:rsidRDefault="007F56EB" w:rsidP="00257468">
      <w:pPr>
        <w:spacing w:line="240" w:lineRule="auto"/>
        <w:jc w:val="both"/>
        <w:rPr>
          <w:rFonts w:ascii="Times New Roman" w:hAnsi="Times New Roman"/>
          <w:sz w:val="24"/>
          <w:szCs w:val="24"/>
        </w:rPr>
      </w:pPr>
      <w:r>
        <w:rPr>
          <w:rFonts w:ascii="Times New Roman" w:hAnsi="Times New Roman"/>
          <w:sz w:val="24"/>
          <w:szCs w:val="24"/>
        </w:rPr>
        <w:t xml:space="preserve">Algo pasa, y no sabes lo que es. </w:t>
      </w:r>
      <w:r w:rsidR="00257468" w:rsidRPr="001B4AA8">
        <w:rPr>
          <w:rFonts w:ascii="Times New Roman" w:hAnsi="Times New Roman"/>
          <w:sz w:val="24"/>
          <w:szCs w:val="24"/>
        </w:rPr>
        <w:t>Todo comenzó después de que el Royal Bank of Canada, para los que Katsuyama trabajaba, comprase Carlin Financial. Fue entonces cuando el banquero se dio cuenta de que algo no marchaba como debía en el mercado americano. De repente, sus programas dejaron de funcionar correctamente y las ofertas se desvanecían ante sus ojos, lo que le impidió realizar su trabajo correctamente. Para junio de 2007, era evidente que algo ocurría y recurrió a la solución final: llamar al servicio técnico, que lo tomó por loco.</w:t>
      </w:r>
    </w:p>
    <w:p w:rsidR="00257468" w:rsidRPr="001B4AA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 xml:space="preserve"> “Me dijeron que era porque yo estaba en Nueva York y los mercados estaban en Nueva Jersey, y mis datos de mercados eran lentos”, cuenta Katsuyama en un adelanto del volumen que se ha publicado en las páginas de The New York Times. Sin embargo, pronto se dieron cuenta de cómo el trader, que compraba grandes cantidades de acciones para sus clientes, cambiaba el mercado en el mismo momento en que pulsaba el botón de enter, haciendo desaparecer de su pantalla aquello que quería comprar. Cuando intercambió opiniones con otros inversores de Wall Street, se percató de que no era el único.</w:t>
      </w:r>
    </w:p>
    <w:p w:rsidR="00257468" w:rsidRPr="001B4AA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El siguiente paso para Katsuyama fue contratar a Rob Park, un talentoso informático, que le ayudó a averiguar qué estaba ocurriendo exactamente en el mercado americano. Cuantas más acciones intentaban comprar, menos estaban disponibles. Excepto en el caso de BATS, donde podían comprar todo aquello que querían. Fue entonces cuando se iluminó la bombilla de Katsuyama y Park. Los servidores de BATS eran los más cercanos geográficamente, y una orden podía tardar dos milisegundos en llegar, mientras que los restantes lo hacían en cuatro.</w:t>
      </w:r>
    </w:p>
    <w:p w:rsidR="00257468" w:rsidRPr="001B4AA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La solución fue diseñar un programa que retrasase las órdenes para igualar todas las velocidades, algo de lo que se encargó el programador Allen Zhang. Ello eliminaba la ventaja que unos bancos tenían sobre otros a la hora de utilizar la fibra óptica, y pronto, le dieron un nombre a este sistema más igualitario: Thor, que más tarde pasaría a configurar la red IEX, que ha sido respaldada por organizaciones como Goldman Sachs o Greenlight Capital. “Vendemos confianza. Vendemos transparencia”, señaló Katsuyama en el programa americano.</w:t>
      </w:r>
    </w:p>
    <w:p w:rsidR="00257468" w:rsidRPr="001B4AA8" w:rsidRDefault="007F56EB" w:rsidP="00257468">
      <w:pPr>
        <w:spacing w:line="240" w:lineRule="auto"/>
        <w:jc w:val="both"/>
        <w:rPr>
          <w:rFonts w:ascii="Times New Roman" w:hAnsi="Times New Roman"/>
          <w:sz w:val="24"/>
          <w:szCs w:val="24"/>
        </w:rPr>
      </w:pPr>
      <w:r>
        <w:rPr>
          <w:rFonts w:ascii="Times New Roman" w:hAnsi="Times New Roman"/>
          <w:sz w:val="24"/>
          <w:szCs w:val="24"/>
        </w:rPr>
        <w:t xml:space="preserve">Lewis, en medio de la polémica. </w:t>
      </w:r>
      <w:r w:rsidR="00257468" w:rsidRPr="001B4AA8">
        <w:rPr>
          <w:rFonts w:ascii="Times New Roman" w:hAnsi="Times New Roman"/>
          <w:sz w:val="24"/>
          <w:szCs w:val="24"/>
        </w:rPr>
        <w:t>No todo han sido parabienes, claro está, puesto que la red ha hecho dejar de ganar millones de dólares a los high frequency traders que se aprovechaban de esta diferencia entre velocidades. En Business Week, Peter Nabitch de Allston Trading, señalaba que Lewis había simplificado en exceso el funcionamiento del mercado. En una serie de tweets, William O’ Brien, CEO de BATS, aseguraba, después de leer el libro, que “es una demonización injusta de toda una industria con el fin de promover el modelo de negocio de una única firma”.</w:t>
      </w:r>
    </w:p>
    <w:p w:rsidR="00257468" w:rsidRDefault="00257468" w:rsidP="00257468">
      <w:pPr>
        <w:spacing w:line="240" w:lineRule="auto"/>
        <w:jc w:val="both"/>
        <w:rPr>
          <w:rFonts w:ascii="Times New Roman" w:hAnsi="Times New Roman"/>
          <w:sz w:val="24"/>
          <w:szCs w:val="24"/>
        </w:rPr>
      </w:pPr>
      <w:r w:rsidRPr="001B4AA8">
        <w:rPr>
          <w:rFonts w:ascii="Times New Roman" w:hAnsi="Times New Roman"/>
          <w:sz w:val="24"/>
          <w:szCs w:val="24"/>
        </w:rPr>
        <w:t>Otro de ellos es John Nunziata, de BNP Paribas. Al parecer, el banquero envío un correo electrónico a sus clientes en el que advertía de que Lewis es uno de los inversores de IEX. BNP aclaró, en unas declaraciones realizadas a Business Insider, que la información era errónea y que no representaba el punto de vista del banco. Por su parte, el propio Lewis publicó un mensaje en Facebook en el que afirmaba que no tenía ningún interés oculto con IEX. “¿Quién comienza un rumor en Wall Street?”, se preguntaba. “¿Por qué lo repite un gran banco? El nombre del tipo de BNP es John Nunziata. ¿Sabe su madre lo que hace para ganarse la vida?”.</w:t>
      </w:r>
    </w:p>
    <w:p w:rsidR="007F56EB" w:rsidRDefault="003E312E" w:rsidP="007F56E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7F56EB">
        <w:rPr>
          <w:rFonts w:ascii="Times New Roman" w:hAnsi="Times New Roman" w:cs="Times New Roman"/>
          <w:b/>
          <w:sz w:val="24"/>
          <w:szCs w:val="24"/>
        </w:rPr>
        <w:t>Fracaso fiscal: déficit y deuda pública</w:t>
      </w:r>
      <w:r>
        <w:rPr>
          <w:rFonts w:ascii="Times New Roman" w:hAnsi="Times New Roman" w:cs="Times New Roman"/>
          <w:b/>
          <w:sz w:val="24"/>
          <w:szCs w:val="24"/>
        </w:rPr>
        <w:t>,</w:t>
      </w:r>
      <w:r w:rsidR="007F56EB">
        <w:rPr>
          <w:rFonts w:ascii="Times New Roman" w:hAnsi="Times New Roman" w:cs="Times New Roman"/>
          <w:b/>
          <w:sz w:val="24"/>
          <w:szCs w:val="24"/>
        </w:rPr>
        <w:t xml:space="preserve"> “desbocados”</w:t>
      </w:r>
    </w:p>
    <w:p w:rsidR="00F5326B" w:rsidRPr="00F5326B" w:rsidRDefault="00F5326B" w:rsidP="00F5326B">
      <w:pPr>
        <w:shd w:val="clear" w:color="auto" w:fill="FFFFFF"/>
        <w:spacing w:after="30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F5326B">
        <w:rPr>
          <w:rFonts w:ascii="Times New Roman" w:eastAsia="Times New Roman" w:hAnsi="Times New Roman" w:cs="Times New Roman"/>
          <w:i/>
          <w:sz w:val="24"/>
          <w:szCs w:val="24"/>
        </w:rPr>
        <w:t>A menudo nos referimos al gobierno de Estados Unidos como uno de los más endeudados del mundo. Pero ¿cuánto dinero adeuda la primera economía del mundo a sus acreedores? Según el Departamento del Tesoro, esta cifra se acercaba a los 18 billones de dólares en 2014. Sin embargo, la deuda en manos del público desciende hasta los 13 billones de dólares…</w:t>
      </w:r>
    </w:p>
    <w:p w:rsidR="00F5326B" w:rsidRPr="00F5326B" w:rsidRDefault="00F5326B" w:rsidP="00F5326B">
      <w:pPr>
        <w:shd w:val="clear" w:color="auto" w:fill="FFFFFF"/>
        <w:spacing w:after="300" w:line="240" w:lineRule="auto"/>
        <w:jc w:val="both"/>
        <w:textAlignment w:val="baseline"/>
        <w:rPr>
          <w:rFonts w:ascii="Times New Roman" w:eastAsia="Times New Roman" w:hAnsi="Times New Roman" w:cs="Times New Roman"/>
          <w:i/>
          <w:sz w:val="24"/>
          <w:szCs w:val="24"/>
        </w:rPr>
      </w:pPr>
      <w:r w:rsidRPr="00F5326B">
        <w:rPr>
          <w:rFonts w:ascii="Times New Roman" w:eastAsia="Times New Roman" w:hAnsi="Times New Roman" w:cs="Times New Roman"/>
          <w:i/>
          <w:sz w:val="24"/>
          <w:szCs w:val="24"/>
        </w:rPr>
        <w:t>En la actualidad, la cifra más utilizada se refiere a la deuda pública bruta, que en 2014 alcanzó los 17,79 billones de dólares, el equivalente al 102,6% del PIB de EEUU. Ésta se ha triplicado durante los últimos 14 años, ya que a comienzos de siglo se situaba en los 5,62 billones de dólares, es decir, el 54,7% del PIB. Según la OCDE, la deuda local y de los gobiernos estatales de EEUU ascendió en 2014 hasta los 2,94 billones de dólares, el 35,5% del PIB…</w:t>
      </w:r>
    </w:p>
    <w:p w:rsidR="00F5326B" w:rsidRDefault="00F5326B" w:rsidP="00F5326B">
      <w:pPr>
        <w:shd w:val="clear" w:color="auto" w:fill="FFFFFF"/>
        <w:spacing w:after="300" w:line="240" w:lineRule="auto"/>
        <w:jc w:val="both"/>
        <w:textAlignment w:val="baseline"/>
        <w:rPr>
          <w:rFonts w:ascii="Times New Roman" w:hAnsi="Times New Roman" w:cs="Times New Roman"/>
          <w:sz w:val="24"/>
          <w:szCs w:val="24"/>
        </w:rPr>
      </w:pPr>
      <w:r w:rsidRPr="00F5326B">
        <w:rPr>
          <w:rFonts w:ascii="Times New Roman" w:eastAsia="Times New Roman" w:hAnsi="Times New Roman" w:cs="Times New Roman"/>
          <w:i/>
          <w:sz w:val="24"/>
          <w:szCs w:val="24"/>
        </w:rPr>
        <w:t>“Lo que reflejan las distintas variables es que el gobierno de EEUU ha acumulado pasivos a un ritmo mayor que el de su crecimiento económico durante los últimos 14 años, con un incremento especialmente notable a partir de la crisis financiera de 2008”, señalan Friedman y Wright en un análisis elaborado por la Fed de Chicago</w:t>
      </w:r>
      <w:r>
        <w:rPr>
          <w:rFonts w:ascii="Times New Roman" w:eastAsia="Times New Roman" w:hAnsi="Times New Roman" w:cs="Times New Roman"/>
          <w:i/>
          <w:sz w:val="24"/>
          <w:szCs w:val="24"/>
        </w:rPr>
        <w:t xml:space="preserve">”… </w:t>
      </w:r>
      <w:r w:rsidR="00455939" w:rsidRPr="0015274A">
        <w:rPr>
          <w:rFonts w:ascii="Times New Roman" w:hAnsi="Times New Roman" w:cs="Times New Roman"/>
          <w:sz w:val="24"/>
          <w:szCs w:val="24"/>
        </w:rPr>
        <w:t>¿</w:t>
      </w:r>
      <w:r w:rsidR="00455939" w:rsidRPr="0015274A">
        <w:rPr>
          <w:rFonts w:ascii="Times New Roman" w:hAnsi="Times New Roman" w:cs="Times New Roman"/>
          <w:sz w:val="24"/>
          <w:szCs w:val="24"/>
          <w:u w:val="single"/>
        </w:rPr>
        <w:t>Hasta dónde asciende la deuda del gobierno de Estados Unidos</w:t>
      </w:r>
      <w:r w:rsidR="00455939" w:rsidRPr="0015274A">
        <w:rPr>
          <w:rFonts w:ascii="Times New Roman" w:hAnsi="Times New Roman" w:cs="Times New Roman"/>
          <w:sz w:val="24"/>
          <w:szCs w:val="24"/>
        </w:rPr>
        <w:t>?</w:t>
      </w:r>
      <w:r w:rsidR="00455939">
        <w:rPr>
          <w:rFonts w:ascii="Times New Roman" w:hAnsi="Times New Roman" w:cs="Times New Roman"/>
          <w:sz w:val="24"/>
          <w:szCs w:val="24"/>
        </w:rPr>
        <w:t xml:space="preserve"> (El Economista - </w:t>
      </w:r>
      <w:r w:rsidR="00455939" w:rsidRPr="0015274A">
        <w:rPr>
          <w:rFonts w:ascii="Times New Roman" w:hAnsi="Times New Roman" w:cs="Times New Roman"/>
          <w:b/>
          <w:sz w:val="24"/>
          <w:szCs w:val="24"/>
        </w:rPr>
        <w:t>14/3/16</w:t>
      </w:r>
      <w:r w:rsidR="00455939">
        <w:rPr>
          <w:rFonts w:ascii="Times New Roman" w:hAnsi="Times New Roman" w:cs="Times New Roman"/>
          <w:sz w:val="24"/>
          <w:szCs w:val="24"/>
        </w:rPr>
        <w:t>)</w:t>
      </w:r>
    </w:p>
    <w:p w:rsidR="00455939" w:rsidRDefault="00455939" w:rsidP="00F5326B">
      <w:pPr>
        <w:shd w:val="clear" w:color="auto" w:fill="FFFFFF"/>
        <w:spacing w:after="300" w:line="240" w:lineRule="auto"/>
        <w:jc w:val="both"/>
        <w:textAlignment w:val="baseline"/>
        <w:rPr>
          <w:rFonts w:ascii="Times New Roman" w:hAnsi="Times New Roman" w:cs="Times New Roman"/>
          <w:sz w:val="24"/>
          <w:szCs w:val="24"/>
        </w:rPr>
      </w:pPr>
    </w:p>
    <w:p w:rsidR="00455939" w:rsidRDefault="00455939" w:rsidP="00F5326B">
      <w:pPr>
        <w:shd w:val="clear" w:color="auto" w:fill="FFFFFF"/>
        <w:spacing w:after="300" w:line="240" w:lineRule="auto"/>
        <w:jc w:val="both"/>
        <w:textAlignment w:val="baseline"/>
        <w:rPr>
          <w:rFonts w:ascii="Times New Roman" w:eastAsia="Times New Roman" w:hAnsi="Times New Roman" w:cs="Times New Roman"/>
          <w:i/>
          <w:sz w:val="24"/>
          <w:szCs w:val="24"/>
        </w:rPr>
      </w:pPr>
      <w:r w:rsidRPr="0015274A">
        <w:rPr>
          <w:rFonts w:ascii="Times New Roman" w:eastAsia="Times New Roman" w:hAnsi="Times New Roman" w:cs="Times New Roman"/>
          <w:noProof/>
          <w:color w:val="000000"/>
          <w:sz w:val="24"/>
          <w:szCs w:val="24"/>
          <w:lang w:val="en-GB" w:eastAsia="en-GB"/>
        </w:rPr>
        <w:drawing>
          <wp:inline distT="0" distB="0" distL="0" distR="0">
            <wp:extent cx="5397500" cy="4451350"/>
            <wp:effectExtent l="0" t="0" r="0" b="6350"/>
            <wp:docPr id="216" name="Imagen 216" descr="http://s03.s3c.es/imag/_v0/593x676/8/a/e/deuda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593x676/8/a/e/deudaeeuu.jpg"/>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453445"/>
                    </a:xfrm>
                    <a:prstGeom prst="rect">
                      <a:avLst/>
                    </a:prstGeom>
                    <a:noFill/>
                    <a:ln>
                      <a:noFill/>
                    </a:ln>
                  </pic:spPr>
                </pic:pic>
              </a:graphicData>
            </a:graphic>
          </wp:inline>
        </w:drawing>
      </w:r>
    </w:p>
    <w:p w:rsidR="00455939" w:rsidRDefault="00455939" w:rsidP="00455939">
      <w:pPr>
        <w:spacing w:line="240" w:lineRule="auto"/>
        <w:jc w:val="both"/>
        <w:rPr>
          <w:rFonts w:ascii="Times New Roman" w:hAnsi="Times New Roman" w:cs="Times New Roman"/>
          <w:b/>
          <w:sz w:val="24"/>
          <w:szCs w:val="24"/>
        </w:rPr>
      </w:pPr>
      <w:r w:rsidRPr="005C3C2E">
        <w:rPr>
          <w:rFonts w:ascii="Times New Roman" w:hAnsi="Times New Roman" w:cs="Times New Roman"/>
          <w:b/>
          <w:sz w:val="24"/>
          <w:szCs w:val="24"/>
        </w:rPr>
        <w:lastRenderedPageBreak/>
        <w:t xml:space="preserve">El </w:t>
      </w:r>
      <w:r>
        <w:rPr>
          <w:rFonts w:ascii="Times New Roman" w:hAnsi="Times New Roman" w:cs="Times New Roman"/>
          <w:b/>
          <w:sz w:val="24"/>
          <w:szCs w:val="24"/>
        </w:rPr>
        <w:t>d</w:t>
      </w:r>
      <w:r w:rsidRPr="005C3C2E">
        <w:rPr>
          <w:rFonts w:ascii="Times New Roman" w:hAnsi="Times New Roman" w:cs="Times New Roman"/>
          <w:b/>
          <w:sz w:val="24"/>
          <w:szCs w:val="24"/>
        </w:rPr>
        <w:t>éficit público en los países del euro</w:t>
      </w:r>
    </w:p>
    <w:p w:rsidR="00455939" w:rsidRPr="005C3C2E" w:rsidRDefault="00455939" w:rsidP="00455939">
      <w:pPr>
        <w:spacing w:line="240" w:lineRule="auto"/>
        <w:jc w:val="both"/>
        <w:rPr>
          <w:rFonts w:ascii="Times New Roman" w:hAnsi="Times New Roman" w:cs="Times New Roman"/>
          <w:b/>
          <w:sz w:val="24"/>
          <w:szCs w:val="24"/>
        </w:rPr>
      </w:pPr>
    </w:p>
    <w:p w:rsidR="00455939" w:rsidRDefault="00455939" w:rsidP="00F5326B">
      <w:pPr>
        <w:shd w:val="clear" w:color="auto" w:fill="FFFFFF"/>
        <w:spacing w:after="300" w:line="240" w:lineRule="auto"/>
        <w:jc w:val="both"/>
        <w:textAlignment w:val="baseline"/>
        <w:rPr>
          <w:rFonts w:ascii="Times New Roman" w:eastAsia="Times New Roman" w:hAnsi="Times New Roman" w:cs="Times New Roman"/>
          <w:sz w:val="24"/>
          <w:szCs w:val="24"/>
        </w:rPr>
      </w:pPr>
      <w:r>
        <w:rPr>
          <w:noProof/>
          <w:lang w:val="en-GB" w:eastAsia="en-GB"/>
        </w:rPr>
        <w:drawing>
          <wp:inline distT="0" distB="0" distL="0" distR="0">
            <wp:extent cx="5390966" cy="2914650"/>
            <wp:effectExtent l="0" t="0" r="635" b="0"/>
            <wp:docPr id="9" name="Imagen 9" descr="Déficit de los países del eu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éficit de los países del euro"/>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919556"/>
                    </a:xfrm>
                    <a:prstGeom prst="rect">
                      <a:avLst/>
                    </a:prstGeom>
                    <a:noFill/>
                    <a:ln>
                      <a:noFill/>
                    </a:ln>
                  </pic:spPr>
                </pic:pic>
              </a:graphicData>
            </a:graphic>
          </wp:inline>
        </w:drawing>
      </w:r>
    </w:p>
    <w:p w:rsidR="00455939" w:rsidRDefault="00455939" w:rsidP="00F5326B">
      <w:pPr>
        <w:shd w:val="clear" w:color="auto" w:fill="FFFFFF"/>
        <w:spacing w:after="300" w:line="240" w:lineRule="auto"/>
        <w:jc w:val="both"/>
        <w:textAlignment w:val="baseline"/>
        <w:rPr>
          <w:rFonts w:ascii="Times New Roman" w:eastAsia="Times New Roman" w:hAnsi="Times New Roman" w:cs="Times New Roman"/>
          <w:sz w:val="24"/>
          <w:szCs w:val="24"/>
        </w:rPr>
      </w:pPr>
    </w:p>
    <w:p w:rsidR="00455939" w:rsidRPr="00455939" w:rsidRDefault="00455939" w:rsidP="00F5326B">
      <w:pPr>
        <w:shd w:val="clear" w:color="auto" w:fill="FFFFFF"/>
        <w:spacing w:after="300" w:line="240" w:lineRule="auto"/>
        <w:jc w:val="both"/>
        <w:textAlignment w:val="baseline"/>
        <w:rPr>
          <w:rFonts w:ascii="Times New Roman" w:eastAsia="Times New Roman" w:hAnsi="Times New Roman" w:cs="Times New Roman"/>
          <w:sz w:val="24"/>
          <w:szCs w:val="24"/>
        </w:rPr>
      </w:pPr>
      <w:r w:rsidRPr="00002F88">
        <w:rPr>
          <w:noProof/>
          <w:color w:val="1883BA"/>
          <w:bdr w:val="none" w:sz="0" w:space="0" w:color="auto" w:frame="1"/>
          <w:lang w:val="en-GB" w:eastAsia="en-GB"/>
        </w:rPr>
        <w:drawing>
          <wp:inline distT="0" distB="0" distL="0" distR="0">
            <wp:extent cx="5396662" cy="4438650"/>
            <wp:effectExtent l="0" t="0" r="0" b="0"/>
            <wp:docPr id="10" name="Imagen 10" descr="http://s.libertaddigital.com/2016/04/21/def-eu15.jp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2016/04/21/def-eu15.jp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441428"/>
                    </a:xfrm>
                    <a:prstGeom prst="rect">
                      <a:avLst/>
                    </a:prstGeom>
                    <a:noFill/>
                    <a:ln>
                      <a:noFill/>
                    </a:ln>
                  </pic:spPr>
                </pic:pic>
              </a:graphicData>
            </a:graphic>
          </wp:inline>
        </w:drawing>
      </w:r>
    </w:p>
    <w:p w:rsidR="00455939" w:rsidRPr="00F5326B" w:rsidRDefault="00455939" w:rsidP="00F5326B">
      <w:pPr>
        <w:shd w:val="clear" w:color="auto" w:fill="FFFFFF"/>
        <w:spacing w:after="300" w:line="240" w:lineRule="auto"/>
        <w:jc w:val="both"/>
        <w:textAlignment w:val="baseline"/>
        <w:rPr>
          <w:rFonts w:ascii="Times New Roman" w:eastAsia="Times New Roman" w:hAnsi="Times New Roman" w:cs="Times New Roman"/>
          <w:i/>
          <w:sz w:val="24"/>
          <w:szCs w:val="24"/>
        </w:rPr>
      </w:pPr>
    </w:p>
    <w:p w:rsidR="00F5326B" w:rsidRDefault="00455939" w:rsidP="00F5326B">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rPr>
      </w:pPr>
      <w:r>
        <w:rPr>
          <w:noProof/>
          <w:lang w:val="en-GB" w:eastAsia="en-GB"/>
        </w:rPr>
        <w:lastRenderedPageBreak/>
        <w:drawing>
          <wp:inline distT="0" distB="0" distL="0" distR="0">
            <wp:extent cx="5321300" cy="2463800"/>
            <wp:effectExtent l="0" t="0" r="0" b="0"/>
            <wp:docPr id="227" name="Imagen 227" descr="http://s.libertaddigital.com/2016/09/01/ufbc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libertaddigital.com/2016/09/01/ufbce8.jpg"/>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1300" cy="2463800"/>
                    </a:xfrm>
                    <a:prstGeom prst="rect">
                      <a:avLst/>
                    </a:prstGeom>
                    <a:noFill/>
                    <a:ln>
                      <a:noFill/>
                    </a:ln>
                  </pic:spPr>
                </pic:pic>
              </a:graphicData>
            </a:graphic>
          </wp:inline>
        </w:drawing>
      </w:r>
    </w:p>
    <w:p w:rsidR="00455939" w:rsidRPr="00332C23" w:rsidRDefault="00455939" w:rsidP="00455939">
      <w:pPr>
        <w:pStyle w:val="NormalWeb"/>
        <w:shd w:val="clear" w:color="auto" w:fill="FFFFFF"/>
        <w:spacing w:before="0" w:beforeAutospacing="0" w:after="360" w:afterAutospacing="0"/>
        <w:jc w:val="both"/>
        <w:textAlignment w:val="baseline"/>
        <w:rPr>
          <w:color w:val="000000"/>
        </w:rPr>
      </w:pPr>
      <w:r w:rsidRPr="00332C23">
        <w:rPr>
          <w:color w:val="000000"/>
        </w:rPr>
        <w:t>En el conjunto de la Eurozona, el déficit público cayó desde el 2,6% de 2014 hasta el 2,1% del año pasado, mientras que en toda la UE se redujo desde el 3% hasta el 2,4%.</w:t>
      </w:r>
      <w:r w:rsidRPr="00332C23">
        <w:rPr>
          <w:rStyle w:val="apple-converted-space"/>
          <w:color w:val="000000"/>
        </w:rPr>
        <w:t> </w:t>
      </w:r>
      <w:r w:rsidRPr="00332C23">
        <w:rPr>
          <w:rStyle w:val="Textoennegrita"/>
          <w:b w:val="0"/>
          <w:color w:val="000000"/>
        </w:rPr>
        <w:t>Tan sólo tres países registraron superávits presupuestarios en 2015</w:t>
      </w:r>
      <w:r w:rsidRPr="00332C23">
        <w:rPr>
          <w:b/>
          <w:color w:val="000000"/>
        </w:rPr>
        <w:t>:</w:t>
      </w:r>
      <w:r w:rsidRPr="00332C23">
        <w:rPr>
          <w:color w:val="000000"/>
        </w:rPr>
        <w:t xml:space="preserve"> Luxemburgo (1,2%), Alemania (0,7%) y Estonia (0,4%), mientras que Suecia registró un equilibrio en sus cuentas. Los déficits más bajos fueron los de Lituania (-0,2%), República Checa (-0,4%), Rumanía (-0,7%) y Chipre (-1%).</w:t>
      </w:r>
    </w:p>
    <w:p w:rsidR="00455939" w:rsidRPr="00332C23" w:rsidRDefault="00455939" w:rsidP="00455939">
      <w:pPr>
        <w:pStyle w:val="NormalWeb"/>
        <w:shd w:val="clear" w:color="auto" w:fill="FFFFFF"/>
        <w:spacing w:before="0" w:beforeAutospacing="0" w:after="360" w:afterAutospacing="0"/>
        <w:jc w:val="both"/>
        <w:textAlignment w:val="baseline"/>
        <w:rPr>
          <w:color w:val="000000"/>
        </w:rPr>
      </w:pPr>
      <w:r w:rsidRPr="00332C23">
        <w:rPr>
          <w:color w:val="000000"/>
        </w:rPr>
        <w:t>En la zona euro el ratio de deuda pública descendió hasta el 90,7% en 2015, mientras que en el conjunto de la UE cayó más de un punto, hasta el 85,2%. Los menores ratios de deuda pública sobre el PIB fueron los de Estonia (9,7%), Luxemburgo (21,4%), Bulgaria (26,7%), Letonia (36,4%) y Rumanía (38,4%). No obstante, un total de</w:t>
      </w:r>
      <w:r w:rsidRPr="00332C23">
        <w:rPr>
          <w:rStyle w:val="apple-converted-space"/>
          <w:color w:val="000000"/>
        </w:rPr>
        <w:t> </w:t>
      </w:r>
      <w:r w:rsidRPr="00332C23">
        <w:rPr>
          <w:rStyle w:val="Textoennegrita"/>
          <w:color w:val="000000"/>
        </w:rPr>
        <w:t xml:space="preserve">17 </w:t>
      </w:r>
      <w:r w:rsidRPr="00332C23">
        <w:rPr>
          <w:rStyle w:val="Textoennegrita"/>
          <w:b w:val="0"/>
          <w:color w:val="000000"/>
        </w:rPr>
        <w:t>Estados miembros tienen deuda pública por encima del 60%</w:t>
      </w:r>
      <w:r w:rsidRPr="00332C23">
        <w:rPr>
          <w:rStyle w:val="apple-converted-space"/>
          <w:color w:val="000000"/>
        </w:rPr>
        <w:t> </w:t>
      </w:r>
      <w:r w:rsidRPr="00332C23">
        <w:rPr>
          <w:color w:val="000000"/>
        </w:rPr>
        <w:t>de su PIB, con las cifras más altas en Grecia (176,9%), Italia (132,7%), Portugal (129%), Chipre (108,9%) y Bélgica (106%).</w:t>
      </w:r>
    </w:p>
    <w:p w:rsidR="00455939" w:rsidRPr="00455939" w:rsidRDefault="00455939" w:rsidP="00F5326B">
      <w:pPr>
        <w:shd w:val="clear" w:color="auto" w:fill="FFFFFF"/>
        <w:spacing w:after="300" w:line="240" w:lineRule="auto"/>
        <w:jc w:val="both"/>
        <w:textAlignment w:val="baseline"/>
        <w:rPr>
          <w:rFonts w:ascii="Times New Roman" w:eastAsia="Times New Roman" w:hAnsi="Times New Roman" w:cs="Times New Roman"/>
          <w:b/>
          <w:sz w:val="24"/>
          <w:szCs w:val="24"/>
        </w:rPr>
      </w:pPr>
      <w:r w:rsidRPr="00455939">
        <w:rPr>
          <w:rFonts w:ascii="Times New Roman" w:eastAsia="Times New Roman" w:hAnsi="Times New Roman" w:cs="Times New Roman"/>
          <w:b/>
          <w:sz w:val="24"/>
          <w:szCs w:val="24"/>
        </w:rPr>
        <w:t>Deuda pública en circulación</w:t>
      </w:r>
      <w:r>
        <w:rPr>
          <w:rFonts w:ascii="Times New Roman" w:eastAsia="Times New Roman" w:hAnsi="Times New Roman" w:cs="Times New Roman"/>
          <w:b/>
          <w:sz w:val="24"/>
          <w:szCs w:val="24"/>
        </w:rPr>
        <w:t xml:space="preserve"> (en los principales países)</w:t>
      </w:r>
    </w:p>
    <w:p w:rsidR="00F5326B" w:rsidRPr="00455939" w:rsidRDefault="00455939" w:rsidP="00455939">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rPr>
      </w:pPr>
      <w:r>
        <w:rPr>
          <w:rFonts w:ascii="Arial" w:hAnsi="Arial" w:cs="Arial"/>
          <w:noProof/>
          <w:color w:val="333333"/>
          <w:sz w:val="15"/>
          <w:szCs w:val="15"/>
          <w:lang w:val="en-GB" w:eastAsia="en-GB"/>
        </w:rPr>
        <w:drawing>
          <wp:inline distT="0" distB="0" distL="0" distR="0">
            <wp:extent cx="3587750" cy="3124200"/>
            <wp:effectExtent l="0" t="0" r="0" b="0"/>
            <wp:docPr id="226" name="Imagen 226" descr="https://si.wsj.net/public/resources/images/AO-AB274_wsjamd_NS_20160904194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i.wsj.net/public/resources/images/AO-AB274_wsjamd_NS_20160904194824.jpg"/>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7750" cy="3124200"/>
                    </a:xfrm>
                    <a:prstGeom prst="rect">
                      <a:avLst/>
                    </a:prstGeom>
                    <a:noFill/>
                    <a:ln>
                      <a:noFill/>
                    </a:ln>
                  </pic:spPr>
                </pic:pic>
              </a:graphicData>
            </a:graphic>
          </wp:inline>
        </w:drawing>
      </w:r>
    </w:p>
    <w:p w:rsidR="00455939" w:rsidRDefault="00455939" w:rsidP="00257468">
      <w:pPr>
        <w:shd w:val="clear" w:color="auto" w:fill="FFFFFF"/>
        <w:spacing w:after="270" w:line="240" w:lineRule="auto"/>
        <w:jc w:val="both"/>
        <w:textAlignment w:val="baseline"/>
        <w:rPr>
          <w:rFonts w:ascii="Times New Roman" w:eastAsia="Times New Roman" w:hAnsi="Times New Roman"/>
          <w:sz w:val="24"/>
          <w:szCs w:val="24"/>
          <w:u w:val="single"/>
        </w:rPr>
        <w:sectPr w:rsidR="00455939">
          <w:pgSz w:w="11906" w:h="16838"/>
          <w:pgMar w:top="1417" w:right="1701" w:bottom="1417" w:left="1701" w:header="708" w:footer="708" w:gutter="0"/>
          <w:cols w:space="708"/>
          <w:docGrid w:linePitch="360"/>
        </w:sectPr>
      </w:pPr>
    </w:p>
    <w:p w:rsidR="00455939" w:rsidRDefault="00455939" w:rsidP="00257468">
      <w:pPr>
        <w:shd w:val="clear" w:color="auto" w:fill="FFFFFF"/>
        <w:spacing w:after="270" w:line="240" w:lineRule="auto"/>
        <w:jc w:val="both"/>
        <w:textAlignment w:val="baseline"/>
        <w:rPr>
          <w:rFonts w:ascii="Times New Roman" w:eastAsia="Times New Roman" w:hAnsi="Times New Roman"/>
          <w:sz w:val="24"/>
          <w:szCs w:val="24"/>
          <w:u w:val="single"/>
        </w:rPr>
        <w:sectPr w:rsidR="00455939" w:rsidSect="00455939">
          <w:pgSz w:w="16838" w:h="11906" w:orient="landscape"/>
          <w:pgMar w:top="1701" w:right="1418" w:bottom="1701" w:left="1418" w:header="709" w:footer="709" w:gutter="0"/>
          <w:cols w:space="708"/>
          <w:docGrid w:linePitch="360"/>
        </w:sectPr>
      </w:pPr>
      <w:r>
        <w:rPr>
          <w:noProof/>
          <w:lang w:val="en-GB" w:eastAsia="en-GB"/>
        </w:rPr>
        <w:lastRenderedPageBreak/>
        <w:drawing>
          <wp:inline distT="0" distB="0" distL="0" distR="0">
            <wp:extent cx="8885507" cy="5880100"/>
            <wp:effectExtent l="0" t="0" r="0" b="6350"/>
            <wp:docPr id="217" name="Imagen 217"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91270" cy="5883914"/>
                    </a:xfrm>
                    <a:prstGeom prst="rect">
                      <a:avLst/>
                    </a:prstGeom>
                    <a:noFill/>
                    <a:ln>
                      <a:noFill/>
                    </a:ln>
                  </pic:spPr>
                </pic:pic>
              </a:graphicData>
            </a:graphic>
          </wp:inline>
        </w:drawing>
      </w:r>
    </w:p>
    <w:p w:rsidR="00EF79E1" w:rsidRDefault="003E312E" w:rsidP="00EF79E1">
      <w:pPr>
        <w:spacing w:before="150" w:after="15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EF79E1">
        <w:rPr>
          <w:rFonts w:ascii="Times New Roman" w:hAnsi="Times New Roman" w:cs="Times New Roman"/>
          <w:b/>
          <w:sz w:val="24"/>
          <w:szCs w:val="24"/>
        </w:rPr>
        <w:t>Fracaso tributario: ingeniería fiscal de las</w:t>
      </w:r>
      <w:r>
        <w:rPr>
          <w:rFonts w:ascii="Times New Roman" w:hAnsi="Times New Roman" w:cs="Times New Roman"/>
          <w:b/>
          <w:sz w:val="24"/>
          <w:szCs w:val="24"/>
        </w:rPr>
        <w:t xml:space="preserve"> grandes</w:t>
      </w:r>
      <w:r w:rsidR="00EF79E1">
        <w:rPr>
          <w:rFonts w:ascii="Times New Roman" w:hAnsi="Times New Roman" w:cs="Times New Roman"/>
          <w:b/>
          <w:sz w:val="24"/>
          <w:szCs w:val="24"/>
        </w:rPr>
        <w:t xml:space="preserve"> corporaciones</w:t>
      </w:r>
      <w:r>
        <w:rPr>
          <w:rFonts w:ascii="Times New Roman" w:hAnsi="Times New Roman" w:cs="Times New Roman"/>
          <w:b/>
          <w:sz w:val="24"/>
          <w:szCs w:val="24"/>
        </w:rPr>
        <w:t xml:space="preserve"> multinacionales</w:t>
      </w:r>
      <w:r w:rsidR="00EF79E1">
        <w:rPr>
          <w:rFonts w:ascii="Times New Roman" w:hAnsi="Times New Roman" w:cs="Times New Roman"/>
          <w:b/>
          <w:sz w:val="24"/>
          <w:szCs w:val="24"/>
        </w:rPr>
        <w:t xml:space="preserve"> para no pagar impuestos</w:t>
      </w:r>
    </w:p>
    <w:p w:rsidR="00EF79E1" w:rsidRPr="00EF79E1" w:rsidRDefault="00EF79E1" w:rsidP="00EF79E1">
      <w:pPr>
        <w:spacing w:line="240" w:lineRule="auto"/>
        <w:jc w:val="both"/>
        <w:rPr>
          <w:rFonts w:ascii="Times New Roman" w:hAnsi="Times New Roman"/>
          <w:i/>
          <w:sz w:val="24"/>
          <w:szCs w:val="24"/>
        </w:rPr>
      </w:pPr>
      <w:r>
        <w:rPr>
          <w:rFonts w:ascii="Times New Roman" w:hAnsi="Times New Roman"/>
          <w:i/>
          <w:sz w:val="24"/>
          <w:szCs w:val="24"/>
        </w:rPr>
        <w:t>“</w:t>
      </w:r>
      <w:r w:rsidRPr="00EF79E1">
        <w:rPr>
          <w:rFonts w:ascii="Times New Roman" w:hAnsi="Times New Roman"/>
          <w:i/>
          <w:sz w:val="24"/>
          <w:szCs w:val="24"/>
        </w:rPr>
        <w:t>La decisión de la Unión Europea de exigir a Irlanda que recupere casi 13.000 millones de euros (unos US$ 14.500 millones) en impuestos que Apple Inc. se habría ahorrado durante una década no sólo es un dolor de cabeza para el gigante de Silicon Valley y el país celta, sino que puede ahondar el conflicto entre Estados Unidos y la UE sobre el escrutinio del bloque a las prácticas fiscales de firmas estadounidenses.</w:t>
      </w:r>
    </w:p>
    <w:p w:rsidR="00EF79E1" w:rsidRPr="00EF79E1" w:rsidRDefault="00EF79E1" w:rsidP="00EF79E1">
      <w:pPr>
        <w:spacing w:line="240" w:lineRule="auto"/>
        <w:jc w:val="both"/>
        <w:rPr>
          <w:rFonts w:ascii="Times New Roman" w:hAnsi="Times New Roman"/>
          <w:i/>
          <w:sz w:val="24"/>
          <w:szCs w:val="24"/>
        </w:rPr>
      </w:pPr>
      <w:r w:rsidRPr="00EF79E1">
        <w:rPr>
          <w:rFonts w:ascii="Times New Roman" w:hAnsi="Times New Roman"/>
          <w:i/>
          <w:sz w:val="24"/>
          <w:szCs w:val="24"/>
        </w:rPr>
        <w:t>La magnitud del monto exigido en una decisión formal de los reguladores antimonopolio también sonó las alertas de las multinacionales que ahora pueden tener que pagar grandes sumas por impuestos que presuntamente evitaron pagar.</w:t>
      </w:r>
    </w:p>
    <w:p w:rsidR="00EF79E1" w:rsidRDefault="00EF79E1" w:rsidP="00EF79E1">
      <w:pPr>
        <w:shd w:val="clear" w:color="auto" w:fill="FFFFFF"/>
        <w:spacing w:before="270" w:after="0" w:line="240" w:lineRule="auto"/>
        <w:jc w:val="both"/>
        <w:textAlignment w:val="baseline"/>
        <w:rPr>
          <w:rFonts w:ascii="Times New Roman" w:eastAsia="Times New Roman" w:hAnsi="Times New Roman"/>
          <w:sz w:val="24"/>
          <w:szCs w:val="24"/>
        </w:rPr>
      </w:pPr>
      <w:r w:rsidRPr="00EF79E1">
        <w:rPr>
          <w:rFonts w:ascii="Times New Roman" w:hAnsi="Times New Roman"/>
          <w:i/>
          <w:sz w:val="24"/>
          <w:szCs w:val="24"/>
        </w:rPr>
        <w:t>Se trata del mayor pago exigido bajo las normas de la UE que prohíben que las empresas obtengan ventajas competitivas frente a sus rivales a través de la ayuda de algún gobierno</w:t>
      </w:r>
      <w:r>
        <w:rPr>
          <w:rFonts w:ascii="Times New Roman" w:hAnsi="Times New Roman"/>
          <w:i/>
          <w:sz w:val="24"/>
          <w:szCs w:val="24"/>
        </w:rPr>
        <w:t>”..</w:t>
      </w:r>
      <w:r w:rsidRPr="00EF79E1">
        <w:rPr>
          <w:rFonts w:ascii="Times New Roman" w:hAnsi="Times New Roman"/>
          <w:i/>
          <w:sz w:val="24"/>
          <w:szCs w:val="24"/>
        </w:rPr>
        <w:t>.</w:t>
      </w:r>
      <w:r w:rsidRPr="00190A33">
        <w:rPr>
          <w:rFonts w:ascii="Times New Roman" w:eastAsia="Times New Roman" w:hAnsi="Times New Roman"/>
          <w:sz w:val="24"/>
          <w:szCs w:val="24"/>
          <w:u w:val="single"/>
        </w:rPr>
        <w:t>La ofensiva europea contra Apple alarma a otras multinacionales</w:t>
      </w:r>
      <w:r>
        <w:rPr>
          <w:rFonts w:ascii="Times New Roman" w:eastAsia="Times New Roman" w:hAnsi="Times New Roman"/>
          <w:sz w:val="24"/>
          <w:szCs w:val="24"/>
        </w:rPr>
        <w:t xml:space="preserve"> (The Wall Street Journal - </w:t>
      </w:r>
      <w:r w:rsidRPr="00190A33">
        <w:rPr>
          <w:rFonts w:ascii="Times New Roman" w:eastAsia="Times New Roman" w:hAnsi="Times New Roman"/>
          <w:b/>
          <w:sz w:val="24"/>
          <w:szCs w:val="24"/>
        </w:rPr>
        <w:t>30/8/16</w:t>
      </w:r>
      <w:r>
        <w:rPr>
          <w:rFonts w:ascii="Times New Roman" w:eastAsia="Times New Roman" w:hAnsi="Times New Roman"/>
          <w:sz w:val="24"/>
          <w:szCs w:val="24"/>
        </w:rPr>
        <w:t>)</w:t>
      </w:r>
    </w:p>
    <w:p w:rsidR="00EF79E1" w:rsidRPr="00190A33" w:rsidRDefault="00EF79E1" w:rsidP="00EF79E1">
      <w:pPr>
        <w:shd w:val="clear" w:color="auto" w:fill="FFFFFF"/>
        <w:spacing w:before="270" w:after="0" w:line="240" w:lineRule="auto"/>
        <w:jc w:val="both"/>
        <w:textAlignment w:val="baseline"/>
        <w:rPr>
          <w:rFonts w:ascii="Times New Roman" w:eastAsia="Times New Roman" w:hAnsi="Times New Roman"/>
          <w:sz w:val="24"/>
          <w:szCs w:val="24"/>
        </w:rPr>
      </w:pPr>
    </w:p>
    <w:p w:rsidR="00EF79E1" w:rsidRPr="00EF79E1" w:rsidRDefault="00EF79E1" w:rsidP="00EF79E1">
      <w:pPr>
        <w:spacing w:line="240" w:lineRule="auto"/>
        <w:jc w:val="both"/>
        <w:rPr>
          <w:rFonts w:ascii="Times New Roman" w:hAnsi="Times New Roman"/>
          <w:i/>
          <w:sz w:val="24"/>
          <w:szCs w:val="24"/>
        </w:rPr>
      </w:pPr>
      <w:r>
        <w:rPr>
          <w:noProof/>
          <w:lang w:val="en-GB" w:eastAsia="en-GB"/>
        </w:rPr>
        <w:drawing>
          <wp:inline distT="0" distB="0" distL="0" distR="0">
            <wp:extent cx="5397500" cy="4102100"/>
            <wp:effectExtent l="0" t="0" r="0" b="0"/>
            <wp:docPr id="230" name="Imagen 230" descr="https://si.wsj.net/public/resources/images/AO-AB260_wsjamd_NS_2016083019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wsj.net/public/resources/images/AO-AB260_wsjamd_NS_20160830192503.jpg"/>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104030"/>
                    </a:xfrm>
                    <a:prstGeom prst="rect">
                      <a:avLst/>
                    </a:prstGeom>
                    <a:noFill/>
                    <a:ln>
                      <a:noFill/>
                    </a:ln>
                  </pic:spPr>
                </pic:pic>
              </a:graphicData>
            </a:graphic>
          </wp:inline>
        </w:drawing>
      </w:r>
    </w:p>
    <w:p w:rsidR="00EF79E1" w:rsidRPr="00EF79E1" w:rsidRDefault="00EF79E1" w:rsidP="00EF79E1">
      <w:pPr>
        <w:spacing w:line="240" w:lineRule="auto"/>
        <w:jc w:val="both"/>
        <w:rPr>
          <w:rFonts w:ascii="Times New Roman" w:hAnsi="Times New Roman"/>
          <w:i/>
          <w:sz w:val="24"/>
          <w:szCs w:val="24"/>
        </w:rPr>
      </w:pPr>
      <w:r>
        <w:rPr>
          <w:rFonts w:ascii="Times New Roman" w:hAnsi="Times New Roman"/>
          <w:i/>
          <w:sz w:val="24"/>
          <w:szCs w:val="24"/>
        </w:rPr>
        <w:t>“</w:t>
      </w:r>
      <w:r w:rsidRPr="00EF79E1">
        <w:rPr>
          <w:rFonts w:ascii="Times New Roman" w:hAnsi="Times New Roman"/>
          <w:i/>
          <w:sz w:val="24"/>
          <w:szCs w:val="24"/>
        </w:rPr>
        <w:t>Tanto Apple como el gobierno irlandés anunciaron que apelarán la decisión, para iniciar un proceso ante el máximo tribunal europeo que podría durar varios años. El fallo, no obstante, puede desencadenar un enfrentamiento entre EEUU y diferentes países de la UE sobre el derecho a cobrar tributos sobre los miles de millones de dólares que los grandes conglomerados estadounidenses ganan fuera de su país.</w:t>
      </w:r>
    </w:p>
    <w:p w:rsidR="00EF79E1" w:rsidRDefault="00EF79E1" w:rsidP="00EF79E1">
      <w:pPr>
        <w:spacing w:line="240" w:lineRule="auto"/>
        <w:jc w:val="both"/>
        <w:rPr>
          <w:rFonts w:ascii="Times New Roman" w:hAnsi="Times New Roman"/>
          <w:i/>
          <w:sz w:val="24"/>
          <w:szCs w:val="24"/>
        </w:rPr>
      </w:pPr>
      <w:r w:rsidRPr="00EF79E1">
        <w:rPr>
          <w:rFonts w:ascii="Times New Roman" w:hAnsi="Times New Roman"/>
          <w:i/>
          <w:sz w:val="24"/>
          <w:szCs w:val="24"/>
        </w:rPr>
        <w:t xml:space="preserve">El organismo antimonopolio de la UE indicó que el gobierno irlandés le permitió a la compañía de tecnología estadounidense eludir casi la totalidad de los impuestos que </w:t>
      </w:r>
      <w:r w:rsidRPr="00EF79E1">
        <w:rPr>
          <w:rFonts w:ascii="Times New Roman" w:hAnsi="Times New Roman"/>
          <w:i/>
          <w:sz w:val="24"/>
          <w:szCs w:val="24"/>
        </w:rPr>
        <w:lastRenderedPageBreak/>
        <w:t>debía pagar dentro del bloque durante más de una década. Los pactos que el gobierno irlandés ofreció a Apple en 1991 y 2007 le habrían permitido a la empresa californiana pagar una tasa impositiva de entre 0,005% y 1% sobre sus ganancias europeas entre 2003 y 2014 al indicar que una fracción diminuta podía ser gravada en Irlanda.</w:t>
      </w:r>
    </w:p>
    <w:p w:rsidR="00EF79E1" w:rsidRPr="00EF79E1" w:rsidRDefault="00EF79E1" w:rsidP="00EF79E1">
      <w:pPr>
        <w:spacing w:line="240" w:lineRule="auto"/>
        <w:jc w:val="both"/>
        <w:rPr>
          <w:rFonts w:ascii="Times New Roman" w:hAnsi="Times New Roman"/>
          <w:i/>
          <w:sz w:val="24"/>
          <w:szCs w:val="24"/>
        </w:rPr>
      </w:pPr>
      <w:r w:rsidRPr="00EF79E1">
        <w:rPr>
          <w:rFonts w:ascii="Times New Roman" w:hAnsi="Times New Roman"/>
          <w:i/>
          <w:sz w:val="24"/>
          <w:szCs w:val="24"/>
        </w:rPr>
        <w:t>Tim Cook, presidente ejecutivo de Apple, aseguró en una carta abierta que “Apple sigue la ley y paga todos los impuestos que debe” y acusó a la Comisión Europea de lanzar un esfuerzo para “reescribir la historia de Apple en Europa, pasar por alto las leyes tributarias de Irlanda y, en el proceso, trastornar el sistema impositivo internacional”…</w:t>
      </w:r>
    </w:p>
    <w:p w:rsidR="00EF79E1" w:rsidRPr="00EF79E1" w:rsidRDefault="00EF79E1" w:rsidP="00EF79E1">
      <w:pPr>
        <w:spacing w:line="240" w:lineRule="auto"/>
        <w:jc w:val="both"/>
        <w:rPr>
          <w:rFonts w:ascii="Times New Roman" w:hAnsi="Times New Roman"/>
          <w:i/>
          <w:sz w:val="24"/>
          <w:szCs w:val="24"/>
        </w:rPr>
      </w:pPr>
      <w:r w:rsidRPr="00EF79E1">
        <w:rPr>
          <w:rFonts w:ascii="Times New Roman" w:hAnsi="Times New Roman"/>
          <w:i/>
          <w:sz w:val="24"/>
          <w:szCs w:val="24"/>
        </w:rPr>
        <w:t>Las empresas estadounidenses han acumulado ganancias en el extranjero fuera del alcance del Servicio de Impuestos Internos de EEUU debido a la forma en que funciona el sistema en ese país. Las compañías con sede en EEUU deben pagar una tasa de 35% sobre las ganancias que obtienen en el exterior. No obstante, pueden obtener exenciones tributarias por los pagos realizados en otros países y esperar hasta la repatriación de esos ingresos para pagar la diferencia en EEUU.</w:t>
      </w:r>
    </w:p>
    <w:p w:rsidR="00EF79E1" w:rsidRPr="00EF79E1" w:rsidRDefault="00EF79E1" w:rsidP="00EF79E1">
      <w:pPr>
        <w:spacing w:line="240" w:lineRule="auto"/>
        <w:jc w:val="both"/>
        <w:rPr>
          <w:rFonts w:ascii="Times New Roman" w:hAnsi="Times New Roman"/>
          <w:i/>
          <w:sz w:val="24"/>
          <w:szCs w:val="24"/>
        </w:rPr>
      </w:pPr>
      <w:r w:rsidRPr="00EF79E1">
        <w:rPr>
          <w:rFonts w:ascii="Times New Roman" w:hAnsi="Times New Roman"/>
          <w:i/>
          <w:sz w:val="24"/>
          <w:szCs w:val="24"/>
        </w:rPr>
        <w:t>Por ejemplo, una compañía estadounidense que obtiene una ganancia de US$ 1.000 millones en el Reino Unido, donde la tasa impositiva es de 20%, pagaría en teoría US$200 millones en el Reino Unido y US$ 150 millones en EEUU cuando repatríe las ganancias.</w:t>
      </w:r>
    </w:p>
    <w:p w:rsidR="00EF79E1" w:rsidRDefault="00EF79E1" w:rsidP="00EF79E1">
      <w:pPr>
        <w:shd w:val="clear" w:color="auto" w:fill="FFFFFF"/>
        <w:spacing w:before="270" w:after="0" w:line="240" w:lineRule="auto"/>
        <w:jc w:val="both"/>
        <w:textAlignment w:val="baseline"/>
        <w:rPr>
          <w:rFonts w:ascii="Times New Roman" w:hAnsi="Times New Roman"/>
          <w:i/>
          <w:sz w:val="24"/>
          <w:szCs w:val="24"/>
        </w:rPr>
      </w:pPr>
      <w:r w:rsidRPr="00EF79E1">
        <w:rPr>
          <w:rFonts w:ascii="Times New Roman" w:hAnsi="Times New Roman"/>
          <w:i/>
          <w:sz w:val="24"/>
          <w:szCs w:val="24"/>
        </w:rPr>
        <w:t>Este sistema incentiva a las empresas a buscar las tasas tributarias más bajas, acumular la mayor cantidad posible de ganancias en esos países y no repatriar los fondos. Las empresas farmacéuticas y tecnológicas, en particular, han sido muy adeptas a trasladar propiedad intelectual y acumular ganancias fuera de EE</w:t>
      </w:r>
      <w:r>
        <w:rPr>
          <w:rFonts w:ascii="Times New Roman" w:hAnsi="Times New Roman"/>
          <w:i/>
          <w:sz w:val="24"/>
          <w:szCs w:val="24"/>
        </w:rPr>
        <w:t>UU…</w:t>
      </w:r>
    </w:p>
    <w:p w:rsidR="00EF79E1" w:rsidRDefault="00EF79E1" w:rsidP="00EF79E1">
      <w:pPr>
        <w:shd w:val="clear" w:color="auto" w:fill="FFFFFF"/>
        <w:spacing w:before="270" w:after="0" w:line="240" w:lineRule="auto"/>
        <w:jc w:val="both"/>
        <w:textAlignment w:val="baseline"/>
        <w:rPr>
          <w:rFonts w:ascii="Times New Roman" w:hAnsi="Times New Roman"/>
          <w:i/>
          <w:sz w:val="24"/>
          <w:szCs w:val="24"/>
        </w:rPr>
      </w:pPr>
      <w:r w:rsidRPr="00190A33">
        <w:rPr>
          <w:rFonts w:ascii="Times New Roman" w:hAnsi="Times New Roman"/>
          <w:noProof/>
          <w:sz w:val="24"/>
          <w:szCs w:val="24"/>
          <w:lang w:val="en-GB" w:eastAsia="en-GB"/>
        </w:rPr>
        <w:drawing>
          <wp:inline distT="0" distB="0" distL="0" distR="0">
            <wp:extent cx="2660650" cy="3917950"/>
            <wp:effectExtent l="0" t="0" r="635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663171" cy="3921662"/>
                    </a:xfrm>
                    <a:prstGeom prst="rect">
                      <a:avLst/>
                    </a:prstGeom>
                  </pic:spPr>
                </pic:pic>
              </a:graphicData>
            </a:graphic>
          </wp:inline>
        </w:drawing>
      </w:r>
    </w:p>
    <w:p w:rsidR="00EF79E1" w:rsidRDefault="00EF79E1" w:rsidP="00EF79E1">
      <w:pPr>
        <w:spacing w:line="240" w:lineRule="auto"/>
        <w:jc w:val="both"/>
        <w:rPr>
          <w:rFonts w:ascii="Times New Roman" w:eastAsia="Times New Roman" w:hAnsi="Times New Roman"/>
          <w:sz w:val="24"/>
          <w:szCs w:val="24"/>
        </w:rPr>
      </w:pPr>
      <w:r w:rsidRPr="00EF79E1">
        <w:rPr>
          <w:rFonts w:ascii="Times New Roman" w:hAnsi="Times New Roman"/>
          <w:i/>
          <w:sz w:val="24"/>
          <w:szCs w:val="24"/>
        </w:rPr>
        <w:lastRenderedPageBreak/>
        <w:t>Hasta su cambio de estructura en 2015, Apple utilizó subsidiarias que se movieron diestramente entre las legislaciones impositivas de EEUU e Irlanda. Según una investigación del Senado estadounidense de 2013, Irlanda consideraba estas firmas como residentes en EEUU ya que eran gestionadas y controladas desde California. EEUU, en cambio, las catalogaba como entidades foráneas que no estaban sujetas en forma inmediata a los impuestos del país por estar constituidas en Irlanda</w:t>
      </w:r>
      <w:r>
        <w:rPr>
          <w:rFonts w:ascii="Times New Roman" w:hAnsi="Times New Roman"/>
          <w:i/>
          <w:sz w:val="24"/>
          <w:szCs w:val="24"/>
        </w:rPr>
        <w:t>”..</w:t>
      </w:r>
      <w:r w:rsidRPr="00EF79E1">
        <w:rPr>
          <w:rFonts w:ascii="Times New Roman" w:hAnsi="Times New Roman"/>
          <w:i/>
          <w:sz w:val="24"/>
          <w:szCs w:val="24"/>
        </w:rPr>
        <w:t>.</w:t>
      </w:r>
      <w:r w:rsidRPr="00190A33">
        <w:rPr>
          <w:rFonts w:ascii="Times New Roman" w:eastAsia="Times New Roman" w:hAnsi="Times New Roman"/>
          <w:sz w:val="24"/>
          <w:szCs w:val="24"/>
          <w:u w:val="single"/>
        </w:rPr>
        <w:t>La ofensiva europea contra Apple alarma a otras multinacionales</w:t>
      </w:r>
      <w:r>
        <w:rPr>
          <w:rFonts w:ascii="Times New Roman" w:eastAsia="Times New Roman" w:hAnsi="Times New Roman"/>
          <w:sz w:val="24"/>
          <w:szCs w:val="24"/>
        </w:rPr>
        <w:t xml:space="preserve"> (The Wall Street Journal - </w:t>
      </w:r>
      <w:r w:rsidRPr="00190A33">
        <w:rPr>
          <w:rFonts w:ascii="Times New Roman" w:eastAsia="Times New Roman" w:hAnsi="Times New Roman"/>
          <w:b/>
          <w:sz w:val="24"/>
          <w:szCs w:val="24"/>
        </w:rPr>
        <w:t>30/8/16</w:t>
      </w:r>
      <w:r>
        <w:rPr>
          <w:rFonts w:ascii="Times New Roman" w:eastAsia="Times New Roman" w:hAnsi="Times New Roman"/>
          <w:sz w:val="24"/>
          <w:szCs w:val="24"/>
        </w:rPr>
        <w:t>)</w:t>
      </w:r>
    </w:p>
    <w:p w:rsidR="00EF79E1" w:rsidRPr="00EF79E1" w:rsidRDefault="00EF79E1" w:rsidP="00EF79E1">
      <w:pPr>
        <w:shd w:val="clear" w:color="auto" w:fill="FFFFFF"/>
        <w:spacing w:after="0" w:line="285" w:lineRule="atLeast"/>
        <w:jc w:val="both"/>
        <w:textAlignment w:val="baseline"/>
        <w:rPr>
          <w:rFonts w:ascii="Times New Roman" w:eastAsia="Times New Roman" w:hAnsi="Times New Roman"/>
          <w:i/>
          <w:sz w:val="24"/>
          <w:szCs w:val="24"/>
        </w:rPr>
      </w:pPr>
      <w:r>
        <w:rPr>
          <w:rFonts w:ascii="Times New Roman" w:eastAsia="Times New Roman" w:hAnsi="Times New Roman"/>
          <w:i/>
          <w:sz w:val="24"/>
          <w:szCs w:val="24"/>
        </w:rPr>
        <w:t>“</w:t>
      </w:r>
      <w:r w:rsidRPr="00EF79E1">
        <w:rPr>
          <w:rFonts w:ascii="Times New Roman" w:eastAsia="Times New Roman" w:hAnsi="Times New Roman"/>
          <w:i/>
          <w:sz w:val="24"/>
          <w:szCs w:val="24"/>
        </w:rPr>
        <w:t>La presión de la Unión Europea hacia la fiscalidad de las grandes empresas tecnológicas estadounidenses vivió esta semana su mayor hito con la reclamación por parte de Bruselas de 13.000 millones a Apple por impuestos no abonados entre 2003 y 2014. Las dudas de distintos estados por la forma de tributar de estas compañías y los favores de algunos Gobiernos han ocupado infinidad de portadas en los últimos años.</w:t>
      </w:r>
    </w:p>
    <w:p w:rsidR="00EF79E1" w:rsidRPr="00EF79E1" w:rsidRDefault="00EF79E1" w:rsidP="00EF79E1">
      <w:pPr>
        <w:shd w:val="clear" w:color="auto" w:fill="FFFFFF"/>
        <w:spacing w:after="0" w:line="285" w:lineRule="atLeast"/>
        <w:jc w:val="both"/>
        <w:textAlignment w:val="baseline"/>
        <w:rPr>
          <w:rFonts w:ascii="Times New Roman" w:eastAsia="Times New Roman" w:hAnsi="Times New Roman"/>
          <w:i/>
          <w:sz w:val="24"/>
          <w:szCs w:val="24"/>
        </w:rPr>
      </w:pPr>
    </w:p>
    <w:p w:rsidR="00EF79E1" w:rsidRPr="00EF79E1" w:rsidRDefault="00EF79E1" w:rsidP="00EF79E1">
      <w:pPr>
        <w:shd w:val="clear" w:color="auto" w:fill="FFFFFF"/>
        <w:spacing w:after="0" w:line="285" w:lineRule="atLeast"/>
        <w:jc w:val="both"/>
        <w:textAlignment w:val="baseline"/>
        <w:rPr>
          <w:rFonts w:ascii="Times New Roman" w:eastAsia="Times New Roman" w:hAnsi="Times New Roman"/>
          <w:i/>
          <w:sz w:val="24"/>
          <w:szCs w:val="24"/>
        </w:rPr>
      </w:pPr>
      <w:r w:rsidRPr="00EF79E1">
        <w:rPr>
          <w:rFonts w:ascii="Times New Roman" w:eastAsia="Times New Roman" w:hAnsi="Times New Roman"/>
          <w:i/>
          <w:sz w:val="24"/>
          <w:szCs w:val="24"/>
        </w:rPr>
        <w:t>Cinco son las grandes tecnológicas más reconocidas y señaladas por algunos en la UE: Amazon, Alphabet, Facebook, Microsoft y Apple. Acudiendo a los registros de la SEC, el equivalente estadounidense de la CNMV española, estas compañías pagaron en 2015 más de 31.000 millones de dólares (27.800 millones de euros) en impuestos por su negocio, con un incremento del 32% respecto a un año antes. Cerca de la mitad del total son abonados por Apple.</w:t>
      </w:r>
    </w:p>
    <w:p w:rsidR="00EF79E1" w:rsidRPr="00EF79E1" w:rsidRDefault="00EF79E1" w:rsidP="00EF79E1">
      <w:pPr>
        <w:shd w:val="clear" w:color="auto" w:fill="FFFFFF"/>
        <w:spacing w:after="0" w:line="285" w:lineRule="atLeast"/>
        <w:jc w:val="both"/>
        <w:textAlignment w:val="baseline"/>
        <w:rPr>
          <w:rFonts w:ascii="Times New Roman" w:eastAsia="Times New Roman" w:hAnsi="Times New Roman"/>
          <w:i/>
          <w:sz w:val="24"/>
          <w:szCs w:val="24"/>
        </w:rPr>
      </w:pPr>
    </w:p>
    <w:p w:rsidR="00EF79E1" w:rsidRPr="00EF79E1" w:rsidRDefault="00EF79E1" w:rsidP="00EF79E1">
      <w:pPr>
        <w:shd w:val="clear" w:color="auto" w:fill="FFFFFF"/>
        <w:spacing w:after="0" w:line="285" w:lineRule="atLeast"/>
        <w:jc w:val="both"/>
        <w:textAlignment w:val="baseline"/>
        <w:rPr>
          <w:rFonts w:ascii="Times New Roman" w:eastAsia="Times New Roman" w:hAnsi="Times New Roman"/>
          <w:i/>
          <w:sz w:val="24"/>
          <w:szCs w:val="24"/>
        </w:rPr>
      </w:pPr>
      <w:r w:rsidRPr="00EF79E1">
        <w:rPr>
          <w:rFonts w:ascii="Times New Roman" w:eastAsia="Times New Roman" w:hAnsi="Times New Roman"/>
          <w:i/>
          <w:sz w:val="24"/>
          <w:szCs w:val="24"/>
        </w:rPr>
        <w:t>Todas estas empresas tienen una expansión internacional notable, con marcas que son reconocidas en cualquier lugar del mundo. Así, el 53% de los 520.000 millones de dólares ingresados por estas compañías en el último ejercicio, procedieron de fuera de EEUU, su país de origen. Amazon es la única de las cinco que todavía vende más en el mercado interno que en el exterior.</w:t>
      </w:r>
    </w:p>
    <w:p w:rsidR="00EF79E1" w:rsidRPr="00EF79E1" w:rsidRDefault="00EF79E1" w:rsidP="00EF79E1">
      <w:pPr>
        <w:shd w:val="clear" w:color="auto" w:fill="FFFFFF"/>
        <w:spacing w:after="0" w:line="285" w:lineRule="atLeast"/>
        <w:jc w:val="both"/>
        <w:textAlignment w:val="baseline"/>
        <w:rPr>
          <w:rFonts w:ascii="Times New Roman" w:eastAsia="Times New Roman" w:hAnsi="Times New Roman"/>
          <w:i/>
          <w:sz w:val="24"/>
          <w:szCs w:val="24"/>
        </w:rPr>
      </w:pPr>
    </w:p>
    <w:p w:rsidR="00EF79E1" w:rsidRDefault="00EF79E1" w:rsidP="00EF79E1">
      <w:pPr>
        <w:spacing w:line="240" w:lineRule="auto"/>
        <w:jc w:val="both"/>
        <w:rPr>
          <w:rFonts w:ascii="Times New Roman" w:hAnsi="Times New Roman"/>
          <w:sz w:val="24"/>
          <w:szCs w:val="24"/>
        </w:rPr>
      </w:pPr>
      <w:r w:rsidRPr="00EF79E1">
        <w:rPr>
          <w:rFonts w:ascii="Times New Roman" w:eastAsia="Times New Roman" w:hAnsi="Times New Roman"/>
          <w:i/>
          <w:sz w:val="24"/>
          <w:szCs w:val="24"/>
        </w:rPr>
        <w:t>El peso del negocio internacional cae de manera notable si se estudian los impuestos pagados por estas empresas. Las autoridades estatales y federales estadounidenses recibieron en los 12 meses del pasado ejercicio casi 23.500 millones de euros, algo más del 74% del total. Así, pese a que el exterior supone más de la mitad de las ventas de la empresa, apenas suma un 26% de los tributos pagados por estas empresas. Si bien es cierto, el peso de la tributación exterior ha aumentado desde el ejercicio anterior, en 2014, cuando supuso menos del 22%</w:t>
      </w:r>
      <w:r>
        <w:rPr>
          <w:rFonts w:ascii="Times New Roman" w:eastAsia="Times New Roman" w:hAnsi="Times New Roman"/>
          <w:i/>
          <w:sz w:val="24"/>
          <w:szCs w:val="24"/>
        </w:rPr>
        <w:t>”..</w:t>
      </w:r>
      <w:r w:rsidRPr="00EF79E1">
        <w:rPr>
          <w:rFonts w:ascii="Times New Roman" w:eastAsia="Times New Roman" w:hAnsi="Times New Roman"/>
          <w:i/>
          <w:sz w:val="24"/>
          <w:szCs w:val="24"/>
        </w:rPr>
        <w:t>.</w:t>
      </w:r>
      <w:r w:rsidRPr="007E67AE">
        <w:rPr>
          <w:rFonts w:ascii="Times New Roman" w:hAnsi="Times New Roman"/>
          <w:sz w:val="24"/>
          <w:szCs w:val="24"/>
          <w:u w:val="single"/>
        </w:rPr>
        <w:t>Las grandes</w:t>
      </w:r>
      <w:r>
        <w:rPr>
          <w:rFonts w:ascii="Times New Roman" w:hAnsi="Times New Roman"/>
          <w:sz w:val="24"/>
          <w:szCs w:val="24"/>
          <w:u w:val="single"/>
        </w:rPr>
        <w:t xml:space="preserve"> tecnológicas sí tributan en EE</w:t>
      </w:r>
      <w:r w:rsidRPr="007E67AE">
        <w:rPr>
          <w:rFonts w:ascii="Times New Roman" w:hAnsi="Times New Roman"/>
          <w:sz w:val="24"/>
          <w:szCs w:val="24"/>
          <w:u w:val="single"/>
        </w:rPr>
        <w:t>UU</w:t>
      </w:r>
      <w:r>
        <w:rPr>
          <w:rFonts w:ascii="Times New Roman" w:hAnsi="Times New Roman"/>
          <w:sz w:val="24"/>
          <w:szCs w:val="24"/>
        </w:rPr>
        <w:t xml:space="preserve"> (Cinco Días - </w:t>
      </w:r>
      <w:r w:rsidRPr="007E67AE">
        <w:rPr>
          <w:rFonts w:ascii="Times New Roman" w:hAnsi="Times New Roman"/>
          <w:b/>
          <w:sz w:val="24"/>
          <w:szCs w:val="24"/>
        </w:rPr>
        <w:t>1/9/16</w:t>
      </w:r>
      <w:r>
        <w:rPr>
          <w:rFonts w:ascii="Times New Roman" w:hAnsi="Times New Roman"/>
          <w:sz w:val="24"/>
          <w:szCs w:val="24"/>
        </w:rPr>
        <w:t xml:space="preserve">)   </w:t>
      </w:r>
    </w:p>
    <w:p w:rsidR="00EF79E1" w:rsidRDefault="00EF79E1" w:rsidP="00EF79E1">
      <w:pPr>
        <w:shd w:val="clear" w:color="auto" w:fill="FFFFFF"/>
        <w:spacing w:after="0" w:line="285" w:lineRule="atLeast"/>
        <w:jc w:val="both"/>
        <w:textAlignment w:val="baseline"/>
        <w:rPr>
          <w:rFonts w:ascii="Times New Roman" w:eastAsia="Times New Roman" w:hAnsi="Times New Roman"/>
          <w:i/>
          <w:sz w:val="24"/>
          <w:szCs w:val="24"/>
        </w:rPr>
      </w:pPr>
      <w:r>
        <w:rPr>
          <w:rFonts w:ascii="inherit" w:eastAsia="Times New Roman" w:hAnsi="inherit" w:cs="Arial"/>
          <w:noProof/>
          <w:color w:val="205D5D"/>
          <w:sz w:val="15"/>
          <w:szCs w:val="15"/>
          <w:bdr w:val="none" w:sz="0" w:space="0" w:color="auto" w:frame="1"/>
          <w:lang w:val="en-GB" w:eastAsia="en-GB"/>
        </w:rPr>
        <w:drawing>
          <wp:inline distT="0" distB="0" distL="0" distR="0">
            <wp:extent cx="5295900" cy="2266950"/>
            <wp:effectExtent l="0" t="0" r="0" b="0"/>
            <wp:docPr id="221" name="Imagen 221" descr="Impuestos de las cinco grandes tecnológicas">
              <a:hlinkClick xmlns:a="http://schemas.openxmlformats.org/drawingml/2006/main" r:id="rId73" tooltip="&quot;ampliar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puestos de las cinco grandes tecnológicas">
                      <a:hlinkClick r:id="rId73" tooltip="&quot;ampliar foto&quot;"/>
                    </pic:cNvPr>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5900" cy="2266950"/>
                    </a:xfrm>
                    <a:prstGeom prst="rect">
                      <a:avLst/>
                    </a:prstGeom>
                    <a:noFill/>
                    <a:ln>
                      <a:noFill/>
                    </a:ln>
                  </pic:spPr>
                </pic:pic>
              </a:graphicData>
            </a:graphic>
          </wp:inline>
        </w:drawing>
      </w:r>
    </w:p>
    <w:p w:rsidR="00EF79E1" w:rsidRPr="00EF79E1" w:rsidRDefault="00EF79E1" w:rsidP="00EF79E1">
      <w:pPr>
        <w:shd w:val="clear" w:color="auto" w:fill="FFFFFF"/>
        <w:spacing w:after="0" w:line="285" w:lineRule="atLeast"/>
        <w:jc w:val="both"/>
        <w:textAlignment w:val="baseline"/>
        <w:rPr>
          <w:rFonts w:ascii="Times New Roman" w:eastAsia="Times New Roman" w:hAnsi="Times New Roman"/>
          <w:i/>
          <w:sz w:val="24"/>
          <w:szCs w:val="24"/>
        </w:rPr>
      </w:pPr>
      <w:r>
        <w:rPr>
          <w:rFonts w:ascii="Times New Roman" w:eastAsia="Times New Roman" w:hAnsi="Times New Roman"/>
          <w:i/>
          <w:sz w:val="24"/>
          <w:szCs w:val="24"/>
        </w:rPr>
        <w:lastRenderedPageBreak/>
        <w:t>“</w:t>
      </w:r>
      <w:r w:rsidRPr="00EF79E1">
        <w:rPr>
          <w:rFonts w:ascii="Times New Roman" w:eastAsia="Times New Roman" w:hAnsi="Times New Roman"/>
          <w:i/>
          <w:sz w:val="24"/>
          <w:szCs w:val="24"/>
        </w:rPr>
        <w:t>Según las estimaciones publicadas por la agencia Moody’s, a la conclusión de 2015, las empresas no financieras de EEUU tenían en el extranjero un total de 1,2 billones de dólares (en torno a 1,07 billones de euros), cifra que supone un 72% del total de las tesorerías de estas compañías. En 2014 tenían 1,1 billones de dólares, por 947.000 millones en 2013, 840.000 millones en 2012 y 700.000 millones en 2011.</w:t>
      </w:r>
    </w:p>
    <w:p w:rsidR="00EF79E1" w:rsidRPr="00EF79E1" w:rsidRDefault="00EF79E1" w:rsidP="00EF79E1">
      <w:pPr>
        <w:shd w:val="clear" w:color="auto" w:fill="FFFFFF"/>
        <w:spacing w:after="0" w:line="285" w:lineRule="atLeast"/>
        <w:jc w:val="both"/>
        <w:textAlignment w:val="baseline"/>
        <w:rPr>
          <w:rFonts w:ascii="Times New Roman" w:eastAsia="Times New Roman" w:hAnsi="Times New Roman"/>
          <w:i/>
          <w:sz w:val="24"/>
          <w:szCs w:val="24"/>
        </w:rPr>
      </w:pPr>
    </w:p>
    <w:p w:rsidR="00EF79E1" w:rsidRDefault="00EF79E1" w:rsidP="00EF79E1">
      <w:pPr>
        <w:spacing w:line="240" w:lineRule="auto"/>
        <w:jc w:val="both"/>
        <w:rPr>
          <w:rFonts w:ascii="Times New Roman" w:hAnsi="Times New Roman"/>
          <w:sz w:val="24"/>
          <w:szCs w:val="24"/>
        </w:rPr>
      </w:pPr>
      <w:r w:rsidRPr="00EF79E1">
        <w:rPr>
          <w:rFonts w:ascii="Times New Roman" w:eastAsia="Times New Roman" w:hAnsi="Times New Roman"/>
          <w:i/>
          <w:sz w:val="24"/>
          <w:szCs w:val="24"/>
        </w:rPr>
        <w:t>En este ranking, el sector tecnológico es el líder destacado, con un total de 630.000 millones de dólares fuera de EEUU a final de 2015 (540.000 millones a la conclusión de 2014). Apple, Microsoft, Cisco Systems, Google y Oracle lideraban el ranking global al acumular entre liquidez, inversiones a corto plazo e inversiones a largo plazo un total de 441.000 millones de dólares en sus filiales internacionales (369.000 millones a final de 2014), un 87% del total de su tesorería conjunta. En el caso de Apple ese porcentaje subía al 93%, por un 94% de Microsoft y Cisco Systems</w:t>
      </w:r>
      <w:r>
        <w:rPr>
          <w:rFonts w:ascii="Times New Roman" w:eastAsia="Times New Roman" w:hAnsi="Times New Roman"/>
          <w:i/>
          <w:sz w:val="24"/>
          <w:szCs w:val="24"/>
        </w:rPr>
        <w:t>”..</w:t>
      </w:r>
      <w:r w:rsidRPr="00EF79E1">
        <w:rPr>
          <w:rFonts w:ascii="Times New Roman" w:eastAsia="Times New Roman" w:hAnsi="Times New Roman"/>
          <w:i/>
          <w:sz w:val="24"/>
          <w:szCs w:val="24"/>
        </w:rPr>
        <w:t>.</w:t>
      </w:r>
      <w:r w:rsidRPr="007E67AE">
        <w:rPr>
          <w:rFonts w:ascii="Times New Roman" w:hAnsi="Times New Roman"/>
          <w:sz w:val="24"/>
          <w:szCs w:val="24"/>
          <w:u w:val="single"/>
        </w:rPr>
        <w:t>Las grandes</w:t>
      </w:r>
      <w:r>
        <w:rPr>
          <w:rFonts w:ascii="Times New Roman" w:hAnsi="Times New Roman"/>
          <w:sz w:val="24"/>
          <w:szCs w:val="24"/>
          <w:u w:val="single"/>
        </w:rPr>
        <w:t xml:space="preserve"> tecnológicas sí tributan en EE</w:t>
      </w:r>
      <w:r w:rsidRPr="007E67AE">
        <w:rPr>
          <w:rFonts w:ascii="Times New Roman" w:hAnsi="Times New Roman"/>
          <w:sz w:val="24"/>
          <w:szCs w:val="24"/>
          <w:u w:val="single"/>
        </w:rPr>
        <w:t>UU</w:t>
      </w:r>
      <w:r>
        <w:rPr>
          <w:rFonts w:ascii="Times New Roman" w:hAnsi="Times New Roman"/>
          <w:sz w:val="24"/>
          <w:szCs w:val="24"/>
        </w:rPr>
        <w:t xml:space="preserve"> (Cinco Días - </w:t>
      </w:r>
      <w:r w:rsidRPr="007E67AE">
        <w:rPr>
          <w:rFonts w:ascii="Times New Roman" w:hAnsi="Times New Roman"/>
          <w:b/>
          <w:sz w:val="24"/>
          <w:szCs w:val="24"/>
        </w:rPr>
        <w:t>1/9/16</w:t>
      </w:r>
      <w:r>
        <w:rPr>
          <w:rFonts w:ascii="Times New Roman" w:hAnsi="Times New Roman"/>
          <w:sz w:val="24"/>
          <w:szCs w:val="24"/>
        </w:rPr>
        <w:t xml:space="preserve">)   </w:t>
      </w:r>
    </w:p>
    <w:p w:rsidR="00EF79E1" w:rsidRDefault="00EF79E1" w:rsidP="00EF79E1">
      <w:pPr>
        <w:spacing w:line="240" w:lineRule="auto"/>
        <w:jc w:val="both"/>
        <w:rPr>
          <w:rFonts w:ascii="Times New Roman" w:hAnsi="Times New Roman"/>
          <w:sz w:val="24"/>
          <w:szCs w:val="24"/>
        </w:rPr>
      </w:pPr>
      <w:r>
        <w:rPr>
          <w:rFonts w:ascii="Times New Roman" w:hAnsi="Times New Roman"/>
          <w:sz w:val="24"/>
          <w:szCs w:val="24"/>
        </w:rPr>
        <w:t xml:space="preserve">- </w:t>
      </w:r>
      <w:r w:rsidRPr="00A737CA">
        <w:rPr>
          <w:rFonts w:ascii="Times New Roman" w:hAnsi="Times New Roman"/>
          <w:sz w:val="24"/>
          <w:szCs w:val="24"/>
          <w:u w:val="single"/>
        </w:rPr>
        <w:t>Un puesto de salchichas paga más impuestos en Austria que Amazon o Starbucks</w:t>
      </w:r>
      <w:r>
        <w:rPr>
          <w:rFonts w:ascii="Times New Roman" w:hAnsi="Times New Roman"/>
          <w:sz w:val="24"/>
          <w:szCs w:val="24"/>
        </w:rPr>
        <w:t xml:space="preserve"> (Expansión - </w:t>
      </w:r>
      <w:r w:rsidRPr="00A737CA">
        <w:rPr>
          <w:rFonts w:ascii="Times New Roman" w:hAnsi="Times New Roman"/>
          <w:b/>
          <w:sz w:val="24"/>
          <w:szCs w:val="24"/>
        </w:rPr>
        <w:t>3/9/16</w:t>
      </w:r>
      <w:r>
        <w:rPr>
          <w:rFonts w:ascii="Times New Roman" w:hAnsi="Times New Roman"/>
          <w:sz w:val="24"/>
          <w:szCs w:val="24"/>
        </w:rPr>
        <w:t>)                                                                          Lectura recomendada</w:t>
      </w:r>
    </w:p>
    <w:p w:rsidR="00EF79E1" w:rsidRPr="00A737CA"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t>El jefe del Gobierno austríaco dijo que, según estimaciones, la cadena de cafeterías Starbucks había pagado en 2014 en su país unos 1.400 euros como impuesto de sociedades.</w:t>
      </w:r>
    </w:p>
    <w:p w:rsidR="00EF79E1" w:rsidRPr="00A737CA"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t>El jefe del Gobierno austríaco, el socialdemócrata Christian Kern, criticó que cualquier cafetería o puesto de salchichas de Viena pague más impuestos en Austria que multinacionales como Amazon o Starbucks.</w:t>
      </w:r>
    </w:p>
    <w:p w:rsidR="00EF79E1" w:rsidRPr="00A737CA" w:rsidRDefault="00EF79E1" w:rsidP="00EF79E1">
      <w:pPr>
        <w:spacing w:line="240" w:lineRule="auto"/>
        <w:jc w:val="both"/>
        <w:rPr>
          <w:rFonts w:ascii="Times New Roman" w:hAnsi="Times New Roman"/>
          <w:sz w:val="24"/>
          <w:szCs w:val="24"/>
        </w:rPr>
      </w:pPr>
      <w:r>
        <w:rPr>
          <w:rFonts w:ascii="Times New Roman" w:hAnsi="Times New Roman"/>
          <w:sz w:val="24"/>
          <w:szCs w:val="24"/>
        </w:rPr>
        <w:t>“</w:t>
      </w:r>
      <w:r w:rsidRPr="00A737CA">
        <w:rPr>
          <w:rFonts w:ascii="Times New Roman" w:hAnsi="Times New Roman"/>
          <w:sz w:val="24"/>
          <w:szCs w:val="24"/>
        </w:rPr>
        <w:t>Cualquier cafetería vienesa, cualquier puesto de salchichas, paga más impuesto</w:t>
      </w:r>
      <w:r>
        <w:rPr>
          <w:rFonts w:ascii="Times New Roman" w:hAnsi="Times New Roman"/>
          <w:sz w:val="24"/>
          <w:szCs w:val="24"/>
        </w:rPr>
        <w:t>s que una empresa multinacional”</w:t>
      </w:r>
      <w:r w:rsidRPr="00A737CA">
        <w:rPr>
          <w:rFonts w:ascii="Times New Roman" w:hAnsi="Times New Roman"/>
          <w:sz w:val="24"/>
          <w:szCs w:val="24"/>
        </w:rPr>
        <w:t>, lamentó Kern en una entrevista que publica hoy el diario Der Standard.</w:t>
      </w:r>
    </w:p>
    <w:p w:rsidR="00EF79E1" w:rsidRPr="00A737CA" w:rsidRDefault="00EF79E1" w:rsidP="00EF79E1">
      <w:pPr>
        <w:spacing w:line="240" w:lineRule="auto"/>
        <w:jc w:val="both"/>
        <w:rPr>
          <w:rFonts w:ascii="Times New Roman" w:hAnsi="Times New Roman"/>
          <w:sz w:val="24"/>
          <w:szCs w:val="24"/>
        </w:rPr>
      </w:pPr>
      <w:r>
        <w:rPr>
          <w:rFonts w:ascii="Times New Roman" w:hAnsi="Times New Roman"/>
          <w:sz w:val="24"/>
          <w:szCs w:val="24"/>
        </w:rPr>
        <w:t>“</w:t>
      </w:r>
      <w:r w:rsidRPr="00A737CA">
        <w:rPr>
          <w:rFonts w:ascii="Times New Roman" w:hAnsi="Times New Roman"/>
          <w:sz w:val="24"/>
          <w:szCs w:val="24"/>
        </w:rPr>
        <w:t>Esto se aplica a Star</w:t>
      </w:r>
      <w:r>
        <w:rPr>
          <w:rFonts w:ascii="Times New Roman" w:hAnsi="Times New Roman"/>
          <w:sz w:val="24"/>
          <w:szCs w:val="24"/>
        </w:rPr>
        <w:t>bucks, Amazon y otras compañías”</w:t>
      </w:r>
      <w:r w:rsidRPr="00A737CA">
        <w:rPr>
          <w:rFonts w:ascii="Times New Roman" w:hAnsi="Times New Roman"/>
          <w:sz w:val="24"/>
          <w:szCs w:val="24"/>
        </w:rPr>
        <w:t>, sostuvo.</w:t>
      </w:r>
    </w:p>
    <w:p w:rsidR="00EF79E1" w:rsidRPr="00A737CA"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t>El canciller dijo que, según estimaciones, la cadena de cafeterías Starbucks había pagado en 2014 unos 1.400 euros como impuesto de sociedades, menos que cualquier quiosco de salchichas.</w:t>
      </w:r>
    </w:p>
    <w:p w:rsidR="00EF79E1" w:rsidRPr="00A737CA"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t>Kern consideró que debido a la escasa contribución a las arcas públicas de estas grandes empresas era importante la exigencia de la Comisión Europea de que Irlanda recaude 13.000 millones de euros a Apple en impuesto no cobrados.</w:t>
      </w:r>
    </w:p>
    <w:p w:rsidR="00EF79E1" w:rsidRPr="00A737CA"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t>El Gobierno irlandés ha dicho que recurrirá el dictamen de la Comisión, que ha sido también criticado por Apple.</w:t>
      </w:r>
    </w:p>
    <w:p w:rsidR="00EF79E1" w:rsidRPr="00A737CA"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t>El político socialdemócrata también reprobó a multinacionales como Google o Facebook, al asegurar que si pagasen más impuestos el Estado podría ofrecer más ayudas a la prensa escrita para afrontar su actual crisis.</w:t>
      </w:r>
    </w:p>
    <w:p w:rsidR="00EF79E1" w:rsidRPr="00A737CA"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t>Según Kern, Google tiene un volumen de negocio en Austria de unos 200 millones de euros, mientras que el Facebook es de unos 120 millones, y entre ambas empresas contratan a unas 20 personas.</w:t>
      </w:r>
    </w:p>
    <w:p w:rsidR="00EF79E1" w:rsidRPr="00A737CA"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t>El canciller criticó que ambas compañías obtuvieran muchos beneficios por publicidad en Austria pero no pagasen allí ni impuesto de sociedades ni sobre la publicidad.</w:t>
      </w:r>
    </w:p>
    <w:p w:rsidR="00EF79E1" w:rsidRPr="00A737CA"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lastRenderedPageBreak/>
        <w:t>En esta línea, criticó que algunos países de la Unión Europea compitan por bajar el impuesto de sociedades para atraer a estas empresas, lo que daña a otros socios del bloque.</w:t>
      </w:r>
    </w:p>
    <w:p w:rsidR="00EF79E1" w:rsidRPr="00A737CA" w:rsidRDefault="00EF79E1" w:rsidP="00EF79E1">
      <w:pPr>
        <w:spacing w:line="240" w:lineRule="auto"/>
        <w:jc w:val="both"/>
        <w:rPr>
          <w:rFonts w:ascii="Times New Roman" w:hAnsi="Times New Roman"/>
          <w:sz w:val="24"/>
          <w:szCs w:val="24"/>
        </w:rPr>
      </w:pPr>
      <w:r>
        <w:rPr>
          <w:rFonts w:ascii="Times New Roman" w:hAnsi="Times New Roman"/>
          <w:sz w:val="24"/>
          <w:szCs w:val="24"/>
        </w:rPr>
        <w:t>“</w:t>
      </w:r>
      <w:r w:rsidRPr="00A737CA">
        <w:rPr>
          <w:rFonts w:ascii="Times New Roman" w:hAnsi="Times New Roman"/>
          <w:sz w:val="24"/>
          <w:szCs w:val="24"/>
        </w:rPr>
        <w:t xml:space="preserve">Lo que hace Irlanda, Holanda, Luxemburgo o Malta es insolidario con </w:t>
      </w:r>
      <w:r>
        <w:rPr>
          <w:rFonts w:ascii="Times New Roman" w:hAnsi="Times New Roman"/>
          <w:sz w:val="24"/>
          <w:szCs w:val="24"/>
        </w:rPr>
        <w:t>el resto de la economía europea”</w:t>
      </w:r>
      <w:r w:rsidRPr="00A737CA">
        <w:rPr>
          <w:rFonts w:ascii="Times New Roman" w:hAnsi="Times New Roman"/>
          <w:sz w:val="24"/>
          <w:szCs w:val="24"/>
        </w:rPr>
        <w:t>, concluyó.</w:t>
      </w:r>
    </w:p>
    <w:p w:rsidR="00EF79E1" w:rsidRDefault="00EF79E1" w:rsidP="00EF79E1">
      <w:pPr>
        <w:spacing w:line="240" w:lineRule="auto"/>
        <w:jc w:val="both"/>
        <w:rPr>
          <w:rFonts w:ascii="Times New Roman" w:hAnsi="Times New Roman"/>
          <w:sz w:val="24"/>
          <w:szCs w:val="24"/>
        </w:rPr>
      </w:pPr>
      <w:r w:rsidRPr="00A737CA">
        <w:rPr>
          <w:rFonts w:ascii="Times New Roman" w:hAnsi="Times New Roman"/>
          <w:sz w:val="24"/>
          <w:szCs w:val="24"/>
        </w:rPr>
        <w:t>Varias multinacionales han sido criticadas en el pasado por minimizar el pago de impuestos remitiendo la facturación a filiales situadas en otros países que gozan de mejor trato fiscal.</w:t>
      </w:r>
    </w:p>
    <w:p w:rsidR="0028448A" w:rsidRPr="0028448A" w:rsidRDefault="0028448A" w:rsidP="0028448A">
      <w:pPr>
        <w:spacing w:line="240" w:lineRule="auto"/>
        <w:jc w:val="both"/>
        <w:rPr>
          <w:rFonts w:ascii="Times New Roman" w:hAnsi="Times New Roman"/>
          <w:i/>
          <w:sz w:val="24"/>
          <w:szCs w:val="24"/>
        </w:rPr>
      </w:pPr>
      <w:r>
        <w:rPr>
          <w:rFonts w:ascii="Times New Roman" w:hAnsi="Times New Roman"/>
          <w:i/>
          <w:sz w:val="24"/>
          <w:szCs w:val="24"/>
        </w:rPr>
        <w:t>“</w:t>
      </w:r>
      <w:r w:rsidRPr="0028448A">
        <w:rPr>
          <w:rFonts w:ascii="Times New Roman" w:hAnsi="Times New Roman"/>
          <w:i/>
          <w:sz w:val="24"/>
          <w:szCs w:val="24"/>
        </w:rPr>
        <w:t>Pese a ser un país pequeño (tiene unos 4,6 millones de habitantes), Irlanda concentra al menos el 54% de los ingresos de Google fuera de EEUU y algo más del 31% de su facturación a nivel mundial. El beneficio, no obstante, no se queda allí, porque la tecnológica sólo declara en el país del trébol el 1,3% de sus beneficios globales. Según las últimas cuentas disponibles, Google Ireland Limited, la filial a través de la que el buscador factura casi toda la publicidad online que vende en Europa y otros países, ingresó 18.268 millones de euros en 2014, un 7,4% más que en el ejercicio anterior.</w:t>
      </w:r>
    </w:p>
    <w:p w:rsidR="0028448A" w:rsidRPr="0028448A" w:rsidRDefault="0028448A" w:rsidP="0028448A">
      <w:pPr>
        <w:spacing w:line="240" w:lineRule="auto"/>
        <w:jc w:val="both"/>
        <w:rPr>
          <w:rFonts w:ascii="Times New Roman" w:hAnsi="Times New Roman"/>
          <w:i/>
          <w:sz w:val="24"/>
          <w:szCs w:val="24"/>
        </w:rPr>
      </w:pPr>
      <w:r w:rsidRPr="0028448A">
        <w:rPr>
          <w:rFonts w:ascii="Times New Roman" w:hAnsi="Times New Roman"/>
          <w:i/>
          <w:sz w:val="24"/>
          <w:szCs w:val="24"/>
        </w:rPr>
        <w:t>Ese año, el gigante norteamericano declaró unas ventas globales de 66.000 millones de dólares (59.123 millones de euros al cambio actual), lo que implica que la filial irlandesa de Google es la segunda en importancia de la compañía en todo el mundo, sólo por detrás de EEUU, que generó unas ventas de 28.139 millones de dólares (unos 25.210 millones de euros), según datos de la propia multinacional recogidos por Bloomberg.</w:t>
      </w:r>
    </w:p>
    <w:p w:rsidR="0028448A" w:rsidRPr="004C6E43" w:rsidRDefault="0028448A" w:rsidP="0028448A">
      <w:pPr>
        <w:spacing w:line="240" w:lineRule="auto"/>
        <w:jc w:val="both"/>
        <w:rPr>
          <w:rFonts w:ascii="Times New Roman" w:hAnsi="Times New Roman"/>
          <w:sz w:val="24"/>
          <w:szCs w:val="24"/>
        </w:rPr>
      </w:pPr>
      <w:r w:rsidRPr="0028448A">
        <w:rPr>
          <w:rFonts w:ascii="Times New Roman" w:hAnsi="Times New Roman"/>
          <w:i/>
          <w:sz w:val="24"/>
          <w:szCs w:val="24"/>
        </w:rPr>
        <w:t>Pese a los fuertes ingresos generados, Google Ireland Limited apenas declaró un beneficio neto de 167,8 millones de euros después de haber pagado 41,5 millones de euros en concepto de impuesto de sociedades, que en Irlanda es del 12,5% frente al 25% de España. Así, tal y como ya se ha apuntado, las ganancias publicadas por la filial en 2014 apenas supone un porcentaje mínimo respecto a los 14.444 millones de dólares (12.937 millones de euros al cambio actual) de beneficios publicados por la tecnológica a nivel mundial ese ejercicio</w:t>
      </w:r>
      <w:r>
        <w:rPr>
          <w:rFonts w:ascii="Times New Roman" w:hAnsi="Times New Roman"/>
          <w:i/>
          <w:sz w:val="24"/>
          <w:szCs w:val="24"/>
        </w:rPr>
        <w:t>”..</w:t>
      </w:r>
      <w:r w:rsidRPr="0028448A">
        <w:rPr>
          <w:rFonts w:ascii="Times New Roman" w:hAnsi="Times New Roman"/>
          <w:i/>
          <w:sz w:val="24"/>
          <w:szCs w:val="24"/>
        </w:rPr>
        <w:t>.</w:t>
      </w:r>
      <w:r w:rsidRPr="00AF5123">
        <w:rPr>
          <w:rFonts w:ascii="Times New Roman" w:hAnsi="Times New Roman"/>
          <w:sz w:val="24"/>
          <w:szCs w:val="24"/>
          <w:u w:val="single"/>
        </w:rPr>
        <w:t>Google declara en Irlanda un tercio de sus ingresos y sólo el 1,3% del beneficio</w:t>
      </w:r>
      <w:r>
        <w:rPr>
          <w:rFonts w:ascii="Times New Roman" w:hAnsi="Times New Roman"/>
          <w:sz w:val="24"/>
          <w:szCs w:val="24"/>
        </w:rPr>
        <w:t xml:space="preserve"> (El Economista - </w:t>
      </w:r>
      <w:r w:rsidRPr="00AF5123">
        <w:rPr>
          <w:rFonts w:ascii="Times New Roman" w:hAnsi="Times New Roman"/>
          <w:b/>
          <w:sz w:val="24"/>
          <w:szCs w:val="24"/>
        </w:rPr>
        <w:t>6/9/16</w:t>
      </w:r>
      <w:r>
        <w:rPr>
          <w:rFonts w:ascii="Times New Roman" w:hAnsi="Times New Roman"/>
          <w:sz w:val="24"/>
          <w:szCs w:val="24"/>
        </w:rPr>
        <w:t>)</w:t>
      </w:r>
    </w:p>
    <w:p w:rsidR="0028448A" w:rsidRPr="00564857" w:rsidRDefault="0028448A" w:rsidP="0028448A">
      <w:pPr>
        <w:spacing w:line="240" w:lineRule="auto"/>
        <w:jc w:val="both"/>
        <w:rPr>
          <w:rFonts w:ascii="Times New Roman" w:hAnsi="Times New Roman"/>
          <w:sz w:val="24"/>
          <w:szCs w:val="24"/>
        </w:rPr>
      </w:pPr>
      <w:r>
        <w:rPr>
          <w:rFonts w:ascii="Times New Roman" w:hAnsi="Times New Roman"/>
          <w:sz w:val="24"/>
          <w:szCs w:val="24"/>
        </w:rPr>
        <w:t xml:space="preserve">- </w:t>
      </w:r>
      <w:r w:rsidRPr="00564857">
        <w:rPr>
          <w:rFonts w:ascii="Times New Roman" w:hAnsi="Times New Roman"/>
          <w:sz w:val="24"/>
          <w:szCs w:val="24"/>
          <w:u w:val="single"/>
        </w:rPr>
        <w:t>La elusión de impuestos de Apple ilustra la brecha entre la ley y la lógica económica</w:t>
      </w:r>
      <w:r>
        <w:rPr>
          <w:rFonts w:ascii="Times New Roman" w:hAnsi="Times New Roman"/>
          <w:sz w:val="24"/>
          <w:szCs w:val="24"/>
        </w:rPr>
        <w:t xml:space="preserve"> (The Wall Street Journal - </w:t>
      </w:r>
      <w:r w:rsidRPr="00564857">
        <w:rPr>
          <w:rFonts w:ascii="Times New Roman" w:hAnsi="Times New Roman"/>
          <w:b/>
          <w:sz w:val="24"/>
          <w:szCs w:val="24"/>
        </w:rPr>
        <w:t>7/9/16</w:t>
      </w:r>
      <w:r>
        <w:rPr>
          <w:rFonts w:ascii="Times New Roman" w:hAnsi="Times New Roman"/>
          <w:sz w:val="24"/>
          <w:szCs w:val="24"/>
        </w:rPr>
        <w:t>)                                                    Lectura recomendada</w:t>
      </w:r>
    </w:p>
    <w:p w:rsidR="0028448A" w:rsidRPr="00A97E24" w:rsidRDefault="0028448A" w:rsidP="0028448A">
      <w:pPr>
        <w:spacing w:line="240" w:lineRule="auto"/>
        <w:jc w:val="both"/>
        <w:rPr>
          <w:rFonts w:ascii="Times New Roman" w:hAnsi="Times New Roman"/>
          <w:color w:val="FF0000"/>
          <w:sz w:val="24"/>
          <w:szCs w:val="24"/>
        </w:rPr>
      </w:pPr>
      <w:r w:rsidRPr="00A97E24">
        <w:rPr>
          <w:rFonts w:ascii="Times New Roman" w:hAnsi="Times New Roman"/>
          <w:color w:val="FF0000"/>
          <w:sz w:val="24"/>
          <w:szCs w:val="24"/>
        </w:rPr>
        <w:t>La CE no acusa a Apple de quebrantar las leyes tributarias de Irlanda. Ese el meollo del asunto.</w:t>
      </w:r>
    </w:p>
    <w:p w:rsidR="0028448A" w:rsidRDefault="0028448A" w:rsidP="0028448A">
      <w:pPr>
        <w:shd w:val="clear" w:color="auto" w:fill="FFFFFF"/>
        <w:spacing w:line="240" w:lineRule="auto"/>
        <w:jc w:val="both"/>
        <w:textAlignment w:val="baseline"/>
        <w:rPr>
          <w:rStyle w:val="apple-converted-space"/>
          <w:rFonts w:ascii="Times New Roman" w:hAnsi="Times New Roman" w:cs="Times New Roman"/>
          <w:sz w:val="24"/>
          <w:szCs w:val="24"/>
        </w:rPr>
      </w:pPr>
      <w:r>
        <w:rPr>
          <w:rFonts w:ascii="Times New Roman" w:hAnsi="Times New Roman"/>
          <w:sz w:val="24"/>
          <w:szCs w:val="24"/>
          <w:bdr w:val="none" w:sz="0" w:space="0" w:color="auto" w:frame="1"/>
        </w:rPr>
        <w:t>(</w:t>
      </w:r>
      <w:r w:rsidRPr="00564857">
        <w:rPr>
          <w:rFonts w:ascii="Times New Roman" w:hAnsi="Times New Roman" w:cs="Times New Roman"/>
          <w:sz w:val="24"/>
          <w:szCs w:val="24"/>
          <w:bdr w:val="none" w:sz="0" w:space="0" w:color="auto" w:frame="1"/>
        </w:rPr>
        <w:t>Por</w:t>
      </w:r>
      <w:r>
        <w:rPr>
          <w:rFonts w:ascii="Times New Roman" w:hAnsi="Times New Roman" w:cs="Times New Roman"/>
          <w:sz w:val="24"/>
          <w:szCs w:val="24"/>
          <w:bdr w:val="none" w:sz="0" w:space="0" w:color="auto" w:frame="1"/>
        </w:rPr>
        <w:t xml:space="preserve"> Greg Ip)</w:t>
      </w:r>
      <w:r w:rsidRPr="00564857">
        <w:rPr>
          <w:rStyle w:val="apple-converted-space"/>
          <w:rFonts w:ascii="Times New Roman" w:hAnsi="Times New Roman" w:cs="Times New Roman"/>
          <w:sz w:val="24"/>
          <w:szCs w:val="24"/>
        </w:rPr>
        <w:t> </w:t>
      </w:r>
    </w:p>
    <w:p w:rsidR="0028448A" w:rsidRPr="00E94C44" w:rsidRDefault="0028448A" w:rsidP="0028448A">
      <w:pPr>
        <w:shd w:val="clear" w:color="auto" w:fill="FFFFFF"/>
        <w:spacing w:line="240" w:lineRule="auto"/>
        <w:jc w:val="both"/>
        <w:textAlignment w:val="baseline"/>
        <w:rPr>
          <w:rFonts w:ascii="Times New Roman" w:hAnsi="Times New Roman"/>
          <w:bCs/>
          <w:caps/>
          <w:sz w:val="24"/>
          <w:szCs w:val="24"/>
          <w:bdr w:val="none" w:sz="0" w:space="0" w:color="auto" w:frame="1"/>
        </w:rPr>
      </w:pPr>
      <w:r w:rsidRPr="00A97E24">
        <w:rPr>
          <w:rFonts w:ascii="Times New Roman" w:hAnsi="Times New Roman" w:cs="Times New Roman"/>
          <w:color w:val="FF0000"/>
          <w:sz w:val="24"/>
          <w:szCs w:val="24"/>
          <w:u w:val="single"/>
        </w:rPr>
        <w:t>Empresas estadounidenses como</w:t>
      </w:r>
      <w:r w:rsidRPr="00A97E24">
        <w:rPr>
          <w:rStyle w:val="apple-converted-space"/>
          <w:rFonts w:ascii="Times New Roman" w:hAnsi="Times New Roman" w:cs="Times New Roman"/>
          <w:color w:val="FF0000"/>
          <w:sz w:val="24"/>
          <w:szCs w:val="24"/>
          <w:u w:val="single"/>
        </w:rPr>
        <w:t> </w:t>
      </w:r>
      <w:hyperlink r:id="rId75" w:history="1">
        <w:r w:rsidRPr="00A97E24">
          <w:rPr>
            <w:rStyle w:val="Hipervnculo"/>
            <w:rFonts w:ascii="Times New Roman" w:hAnsi="Times New Roman" w:cs="Times New Roman"/>
            <w:color w:val="FF0000"/>
            <w:sz w:val="24"/>
            <w:szCs w:val="24"/>
          </w:rPr>
          <w:t>Apple</w:t>
        </w:r>
      </w:hyperlink>
      <w:r w:rsidRPr="00A97E24">
        <w:rPr>
          <w:rStyle w:val="apple-converted-space"/>
          <w:rFonts w:ascii="Times New Roman" w:hAnsi="Times New Roman" w:cs="Times New Roman"/>
          <w:color w:val="FF0000"/>
          <w:sz w:val="24"/>
          <w:szCs w:val="24"/>
          <w:u w:val="single"/>
          <w:bdr w:val="none" w:sz="0" w:space="0" w:color="auto" w:frame="1"/>
        </w:rPr>
        <w:t> </w:t>
      </w:r>
      <w:r w:rsidRPr="00A97E24">
        <w:rPr>
          <w:rStyle w:val="company-name-type"/>
          <w:rFonts w:ascii="Times New Roman" w:hAnsi="Times New Roman"/>
          <w:color w:val="FF0000"/>
          <w:sz w:val="24"/>
          <w:szCs w:val="24"/>
          <w:u w:val="single"/>
          <w:bdr w:val="none" w:sz="0" w:space="0" w:color="auto" w:frame="1"/>
        </w:rPr>
        <w:t>Inc.</w:t>
      </w:r>
      <w:r w:rsidRPr="00A97E24">
        <w:rPr>
          <w:rStyle w:val="apple-converted-space"/>
          <w:rFonts w:ascii="Times New Roman" w:hAnsi="Times New Roman" w:cs="Times New Roman"/>
          <w:color w:val="FF0000"/>
          <w:sz w:val="24"/>
          <w:szCs w:val="24"/>
          <w:u w:val="single"/>
        </w:rPr>
        <w:t> </w:t>
      </w:r>
      <w:r w:rsidRPr="00A97E24">
        <w:rPr>
          <w:rFonts w:ascii="Times New Roman" w:hAnsi="Times New Roman" w:cs="Times New Roman"/>
          <w:color w:val="FF0000"/>
          <w:sz w:val="24"/>
          <w:szCs w:val="24"/>
          <w:u w:val="single"/>
        </w:rPr>
        <w:t>no son solamente innovadoras de primera categoría en tecnología y marketing. Son, además, innovadoras de primera clase en la elusión de impuestos.</w:t>
      </w:r>
    </w:p>
    <w:p w:rsidR="0028448A" w:rsidRPr="00A97E24" w:rsidRDefault="0028448A" w:rsidP="0028448A">
      <w:pPr>
        <w:pStyle w:val="NormalWeb"/>
        <w:shd w:val="clear" w:color="auto" w:fill="FFFFFF"/>
        <w:spacing w:before="0" w:beforeAutospacing="0" w:after="270" w:afterAutospacing="0"/>
        <w:jc w:val="both"/>
        <w:textAlignment w:val="baseline"/>
        <w:rPr>
          <w:color w:val="FF0000"/>
          <w:u w:val="single"/>
        </w:rPr>
      </w:pPr>
      <w:r w:rsidRPr="00A97E24">
        <w:rPr>
          <w:color w:val="FF0000"/>
          <w:u w:val="single"/>
        </w:rPr>
        <w:t xml:space="preserve">Esta es una de las lecciones evidentes del anuncio que realizó la Comisión Europea la semana pasada de que Apple le debe a Irlanda hasta US$14.500 millones en impuestos impagos. Hablando estrictamente en términos económicos, la CE tiene razón. Apple, con la ayuda de Irlanda, separó las ganancias que reporta y los impuestos que paga de la actividad comercial que genera esas utilidades. Ese comportamiento, repetido por </w:t>
      </w:r>
      <w:r w:rsidRPr="00A97E24">
        <w:rPr>
          <w:color w:val="FF0000"/>
          <w:u w:val="single"/>
        </w:rPr>
        <w:lastRenderedPageBreak/>
        <w:t>numerosas multinacionales en otras jurisdicciones, ha creado brechas gigantescas en el sistema mundial de impuestos corporativos.</w:t>
      </w:r>
    </w:p>
    <w:p w:rsidR="0028448A" w:rsidRPr="00A97E24" w:rsidRDefault="0028448A" w:rsidP="0028448A">
      <w:pPr>
        <w:pStyle w:val="NormalWeb"/>
        <w:shd w:val="clear" w:color="auto" w:fill="FFFFFF"/>
        <w:spacing w:before="0" w:beforeAutospacing="0" w:after="270" w:afterAutospacing="0"/>
        <w:jc w:val="both"/>
        <w:textAlignment w:val="baseline"/>
        <w:rPr>
          <w:u w:val="single"/>
        </w:rPr>
      </w:pPr>
      <w:r w:rsidRPr="00A97E24">
        <w:rPr>
          <w:u w:val="single"/>
        </w:rPr>
        <w:t>Sin embargo, determinar si la CE tiene razón o no en el aspecto legal es otra cuestión. El organismo afirma que Irlanda le dio a Apple un trato especial que constituye una ayuda estatal ilícita a una empresa privada. El gobierno irlandés lo niega y planea apelar la decisión ante los tribunales de la Unión Europea.</w:t>
      </w:r>
    </w:p>
    <w:p w:rsidR="0028448A" w:rsidRPr="00A97E24" w:rsidRDefault="0028448A" w:rsidP="0028448A">
      <w:pPr>
        <w:pStyle w:val="NormalWeb"/>
        <w:shd w:val="clear" w:color="auto" w:fill="FFFFFF"/>
        <w:spacing w:before="0" w:beforeAutospacing="0" w:after="0" w:afterAutospacing="0"/>
        <w:jc w:val="both"/>
        <w:textAlignment w:val="baseline"/>
        <w:rPr>
          <w:color w:val="FF0000"/>
          <w:u w:val="single"/>
        </w:rPr>
      </w:pPr>
      <w:r w:rsidRPr="00A97E24">
        <w:rPr>
          <w:u w:val="single"/>
        </w:rPr>
        <w:t>La CE no acusa a Apple de quebrantar las leyes tributarias de Irlanda. Ese el meollo del asunto</w:t>
      </w:r>
      <w:r w:rsidRPr="00564857">
        <w:t xml:space="preserve">. </w:t>
      </w:r>
      <w:r w:rsidRPr="00A97E24">
        <w:rPr>
          <w:color w:val="FF0000"/>
          <w:u w:val="single"/>
        </w:rPr>
        <w:t xml:space="preserve">La elusión multinacional de impuestos está creciendo precisamente porque las compañías perseverantes pueden hallar muchas maneras, y muchos gobiernos socios, para evitar pagar tributos. Las normas impositivas son tan subjetivas que una compañía puede afirmar que cumple las normas y sin embargo paga una tasa que “todos los demás ven y dicen que es de locos”, asevera </w:t>
      </w:r>
      <w:hyperlink r:id="rId76" w:history="1">
        <w:r w:rsidRPr="00A97E24">
          <w:rPr>
            <w:rStyle w:val="Hipervnculo"/>
            <w:color w:val="FF0000"/>
          </w:rPr>
          <w:t>Martin Sullivan</w:t>
        </w:r>
      </w:hyperlink>
      <w:r w:rsidRPr="00A97E24">
        <w:rPr>
          <w:color w:val="FF0000"/>
          <w:u w:val="single"/>
        </w:rPr>
        <w:t>,</w:t>
      </w:r>
      <w:r w:rsidRPr="00A97E24">
        <w:rPr>
          <w:rStyle w:val="apple-converted-space"/>
          <w:color w:val="FF0000"/>
          <w:u w:val="single"/>
        </w:rPr>
        <w:t> </w:t>
      </w:r>
      <w:r w:rsidRPr="00A97E24">
        <w:rPr>
          <w:color w:val="FF0000"/>
          <w:u w:val="single"/>
        </w:rPr>
        <w:t>economista jefe de Tax Analysts, una consultora sin fines de lucro.</w:t>
      </w:r>
    </w:p>
    <w:p w:rsidR="0028448A" w:rsidRPr="00A97E24" w:rsidRDefault="0028448A" w:rsidP="0028448A">
      <w:pPr>
        <w:pStyle w:val="NormalWeb"/>
        <w:shd w:val="clear" w:color="auto" w:fill="FFFFFF"/>
        <w:spacing w:before="0" w:beforeAutospacing="0" w:after="0" w:afterAutospacing="0"/>
        <w:jc w:val="both"/>
        <w:textAlignment w:val="baseline"/>
        <w:rPr>
          <w:color w:val="FF0000"/>
          <w:u w:val="single"/>
        </w:rPr>
      </w:pPr>
    </w:p>
    <w:p w:rsidR="0028448A" w:rsidRPr="00A97E24" w:rsidRDefault="0028448A" w:rsidP="0028448A">
      <w:pPr>
        <w:pStyle w:val="NormalWeb"/>
        <w:shd w:val="clear" w:color="auto" w:fill="FFFFFF"/>
        <w:spacing w:before="0" w:beforeAutospacing="0" w:after="270" w:afterAutospacing="0"/>
        <w:jc w:val="both"/>
        <w:textAlignment w:val="baseline"/>
        <w:rPr>
          <w:b/>
          <w:color w:val="FF0000"/>
          <w:u w:val="single"/>
        </w:rPr>
      </w:pPr>
      <w:r w:rsidRPr="00A97E24">
        <w:rPr>
          <w:b/>
          <w:color w:val="FF0000"/>
          <w:u w:val="single"/>
        </w:rPr>
        <w:t>El hecho de que la elusión de impuestos corporativos haya crecido es evidente al ver las ganancias que las empresas estadounidenses reportan en paraísos fiscales. Las ganancias de las empresas de control estadounidense equivalieron en 2004 a 7,6% del Producto Interno Bruto de Irlanda. Para 2010, esa cifra se había más que quintuplicado, a 42%, según</w:t>
      </w:r>
      <w:r w:rsidRPr="00A97E24">
        <w:rPr>
          <w:rStyle w:val="apple-converted-space"/>
          <w:b/>
          <w:color w:val="FF0000"/>
          <w:u w:val="single"/>
        </w:rPr>
        <w:t> </w:t>
      </w:r>
      <w:r w:rsidRPr="00A97E24">
        <w:rPr>
          <w:b/>
          <w:color w:val="FF0000"/>
          <w:u w:val="single"/>
        </w:rPr>
        <w:t>Jane Gravelle,</w:t>
      </w:r>
      <w:r w:rsidRPr="00A97E24">
        <w:rPr>
          <w:rStyle w:val="apple-converted-space"/>
          <w:b/>
          <w:color w:val="FF0000"/>
          <w:u w:val="single"/>
        </w:rPr>
        <w:t> </w:t>
      </w:r>
      <w:r w:rsidRPr="00A97E24">
        <w:rPr>
          <w:b/>
          <w:color w:val="FF0000"/>
          <w:u w:val="single"/>
        </w:rPr>
        <w:t>analista del Servicio de Investigación del Congreso, que no tiene afiliación política. En Luxemburgo, la relación se ha disparado de 18,2% a 127%. En paraísos fiscales tradicionales como las Islas Vírgenes Británicas y las Islas Caimán, las ganancias de las subsidiarias estadounidenses equivalieron a 20 veces el PIB local en 2010.</w:t>
      </w:r>
    </w:p>
    <w:p w:rsidR="0028448A" w:rsidRPr="00564857" w:rsidRDefault="0028448A" w:rsidP="0028448A">
      <w:pPr>
        <w:shd w:val="clear" w:color="auto" w:fill="FFFFFF"/>
        <w:spacing w:line="240" w:lineRule="auto"/>
        <w:jc w:val="both"/>
        <w:textAlignment w:val="baseline"/>
        <w:rPr>
          <w:rFonts w:ascii="Times New Roman" w:hAnsi="Times New Roman" w:cs="Times New Roman"/>
          <w:sz w:val="24"/>
          <w:szCs w:val="24"/>
        </w:rPr>
      </w:pPr>
      <w:r w:rsidRPr="00564857">
        <w:rPr>
          <w:rFonts w:ascii="Times New Roman" w:hAnsi="Times New Roman" w:cs="Times New Roman"/>
          <w:noProof/>
          <w:sz w:val="24"/>
          <w:szCs w:val="24"/>
          <w:lang w:val="en-GB" w:eastAsia="en-GB"/>
        </w:rPr>
        <w:drawing>
          <wp:inline distT="0" distB="0" distL="0" distR="0">
            <wp:extent cx="5435600" cy="2597150"/>
            <wp:effectExtent l="0" t="0" r="0" b="0"/>
            <wp:docPr id="12" name="Imagen 12" descr="https://si.wsj.net/public/resources/images/OA-BD222_DCapac_NS_20160907174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OA-BD222_DCapac_NS_20160907174430.jpg"/>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5600" cy="2597150"/>
                    </a:xfrm>
                    <a:prstGeom prst="rect">
                      <a:avLst/>
                    </a:prstGeom>
                    <a:noFill/>
                    <a:ln>
                      <a:noFill/>
                    </a:ln>
                  </pic:spPr>
                </pic:pic>
              </a:graphicData>
            </a:graphic>
          </wp:inline>
        </w:drawing>
      </w:r>
    </w:p>
    <w:p w:rsidR="0028448A" w:rsidRPr="00A97E24" w:rsidRDefault="0028448A" w:rsidP="0028448A">
      <w:pPr>
        <w:pStyle w:val="NormalWeb"/>
        <w:shd w:val="clear" w:color="auto" w:fill="FFFFFF"/>
        <w:spacing w:before="0" w:beforeAutospacing="0" w:after="270" w:afterAutospacing="0"/>
        <w:jc w:val="both"/>
        <w:textAlignment w:val="baseline"/>
        <w:rPr>
          <w:u w:val="single"/>
        </w:rPr>
      </w:pPr>
      <w:r w:rsidRPr="00A97E24">
        <w:rPr>
          <w:u w:val="single"/>
        </w:rPr>
        <w:t>Existen varias razones detrás de este aumento. Una es el crecimiento de la propiedad intelectual, como las patentes, las marcas y el software como fuente de ganancias, que se pueden trasladar fácilmente entre jurisdicciones en el extranjero. Otra es la sofisticación y la audacia con las que las multinacionales explotan los resquicios entre, y los tecnicismos en, los sistemas tributarios de diferentes países. Debido a que Estados Unidos es líder en sectores intensivos en propiedad intelectual, sus empresas son naturalmente los usuarios más ávidos de tales técnicas.</w:t>
      </w:r>
    </w:p>
    <w:p w:rsidR="0028448A" w:rsidRPr="00A97E24" w:rsidRDefault="0028448A" w:rsidP="0028448A">
      <w:pPr>
        <w:pStyle w:val="NormalWeb"/>
        <w:shd w:val="clear" w:color="auto" w:fill="FFFFFF"/>
        <w:spacing w:before="0" w:beforeAutospacing="0" w:after="270" w:afterAutospacing="0"/>
        <w:jc w:val="both"/>
        <w:textAlignment w:val="baseline"/>
        <w:rPr>
          <w:color w:val="FF0000"/>
          <w:u w:val="single"/>
        </w:rPr>
      </w:pPr>
      <w:r w:rsidRPr="00A97E24">
        <w:rPr>
          <w:color w:val="FF0000"/>
          <w:u w:val="single"/>
        </w:rPr>
        <w:lastRenderedPageBreak/>
        <w:t>Según la CE, Irlanda tomó determinaciones impositivas en 1991 y 2007 que permitieron a Apple asignar ganancias sobre las ventas en la Unión Europa a una “sede” interna que existía sólo en papel y no era gravable bajo una provisión de las leyes tributarias irlandesas que ya no está en vigencia. Por consecuencia, sostiene, la tasa tributaria efectiva de Irlanda sobre las ganancias europeas de Apple fue de 0,005%, muy por debajo del impuesto corporativo oficial de 12,5%.</w:t>
      </w:r>
    </w:p>
    <w:p w:rsidR="0028448A" w:rsidRPr="00A97E24" w:rsidRDefault="0028448A" w:rsidP="0028448A">
      <w:pPr>
        <w:pStyle w:val="NormalWeb"/>
        <w:shd w:val="clear" w:color="auto" w:fill="FFFFFF"/>
        <w:spacing w:before="0" w:beforeAutospacing="0" w:after="270" w:afterAutospacing="0"/>
        <w:jc w:val="both"/>
        <w:textAlignment w:val="baseline"/>
        <w:rPr>
          <w:color w:val="FF0000"/>
        </w:rPr>
      </w:pPr>
      <w:r w:rsidRPr="00A97E24">
        <w:rPr>
          <w:color w:val="FF0000"/>
        </w:rPr>
        <w:t>La respuesta de Apple, como es costumbre, distó de ser un pedido de disculpas. “Pagamos todos los impuestos que debemos”, declaró su presidente ejecutivo,</w:t>
      </w:r>
      <w:r w:rsidRPr="00A97E24">
        <w:rPr>
          <w:rStyle w:val="apple-converted-space"/>
          <w:color w:val="FF0000"/>
        </w:rPr>
        <w:t> </w:t>
      </w:r>
      <w:r w:rsidRPr="00A97E24">
        <w:rPr>
          <w:color w:val="FF0000"/>
        </w:rPr>
        <w:t>Tim Cook,</w:t>
      </w:r>
      <w:r w:rsidRPr="00A97E24">
        <w:rPr>
          <w:rStyle w:val="apple-converted-space"/>
          <w:color w:val="FF0000"/>
        </w:rPr>
        <w:t> </w:t>
      </w:r>
      <w:r w:rsidRPr="00A97E24">
        <w:rPr>
          <w:color w:val="FF0000"/>
        </w:rPr>
        <w:t>en una carta a los clientes.</w:t>
      </w:r>
    </w:p>
    <w:p w:rsidR="0028448A" w:rsidRPr="00A97E24" w:rsidRDefault="0028448A" w:rsidP="0028448A">
      <w:pPr>
        <w:pStyle w:val="NormalWeb"/>
        <w:shd w:val="clear" w:color="auto" w:fill="FFFFFF"/>
        <w:spacing w:before="0" w:beforeAutospacing="0" w:after="270" w:afterAutospacing="0"/>
        <w:jc w:val="both"/>
        <w:textAlignment w:val="baseline"/>
        <w:rPr>
          <w:u w:val="single"/>
        </w:rPr>
      </w:pPr>
      <w:r w:rsidRPr="00A97E24">
        <w:rPr>
          <w:color w:val="FF0000"/>
        </w:rPr>
        <w:t xml:space="preserve">Cook calificó la tasa tributaria estimada de la CE como “estupideces políticas”. Un vocero del gobierno irlandés dijo: Lo que sabemos que es irlandés está siendo tributado. </w:t>
      </w:r>
      <w:r w:rsidRPr="00A97E24">
        <w:rPr>
          <w:color w:val="FF0000"/>
          <w:u w:val="single"/>
        </w:rPr>
        <w:t>Lo que sabemos que no es irlandés no estamos tocando”.</w:t>
      </w:r>
      <w:r w:rsidR="00332C23">
        <w:rPr>
          <w:u w:val="single"/>
        </w:rPr>
        <w:t>El secretario del Tesoro de EEUU</w:t>
      </w:r>
      <w:r w:rsidRPr="00A97E24">
        <w:rPr>
          <w:u w:val="single"/>
        </w:rPr>
        <w:t>,</w:t>
      </w:r>
      <w:r w:rsidRPr="00A97E24">
        <w:rPr>
          <w:rStyle w:val="apple-converted-space"/>
          <w:u w:val="single"/>
        </w:rPr>
        <w:t> </w:t>
      </w:r>
      <w:r w:rsidRPr="00A97E24">
        <w:rPr>
          <w:u w:val="single"/>
        </w:rPr>
        <w:t>Jack Lew, quien suele vituperar contra malhechores corporativos, se puso del lado de Apple, argumentando que la CE ha sembrado incertidumbre y socavó la cooperación internacional, liderada por la Organización para la Cooperación y el Desarrollo Económico, para tomar medidas drásticas contra la elusión impositiva.</w:t>
      </w:r>
    </w:p>
    <w:p w:rsidR="0028448A" w:rsidRPr="0028448A" w:rsidRDefault="0028448A" w:rsidP="0028448A">
      <w:pPr>
        <w:pStyle w:val="NormalWeb"/>
        <w:shd w:val="clear" w:color="auto" w:fill="FFFFFF"/>
        <w:spacing w:before="0" w:beforeAutospacing="0" w:after="270" w:afterAutospacing="0"/>
        <w:jc w:val="both"/>
        <w:textAlignment w:val="baseline"/>
        <w:rPr>
          <w:color w:val="FF0000"/>
          <w:u w:val="single"/>
        </w:rPr>
      </w:pPr>
      <w:r w:rsidRPr="00A97E24">
        <w:rPr>
          <w:color w:val="FF0000"/>
          <w:u w:val="single"/>
        </w:rPr>
        <w:t>Lew también tiene una motivación monetaria. La CE afirma que Apple debe impuestos que ocultó indebidamente de los gobi</w:t>
      </w:r>
      <w:r>
        <w:rPr>
          <w:color w:val="FF0000"/>
          <w:u w:val="single"/>
        </w:rPr>
        <w:t>ernos europeos. No obstante, EEUU</w:t>
      </w:r>
      <w:r w:rsidRPr="00A97E24">
        <w:rPr>
          <w:color w:val="FF0000"/>
          <w:u w:val="single"/>
        </w:rPr>
        <w:t xml:space="preserve"> también reclama el dinero. Pese a que Apple envió las ganancias a una unidad que no es reconoc</w:t>
      </w:r>
      <w:r>
        <w:rPr>
          <w:color w:val="FF0000"/>
          <w:u w:val="single"/>
        </w:rPr>
        <w:t>ida por la ley tributaria de EEUU</w:t>
      </w:r>
      <w:r w:rsidRPr="00A97E24">
        <w:rPr>
          <w:color w:val="FF0000"/>
          <w:u w:val="single"/>
        </w:rPr>
        <w:t xml:space="preserve">, la compañía dice que las utilidades están sujetas a impuestos estadounidenses. Sin embargo, no tiene que pagar el impuesto mientras el dinero permanece fuera del país, y Cook asegura que no será repatriado hasta que la tasa </w:t>
      </w:r>
      <w:r>
        <w:rPr>
          <w:color w:val="FF0000"/>
          <w:u w:val="single"/>
        </w:rPr>
        <w:t>de impuestos corporativos de EEUU</w:t>
      </w:r>
      <w:r w:rsidRPr="00A97E24">
        <w:rPr>
          <w:color w:val="FF0000"/>
          <w:u w:val="single"/>
        </w:rPr>
        <w:t>, actualmente de 35%, sea más de su gusto. Apple reporta una tasa impositiva de 26%, pero eso incluye impuestos sobre ingresos extranjeros que en realidad no ha pagado. Sin contar eso, su tasa tributaria en efectivo es de 19%.</w:t>
      </w:r>
      <w:r w:rsidRPr="00A97E24">
        <w:rPr>
          <w:b/>
          <w:color w:val="FF0000"/>
          <w:u w:val="single"/>
        </w:rPr>
        <w:t>Esto, sin dudas, es lo que los accionistas de Apple quieren escuchar, pero solamente profundiza el cinismo del público hacia el sistema tributario y la globalización en general.</w:t>
      </w:r>
    </w:p>
    <w:p w:rsidR="0028448A" w:rsidRPr="00A97E24" w:rsidRDefault="0028448A" w:rsidP="0028448A">
      <w:pPr>
        <w:pStyle w:val="NormalWeb"/>
        <w:shd w:val="clear" w:color="auto" w:fill="FFFFFF"/>
        <w:spacing w:before="0" w:beforeAutospacing="0" w:after="270" w:afterAutospacing="0"/>
        <w:jc w:val="both"/>
        <w:textAlignment w:val="baseline"/>
        <w:rPr>
          <w:u w:val="single"/>
        </w:rPr>
      </w:pPr>
      <w:r w:rsidRPr="00A97E24">
        <w:rPr>
          <w:u w:val="single"/>
        </w:rPr>
        <w:t>Las empresas estadounidenses argumentan que tendrían menos incentivos par</w:t>
      </w:r>
      <w:r>
        <w:rPr>
          <w:u w:val="single"/>
        </w:rPr>
        <w:t>a trasladar las ganancias si EEUU</w:t>
      </w:r>
      <w:r w:rsidRPr="00A97E24">
        <w:rPr>
          <w:u w:val="single"/>
        </w:rPr>
        <w:t xml:space="preserve"> bajara su tasa impositiva para las empresas y dejara de gravar las ganancias obtenidas fuera del país. De todos modos, cuesta creer que las empresas repatriarían sus gana</w:t>
      </w:r>
      <w:r>
        <w:rPr>
          <w:u w:val="single"/>
        </w:rPr>
        <w:t>ncias con una tasa de 25% en EEUU</w:t>
      </w:r>
      <w:r w:rsidRPr="00A97E24">
        <w:rPr>
          <w:u w:val="single"/>
        </w:rPr>
        <w:t xml:space="preserve"> si en los paraísos fiscales pagan una tasa efectiva de cero. Poner fin al derecho a postergar las ganancias obtenidas en el extranjero podría resultar efectivo, pero eso también podría llevar a las empresas esta</w:t>
      </w:r>
      <w:r>
        <w:rPr>
          <w:u w:val="single"/>
        </w:rPr>
        <w:t>dounidenses a abandonar EEUU</w:t>
      </w:r>
      <w:r w:rsidRPr="00A97E24">
        <w:rPr>
          <w:u w:val="single"/>
        </w:rPr>
        <w:t xml:space="preserve"> del todo. Y, por supuesto, ambas medidas requerirían un cambio de legislación.</w:t>
      </w:r>
    </w:p>
    <w:p w:rsidR="0028448A" w:rsidRPr="00564857" w:rsidRDefault="0028448A" w:rsidP="0028448A">
      <w:pPr>
        <w:pStyle w:val="NormalWeb"/>
        <w:shd w:val="clear" w:color="auto" w:fill="FFFFFF"/>
        <w:spacing w:before="0" w:beforeAutospacing="0" w:after="270" w:afterAutospacing="0"/>
        <w:jc w:val="both"/>
        <w:textAlignment w:val="baseline"/>
      </w:pPr>
      <w:r w:rsidRPr="00564857">
        <w:t>La iniciativa de la OCDE apunta a cerrar algunos de los resquicios que facilita</w:t>
      </w:r>
      <w:r>
        <w:t>n la elusión fiscal, pero queda</w:t>
      </w:r>
      <w:r w:rsidRPr="00564857">
        <w:t xml:space="preserve"> por verse cuán profundo puede ser su impacto. Un estudio de septiembre de 2015 para el Parlamento Europeo sugirió que una solución integral podría recaudar US$13.000 millones al año, una fracción de los US$56.000 millones a US$212.000 millones que pierde debido a “planificación impositivas enérgicas”.</w:t>
      </w:r>
    </w:p>
    <w:p w:rsidR="0028448A" w:rsidRDefault="0028448A" w:rsidP="0028448A">
      <w:pPr>
        <w:pStyle w:val="NormalWeb"/>
        <w:shd w:val="clear" w:color="auto" w:fill="FFFFFF"/>
        <w:spacing w:before="0" w:beforeAutospacing="0" w:after="270" w:afterAutospacing="0"/>
        <w:jc w:val="both"/>
        <w:textAlignment w:val="baseline"/>
      </w:pPr>
      <w:r w:rsidRPr="00564857">
        <w:t>De hecho, los recaudadores fiscales tal vez nunca logren seguir el ritmo de sofisticación de las empresas que eluden impuestos. Por lo tanto, no debería ser una sorpresa que la tarea haya recaído en un regulador antimonopolio.</w:t>
      </w:r>
    </w:p>
    <w:p w:rsidR="0028448A" w:rsidRPr="00542B03" w:rsidRDefault="003E312E" w:rsidP="0028448A">
      <w:pPr>
        <w:spacing w:line="240" w:lineRule="auto"/>
        <w:jc w:val="both"/>
        <w:rPr>
          <w:rFonts w:ascii="Times New Roman" w:hAnsi="Times New Roman"/>
          <w:sz w:val="24"/>
          <w:szCs w:val="24"/>
        </w:rPr>
      </w:pPr>
      <w:r>
        <w:rPr>
          <w:rFonts w:ascii="Times New Roman" w:hAnsi="Times New Roman" w:cs="Times New Roman"/>
          <w:b/>
          <w:sz w:val="24"/>
          <w:szCs w:val="24"/>
        </w:rPr>
        <w:lastRenderedPageBreak/>
        <w:t xml:space="preserve">- </w:t>
      </w:r>
      <w:r w:rsidR="0028448A">
        <w:rPr>
          <w:rFonts w:ascii="Times New Roman" w:hAnsi="Times New Roman" w:cs="Times New Roman"/>
          <w:b/>
          <w:sz w:val="24"/>
          <w:szCs w:val="24"/>
        </w:rPr>
        <w:t>Fracaso estructural: economía alterna</w:t>
      </w:r>
      <w:r w:rsidR="00332C23">
        <w:rPr>
          <w:rFonts w:ascii="Times New Roman" w:hAnsi="Times New Roman" w:cs="Times New Roman"/>
          <w:b/>
          <w:sz w:val="24"/>
          <w:szCs w:val="24"/>
        </w:rPr>
        <w:t>tiva, disruptiva, virtual… (</w:t>
      </w:r>
      <w:r w:rsidR="0028448A">
        <w:rPr>
          <w:rFonts w:ascii="Times New Roman" w:hAnsi="Times New Roman" w:cs="Times New Roman"/>
          <w:b/>
          <w:sz w:val="24"/>
          <w:szCs w:val="24"/>
        </w:rPr>
        <w:t>GAFA</w:t>
      </w:r>
      <w:r w:rsidR="00332C23">
        <w:rPr>
          <w:rFonts w:ascii="Times New Roman" w:hAnsi="Times New Roman" w:cs="Times New Roman"/>
          <w:b/>
          <w:sz w:val="24"/>
          <w:szCs w:val="24"/>
        </w:rPr>
        <w:t>&amp; Co.</w:t>
      </w:r>
      <w:r w:rsidR="0028448A">
        <w:rPr>
          <w:rFonts w:ascii="Times New Roman" w:hAnsi="Times New Roman" w:cs="Times New Roman"/>
          <w:b/>
          <w:sz w:val="24"/>
          <w:szCs w:val="24"/>
        </w:rPr>
        <w:t>)</w:t>
      </w:r>
    </w:p>
    <w:p w:rsidR="0028448A" w:rsidRPr="00E27BFB" w:rsidRDefault="0028448A" w:rsidP="0028448A">
      <w:pPr>
        <w:spacing w:line="240" w:lineRule="auto"/>
        <w:jc w:val="both"/>
        <w:rPr>
          <w:rFonts w:ascii="Times New Roman" w:hAnsi="Times New Roman" w:cs="Times New Roman"/>
          <w:sz w:val="24"/>
          <w:szCs w:val="24"/>
          <w:lang w:val="es-ES_tradnl"/>
        </w:rPr>
      </w:pPr>
      <w:r w:rsidRPr="00E27BFB">
        <w:rPr>
          <w:rFonts w:ascii="Times New Roman" w:hAnsi="Times New Roman" w:cs="Times New Roman"/>
          <w:sz w:val="24"/>
          <w:szCs w:val="24"/>
          <w:lang w:val="es-ES_tradnl"/>
        </w:rPr>
        <w:t xml:space="preserve">- </w:t>
      </w:r>
      <w:r w:rsidRPr="00E27BFB">
        <w:rPr>
          <w:rFonts w:ascii="Times New Roman" w:hAnsi="Times New Roman" w:cs="Times New Roman"/>
          <w:sz w:val="24"/>
          <w:szCs w:val="24"/>
          <w:u w:val="single"/>
          <w:lang w:val="es-ES_tradnl"/>
        </w:rPr>
        <w:t>La economía compartida atrae a muchos, pero genera pocos empleos de tiempo completo</w:t>
      </w:r>
      <w:r w:rsidRPr="00E27BFB">
        <w:rPr>
          <w:rFonts w:ascii="Times New Roman" w:hAnsi="Times New Roman" w:cs="Times New Roman"/>
          <w:sz w:val="24"/>
          <w:szCs w:val="24"/>
          <w:lang w:val="es-ES_tradnl"/>
        </w:rPr>
        <w:t xml:space="preserve"> (</w:t>
      </w:r>
      <w:proofErr w:type="spellStart"/>
      <w:r w:rsidRPr="00E27BFB">
        <w:rPr>
          <w:rFonts w:ascii="Times New Roman" w:hAnsi="Times New Roman" w:cs="Times New Roman"/>
          <w:sz w:val="24"/>
          <w:szCs w:val="24"/>
          <w:lang w:val="es-ES_tradnl"/>
        </w:rPr>
        <w:t>The</w:t>
      </w:r>
      <w:proofErr w:type="spellEnd"/>
      <w:r w:rsidRPr="00E27BFB">
        <w:rPr>
          <w:rFonts w:ascii="Times New Roman" w:hAnsi="Times New Roman" w:cs="Times New Roman"/>
          <w:sz w:val="24"/>
          <w:szCs w:val="24"/>
          <w:lang w:val="es-ES_tradnl"/>
        </w:rPr>
        <w:t xml:space="preserve"> Wall </w:t>
      </w:r>
      <w:proofErr w:type="spellStart"/>
      <w:r w:rsidRPr="00E27BFB">
        <w:rPr>
          <w:rFonts w:ascii="Times New Roman" w:hAnsi="Times New Roman" w:cs="Times New Roman"/>
          <w:sz w:val="24"/>
          <w:szCs w:val="24"/>
          <w:lang w:val="es-ES_tradnl"/>
        </w:rPr>
        <w:t>Street</w:t>
      </w:r>
      <w:proofErr w:type="spellEnd"/>
      <w:r w:rsidRPr="00E27BFB">
        <w:rPr>
          <w:rFonts w:ascii="Times New Roman" w:hAnsi="Times New Roman" w:cs="Times New Roman"/>
          <w:sz w:val="24"/>
          <w:szCs w:val="24"/>
          <w:lang w:val="es-ES_tradnl"/>
        </w:rPr>
        <w:t xml:space="preserve"> </w:t>
      </w:r>
      <w:proofErr w:type="spellStart"/>
      <w:r w:rsidRPr="00E27BFB">
        <w:rPr>
          <w:rFonts w:ascii="Times New Roman" w:hAnsi="Times New Roman" w:cs="Times New Roman"/>
          <w:sz w:val="24"/>
          <w:szCs w:val="24"/>
          <w:lang w:val="es-ES_tradnl"/>
        </w:rPr>
        <w:t>Journal</w:t>
      </w:r>
      <w:proofErr w:type="spellEnd"/>
      <w:r w:rsidRPr="00E27BFB">
        <w:rPr>
          <w:rFonts w:ascii="Times New Roman" w:hAnsi="Times New Roman" w:cs="Times New Roman"/>
          <w:sz w:val="24"/>
          <w:szCs w:val="24"/>
          <w:lang w:val="es-ES_tradnl"/>
        </w:rPr>
        <w:t xml:space="preserve"> - </w:t>
      </w:r>
      <w:r w:rsidRPr="00E27BFB">
        <w:rPr>
          <w:rFonts w:ascii="Times New Roman" w:hAnsi="Times New Roman" w:cs="Times New Roman"/>
          <w:b/>
          <w:sz w:val="24"/>
          <w:szCs w:val="24"/>
          <w:lang w:val="es-ES_tradnl"/>
        </w:rPr>
        <w:t>28/2/16</w:t>
      </w:r>
      <w:r w:rsidRPr="00E27BFB">
        <w:rPr>
          <w:rFonts w:ascii="Times New Roman" w:hAnsi="Times New Roman" w:cs="Times New Roman"/>
          <w:sz w:val="24"/>
          <w:szCs w:val="24"/>
          <w:lang w:val="es-ES_tradnl"/>
        </w:rPr>
        <w:t>)                                 Lectura recomendada</w:t>
      </w:r>
    </w:p>
    <w:p w:rsidR="0028448A" w:rsidRPr="00E27BFB" w:rsidRDefault="0028448A" w:rsidP="0028448A">
      <w:pPr>
        <w:spacing w:line="240" w:lineRule="auto"/>
        <w:jc w:val="both"/>
        <w:rPr>
          <w:rFonts w:ascii="Times New Roman" w:hAnsi="Times New Roman" w:cs="Times New Roman"/>
          <w:sz w:val="24"/>
          <w:szCs w:val="24"/>
          <w:lang w:val="es-ES_tradnl"/>
        </w:rPr>
      </w:pPr>
      <w:r w:rsidRPr="00E27BFB">
        <w:rPr>
          <w:rFonts w:ascii="Times New Roman" w:hAnsi="Times New Roman" w:cs="Times New Roman"/>
          <w:sz w:val="24"/>
          <w:szCs w:val="24"/>
          <w:lang w:val="es-ES_tradnl"/>
        </w:rPr>
        <w:t xml:space="preserve">(Por Eric </w:t>
      </w:r>
      <w:proofErr w:type="spellStart"/>
      <w:r w:rsidRPr="00E27BFB">
        <w:rPr>
          <w:rFonts w:ascii="Times New Roman" w:hAnsi="Times New Roman" w:cs="Times New Roman"/>
          <w:sz w:val="24"/>
          <w:szCs w:val="24"/>
          <w:lang w:val="es-ES_tradnl"/>
        </w:rPr>
        <w:t>Morath</w:t>
      </w:r>
      <w:proofErr w:type="spellEnd"/>
      <w:r w:rsidRPr="00E27BFB">
        <w:rPr>
          <w:rFonts w:ascii="Times New Roman" w:hAnsi="Times New Roman" w:cs="Times New Roman"/>
          <w:sz w:val="24"/>
          <w:szCs w:val="24"/>
          <w:lang w:val="es-ES_tradnl"/>
        </w:rPr>
        <w:t xml:space="preserve">) </w:t>
      </w:r>
    </w:p>
    <w:p w:rsidR="0028448A" w:rsidRPr="00E27BFB" w:rsidRDefault="0028448A" w:rsidP="0028448A">
      <w:pPr>
        <w:spacing w:line="240" w:lineRule="auto"/>
        <w:jc w:val="both"/>
        <w:rPr>
          <w:rFonts w:ascii="Times New Roman" w:hAnsi="Times New Roman" w:cs="Times New Roman"/>
          <w:sz w:val="24"/>
          <w:szCs w:val="24"/>
          <w:u w:val="single"/>
          <w:lang w:val="es-ES_tradnl"/>
        </w:rPr>
      </w:pPr>
      <w:r w:rsidRPr="00E27BFB">
        <w:rPr>
          <w:rFonts w:ascii="Times New Roman" w:hAnsi="Times New Roman" w:cs="Times New Roman"/>
          <w:sz w:val="24"/>
          <w:szCs w:val="24"/>
          <w:u w:val="single"/>
          <w:lang w:val="es-ES_tradnl"/>
        </w:rPr>
        <w:t xml:space="preserve">La cantidad de estadounidenses que obtienen ingresos gracias a plataformas digitales como </w:t>
      </w:r>
      <w:proofErr w:type="spellStart"/>
      <w:r w:rsidRPr="00E27BFB">
        <w:rPr>
          <w:rFonts w:ascii="Times New Roman" w:hAnsi="Times New Roman" w:cs="Times New Roman"/>
          <w:sz w:val="24"/>
          <w:szCs w:val="24"/>
          <w:u w:val="single"/>
          <w:lang w:val="es-ES_tradnl"/>
        </w:rPr>
        <w:t>Uber</w:t>
      </w:r>
      <w:proofErr w:type="spellEnd"/>
      <w:r w:rsidRPr="00E27BFB">
        <w:rPr>
          <w:rFonts w:ascii="Times New Roman" w:hAnsi="Times New Roman" w:cs="Times New Roman"/>
          <w:sz w:val="24"/>
          <w:szCs w:val="24"/>
          <w:u w:val="single"/>
          <w:lang w:val="es-ES_tradnl"/>
        </w:rPr>
        <w:t xml:space="preserve"> y </w:t>
      </w:r>
      <w:proofErr w:type="spellStart"/>
      <w:r w:rsidRPr="00E27BFB">
        <w:rPr>
          <w:rFonts w:ascii="Times New Roman" w:hAnsi="Times New Roman" w:cs="Times New Roman"/>
          <w:sz w:val="24"/>
          <w:szCs w:val="24"/>
          <w:u w:val="single"/>
          <w:lang w:val="es-ES_tradnl"/>
        </w:rPr>
        <w:t>Airbnb</w:t>
      </w:r>
      <w:proofErr w:type="spellEnd"/>
      <w:r w:rsidRPr="00E27BFB">
        <w:rPr>
          <w:rFonts w:ascii="Times New Roman" w:hAnsi="Times New Roman" w:cs="Times New Roman"/>
          <w:sz w:val="24"/>
          <w:szCs w:val="24"/>
          <w:u w:val="single"/>
          <w:lang w:val="es-ES_tradnl"/>
        </w:rPr>
        <w:t xml:space="preserve"> está creciendo rápidamente, pero esos ingresos suelen más bien complementar un trabajo de tiempo completo que reemplazarlo.</w:t>
      </w:r>
    </w:p>
    <w:p w:rsidR="0028448A" w:rsidRPr="00E27BFB" w:rsidRDefault="0028448A" w:rsidP="0028448A">
      <w:pPr>
        <w:spacing w:line="240" w:lineRule="auto"/>
        <w:jc w:val="both"/>
        <w:rPr>
          <w:rFonts w:ascii="Times New Roman" w:hAnsi="Times New Roman" w:cs="Times New Roman"/>
          <w:color w:val="FF0000"/>
          <w:sz w:val="24"/>
          <w:szCs w:val="24"/>
          <w:u w:val="single"/>
          <w:lang w:val="es-ES_tradnl"/>
        </w:rPr>
      </w:pPr>
      <w:r w:rsidRPr="00E27BFB">
        <w:rPr>
          <w:rFonts w:ascii="Times New Roman" w:hAnsi="Times New Roman" w:cs="Times New Roman"/>
          <w:color w:val="FF0000"/>
          <w:sz w:val="24"/>
          <w:szCs w:val="24"/>
          <w:u w:val="single"/>
          <w:lang w:val="es-ES_tradnl"/>
        </w:rPr>
        <w:t xml:space="preserve">A septiembre de 2015, aproximadamente 1% de los adultos estadounidenses tenían algún ingreso relacionado con el creciente número de empresas de la llamada economía compartida, según un estudio de las transacciones bancarias del Instituto </w:t>
      </w:r>
      <w:proofErr w:type="spellStart"/>
      <w:r w:rsidRPr="00E27BFB">
        <w:rPr>
          <w:rFonts w:ascii="Times New Roman" w:hAnsi="Times New Roman" w:cs="Times New Roman"/>
          <w:color w:val="FF0000"/>
          <w:sz w:val="24"/>
          <w:szCs w:val="24"/>
          <w:u w:val="single"/>
          <w:lang w:val="es-ES_tradnl"/>
        </w:rPr>
        <w:t>JPMorgan</w:t>
      </w:r>
      <w:proofErr w:type="spellEnd"/>
      <w:r w:rsidRPr="00E27BFB">
        <w:rPr>
          <w:rFonts w:ascii="Times New Roman" w:hAnsi="Times New Roman" w:cs="Times New Roman"/>
          <w:color w:val="FF0000"/>
          <w:sz w:val="24"/>
          <w:szCs w:val="24"/>
          <w:u w:val="single"/>
          <w:lang w:val="es-ES_tradnl"/>
        </w:rPr>
        <w:t xml:space="preserve"> Chase, publicado recientemente. La participación se ha disparado desde octubre de 2012, cuando sólo 0,1% de los adultos recibieron ingresos a través de dichas plataformas.</w:t>
      </w:r>
    </w:p>
    <w:p w:rsidR="0028448A" w:rsidRPr="00E27BFB" w:rsidRDefault="0028448A" w:rsidP="0028448A">
      <w:pPr>
        <w:spacing w:line="240" w:lineRule="auto"/>
        <w:jc w:val="both"/>
        <w:rPr>
          <w:rFonts w:ascii="Times New Roman" w:hAnsi="Times New Roman" w:cs="Times New Roman"/>
          <w:color w:val="FF0000"/>
          <w:sz w:val="24"/>
          <w:szCs w:val="24"/>
          <w:u w:val="single"/>
          <w:lang w:val="es-ES_tradnl"/>
        </w:rPr>
      </w:pPr>
      <w:r w:rsidRPr="00E27BFB">
        <w:rPr>
          <w:rFonts w:ascii="Times New Roman" w:hAnsi="Times New Roman" w:cs="Times New Roman"/>
          <w:color w:val="FF0000"/>
          <w:sz w:val="24"/>
          <w:szCs w:val="24"/>
          <w:u w:val="single"/>
          <w:lang w:val="es-ES_tradnl"/>
        </w:rPr>
        <w:t>La fuerza laboral de trabajo compartido, estimada en 2,5 millones de personas, es más o menos equivalente a los maestros y otros trabajad</w:t>
      </w:r>
      <w:r w:rsidR="00332C23" w:rsidRPr="00E27BFB">
        <w:rPr>
          <w:rFonts w:ascii="Times New Roman" w:hAnsi="Times New Roman" w:cs="Times New Roman"/>
          <w:color w:val="FF0000"/>
          <w:sz w:val="24"/>
          <w:szCs w:val="24"/>
          <w:u w:val="single"/>
          <w:lang w:val="es-ES_tradnl"/>
        </w:rPr>
        <w:t>ores de escuelas públicas en EE</w:t>
      </w:r>
      <w:r w:rsidRPr="00E27BFB">
        <w:rPr>
          <w:rFonts w:ascii="Times New Roman" w:hAnsi="Times New Roman" w:cs="Times New Roman"/>
          <w:color w:val="FF0000"/>
          <w:sz w:val="24"/>
          <w:szCs w:val="24"/>
          <w:u w:val="single"/>
          <w:lang w:val="es-ES_tradnl"/>
        </w:rPr>
        <w:t xml:space="preserve">UU. Pero el estudio revela que las personas que conducen autos para </w:t>
      </w:r>
      <w:proofErr w:type="spellStart"/>
      <w:r w:rsidRPr="00E27BFB">
        <w:rPr>
          <w:rFonts w:ascii="Times New Roman" w:hAnsi="Times New Roman" w:cs="Times New Roman"/>
          <w:color w:val="FF0000"/>
          <w:sz w:val="24"/>
          <w:szCs w:val="24"/>
          <w:u w:val="single"/>
          <w:lang w:val="es-ES_tradnl"/>
        </w:rPr>
        <w:t>Lyft</w:t>
      </w:r>
      <w:proofErr w:type="spellEnd"/>
      <w:r w:rsidRPr="00E27BFB">
        <w:rPr>
          <w:rFonts w:ascii="Times New Roman" w:hAnsi="Times New Roman" w:cs="Times New Roman"/>
          <w:color w:val="FF0000"/>
          <w:sz w:val="24"/>
          <w:szCs w:val="24"/>
          <w:u w:val="single"/>
          <w:lang w:val="es-ES_tradnl"/>
        </w:rPr>
        <w:t xml:space="preserve"> o venden artesanías en eBay tienen por lo general otras fuentes de ingresos.</w:t>
      </w:r>
    </w:p>
    <w:p w:rsidR="0028448A" w:rsidRPr="00E27BFB" w:rsidRDefault="0028448A" w:rsidP="0028448A">
      <w:pPr>
        <w:spacing w:line="240" w:lineRule="auto"/>
        <w:jc w:val="both"/>
        <w:rPr>
          <w:rFonts w:ascii="Times New Roman" w:hAnsi="Times New Roman" w:cs="Times New Roman"/>
          <w:sz w:val="24"/>
          <w:szCs w:val="24"/>
          <w:lang w:val="es-ES_tradnl"/>
        </w:rPr>
      </w:pPr>
      <w:r w:rsidRPr="00E27BFB">
        <w:rPr>
          <w:rFonts w:ascii="Times New Roman" w:hAnsi="Times New Roman" w:cs="Times New Roman"/>
          <w:sz w:val="24"/>
          <w:szCs w:val="24"/>
          <w:u w:val="single"/>
          <w:lang w:val="es-ES_tradnl"/>
        </w:rPr>
        <w:t>El ingreso mensual promedio de una persona a través de una de esas plataformas fue US$ 533, lo que representa un tercio de sus ingresos totales</w:t>
      </w:r>
      <w:r w:rsidRPr="00E27BFB">
        <w:rPr>
          <w:rFonts w:ascii="Times New Roman" w:hAnsi="Times New Roman" w:cs="Times New Roman"/>
          <w:sz w:val="24"/>
          <w:szCs w:val="24"/>
          <w:lang w:val="es-ES_tradnl"/>
        </w:rPr>
        <w:t>. La proporción de participantes activos que obtienen 50% o más de su ingreso mensual de esta forma ha caído desde mediados de 2014, mientras que el número total de personas que hacen algún dinero aumentó.</w:t>
      </w:r>
    </w:p>
    <w:p w:rsidR="0028448A" w:rsidRPr="00E27BFB" w:rsidRDefault="0028448A" w:rsidP="0028448A">
      <w:pPr>
        <w:spacing w:line="240" w:lineRule="auto"/>
        <w:jc w:val="both"/>
        <w:rPr>
          <w:rFonts w:ascii="Times New Roman" w:hAnsi="Times New Roman" w:cs="Times New Roman"/>
          <w:color w:val="FF0000"/>
          <w:sz w:val="24"/>
          <w:szCs w:val="24"/>
          <w:u w:val="single"/>
          <w:lang w:val="es-ES_tradnl"/>
        </w:rPr>
      </w:pPr>
      <w:r w:rsidRPr="00E27BFB">
        <w:rPr>
          <w:rFonts w:ascii="Times New Roman" w:hAnsi="Times New Roman" w:cs="Times New Roman"/>
          <w:color w:val="FF0000"/>
          <w:sz w:val="24"/>
          <w:szCs w:val="24"/>
          <w:u w:val="single"/>
          <w:lang w:val="es-ES_tradnl"/>
        </w:rPr>
        <w:t>“El nivel de crecimiento es extraordinario... pero estas plataformas no están reemplazando a los trabajos tradicionales”,</w:t>
      </w:r>
      <w:r w:rsidRPr="00E27BFB">
        <w:rPr>
          <w:rFonts w:ascii="Times New Roman" w:hAnsi="Times New Roman" w:cs="Times New Roman"/>
          <w:sz w:val="24"/>
          <w:szCs w:val="24"/>
          <w:lang w:val="es-ES_tradnl"/>
        </w:rPr>
        <w:t xml:space="preserve"> dijo Diana </w:t>
      </w:r>
      <w:proofErr w:type="spellStart"/>
      <w:r w:rsidRPr="00E27BFB">
        <w:rPr>
          <w:rFonts w:ascii="Times New Roman" w:hAnsi="Times New Roman" w:cs="Times New Roman"/>
          <w:sz w:val="24"/>
          <w:szCs w:val="24"/>
          <w:lang w:val="es-ES_tradnl"/>
        </w:rPr>
        <w:t>Farrell</w:t>
      </w:r>
      <w:proofErr w:type="spellEnd"/>
      <w:r w:rsidRPr="00E27BFB">
        <w:rPr>
          <w:rFonts w:ascii="Times New Roman" w:hAnsi="Times New Roman" w:cs="Times New Roman"/>
          <w:sz w:val="24"/>
          <w:szCs w:val="24"/>
          <w:lang w:val="es-ES_tradnl"/>
        </w:rPr>
        <w:t xml:space="preserve">, directora ejecutiva del Instituto, el brazo de investigación del gigante bancario. </w:t>
      </w:r>
      <w:r w:rsidRPr="00E27BFB">
        <w:rPr>
          <w:rFonts w:ascii="Times New Roman" w:hAnsi="Times New Roman" w:cs="Times New Roman"/>
          <w:color w:val="FF0000"/>
          <w:sz w:val="24"/>
          <w:szCs w:val="24"/>
          <w:lang w:val="es-ES_tradnl"/>
        </w:rPr>
        <w:t>“</w:t>
      </w:r>
      <w:r w:rsidRPr="00E27BFB">
        <w:rPr>
          <w:rFonts w:ascii="Times New Roman" w:hAnsi="Times New Roman" w:cs="Times New Roman"/>
          <w:color w:val="FF0000"/>
          <w:sz w:val="24"/>
          <w:szCs w:val="24"/>
          <w:u w:val="single"/>
          <w:lang w:val="es-ES_tradnl"/>
        </w:rPr>
        <w:t>Parece que están diciendo: “Sólo estoy dispuesto a hacer hasta cierto punto, pero no quiero poner mi otro trabajo en peligro””.</w:t>
      </w:r>
    </w:p>
    <w:p w:rsidR="0028448A" w:rsidRPr="00E27BFB" w:rsidRDefault="0028448A" w:rsidP="0028448A">
      <w:pPr>
        <w:spacing w:line="240" w:lineRule="auto"/>
        <w:jc w:val="both"/>
        <w:rPr>
          <w:rFonts w:ascii="Times New Roman" w:hAnsi="Times New Roman" w:cs="Times New Roman"/>
          <w:sz w:val="24"/>
          <w:szCs w:val="24"/>
          <w:lang w:val="es-ES_tradnl"/>
        </w:rPr>
      </w:pPr>
      <w:r w:rsidRPr="00E27BFB">
        <w:rPr>
          <w:rFonts w:ascii="Times New Roman" w:hAnsi="Times New Roman" w:cs="Times New Roman"/>
          <w:sz w:val="24"/>
          <w:szCs w:val="24"/>
          <w:lang w:val="es-ES_tradnl"/>
        </w:rPr>
        <w:t xml:space="preserve">El estudio de </w:t>
      </w:r>
      <w:proofErr w:type="spellStart"/>
      <w:r w:rsidRPr="00E27BFB">
        <w:rPr>
          <w:rFonts w:ascii="Times New Roman" w:hAnsi="Times New Roman" w:cs="Times New Roman"/>
          <w:sz w:val="24"/>
          <w:szCs w:val="24"/>
          <w:lang w:val="es-ES_tradnl"/>
        </w:rPr>
        <w:t>JPMorgan</w:t>
      </w:r>
      <w:proofErr w:type="spellEnd"/>
      <w:r w:rsidRPr="00E27BFB">
        <w:rPr>
          <w:rFonts w:ascii="Times New Roman" w:hAnsi="Times New Roman" w:cs="Times New Roman"/>
          <w:sz w:val="24"/>
          <w:szCs w:val="24"/>
          <w:lang w:val="es-ES_tradnl"/>
        </w:rPr>
        <w:t xml:space="preserve"> abre una ventana inusual a una parte poco investigada del mercado laboral. El gobierno no hace un seguimiento específico de los participantes en la economía compartida, aunque el gobierno </w:t>
      </w:r>
      <w:proofErr w:type="spellStart"/>
      <w:r w:rsidRPr="00E27BFB">
        <w:rPr>
          <w:rFonts w:ascii="Times New Roman" w:hAnsi="Times New Roman" w:cs="Times New Roman"/>
          <w:sz w:val="24"/>
          <w:szCs w:val="24"/>
          <w:lang w:val="es-ES_tradnl"/>
        </w:rPr>
        <w:t>Obama</w:t>
      </w:r>
      <w:proofErr w:type="spellEnd"/>
      <w:r w:rsidRPr="00E27BFB">
        <w:rPr>
          <w:rFonts w:ascii="Times New Roman" w:hAnsi="Times New Roman" w:cs="Times New Roman"/>
          <w:sz w:val="24"/>
          <w:szCs w:val="24"/>
          <w:lang w:val="es-ES_tradnl"/>
        </w:rPr>
        <w:t xml:space="preserve"> ha dicho recientemente que mediría el número de trabajadores eventuales por primera vez desde 2005.</w:t>
      </w:r>
    </w:p>
    <w:p w:rsidR="0028448A" w:rsidRPr="00E27BFB" w:rsidRDefault="0028448A" w:rsidP="0028448A">
      <w:pPr>
        <w:spacing w:line="240" w:lineRule="auto"/>
        <w:jc w:val="both"/>
        <w:rPr>
          <w:rFonts w:ascii="Times New Roman" w:hAnsi="Times New Roman" w:cs="Times New Roman"/>
          <w:color w:val="FF0000"/>
          <w:sz w:val="24"/>
          <w:szCs w:val="24"/>
          <w:u w:val="single"/>
          <w:lang w:val="es-ES_tradnl"/>
        </w:rPr>
      </w:pPr>
      <w:r w:rsidRPr="00E27BFB">
        <w:rPr>
          <w:rFonts w:ascii="Times New Roman" w:hAnsi="Times New Roman" w:cs="Times New Roman"/>
          <w:color w:val="FF0000"/>
          <w:sz w:val="24"/>
          <w:szCs w:val="24"/>
          <w:u w:val="single"/>
          <w:lang w:val="es-ES_tradnl"/>
        </w:rPr>
        <w:t xml:space="preserve">El Instituto usó una muestra anónima de los 28 millones de clientes de </w:t>
      </w:r>
      <w:proofErr w:type="spellStart"/>
      <w:r w:rsidRPr="00E27BFB">
        <w:rPr>
          <w:rFonts w:ascii="Times New Roman" w:hAnsi="Times New Roman" w:cs="Times New Roman"/>
          <w:color w:val="FF0000"/>
          <w:sz w:val="24"/>
          <w:szCs w:val="24"/>
          <w:u w:val="single"/>
          <w:lang w:val="es-ES_tradnl"/>
        </w:rPr>
        <w:t>JPMorgan</w:t>
      </w:r>
      <w:proofErr w:type="spellEnd"/>
      <w:r w:rsidRPr="00E27BFB">
        <w:rPr>
          <w:rFonts w:ascii="Times New Roman" w:hAnsi="Times New Roman" w:cs="Times New Roman"/>
          <w:color w:val="FF0000"/>
          <w:sz w:val="24"/>
          <w:szCs w:val="24"/>
          <w:u w:val="single"/>
          <w:lang w:val="es-ES_tradnl"/>
        </w:rPr>
        <w:t xml:space="preserve"> para determinar cuántos de ellos recibieron pagos de al menos una de 30 plataformas en línea. El estudio encontró que 4,2% de los adultos obtuvo ingresos de la economía compartida en algún momento durante el período de tres años analizado. Pero el conductor </w:t>
      </w:r>
      <w:proofErr w:type="spellStart"/>
      <w:r w:rsidRPr="00E27BFB">
        <w:rPr>
          <w:rFonts w:ascii="Times New Roman" w:hAnsi="Times New Roman" w:cs="Times New Roman"/>
          <w:color w:val="FF0000"/>
          <w:sz w:val="24"/>
          <w:szCs w:val="24"/>
          <w:u w:val="single"/>
          <w:lang w:val="es-ES_tradnl"/>
        </w:rPr>
        <w:t>Uber</w:t>
      </w:r>
      <w:proofErr w:type="spellEnd"/>
      <w:r w:rsidRPr="00E27BFB">
        <w:rPr>
          <w:rFonts w:ascii="Times New Roman" w:hAnsi="Times New Roman" w:cs="Times New Roman"/>
          <w:color w:val="FF0000"/>
          <w:sz w:val="24"/>
          <w:szCs w:val="24"/>
          <w:u w:val="single"/>
          <w:lang w:val="es-ES_tradnl"/>
        </w:rPr>
        <w:t>, aparentemente la cara del sector, no era el participante más común.</w:t>
      </w:r>
    </w:p>
    <w:p w:rsidR="0028448A" w:rsidRPr="00E27BFB" w:rsidRDefault="0028448A" w:rsidP="0028448A">
      <w:pPr>
        <w:spacing w:line="240" w:lineRule="auto"/>
        <w:jc w:val="both"/>
        <w:rPr>
          <w:rFonts w:ascii="Times New Roman" w:hAnsi="Times New Roman" w:cs="Times New Roman"/>
          <w:color w:val="FF0000"/>
          <w:sz w:val="24"/>
          <w:szCs w:val="24"/>
          <w:u w:val="single"/>
          <w:lang w:val="es-ES_tradnl"/>
        </w:rPr>
      </w:pPr>
      <w:r w:rsidRPr="00E27BFB">
        <w:rPr>
          <w:rFonts w:ascii="Times New Roman" w:hAnsi="Times New Roman" w:cs="Times New Roman"/>
          <w:color w:val="FF0000"/>
          <w:sz w:val="24"/>
          <w:szCs w:val="24"/>
          <w:u w:val="single"/>
          <w:lang w:val="es-ES_tradnl"/>
        </w:rPr>
        <w:t>Más del 60% de los trabajadores analizados utiliza su propio capital -incluyendo el alquiler de propiedades o la venta de bienes- para hacer dinero a través de plataformas en línea. Los que venden su trabajo o servicios representaron menos del 40% del total, pero están creciendo más rápidamente que el primer grupo.</w:t>
      </w:r>
    </w:p>
    <w:p w:rsidR="0028448A" w:rsidRPr="00E27BFB" w:rsidRDefault="0028448A" w:rsidP="0028448A">
      <w:pPr>
        <w:spacing w:line="240" w:lineRule="auto"/>
        <w:jc w:val="both"/>
        <w:rPr>
          <w:rFonts w:ascii="Times New Roman" w:hAnsi="Times New Roman" w:cs="Times New Roman"/>
          <w:sz w:val="24"/>
          <w:szCs w:val="24"/>
          <w:lang w:val="es-ES_tradnl"/>
        </w:rPr>
      </w:pPr>
      <w:r w:rsidRPr="00E27BFB">
        <w:rPr>
          <w:rFonts w:ascii="Times New Roman" w:hAnsi="Times New Roman" w:cs="Times New Roman"/>
          <w:sz w:val="24"/>
          <w:szCs w:val="24"/>
          <w:lang w:val="es-ES_tradnl"/>
        </w:rPr>
        <w:t xml:space="preserve">Ab </w:t>
      </w:r>
      <w:proofErr w:type="spellStart"/>
      <w:r w:rsidRPr="00E27BFB">
        <w:rPr>
          <w:rFonts w:ascii="Times New Roman" w:hAnsi="Times New Roman" w:cs="Times New Roman"/>
          <w:sz w:val="24"/>
          <w:szCs w:val="24"/>
          <w:lang w:val="es-ES_tradnl"/>
        </w:rPr>
        <w:t>Emam</w:t>
      </w:r>
      <w:proofErr w:type="spellEnd"/>
      <w:r w:rsidRPr="00E27BFB">
        <w:rPr>
          <w:rFonts w:ascii="Times New Roman" w:hAnsi="Times New Roman" w:cs="Times New Roman"/>
          <w:sz w:val="24"/>
          <w:szCs w:val="24"/>
          <w:lang w:val="es-ES_tradnl"/>
        </w:rPr>
        <w:t xml:space="preserve">, un trabajador de tecnología de 37 años, comenzó a alquilar la cabaña de vacaciones de su familia en las montañas Blue Ridge de Virginia el pasado verano a </w:t>
      </w:r>
      <w:r w:rsidRPr="00E27BFB">
        <w:rPr>
          <w:rFonts w:ascii="Times New Roman" w:hAnsi="Times New Roman" w:cs="Times New Roman"/>
          <w:sz w:val="24"/>
          <w:szCs w:val="24"/>
          <w:lang w:val="es-ES_tradnl"/>
        </w:rPr>
        <w:lastRenderedPageBreak/>
        <w:t xml:space="preserve">través de </w:t>
      </w:r>
      <w:proofErr w:type="spellStart"/>
      <w:r w:rsidRPr="00E27BFB">
        <w:rPr>
          <w:rFonts w:ascii="Times New Roman" w:hAnsi="Times New Roman" w:cs="Times New Roman"/>
          <w:sz w:val="24"/>
          <w:szCs w:val="24"/>
          <w:lang w:val="es-ES_tradnl"/>
        </w:rPr>
        <w:t>Airbnb</w:t>
      </w:r>
      <w:proofErr w:type="spellEnd"/>
      <w:r w:rsidRPr="00E27BFB">
        <w:rPr>
          <w:rFonts w:ascii="Times New Roman" w:hAnsi="Times New Roman" w:cs="Times New Roman"/>
          <w:sz w:val="24"/>
          <w:szCs w:val="24"/>
          <w:lang w:val="es-ES_tradnl"/>
        </w:rPr>
        <w:t xml:space="preserve">; desde entonces, la propiedad ha sido rentada 30 veces. La cabaña no es una gran máquina de hacer dinero, dijo </w:t>
      </w:r>
      <w:proofErr w:type="spellStart"/>
      <w:r w:rsidRPr="00E27BFB">
        <w:rPr>
          <w:rFonts w:ascii="Times New Roman" w:hAnsi="Times New Roman" w:cs="Times New Roman"/>
          <w:sz w:val="24"/>
          <w:szCs w:val="24"/>
          <w:lang w:val="es-ES_tradnl"/>
        </w:rPr>
        <w:t>Emam</w:t>
      </w:r>
      <w:proofErr w:type="spellEnd"/>
      <w:r w:rsidRPr="00E27BFB">
        <w:rPr>
          <w:rFonts w:ascii="Times New Roman" w:hAnsi="Times New Roman" w:cs="Times New Roman"/>
          <w:sz w:val="24"/>
          <w:szCs w:val="24"/>
          <w:lang w:val="es-ES_tradnl"/>
        </w:rPr>
        <w:t>, pero los ingresos que percibe por su alquiler le permitieron reemplazar los pisos de madera y pagar por el mantenimiento y la limpieza, lo que hace que sea más agradable cuando la usa con su familia.</w:t>
      </w:r>
    </w:p>
    <w:p w:rsidR="0028448A" w:rsidRPr="00E27BFB" w:rsidRDefault="0028448A" w:rsidP="0028448A">
      <w:pPr>
        <w:spacing w:line="240" w:lineRule="auto"/>
        <w:jc w:val="both"/>
        <w:rPr>
          <w:rFonts w:ascii="Times New Roman" w:hAnsi="Times New Roman" w:cs="Times New Roman"/>
          <w:sz w:val="24"/>
          <w:szCs w:val="24"/>
          <w:u w:val="single"/>
          <w:lang w:val="es-ES_tradnl"/>
        </w:rPr>
      </w:pPr>
      <w:r w:rsidRPr="00E27BFB">
        <w:rPr>
          <w:rFonts w:ascii="Times New Roman" w:hAnsi="Times New Roman" w:cs="Times New Roman"/>
          <w:sz w:val="24"/>
          <w:szCs w:val="24"/>
          <w:u w:val="single"/>
          <w:lang w:val="es-ES_tradnl"/>
        </w:rPr>
        <w:t>“Es un gran modelo”, dijo. “</w:t>
      </w:r>
      <w:proofErr w:type="spellStart"/>
      <w:r w:rsidRPr="00E27BFB">
        <w:rPr>
          <w:rFonts w:ascii="Times New Roman" w:hAnsi="Times New Roman" w:cs="Times New Roman"/>
          <w:sz w:val="24"/>
          <w:szCs w:val="24"/>
          <w:u w:val="single"/>
          <w:lang w:val="es-ES_tradnl"/>
        </w:rPr>
        <w:t>Airbnb</w:t>
      </w:r>
      <w:proofErr w:type="spellEnd"/>
      <w:r w:rsidRPr="00E27BFB">
        <w:rPr>
          <w:rFonts w:ascii="Times New Roman" w:hAnsi="Times New Roman" w:cs="Times New Roman"/>
          <w:sz w:val="24"/>
          <w:szCs w:val="24"/>
          <w:u w:val="single"/>
          <w:lang w:val="es-ES_tradnl"/>
        </w:rPr>
        <w:t xml:space="preserve"> te permite vetar al potencial inquilino, así que estamos más cómodos, y nuestros clientes disfrutan de una casa que de otro modo estaría vacía”.</w:t>
      </w:r>
    </w:p>
    <w:p w:rsidR="0028448A" w:rsidRPr="00E27BFB" w:rsidRDefault="0028448A" w:rsidP="0028448A">
      <w:pPr>
        <w:spacing w:line="240" w:lineRule="auto"/>
        <w:jc w:val="both"/>
        <w:rPr>
          <w:rFonts w:ascii="Times New Roman" w:hAnsi="Times New Roman" w:cs="Times New Roman"/>
          <w:sz w:val="24"/>
          <w:szCs w:val="24"/>
          <w:u w:val="single"/>
          <w:lang w:val="es-ES_tradnl"/>
        </w:rPr>
      </w:pPr>
      <w:r w:rsidRPr="00E27BFB">
        <w:rPr>
          <w:rFonts w:ascii="Times New Roman" w:hAnsi="Times New Roman" w:cs="Times New Roman"/>
          <w:sz w:val="24"/>
          <w:szCs w:val="24"/>
          <w:u w:val="single"/>
          <w:lang w:val="es-ES_tradnl"/>
        </w:rPr>
        <w:t>El estudio encontró que sólo 19% del total de encuestados obtuvo la mayoría de sus ingresos mensuales de las plataformas en línea. Para los trabajadores activos, la tasa es más alta, 33%, pero ha caído del más de 40% que alcanzó en la mitad de 2014.</w:t>
      </w:r>
    </w:p>
    <w:p w:rsidR="0028448A" w:rsidRPr="00E27BFB" w:rsidRDefault="0028448A" w:rsidP="0028448A">
      <w:pPr>
        <w:spacing w:line="240" w:lineRule="auto"/>
        <w:jc w:val="both"/>
        <w:rPr>
          <w:rFonts w:ascii="Times New Roman" w:hAnsi="Times New Roman" w:cs="Times New Roman"/>
          <w:color w:val="FF0000"/>
          <w:sz w:val="24"/>
          <w:szCs w:val="24"/>
          <w:u w:val="single"/>
          <w:lang w:val="es-ES_tradnl"/>
        </w:rPr>
      </w:pPr>
      <w:r w:rsidRPr="00E27BFB">
        <w:rPr>
          <w:rFonts w:ascii="Times New Roman" w:hAnsi="Times New Roman" w:cs="Times New Roman"/>
          <w:color w:val="FF0000"/>
          <w:sz w:val="24"/>
          <w:szCs w:val="24"/>
          <w:u w:val="single"/>
          <w:lang w:val="es-ES_tradnl"/>
        </w:rPr>
        <w:t>Esta tendencia sugiere que a pesar de la difusión de las aplicaciones de teléfonos inteligentes y sitios web que hacen posible esta fuente de ingresos, los trabajadores “no están profundizando su dependencia” de ellas, señala Farell. El ligero descenso en el número quienes obtienen la mayor parte de sus ingresos en la economía compartida podría indicar que cada vez más trabajadores están encontrando empleos tradicionales en un mercado laboral fortalecido.</w:t>
      </w:r>
    </w:p>
    <w:p w:rsidR="0028448A" w:rsidRPr="00E27BFB" w:rsidRDefault="0028448A" w:rsidP="0028448A">
      <w:pPr>
        <w:spacing w:line="240" w:lineRule="auto"/>
        <w:jc w:val="both"/>
        <w:rPr>
          <w:rFonts w:ascii="Times New Roman" w:hAnsi="Times New Roman" w:cs="Times New Roman"/>
          <w:color w:val="FF0000"/>
          <w:sz w:val="24"/>
          <w:szCs w:val="24"/>
          <w:u w:val="single"/>
          <w:lang w:val="es-ES_tradnl"/>
        </w:rPr>
      </w:pPr>
      <w:r w:rsidRPr="00E27BFB">
        <w:rPr>
          <w:rFonts w:ascii="Times New Roman" w:hAnsi="Times New Roman" w:cs="Times New Roman"/>
          <w:color w:val="FF0000"/>
          <w:sz w:val="24"/>
          <w:szCs w:val="24"/>
          <w:u w:val="single"/>
          <w:lang w:val="es-ES_tradnl"/>
        </w:rPr>
        <w:t>El estudio encontró que las plataformas en línea proporcionan típicamente un modesto aumento de ingresos. Quienes rentan o venden bienes ganan aproximadamente 7% más durante los meses en que participaron en esta economía. Para los trabajadores, las ganancias ayudaron a compensar una disminución de otras fuentes de ingresos.</w:t>
      </w:r>
    </w:p>
    <w:p w:rsidR="0028448A" w:rsidRPr="00E27BFB" w:rsidRDefault="0028448A" w:rsidP="0028448A">
      <w:pPr>
        <w:spacing w:line="240" w:lineRule="auto"/>
        <w:jc w:val="both"/>
        <w:rPr>
          <w:rFonts w:ascii="Times New Roman" w:hAnsi="Times New Roman" w:cs="Times New Roman"/>
          <w:color w:val="FF0000"/>
          <w:sz w:val="24"/>
          <w:szCs w:val="24"/>
          <w:u w:val="single"/>
          <w:lang w:val="es-ES_tradnl"/>
        </w:rPr>
      </w:pPr>
      <w:r w:rsidRPr="00E27BFB">
        <w:rPr>
          <w:rFonts w:ascii="Times New Roman" w:hAnsi="Times New Roman" w:cs="Times New Roman"/>
          <w:color w:val="FF0000"/>
          <w:sz w:val="24"/>
          <w:szCs w:val="24"/>
          <w:u w:val="single"/>
          <w:lang w:val="es-ES_tradnl"/>
        </w:rPr>
        <w:t>Este hallazgo sugiere que la economía compartida podría ser más beneficiosa para los trabajadores con ingresos irregulares. JP Morgan encontró que 70% de los estadounidenses de entre 18 y 24 años y 74% de los que ganan el 20% más bajo de ingresos experimentaron un cambio mensual promedio en sus ingresos superior al 30%.</w:t>
      </w:r>
    </w:p>
    <w:p w:rsidR="0028448A" w:rsidRPr="00E27BFB" w:rsidRDefault="0028448A" w:rsidP="0028448A">
      <w:pPr>
        <w:spacing w:line="240" w:lineRule="auto"/>
        <w:jc w:val="both"/>
        <w:rPr>
          <w:rFonts w:ascii="Times New Roman" w:hAnsi="Times New Roman" w:cs="Times New Roman"/>
          <w:sz w:val="24"/>
          <w:szCs w:val="24"/>
          <w:u w:val="single"/>
          <w:lang w:val="es-ES_tradnl"/>
        </w:rPr>
      </w:pPr>
      <w:r w:rsidRPr="00E27BFB">
        <w:rPr>
          <w:rFonts w:ascii="Times New Roman" w:hAnsi="Times New Roman" w:cs="Times New Roman"/>
          <w:sz w:val="24"/>
          <w:szCs w:val="24"/>
          <w:u w:val="single"/>
          <w:lang w:val="es-ES_tradnl"/>
        </w:rPr>
        <w:t>Esas grandes oscilaciones pueden hacer que sea difícil mantenerse al día con las facturas o el alquiler, y pueden obligarlos a tomar costosos préstamos o atrasarse en sus pagos.</w:t>
      </w:r>
    </w:p>
    <w:p w:rsidR="0028448A" w:rsidRPr="00E27BFB" w:rsidRDefault="0028448A" w:rsidP="0028448A">
      <w:pPr>
        <w:spacing w:line="240" w:lineRule="auto"/>
        <w:jc w:val="both"/>
        <w:rPr>
          <w:rFonts w:ascii="Times New Roman" w:hAnsi="Times New Roman" w:cs="Times New Roman"/>
          <w:sz w:val="24"/>
          <w:szCs w:val="24"/>
          <w:lang w:val="es-ES_tradnl"/>
        </w:rPr>
      </w:pPr>
      <w:r w:rsidRPr="00E27BFB">
        <w:rPr>
          <w:rFonts w:ascii="Times New Roman" w:hAnsi="Times New Roman" w:cs="Times New Roman"/>
          <w:sz w:val="24"/>
          <w:szCs w:val="24"/>
          <w:lang w:val="es-ES_tradnl"/>
        </w:rPr>
        <w:t xml:space="preserve">Las plataformas en línea tienen “la capacidad para hacer frente a un problema muy real”, dijo </w:t>
      </w:r>
      <w:proofErr w:type="spellStart"/>
      <w:r w:rsidRPr="00E27BFB">
        <w:rPr>
          <w:rFonts w:ascii="Times New Roman" w:hAnsi="Times New Roman" w:cs="Times New Roman"/>
          <w:sz w:val="24"/>
          <w:szCs w:val="24"/>
          <w:lang w:val="es-ES_tradnl"/>
        </w:rPr>
        <w:t>Farrell</w:t>
      </w:r>
      <w:proofErr w:type="spellEnd"/>
      <w:r w:rsidRPr="00E27BFB">
        <w:rPr>
          <w:rFonts w:ascii="Times New Roman" w:hAnsi="Times New Roman" w:cs="Times New Roman"/>
          <w:sz w:val="24"/>
          <w:szCs w:val="24"/>
          <w:lang w:val="es-ES_tradnl"/>
        </w:rPr>
        <w:t>. “Esto abre la posibilidad de mejorar los ingresos...y es una maravillosa manera de hacer un puente entre empleos tradicionales”.</w:t>
      </w:r>
    </w:p>
    <w:p w:rsidR="0028448A" w:rsidRPr="0028448A" w:rsidRDefault="0028448A" w:rsidP="0028448A">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28448A">
        <w:rPr>
          <w:rFonts w:ascii="Times New Roman" w:hAnsi="Times New Roman" w:cs="Times New Roman"/>
          <w:i/>
          <w:sz w:val="24"/>
          <w:szCs w:val="24"/>
        </w:rPr>
        <w:t>¿Qué no podrán hacer los robots en el futuro? Esa parece ser la pregunta final que se dibuja en la mente de quién de manera más o menos consciente lee las miles de noticias sobre el futuro de la tecnología, la informática, la robótica o la Inteligencia Artificial (IA) que invaden Internet.</w:t>
      </w:r>
    </w:p>
    <w:p w:rsidR="0028448A" w:rsidRPr="0028448A" w:rsidRDefault="0028448A" w:rsidP="0028448A">
      <w:pPr>
        <w:spacing w:line="240" w:lineRule="auto"/>
        <w:jc w:val="both"/>
        <w:rPr>
          <w:rFonts w:ascii="Times New Roman" w:hAnsi="Times New Roman" w:cs="Times New Roman"/>
          <w:i/>
          <w:sz w:val="24"/>
          <w:szCs w:val="24"/>
        </w:rPr>
      </w:pPr>
      <w:r w:rsidRPr="0028448A">
        <w:rPr>
          <w:rFonts w:ascii="Times New Roman" w:hAnsi="Times New Roman" w:cs="Times New Roman"/>
          <w:i/>
          <w:sz w:val="24"/>
          <w:szCs w:val="24"/>
        </w:rPr>
        <w:t>El miedo a perder el empleo, peor aún, a ser reemplazado por una máquina es cada vez más real, más palpable en el ambiente empresarial. Es tan sencillo como hacer una rápida búsqueda en Google para darse cuenta de la cantidad de información que cada día bombardea las retinas de un público cada vez más consciente de que algo muy gordo se avecina.</w:t>
      </w:r>
    </w:p>
    <w:p w:rsidR="0028448A" w:rsidRPr="0028448A" w:rsidRDefault="0028448A" w:rsidP="0028448A">
      <w:pPr>
        <w:spacing w:line="240" w:lineRule="auto"/>
        <w:jc w:val="both"/>
        <w:rPr>
          <w:rFonts w:ascii="Times New Roman" w:hAnsi="Times New Roman" w:cs="Times New Roman"/>
          <w:i/>
          <w:sz w:val="24"/>
          <w:szCs w:val="24"/>
        </w:rPr>
      </w:pPr>
      <w:r w:rsidRPr="0028448A">
        <w:rPr>
          <w:rFonts w:ascii="Times New Roman" w:hAnsi="Times New Roman" w:cs="Times New Roman"/>
          <w:i/>
          <w:sz w:val="24"/>
          <w:szCs w:val="24"/>
        </w:rPr>
        <w:t>Y no piense en un futuro muy lejano, porque ya es una realidad. Entrar en un bar y que no haya una sola persona empleada ya es parte del día a día y se puede ver en pleno centro de Washington, en el “Bolt Burgers” concretamente, un restaurante en el que será atendido por una tablet, servido por un robot y cobrado por su propia mesa.</w:t>
      </w:r>
    </w:p>
    <w:p w:rsidR="0028448A" w:rsidRPr="0028448A" w:rsidRDefault="0028448A" w:rsidP="0028448A">
      <w:pPr>
        <w:spacing w:line="240" w:lineRule="auto"/>
        <w:jc w:val="both"/>
        <w:rPr>
          <w:rFonts w:ascii="Times New Roman" w:hAnsi="Times New Roman" w:cs="Times New Roman"/>
          <w:i/>
          <w:sz w:val="24"/>
          <w:szCs w:val="24"/>
        </w:rPr>
      </w:pPr>
      <w:r w:rsidRPr="0028448A">
        <w:rPr>
          <w:rFonts w:ascii="Times New Roman" w:hAnsi="Times New Roman" w:cs="Times New Roman"/>
          <w:i/>
          <w:sz w:val="24"/>
          <w:szCs w:val="24"/>
        </w:rPr>
        <w:lastRenderedPageBreak/>
        <w:t>El último de los locales “human free” es un supermercado sin empleados que funciona 24 horas gracias al móvil. Por fuera parece una tienda tradicional, pero funciona totalmente gracias a una APP en un smartphone. Desde abrir la puerta, pasando por escanear los códigos de barras de los productos, hasta pagar la compra, todo está pensado para que sean los clientes los que lleven a cabo el proceso con su propio terminal. Y funciona. Y ya no es Estados Unidos, es en Suecia.</w:t>
      </w:r>
    </w:p>
    <w:p w:rsidR="0028448A" w:rsidRPr="0028448A" w:rsidRDefault="0028448A" w:rsidP="0028448A">
      <w:pPr>
        <w:spacing w:line="240" w:lineRule="auto"/>
        <w:jc w:val="both"/>
        <w:rPr>
          <w:rFonts w:ascii="Times New Roman" w:hAnsi="Times New Roman" w:cs="Times New Roman"/>
          <w:i/>
          <w:sz w:val="24"/>
          <w:szCs w:val="24"/>
        </w:rPr>
      </w:pPr>
      <w:r w:rsidRPr="0028448A">
        <w:rPr>
          <w:rFonts w:ascii="Times New Roman" w:hAnsi="Times New Roman" w:cs="Times New Roman"/>
          <w:i/>
          <w:sz w:val="24"/>
          <w:szCs w:val="24"/>
        </w:rPr>
        <w:t>Como estos dos ejemplos se pueden encontrar miles navegando, un poco y sin ser ningún experto en la red. Basta con leer los titulares “Los taxis robot serán una realidad”, “Tu próximo jefe podrá ser un ordenador”, “Un fondo de inversión robot supera a los gestores humanos”, “Los robots dejarán sin empleo a millones de trabajadores cualificados en cinco años”, “Olvídate de ir a hacer la compra, te la traerá un robot a casa”, “Una fábrica china sustituye a 600 empleados por 60 robots”, “Japón tendrá el primer hotel atendido por robots”, “En este restaurante los cocineros y camareros son... robots”, “La Cuarta Revolución Industrial en España: el 43% de los empleos serán robotizados”...</w:t>
      </w:r>
    </w:p>
    <w:p w:rsidR="0028448A" w:rsidRPr="0028448A" w:rsidRDefault="0028448A" w:rsidP="0028448A">
      <w:pPr>
        <w:spacing w:line="240" w:lineRule="auto"/>
        <w:jc w:val="both"/>
        <w:rPr>
          <w:rFonts w:ascii="Times New Roman" w:hAnsi="Times New Roman" w:cs="Times New Roman"/>
          <w:i/>
          <w:sz w:val="24"/>
          <w:szCs w:val="24"/>
        </w:rPr>
      </w:pPr>
      <w:r w:rsidRPr="0028448A">
        <w:rPr>
          <w:rFonts w:ascii="Times New Roman" w:hAnsi="Times New Roman" w:cs="Times New Roman"/>
          <w:i/>
          <w:sz w:val="24"/>
          <w:szCs w:val="24"/>
        </w:rPr>
        <w:t>A lo mejor nunca se había enfrentado a la pregunta -¿qué no podrán hacer los robots en el futuro?-, hasta ahora; seguro. Y es en este momento cuando se debe hacer frente a la segunda cuestión: ¿qué haré yo entonces? Cuando los robots copen el empleo... ¿qué quedará para los humanos?</w:t>
      </w:r>
    </w:p>
    <w:p w:rsidR="0028448A" w:rsidRPr="0028448A" w:rsidRDefault="0028448A" w:rsidP="0028448A">
      <w:pPr>
        <w:spacing w:line="240" w:lineRule="auto"/>
        <w:jc w:val="both"/>
        <w:rPr>
          <w:rFonts w:ascii="Times New Roman" w:hAnsi="Times New Roman" w:cs="Times New Roman"/>
          <w:i/>
          <w:sz w:val="24"/>
          <w:szCs w:val="24"/>
        </w:rPr>
      </w:pPr>
      <w:r w:rsidRPr="0028448A">
        <w:rPr>
          <w:rFonts w:ascii="Times New Roman" w:hAnsi="Times New Roman" w:cs="Times New Roman"/>
          <w:i/>
          <w:sz w:val="24"/>
          <w:szCs w:val="24"/>
        </w:rPr>
        <w:t>El científico informático de la Universidad de Rice, Moshe Vardi aseveró hace unas semanas en un informe que dentro de 30 años las máquinas serán capaces de hacer casi cualquier trabajo que realice un humano.</w:t>
      </w:r>
    </w:p>
    <w:p w:rsidR="0028448A" w:rsidRDefault="0028448A" w:rsidP="0028448A">
      <w:pPr>
        <w:spacing w:line="240" w:lineRule="auto"/>
        <w:jc w:val="both"/>
        <w:rPr>
          <w:rFonts w:ascii="Times New Roman" w:hAnsi="Times New Roman" w:cs="Times New Roman"/>
          <w:sz w:val="24"/>
          <w:szCs w:val="24"/>
        </w:rPr>
      </w:pPr>
      <w:r w:rsidRPr="0028448A">
        <w:rPr>
          <w:rFonts w:ascii="Times New Roman" w:hAnsi="Times New Roman" w:cs="Times New Roman"/>
          <w:i/>
          <w:sz w:val="24"/>
          <w:szCs w:val="24"/>
        </w:rPr>
        <w:t>En previsión, el informático ha pedido “considerar las implicaciones sociales de esta posibilidad”, con el fin de evaluar si la economía mundial podría adaptarse a más de un 50% de desempleo y a los nuevos hábitos humanos</w:t>
      </w:r>
      <w:r>
        <w:rPr>
          <w:rFonts w:ascii="Times New Roman" w:hAnsi="Times New Roman" w:cs="Times New Roman"/>
          <w:i/>
          <w:sz w:val="24"/>
          <w:szCs w:val="24"/>
        </w:rPr>
        <w:t>”..</w:t>
      </w:r>
      <w:r w:rsidRPr="0028448A">
        <w:rPr>
          <w:rFonts w:ascii="Times New Roman" w:hAnsi="Times New Roman" w:cs="Times New Roman"/>
          <w:i/>
          <w:sz w:val="24"/>
          <w:szCs w:val="24"/>
        </w:rPr>
        <w:t>.</w:t>
      </w:r>
      <w:r w:rsidRPr="00190388">
        <w:rPr>
          <w:rFonts w:ascii="Times New Roman" w:hAnsi="Times New Roman" w:cs="Times New Roman"/>
          <w:sz w:val="24"/>
          <w:szCs w:val="24"/>
          <w:u w:val="single"/>
        </w:rPr>
        <w:t>Robots, smartphones, ordenadores y tablets lo harán todo ¿qué nos queda?</w:t>
      </w:r>
      <w:r>
        <w:rPr>
          <w:rFonts w:ascii="Times New Roman" w:hAnsi="Times New Roman" w:cs="Times New Roman"/>
          <w:sz w:val="24"/>
          <w:szCs w:val="24"/>
        </w:rPr>
        <w:t xml:space="preserve"> (El Economista - </w:t>
      </w:r>
      <w:r w:rsidRPr="00190388">
        <w:rPr>
          <w:rFonts w:ascii="Times New Roman" w:hAnsi="Times New Roman" w:cs="Times New Roman"/>
          <w:b/>
          <w:sz w:val="24"/>
          <w:szCs w:val="24"/>
        </w:rPr>
        <w:t>4/3/16</w:t>
      </w:r>
      <w:r>
        <w:rPr>
          <w:rFonts w:ascii="Times New Roman" w:hAnsi="Times New Roman" w:cs="Times New Roman"/>
          <w:sz w:val="24"/>
          <w:szCs w:val="24"/>
        </w:rPr>
        <w:t>)</w:t>
      </w:r>
    </w:p>
    <w:p w:rsidR="0028448A" w:rsidRPr="000B4467" w:rsidRDefault="000B4467" w:rsidP="0028448A">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0028448A" w:rsidRPr="000B4467">
        <w:rPr>
          <w:rFonts w:ascii="Times New Roman" w:hAnsi="Times New Roman" w:cs="Times New Roman"/>
          <w:i/>
          <w:sz w:val="24"/>
          <w:szCs w:val="24"/>
        </w:rPr>
        <w:t>¿Es el desempleo fruto de la coyuntura o quizá se debe a que la mano de obra comienza a ser prescindible? Si la opción correcta es la primera entonces la economía mundial volverá a girar y todo seguirá como siempre. Por la contra, si es la segunda, entonces el desempleo será cada vez más acuciante, fruto del  desarrollo tecnológico y de las menores necesidades de inversión en mano de obra. De ser así el capital y la inversión en tecnología sustituirán paulatinamente al trabajador…</w:t>
      </w:r>
    </w:p>
    <w:p w:rsidR="000B4467" w:rsidRPr="000B4467" w:rsidRDefault="000B4467" w:rsidP="000B4467">
      <w:pPr>
        <w:spacing w:line="240" w:lineRule="auto"/>
        <w:jc w:val="both"/>
        <w:rPr>
          <w:rFonts w:ascii="Times New Roman" w:hAnsi="Times New Roman" w:cs="Times New Roman"/>
          <w:i/>
          <w:sz w:val="24"/>
          <w:szCs w:val="24"/>
        </w:rPr>
      </w:pPr>
      <w:r w:rsidRPr="000B4467">
        <w:rPr>
          <w:rFonts w:ascii="Times New Roman" w:hAnsi="Times New Roman" w:cs="Times New Roman"/>
          <w:i/>
          <w:sz w:val="24"/>
          <w:szCs w:val="24"/>
        </w:rPr>
        <w:t>Comencemos con las cifras. Según McKinsey el 45% de las tareas que realizan ahora mismo los trabajadores en EEUU podrían ser automatizadas si se desease. Claro que tareas no es lo mismo que trabajadores, porque quizá los trabajadores realicen tareas prescindibles, pero también sepan realizar otras que no lo son y, por tanto, su puesto de trabajo no pueda ser automatizado totalmente, solo de forma parcial.</w:t>
      </w:r>
    </w:p>
    <w:p w:rsidR="000B4467" w:rsidRDefault="000B4467" w:rsidP="000B4467">
      <w:pPr>
        <w:spacing w:line="240" w:lineRule="auto"/>
        <w:jc w:val="both"/>
        <w:rPr>
          <w:rFonts w:ascii="Times New Roman" w:hAnsi="Times New Roman" w:cs="Times New Roman"/>
          <w:sz w:val="24"/>
          <w:szCs w:val="24"/>
        </w:rPr>
      </w:pPr>
      <w:r w:rsidRPr="000B4467">
        <w:rPr>
          <w:rFonts w:ascii="Times New Roman" w:hAnsi="Times New Roman" w:cs="Times New Roman"/>
          <w:i/>
          <w:sz w:val="24"/>
          <w:szCs w:val="24"/>
        </w:rPr>
        <w:t>Por ello es interesante otro estudio realizado por Frey y Osborne, donde se afirma que el 47% de los trabajadores serán totalmente prescindibles en diez o veinte años en EEUU. Ya no hablamos solo de manufactura, cualquier actividad que no necesite inteligencia emocional, inteligencia creativa o lidiar con entornos “no lógicos”, será reemplazable. En otras palabras, esta revolución no afectará solo a las tareas con menor valor añadido, sino también, de alguna forma, a casi todos</w:t>
      </w:r>
      <w:r>
        <w:rPr>
          <w:rFonts w:ascii="Times New Roman" w:hAnsi="Times New Roman" w:cs="Times New Roman"/>
          <w:i/>
          <w:sz w:val="24"/>
          <w:szCs w:val="24"/>
        </w:rPr>
        <w:t>”..</w:t>
      </w:r>
      <w:r w:rsidRPr="000B4467">
        <w:rPr>
          <w:rFonts w:ascii="Times New Roman" w:hAnsi="Times New Roman" w:cs="Times New Roman"/>
          <w:i/>
          <w:sz w:val="24"/>
          <w:szCs w:val="24"/>
        </w:rPr>
        <w:t>.</w:t>
      </w:r>
      <w:r w:rsidRPr="00190388">
        <w:rPr>
          <w:rFonts w:ascii="Times New Roman" w:hAnsi="Times New Roman" w:cs="Times New Roman"/>
          <w:sz w:val="24"/>
          <w:szCs w:val="24"/>
          <w:u w:val="single"/>
        </w:rPr>
        <w:t>El fin del trabajo del siglo XX</w:t>
      </w:r>
      <w:r>
        <w:rPr>
          <w:rFonts w:ascii="Times New Roman" w:hAnsi="Times New Roman" w:cs="Times New Roman"/>
          <w:sz w:val="24"/>
          <w:szCs w:val="24"/>
        </w:rPr>
        <w:t xml:space="preserve"> (El Confidencial - </w:t>
      </w:r>
      <w:r w:rsidRPr="00190388">
        <w:rPr>
          <w:rFonts w:ascii="Times New Roman" w:hAnsi="Times New Roman" w:cs="Times New Roman"/>
          <w:b/>
          <w:sz w:val="24"/>
          <w:szCs w:val="24"/>
        </w:rPr>
        <w:t>6/3/16</w:t>
      </w:r>
      <w:r>
        <w:rPr>
          <w:rFonts w:ascii="Times New Roman" w:hAnsi="Times New Roman" w:cs="Times New Roman"/>
          <w:sz w:val="24"/>
          <w:szCs w:val="24"/>
        </w:rPr>
        <w:t>)</w:t>
      </w:r>
    </w:p>
    <w:p w:rsidR="000B4467" w:rsidRDefault="000B4467" w:rsidP="000B4467">
      <w:pPr>
        <w:pStyle w:val="NormalWeb"/>
        <w:spacing w:after="0"/>
        <w:jc w:val="both"/>
      </w:pPr>
      <w:r>
        <w:lastRenderedPageBreak/>
        <w:t xml:space="preserve">- </w:t>
      </w:r>
      <w:r w:rsidRPr="00B3779A">
        <w:rPr>
          <w:u w:val="single"/>
        </w:rPr>
        <w:t>El mundo del 30/70: un estudio retrata el futuro que espera a Occidente</w:t>
      </w:r>
      <w:r>
        <w:t xml:space="preserve"> (El Confidencial - </w:t>
      </w:r>
      <w:r w:rsidRPr="00B3779A">
        <w:rPr>
          <w:b/>
        </w:rPr>
        <w:t>18/3/16</w:t>
      </w:r>
      <w:r>
        <w:t>)                                                                     Lectura recomendada</w:t>
      </w:r>
    </w:p>
    <w:p w:rsidR="000B4467" w:rsidRPr="00744E63" w:rsidRDefault="000B4467" w:rsidP="000B4467">
      <w:pPr>
        <w:pStyle w:val="NormalWeb"/>
        <w:spacing w:after="0"/>
        <w:jc w:val="both"/>
        <w:rPr>
          <w:color w:val="FF0000"/>
        </w:rPr>
      </w:pPr>
      <w:r w:rsidRPr="00744E63">
        <w:rPr>
          <w:color w:val="FF0000"/>
        </w:rPr>
        <w:t>Peter Temin, economista del MIT, ha descrito en una investigación quiénes van a ser los ganadores y quiénes los perdedores de nuestras sociedades. Y no es nada esperanzador</w:t>
      </w:r>
    </w:p>
    <w:p w:rsidR="000B4467" w:rsidRDefault="000B4467" w:rsidP="000B4467">
      <w:pPr>
        <w:pStyle w:val="NormalWeb"/>
        <w:spacing w:after="0"/>
        <w:jc w:val="both"/>
      </w:pPr>
      <w:r>
        <w:t>(Por Esteban Hernández)</w:t>
      </w:r>
    </w:p>
    <w:p w:rsidR="000B4467" w:rsidRDefault="000B4467" w:rsidP="000B4467">
      <w:pPr>
        <w:pStyle w:val="NormalWeb"/>
        <w:spacing w:after="0"/>
        <w:jc w:val="both"/>
      </w:pPr>
      <w:r>
        <w:t xml:space="preserve">Hay claros signos de recuperación económica. El mercado de trabajo se está activando para los puestos directivos, hay mayor inversión de las empresas, que comienzan a mirar más allá de la mera supervivencia y a planificar los años venideros, que se esperan decisivos. Los fantasmas de la crisis parecen haber pasado, y a pesar de que continúan existiendo algunas voces que señalan que la próxima gran recesión está a la vuelta de la esquina, lo cierto es que casi todo el mundo coincide en que hay señales reales para la esperanza. </w:t>
      </w:r>
      <w:r w:rsidRPr="00744E63">
        <w:rPr>
          <w:u w:val="single"/>
        </w:rPr>
        <w:t>Es cierto que la mejora en los indicadores económicos todavía no ha encontrado una traducción en términos de la economía real, por ejemplo en el descenso continuado de las cifras de paro, pero se suele argumentar, como hace el Gobierno, que una vez que se han realizado los deberes, la mejoría en los bolsillos de los ciudadanos no tardará en llegar.</w:t>
      </w:r>
    </w:p>
    <w:p w:rsidR="000B4467" w:rsidRPr="00744E63" w:rsidRDefault="000B4467" w:rsidP="000B4467">
      <w:pPr>
        <w:pStyle w:val="NormalWeb"/>
        <w:spacing w:after="0"/>
        <w:jc w:val="both"/>
        <w:rPr>
          <w:color w:val="FF0000"/>
          <w:u w:val="single"/>
        </w:rPr>
      </w:pPr>
      <w:r w:rsidRPr="00744E63">
        <w:rPr>
          <w:u w:val="single"/>
        </w:rPr>
        <w:t>O quizá no. Como señala Peter Temin, economista e historiador del Massachusetts Institute of Technology (MIT), en un reciente estudio realizado para el Institute of New Economic Thinking</w:t>
      </w:r>
      <w:r>
        <w:t xml:space="preserve">, </w:t>
      </w:r>
      <w:r w:rsidRPr="00744E63">
        <w:rPr>
          <w:b/>
          <w:color w:val="FF0000"/>
          <w:u w:val="single"/>
        </w:rPr>
        <w:t>es probable que esos efectos nunca se trasladen a la mayoría de la gente. Estamos inmersos en una economía dual en la que un 30% de la población, la que trabaja en finanzas, tecnología y electrónica, cuenta con grandes opciones y posibilidades, mientras que el 70% restante está abocado a los bajos salarios y a una economía de supervivencia, de la que sus hijos tienen pocas esperanzas de escapar</w:t>
      </w:r>
      <w:r>
        <w:t xml:space="preserve">. </w:t>
      </w:r>
      <w:r w:rsidRPr="00744E63">
        <w:rPr>
          <w:color w:val="FF0000"/>
          <w:u w:val="single"/>
        </w:rPr>
        <w:t>Lo que Temin señala no es un escenario futuro, sino una descripción del presente: si un estudio del Pew Research Center alertaba del enorme adelgazamiento de la clase media estadounidense, la investigación de Temin</w:t>
      </w:r>
      <w:r>
        <w:rPr>
          <w:color w:val="FF0000"/>
          <w:u w:val="single"/>
        </w:rPr>
        <w:t xml:space="preserve"> apunta a que el mismo término “clase media”</w:t>
      </w:r>
      <w:r w:rsidRPr="00744E63">
        <w:rPr>
          <w:color w:val="FF0000"/>
          <w:u w:val="single"/>
        </w:rPr>
        <w:t xml:space="preserve"> pierda su sentido en la economía dual en que vivimos.</w:t>
      </w:r>
    </w:p>
    <w:p w:rsidR="000B4467" w:rsidRDefault="000B4467" w:rsidP="000B4467">
      <w:pPr>
        <w:pStyle w:val="NormalWeb"/>
        <w:spacing w:after="0"/>
        <w:jc w:val="both"/>
        <w:rPr>
          <w:color w:val="FF0000"/>
          <w:u w:val="single"/>
        </w:rPr>
      </w:pPr>
      <w:r w:rsidRPr="00744E63">
        <w:rPr>
          <w:u w:val="single"/>
        </w:rPr>
        <w:t>Temin utiliza en su estudio el modelo teórico inventado por el economista antillano Arthur Lewis, ganador del Premio Nobel de Economía, un marco pensado para describir a los países en desarrollo, donde existía un sector de subsistencia, fundamentalmente rural y con bajos ingresos, y un sector urbano y capitalista en expansión. Temin señala que ese esquema está vigente hoy, pero trazado alrededor de una nueva brecha, la del mundo de las finanzas, la tecnología y la electrónica (FET), y el resto de la población</w:t>
      </w:r>
      <w:r>
        <w:t xml:space="preserve">. Y con un añadido: del mismo modo que se pensaba que la nueva economía urbana podría recoger el exceso proveniente del mundo rural, </w:t>
      </w:r>
      <w:r w:rsidRPr="00744E63">
        <w:rPr>
          <w:color w:val="FF0000"/>
          <w:u w:val="single"/>
        </w:rPr>
        <w:t>hoy sabemos que los nuevos sectores tecnológicos y financieros no sólo no serán capaces de crear los mismos trabajos que destruirán, sino que es probable que restrinjan el número de puestos disponibles, merced a la inteligencia artificial, el software, la robótica y la sistematización de las tareas. De modo que, señala Temin, esa desigualdad en la que las capas altas concentrarán los ingresos y las bajas vivirán en el estancamiento o el descenso de los salarios en los estratos menos favorecidos, no hará más que acentuarse en el futuro.</w:t>
      </w:r>
    </w:p>
    <w:p w:rsidR="00193BD2" w:rsidRDefault="00193BD2" w:rsidP="000B4467">
      <w:pPr>
        <w:pStyle w:val="NormalWeb"/>
        <w:spacing w:after="0"/>
        <w:jc w:val="both"/>
        <w:rPr>
          <w:color w:val="FF0000"/>
          <w:u w:val="single"/>
        </w:rPr>
      </w:pPr>
    </w:p>
    <w:p w:rsidR="000B4467" w:rsidRDefault="000B4467" w:rsidP="000B4467">
      <w:pPr>
        <w:pStyle w:val="NormalWeb"/>
        <w:spacing w:after="0"/>
        <w:jc w:val="both"/>
      </w:pPr>
      <w:r>
        <w:lastRenderedPageBreak/>
        <w:t>“Están nerviosos”</w:t>
      </w:r>
    </w:p>
    <w:p w:rsidR="000B4467" w:rsidRPr="00744E63" w:rsidRDefault="000B4467" w:rsidP="000B4467">
      <w:pPr>
        <w:pStyle w:val="NormalWeb"/>
        <w:spacing w:after="0"/>
        <w:jc w:val="both"/>
        <w:rPr>
          <w:color w:val="FF0000"/>
          <w:u w:val="single"/>
        </w:rPr>
      </w:pPr>
      <w:r w:rsidRPr="00744E63">
        <w:rPr>
          <w:color w:val="FF0000"/>
          <w:u w:val="single"/>
        </w:rPr>
        <w:t>Esa misma brecha, advierte en una entrevista publicada en el blog del Institute for New Economic Thinking, ocurre dentro de las FET, cuyas capas superiores “se sienten ciudadanos del mundo. Pueden ir a cualquier parte y les irá bien. Les fue bien durante la crisis de 2008 y piensan que van a sobrevivir a cualquier cosa”. Sin embargo, los que están en el extremo inferior de las finanzas, de la tecnología y de la electrónica, viven las mismas ansiedades que el resto de la población desfavorecida, “y están preocupados porque la globalización les obligará a descender al sector de salarios bajos. Están nerviosos por lo que va a pasar con ellos y con sus hijos”.</w:t>
      </w:r>
    </w:p>
    <w:p w:rsidR="000B4467" w:rsidRDefault="000B4467" w:rsidP="000B4467">
      <w:pPr>
        <w:pStyle w:val="NormalWeb"/>
        <w:spacing w:after="0"/>
        <w:jc w:val="both"/>
        <w:rPr>
          <w:color w:val="FF0000"/>
          <w:u w:val="single"/>
        </w:rPr>
      </w:pPr>
      <w:r>
        <w:t xml:space="preserve">Estas tensiones están teniendo reflejo en la política, en la medida en que han surgido una serie de líderes nuevos que están oponiéndose a las medidas económicas que fomentan la desigualdad. Sin embargo, advierte Temin, su capacidad de variar el rumbo es muy limitada. “Hay una serie de acciones políticas respecto del salario mínimo o sobre la ayuda a los estudiantes en una escuela pública que pueden ser útiles, pero que no van a afectar a la estructura de la economía, ya que se requiere un esfuerzo político concertado para tratar de cambiar la naturaleza de ésta. </w:t>
      </w:r>
      <w:r w:rsidRPr="00744E63">
        <w:rPr>
          <w:color w:val="FF0000"/>
          <w:u w:val="single"/>
        </w:rPr>
        <w:t>La tendencia hacia la economía dual está teniendo lugar desde hace una generación y está bastante bien arraigada</w:t>
      </w:r>
      <w:r>
        <w:t xml:space="preserve">. Lo que quiere hacer Bernie Sanders, por ejemplo, que habla de una revolución en EEUU, es muy limitado si de lo que se trata es de deshacerse de esta economía dual”. </w:t>
      </w:r>
      <w:r w:rsidRPr="00744E63">
        <w:rPr>
          <w:color w:val="FF0000"/>
          <w:u w:val="single"/>
        </w:rPr>
        <w:t>El mundo ha cambiado radicalmente, de modo que es probable que las soluciones que miran al pasado no sean efectivas, pero tampoco parecemos tener a mano recetas que miren al futuro. Y lo que es peor, quizá tampoco haya voluntad de frenar esta tendencia.</w:t>
      </w:r>
    </w:p>
    <w:p w:rsidR="000B4467" w:rsidRPr="000B4467" w:rsidRDefault="000B4467" w:rsidP="000B4467">
      <w:pPr>
        <w:shd w:val="clear" w:color="auto" w:fill="FFFFFF"/>
        <w:spacing w:after="270" w:line="240" w:lineRule="auto"/>
        <w:jc w:val="both"/>
        <w:textAlignment w:val="baseline"/>
        <w:rPr>
          <w:rFonts w:ascii="Times New Roman" w:eastAsia="Times New Roman" w:hAnsi="Times New Roman"/>
          <w:i/>
          <w:sz w:val="24"/>
          <w:szCs w:val="24"/>
        </w:rPr>
      </w:pPr>
      <w:r w:rsidRPr="000B4467">
        <w:rPr>
          <w:rFonts w:ascii="Times New Roman" w:eastAsia="Times New Roman" w:hAnsi="Times New Roman"/>
          <w:i/>
          <w:sz w:val="24"/>
          <w:szCs w:val="24"/>
        </w:rPr>
        <w:t>“La nueva fábrica de Adidas AG en Alemania es uno de los ejemplos más visibles de cómo las grandes marcas están regresando a casa debido a los crecientes costos de la mano de obra en Asia.</w:t>
      </w:r>
    </w:p>
    <w:p w:rsidR="000B4467" w:rsidRPr="000B4467" w:rsidRDefault="000B4467" w:rsidP="000B4467">
      <w:pPr>
        <w:shd w:val="clear" w:color="auto" w:fill="FFFFFF"/>
        <w:spacing w:after="270" w:line="240" w:lineRule="auto"/>
        <w:jc w:val="both"/>
        <w:textAlignment w:val="baseline"/>
        <w:rPr>
          <w:rFonts w:ascii="Times New Roman" w:eastAsia="Times New Roman" w:hAnsi="Times New Roman"/>
          <w:i/>
          <w:sz w:val="24"/>
          <w:szCs w:val="24"/>
        </w:rPr>
      </w:pPr>
      <w:r w:rsidRPr="000B4467">
        <w:rPr>
          <w:rFonts w:ascii="Times New Roman" w:eastAsia="Times New Roman" w:hAnsi="Times New Roman"/>
          <w:i/>
          <w:sz w:val="24"/>
          <w:szCs w:val="24"/>
        </w:rPr>
        <w:t>La fábrica de 4.645 metros cuadrados que Adidas construirá en la ciudad bávara de Ansbach dependerá de los robots y la automatización personalizada para producir 500.000 pares de zapatos deportivos al año -menos de 1% de la producción total anual de Adidas de 300 millones de pares de calzado- cuando empiece a funcionar a plena capacidad en 2017. Adidas dice que la fabricación en Alemania contribuirá a mejorar la calidad de sus productos, reducir el tiempo que tarda en llevarlos al mercado y disminuir los costos de almacenamiento.</w:t>
      </w:r>
    </w:p>
    <w:p w:rsidR="000B4467" w:rsidRPr="000B4467" w:rsidRDefault="000B4467" w:rsidP="000B4467">
      <w:pPr>
        <w:shd w:val="clear" w:color="auto" w:fill="FFFFFF"/>
        <w:spacing w:after="270" w:line="240" w:lineRule="auto"/>
        <w:jc w:val="both"/>
        <w:textAlignment w:val="baseline"/>
        <w:rPr>
          <w:rFonts w:ascii="Times New Roman" w:eastAsia="Times New Roman" w:hAnsi="Times New Roman"/>
          <w:i/>
          <w:sz w:val="24"/>
          <w:szCs w:val="24"/>
        </w:rPr>
      </w:pPr>
      <w:r w:rsidRPr="000B4467">
        <w:rPr>
          <w:rFonts w:ascii="Times New Roman" w:eastAsia="Times New Roman" w:hAnsi="Times New Roman"/>
          <w:i/>
          <w:sz w:val="24"/>
          <w:szCs w:val="24"/>
        </w:rPr>
        <w:t>“La gente quiere flexibilidad y velocidad”, dijo Gerd Manz, vicepresidente de innovación tecnológica de Adidas, añadiendo que la empresa planea construir otras fábricas alrededor del mundo. La forma en que las marcas manufacturan actualmente sus productos “se interpone en el camino” de aquellos objetivos.</w:t>
      </w:r>
    </w:p>
    <w:p w:rsidR="000B4467" w:rsidRPr="000B4467" w:rsidRDefault="000B4467" w:rsidP="000B4467">
      <w:pPr>
        <w:shd w:val="clear" w:color="auto" w:fill="FFFFFF"/>
        <w:spacing w:after="270" w:line="240" w:lineRule="auto"/>
        <w:jc w:val="both"/>
        <w:textAlignment w:val="baseline"/>
        <w:rPr>
          <w:rFonts w:ascii="Times New Roman" w:eastAsia="Times New Roman" w:hAnsi="Times New Roman"/>
          <w:i/>
          <w:sz w:val="24"/>
          <w:szCs w:val="24"/>
        </w:rPr>
      </w:pPr>
      <w:r w:rsidRPr="000B4467">
        <w:rPr>
          <w:rFonts w:ascii="Times New Roman" w:eastAsia="Times New Roman" w:hAnsi="Times New Roman"/>
          <w:i/>
          <w:sz w:val="24"/>
          <w:szCs w:val="24"/>
        </w:rPr>
        <w:t>Acercar la producción a los clientes es algo cada vez más popular entre las empresas, que enfrentan crecientes costos laborales y de transporte así como una escasez de trabajadores en gran parte del mundo en desarrollo. Además, los consumidores desean nuevos estilos de calzado y productos electrónicos únicos y los quieren de inmediato. Esto está obligando a las marcas globales a replantearse la forma en que producen sus artículos.</w:t>
      </w:r>
    </w:p>
    <w:p w:rsidR="000B4467" w:rsidRPr="000B4467" w:rsidRDefault="000B4467" w:rsidP="000B4467">
      <w:pPr>
        <w:pStyle w:val="NormalWeb"/>
        <w:shd w:val="clear" w:color="auto" w:fill="FFFFFF"/>
        <w:spacing w:before="0" w:beforeAutospacing="0" w:after="270" w:afterAutospacing="0"/>
        <w:jc w:val="both"/>
        <w:textAlignment w:val="baseline"/>
      </w:pPr>
      <w:r w:rsidRPr="000B4467">
        <w:rPr>
          <w:i/>
        </w:rPr>
        <w:lastRenderedPageBreak/>
        <w:t>Nike Inc. informó que ha comenzado a trabajar con el fabricante Flex en la tecnología que le permitirá producir su calzado deportivo más cerca de sus principales mercados. Apple Inc. ha expandido la producción de sus computadoras Mac en Estados Unidos, y el tercer mayor fabricante de electrónicos por contrato del mundo, Jabil Circuit Inc., basado en St. Petersburg, Florida, dice que está recurriendo a la automatización para prepararse para un futuro en el que las fábricas serán más pequeñas y estarán más cerca de los clientes</w:t>
      </w:r>
      <w:r>
        <w:rPr>
          <w:i/>
        </w:rPr>
        <w:t>”..</w:t>
      </w:r>
      <w:r w:rsidRPr="000B4467">
        <w:rPr>
          <w:i/>
        </w:rPr>
        <w:t>.</w:t>
      </w:r>
      <w:r w:rsidRPr="00191FEF">
        <w:rPr>
          <w:u w:val="single"/>
        </w:rPr>
        <w:t>Los robots se abren paso en las fábricas de las grandes marcas</w:t>
      </w:r>
      <w:r>
        <w:t xml:space="preserve"> (The Wall Street Journal - </w:t>
      </w:r>
      <w:r w:rsidRPr="00191FEF">
        <w:rPr>
          <w:b/>
        </w:rPr>
        <w:t>10/6/16</w:t>
      </w:r>
      <w:r>
        <w:t>)</w:t>
      </w:r>
    </w:p>
    <w:p w:rsidR="000B4467" w:rsidRPr="007D50C8" w:rsidRDefault="000B4467" w:rsidP="000B4467">
      <w:pPr>
        <w:shd w:val="clear" w:color="auto" w:fill="FFFFFF"/>
        <w:spacing w:line="240" w:lineRule="auto"/>
        <w:jc w:val="both"/>
        <w:textAlignment w:val="baseline"/>
        <w:rPr>
          <w:rFonts w:ascii="Times New Roman" w:eastAsia="Times New Roman" w:hAnsi="Times New Roman"/>
          <w:sz w:val="24"/>
          <w:szCs w:val="24"/>
        </w:rPr>
      </w:pPr>
      <w:r w:rsidRPr="007D50C8">
        <w:rPr>
          <w:rFonts w:ascii="Times New Roman" w:eastAsia="Times New Roman" w:hAnsi="Times New Roman"/>
          <w:noProof/>
          <w:sz w:val="24"/>
          <w:szCs w:val="24"/>
          <w:lang w:val="en-GB" w:eastAsia="en-GB"/>
        </w:rPr>
        <w:drawing>
          <wp:inline distT="0" distB="0" distL="0" distR="0">
            <wp:extent cx="5340350" cy="4152900"/>
            <wp:effectExtent l="0" t="0" r="0" b="0"/>
            <wp:docPr id="223" name="Imagen 223" descr="https://si.wsj.net/public/resources/images/OA-BD147_DAdida_NS_20160609170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wsj.net/public/resources/images/OA-BD147_DAdida_NS_20160609170135.jpg"/>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0350" cy="4152900"/>
                    </a:xfrm>
                    <a:prstGeom prst="rect">
                      <a:avLst/>
                    </a:prstGeom>
                    <a:noFill/>
                    <a:ln>
                      <a:noFill/>
                    </a:ln>
                  </pic:spPr>
                </pic:pic>
              </a:graphicData>
            </a:graphic>
          </wp:inline>
        </w:drawing>
      </w:r>
    </w:p>
    <w:p w:rsidR="000B4467" w:rsidRPr="000B4467" w:rsidRDefault="000B4467" w:rsidP="000B4467">
      <w:pPr>
        <w:spacing w:line="240" w:lineRule="auto"/>
        <w:jc w:val="both"/>
        <w:rPr>
          <w:rFonts w:ascii="Times New Roman" w:hAnsi="Times New Roman" w:cs="Times New Roman"/>
          <w:i/>
          <w:sz w:val="24"/>
          <w:szCs w:val="24"/>
        </w:rPr>
      </w:pPr>
    </w:p>
    <w:p w:rsidR="000B4467" w:rsidRPr="000B4467" w:rsidRDefault="000B4467" w:rsidP="000B4467">
      <w:pPr>
        <w:spacing w:line="240" w:lineRule="auto"/>
        <w:jc w:val="both"/>
        <w:textAlignment w:val="baseline"/>
        <w:rPr>
          <w:rFonts w:ascii="Times New Roman" w:hAnsi="Times New Roman"/>
          <w:i/>
          <w:sz w:val="24"/>
          <w:szCs w:val="24"/>
        </w:rPr>
      </w:pPr>
      <w:r>
        <w:rPr>
          <w:rFonts w:ascii="Times New Roman" w:hAnsi="Times New Roman"/>
          <w:i/>
          <w:sz w:val="24"/>
          <w:szCs w:val="24"/>
        </w:rPr>
        <w:t>“</w:t>
      </w:r>
      <w:r w:rsidRPr="000B4467">
        <w:rPr>
          <w:rFonts w:ascii="Times New Roman" w:hAnsi="Times New Roman"/>
          <w:i/>
          <w:sz w:val="24"/>
          <w:szCs w:val="24"/>
        </w:rPr>
        <w:t>¿Será la economía colaborativa la evolución del capitalismo? Lo sea o se quede en una simple tendencia significativa, lo que se intuye es que como mínimo se convertirá en un rasgo más del mundo actual. Los cambios en la tecnología, en la energía y en la sociedad, provocarán grandes cambios en los modelos de negocio de las empresas a lo largo del mundo, y grandes cambios en la vida de las personas. Habrá enormes ventajas en innovación, en información, en eficiencia, y grandes problemas a resolver en nuestra calidad de vida (algo que ya era antes un problema). Será un reto, siempre lo es, y si lo hacemos bien también será algo bueno para todos…</w:t>
      </w:r>
    </w:p>
    <w:p w:rsidR="000B4467" w:rsidRPr="000B4467" w:rsidRDefault="000B4467" w:rsidP="000B4467">
      <w:pPr>
        <w:spacing w:line="240" w:lineRule="auto"/>
        <w:jc w:val="both"/>
        <w:textAlignment w:val="baseline"/>
        <w:rPr>
          <w:rFonts w:ascii="Times New Roman" w:hAnsi="Times New Roman"/>
          <w:i/>
          <w:sz w:val="24"/>
          <w:szCs w:val="24"/>
        </w:rPr>
      </w:pPr>
      <w:r w:rsidRPr="000B4467">
        <w:rPr>
          <w:rFonts w:ascii="Times New Roman" w:hAnsi="Times New Roman"/>
          <w:i/>
          <w:sz w:val="24"/>
          <w:szCs w:val="24"/>
        </w:rPr>
        <w:t xml:space="preserve">Para Jeremy Rifkin la economía colaborativa podría ser uno de los principales rasgos del nuevo modelo económico, de hecho la considera un modelo más junto al capitalismo y al socialismo. En una reciente entrevista en “El País” sostiene que se están generando los pilares que se dan en los cambios de sistema económico: comunicación, energía y logística. Así, si la presente era la podemos definir en función de conceptos como coche, electricidad centralizada, petróleo, teléfono, televisión… </w:t>
      </w:r>
      <w:r w:rsidRPr="000B4467">
        <w:rPr>
          <w:rFonts w:ascii="Times New Roman" w:hAnsi="Times New Roman"/>
          <w:i/>
          <w:sz w:val="24"/>
          <w:szCs w:val="24"/>
        </w:rPr>
        <w:lastRenderedPageBreak/>
        <w:t>ahora hablamos de energías renovables, de aplicaciones, del internet de las cosas. Ahora hablamos de la era del coste marginal cero, lo que podría dinamitar la forma de entender actualmente la economía.</w:t>
      </w:r>
    </w:p>
    <w:p w:rsidR="000B4467" w:rsidRPr="00C76C3B" w:rsidRDefault="000B4467" w:rsidP="000B4467">
      <w:pPr>
        <w:spacing w:line="240" w:lineRule="auto"/>
        <w:jc w:val="both"/>
        <w:textAlignment w:val="baseline"/>
        <w:rPr>
          <w:rFonts w:ascii="Times New Roman" w:hAnsi="Times New Roman"/>
          <w:sz w:val="24"/>
          <w:szCs w:val="24"/>
        </w:rPr>
      </w:pPr>
      <w:r w:rsidRPr="000B4467">
        <w:rPr>
          <w:rFonts w:ascii="Times New Roman" w:hAnsi="Times New Roman"/>
          <w:i/>
          <w:sz w:val="24"/>
          <w:szCs w:val="24"/>
        </w:rPr>
        <w:t>Es cierto que las empresas tienden cada vez a vender “experiencias” en lugar de “cosas”, tanto la experiencia en el uso, como los intangibles asociados a las marcas por ejemplo. Pero ese “valor añadido” es cada vez más difícil de generar si el coste marginal del producto es cero. Que se lo digan a la enciclopedia Encarta de Microsoft, quien fue incapaz de luchar contra la Wikipedia a pesar del “valor añadido”. Aplicar el mismo modelo de negocio en un entorno totalmente diferente, tiene tanto sentido como ser profesor y pedir a tus alumnos que hagan un trabajo sobre un tema que puedan copiar y pegar de internet; una búsqueda que hace 30 años si era realmente meritoria</w:t>
      </w:r>
      <w:r>
        <w:rPr>
          <w:rFonts w:ascii="Times New Roman" w:hAnsi="Times New Roman"/>
          <w:i/>
          <w:sz w:val="24"/>
          <w:szCs w:val="24"/>
        </w:rPr>
        <w:t>”..</w:t>
      </w:r>
      <w:r w:rsidRPr="000B4467">
        <w:rPr>
          <w:rFonts w:ascii="Times New Roman" w:hAnsi="Times New Roman"/>
          <w:i/>
          <w:sz w:val="24"/>
          <w:szCs w:val="24"/>
        </w:rPr>
        <w:t>.</w:t>
      </w:r>
      <w:r w:rsidRPr="00C76C3B">
        <w:rPr>
          <w:rFonts w:ascii="Times New Roman" w:hAnsi="Times New Roman"/>
          <w:sz w:val="24"/>
          <w:szCs w:val="24"/>
        </w:rPr>
        <w:t>¿</w:t>
      </w:r>
      <w:r>
        <w:rPr>
          <w:rFonts w:ascii="Times New Roman" w:hAnsi="Times New Roman"/>
          <w:sz w:val="24"/>
          <w:szCs w:val="24"/>
          <w:u w:val="single"/>
        </w:rPr>
        <w:t>Será la “economía colaborativa”</w:t>
      </w:r>
      <w:r w:rsidRPr="00C76C3B">
        <w:rPr>
          <w:rFonts w:ascii="Times New Roman" w:hAnsi="Times New Roman"/>
          <w:sz w:val="24"/>
          <w:szCs w:val="24"/>
          <w:u w:val="single"/>
        </w:rPr>
        <w:t xml:space="preserve"> la evolución del capitalismo</w:t>
      </w:r>
      <w:r w:rsidRPr="00C76C3B">
        <w:rPr>
          <w:rFonts w:ascii="Times New Roman" w:hAnsi="Times New Roman"/>
          <w:sz w:val="24"/>
          <w:szCs w:val="24"/>
        </w:rPr>
        <w:t>?</w:t>
      </w:r>
      <w:r>
        <w:rPr>
          <w:rFonts w:ascii="Times New Roman" w:hAnsi="Times New Roman"/>
          <w:sz w:val="24"/>
          <w:szCs w:val="24"/>
        </w:rPr>
        <w:t xml:space="preserve"> (El Confidencial - </w:t>
      </w:r>
      <w:r>
        <w:rPr>
          <w:rFonts w:ascii="Times New Roman" w:hAnsi="Times New Roman"/>
          <w:b/>
          <w:sz w:val="24"/>
          <w:szCs w:val="24"/>
        </w:rPr>
        <w:t>26</w:t>
      </w:r>
      <w:r w:rsidRPr="00C76C3B">
        <w:rPr>
          <w:rFonts w:ascii="Times New Roman" w:hAnsi="Times New Roman"/>
          <w:b/>
          <w:sz w:val="24"/>
          <w:szCs w:val="24"/>
        </w:rPr>
        <w:t>/7/16</w:t>
      </w:r>
      <w:r>
        <w:rPr>
          <w:rFonts w:ascii="Times New Roman" w:hAnsi="Times New Roman"/>
          <w:sz w:val="24"/>
          <w:szCs w:val="24"/>
        </w:rPr>
        <w:t>)</w:t>
      </w:r>
    </w:p>
    <w:p w:rsidR="0056185F" w:rsidRPr="0056185F" w:rsidRDefault="0056185F" w:rsidP="0056185F">
      <w:pPr>
        <w:spacing w:line="240" w:lineRule="auto"/>
        <w:jc w:val="both"/>
        <w:rPr>
          <w:rFonts w:ascii="Times New Roman" w:hAnsi="Times New Roman"/>
          <w:i/>
          <w:sz w:val="24"/>
          <w:szCs w:val="24"/>
        </w:rPr>
      </w:pPr>
      <w:r>
        <w:rPr>
          <w:rFonts w:ascii="Times New Roman" w:hAnsi="Times New Roman"/>
          <w:i/>
          <w:sz w:val="24"/>
          <w:szCs w:val="24"/>
        </w:rPr>
        <w:t>“</w:t>
      </w:r>
      <w:r w:rsidRPr="0056185F">
        <w:rPr>
          <w:rFonts w:ascii="Times New Roman" w:hAnsi="Times New Roman"/>
          <w:i/>
          <w:sz w:val="24"/>
          <w:szCs w:val="24"/>
        </w:rPr>
        <w:t>¿Es hora de hacer la venia ante nuestros amos, los robots? Con datos de un estudio de la Universidad de Oxford, analistas de Morgan Stanley proyectaron la semana pasada que en las próximas dos décadas casi la mitad de los puestos de trabajo de Estados Unidos será reemplazada por robots. Tal vez deberíamos levantar un muro…</w:t>
      </w:r>
    </w:p>
    <w:p w:rsidR="0056185F" w:rsidRPr="0056185F" w:rsidRDefault="0056185F" w:rsidP="0056185F">
      <w:pPr>
        <w:spacing w:line="240" w:lineRule="auto"/>
        <w:jc w:val="both"/>
        <w:rPr>
          <w:rFonts w:ascii="Times New Roman" w:hAnsi="Times New Roman"/>
          <w:i/>
          <w:sz w:val="24"/>
          <w:szCs w:val="24"/>
        </w:rPr>
      </w:pPr>
      <w:r w:rsidRPr="0056185F">
        <w:rPr>
          <w:rFonts w:ascii="Times New Roman" w:hAnsi="Times New Roman"/>
          <w:i/>
          <w:sz w:val="24"/>
          <w:szCs w:val="24"/>
        </w:rPr>
        <w:t>Según un estudio de la Universidad de Stanford de 2013, algunos robots en plantas fabriles cuestan ahora el equivalente de unos US$ 4 por hora, y cada vez son más baratos y mejores. Este mes, científicos del Instituto de Tecnología de Massachusetts hicieron una demostración de un LIDAR (detector de rango y luz láser) basado en un chip de silicio que funciona como un radar, pero tiene una resolución mucho más alta, aunque cubre una distancia más corta.</w:t>
      </w:r>
    </w:p>
    <w:p w:rsidR="0056185F" w:rsidRPr="0056185F" w:rsidRDefault="0056185F" w:rsidP="0056185F">
      <w:pPr>
        <w:spacing w:line="240" w:lineRule="auto"/>
        <w:jc w:val="both"/>
        <w:rPr>
          <w:rFonts w:ascii="Times New Roman" w:hAnsi="Times New Roman"/>
          <w:i/>
          <w:sz w:val="24"/>
          <w:szCs w:val="24"/>
        </w:rPr>
      </w:pPr>
      <w:r w:rsidRPr="0056185F">
        <w:rPr>
          <w:rFonts w:ascii="Times New Roman" w:hAnsi="Times New Roman"/>
          <w:i/>
          <w:sz w:val="24"/>
          <w:szCs w:val="24"/>
        </w:rPr>
        <w:t>El Model S de Tesla utiliza un sensor de radar y una cámara frontal como medios de visión para el piloto automático instalado en sus vehículos eléctricos. Ninguno de los dos, por desgracia, detectó un camión blanco contra un cielo brillante antes de un choque que el 7 de mayo causó la muerte de un conductor. LIDAR lo habría hecho. Esa tecnología en su estado actual puede llegar a costar hasta US$ 70.000. ¿El nuevo chip? Tal vez US$ 10. A ese precio, probablemente van a ser parte del equipo estándar en todos los vehículos nuevos, ya sean de conducción autónoma o no.</w:t>
      </w:r>
    </w:p>
    <w:p w:rsidR="0056185F" w:rsidRPr="0056185F" w:rsidRDefault="0056185F" w:rsidP="0056185F">
      <w:pPr>
        <w:spacing w:line="240" w:lineRule="auto"/>
        <w:jc w:val="both"/>
        <w:rPr>
          <w:rFonts w:ascii="Times New Roman" w:hAnsi="Times New Roman"/>
          <w:i/>
          <w:sz w:val="24"/>
          <w:szCs w:val="24"/>
        </w:rPr>
      </w:pPr>
      <w:r w:rsidRPr="0056185F">
        <w:rPr>
          <w:rFonts w:ascii="Times New Roman" w:hAnsi="Times New Roman"/>
          <w:i/>
          <w:sz w:val="24"/>
          <w:szCs w:val="24"/>
        </w:rPr>
        <w:t>Y ahora tenemos robots que piensan. Los editores de la agencia de noticias Associated Press proclaman que los robots escriben miles de artículos al año para la empresa. Así que ¿se acabó? ¿Ganan los robots? Esto sin duda se ajusta a una cierta visión del mundo de un estado de bienestar más grande e ingreso básico universal y otros servicios que se hagan cargo de los trabajadores desplazados. Puede leer el artículo titulado What Governments Can Do When Robots Take Our Jobs (algo como Lo que pueden hacer los gobiernos cuando los robots tomen el control) en el número del 26 de mayo de la revista Fortune.</w:t>
      </w:r>
    </w:p>
    <w:p w:rsidR="0056185F" w:rsidRDefault="0056185F" w:rsidP="0056185F">
      <w:pPr>
        <w:spacing w:line="240" w:lineRule="auto"/>
        <w:jc w:val="both"/>
        <w:rPr>
          <w:rFonts w:ascii="Times New Roman" w:hAnsi="Times New Roman"/>
          <w:sz w:val="24"/>
          <w:szCs w:val="24"/>
        </w:rPr>
      </w:pPr>
      <w:r w:rsidRPr="0056185F">
        <w:rPr>
          <w:rFonts w:ascii="Times New Roman" w:hAnsi="Times New Roman"/>
          <w:i/>
          <w:sz w:val="24"/>
          <w:szCs w:val="24"/>
        </w:rPr>
        <w:t>Pero no nos adelantemos. La arena de pronósticos está llena de sueños utópicos de ocio destrozados. Acuérdese de las cúpulas geodésicas y de las pesadillas de Skynet de ejércitos de robots itinerantes. Ambos son basura. En cambio, lo de ahora es progreso</w:t>
      </w:r>
      <w:r>
        <w:rPr>
          <w:rFonts w:ascii="Times New Roman" w:hAnsi="Times New Roman"/>
          <w:i/>
          <w:sz w:val="24"/>
          <w:szCs w:val="24"/>
        </w:rPr>
        <w:t>”...</w:t>
      </w:r>
      <w:r w:rsidRPr="007E67AE">
        <w:rPr>
          <w:rFonts w:ascii="Times New Roman" w:hAnsi="Times New Roman"/>
          <w:sz w:val="24"/>
          <w:szCs w:val="24"/>
          <w:u w:val="single"/>
        </w:rPr>
        <w:t>Opinión: Llegan los robots, démosles la bienvenida</w:t>
      </w:r>
      <w:r>
        <w:rPr>
          <w:rFonts w:ascii="Times New Roman" w:hAnsi="Times New Roman"/>
          <w:sz w:val="24"/>
          <w:szCs w:val="24"/>
        </w:rPr>
        <w:t xml:space="preserve"> (The Wall Street Journal - </w:t>
      </w:r>
      <w:r>
        <w:rPr>
          <w:rFonts w:ascii="Times New Roman" w:hAnsi="Times New Roman"/>
          <w:b/>
          <w:sz w:val="24"/>
          <w:szCs w:val="24"/>
        </w:rPr>
        <w:t>24</w:t>
      </w:r>
      <w:r w:rsidRPr="007E67AE">
        <w:rPr>
          <w:rFonts w:ascii="Times New Roman" w:hAnsi="Times New Roman"/>
          <w:b/>
          <w:sz w:val="24"/>
          <w:szCs w:val="24"/>
        </w:rPr>
        <w:t>/8/16</w:t>
      </w:r>
      <w:r>
        <w:rPr>
          <w:rFonts w:ascii="Times New Roman" w:hAnsi="Times New Roman"/>
          <w:sz w:val="24"/>
          <w:szCs w:val="24"/>
        </w:rPr>
        <w:t>)</w:t>
      </w:r>
    </w:p>
    <w:p w:rsidR="0056185F" w:rsidRDefault="0056185F" w:rsidP="0056185F">
      <w:pPr>
        <w:spacing w:line="240" w:lineRule="auto"/>
        <w:jc w:val="both"/>
        <w:rPr>
          <w:rFonts w:ascii="Times New Roman" w:hAnsi="Times New Roman"/>
          <w:sz w:val="24"/>
          <w:szCs w:val="24"/>
        </w:rPr>
      </w:pPr>
    </w:p>
    <w:p w:rsidR="0056185F" w:rsidRDefault="00C31EDD" w:rsidP="0056185F">
      <w:pPr>
        <w:spacing w:before="150" w:after="15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56185F">
        <w:rPr>
          <w:rFonts w:ascii="Times New Roman" w:hAnsi="Times New Roman" w:cs="Times New Roman"/>
          <w:b/>
          <w:sz w:val="24"/>
          <w:szCs w:val="24"/>
        </w:rPr>
        <w:t>Fracaso laboral: alto nivel de desempleo</w:t>
      </w:r>
    </w:p>
    <w:p w:rsidR="0056185F" w:rsidRPr="002A40A8" w:rsidRDefault="0056185F" w:rsidP="0056185F">
      <w:pPr>
        <w:pStyle w:val="selectionshareable"/>
        <w:spacing w:after="300"/>
        <w:jc w:val="both"/>
        <w:textAlignment w:val="baseline"/>
        <w:rPr>
          <w:color w:val="000000"/>
        </w:rPr>
      </w:pPr>
      <w:r>
        <w:rPr>
          <w:color w:val="000000"/>
        </w:rPr>
        <w:t xml:space="preserve">- </w:t>
      </w:r>
      <w:r w:rsidRPr="002A40A8">
        <w:rPr>
          <w:color w:val="000000"/>
          <w:u w:val="single"/>
        </w:rPr>
        <w:t>La tormenta perfecta que sufrirá el empleo en cinco años, según los sabios de Davos</w:t>
      </w:r>
      <w:r>
        <w:rPr>
          <w:color w:val="000000"/>
        </w:rPr>
        <w:t xml:space="preserve"> (El Confidencial - </w:t>
      </w:r>
      <w:r>
        <w:rPr>
          <w:b/>
          <w:color w:val="000000"/>
        </w:rPr>
        <w:t>19/1</w:t>
      </w:r>
      <w:r w:rsidRPr="002A40A8">
        <w:rPr>
          <w:b/>
          <w:color w:val="000000"/>
        </w:rPr>
        <w:t>/16</w:t>
      </w:r>
      <w:r>
        <w:rPr>
          <w:color w:val="000000"/>
        </w:rPr>
        <w:t>)                                                               Lectura recomendada</w:t>
      </w:r>
    </w:p>
    <w:p w:rsidR="0056185F" w:rsidRDefault="0056185F" w:rsidP="0056185F">
      <w:pPr>
        <w:pStyle w:val="selectionshareable"/>
        <w:spacing w:after="300"/>
        <w:jc w:val="both"/>
        <w:textAlignment w:val="baseline"/>
        <w:rPr>
          <w:color w:val="000000"/>
        </w:rPr>
      </w:pPr>
      <w:r w:rsidRPr="002A40A8">
        <w:rPr>
          <w:color w:val="000000"/>
        </w:rPr>
        <w:t>Los investigadores del Foro Económico Mundial han elaborado un informe sobre el estado del mercado laboral en sólo cinco años: se perderán 5 millones de puestos de trabajo para siempre</w:t>
      </w:r>
    </w:p>
    <w:p w:rsidR="0056185F" w:rsidRPr="002A40A8" w:rsidRDefault="0056185F" w:rsidP="0056185F">
      <w:pPr>
        <w:pStyle w:val="selectionshareable"/>
        <w:spacing w:after="300"/>
        <w:jc w:val="both"/>
        <w:textAlignment w:val="baseline"/>
        <w:rPr>
          <w:color w:val="000000"/>
        </w:rPr>
      </w:pPr>
      <w:r>
        <w:rPr>
          <w:color w:val="000000"/>
        </w:rPr>
        <w:t>(Por Miguel Ayuso)</w:t>
      </w: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“La</w:t>
      </w:r>
      <w:r w:rsidRPr="002A40A8">
        <w:rPr>
          <w:rStyle w:val="apple-converted-space"/>
          <w:rFonts w:eastAsiaTheme="majorEastAsia"/>
          <w:color w:val="1A1A1A"/>
        </w:rPr>
        <w:t> </w:t>
      </w:r>
      <w:hyperlink r:id="rId79" w:tgtFrame="_self" w:history="1">
        <w:r w:rsidRPr="00240B47">
          <w:rPr>
            <w:rStyle w:val="Hipervnculo"/>
            <w:b/>
            <w:bCs/>
            <w:color w:val="auto"/>
          </w:rPr>
          <w:t>cuarta revolución industrial</w:t>
        </w:r>
      </w:hyperlink>
      <w:r w:rsidRPr="002A40A8">
        <w:rPr>
          <w:rStyle w:val="apple-converted-space"/>
          <w:rFonts w:eastAsiaTheme="majorEastAsia"/>
          <w:color w:val="1A1A1A"/>
        </w:rPr>
        <w:t> </w:t>
      </w:r>
      <w:r w:rsidRPr="002A40A8">
        <w:rPr>
          <w:color w:val="1A1A1A"/>
        </w:rPr>
        <w:t>ya está aquí y, como no espabilemos, su</w:t>
      </w:r>
      <w:r w:rsidRPr="00240B47">
        <w:rPr>
          <w:rStyle w:val="Textoennegrita"/>
          <w:b w:val="0"/>
          <w:color w:val="1A1A1A"/>
          <w:bdr w:val="none" w:sz="0" w:space="0" w:color="auto" w:frame="1"/>
        </w:rPr>
        <w:t>impacto social</w:t>
      </w:r>
      <w:r w:rsidRPr="002A40A8">
        <w:rPr>
          <w:rStyle w:val="apple-converted-space"/>
          <w:rFonts w:eastAsiaTheme="majorEastAsia"/>
          <w:color w:val="1A1A1A"/>
          <w:bdr w:val="none" w:sz="0" w:space="0" w:color="auto" w:frame="1"/>
        </w:rPr>
        <w:t> </w:t>
      </w:r>
      <w:r w:rsidRPr="002A40A8">
        <w:rPr>
          <w:color w:val="1A1A1A"/>
        </w:rPr>
        <w:t>va a ser mayor que el de todas las anteriores”. Esta es a grandes rasgos la principal conclusión de un</w:t>
      </w:r>
      <w:r w:rsidRPr="002A40A8">
        <w:rPr>
          <w:rStyle w:val="apple-converted-space"/>
          <w:rFonts w:eastAsiaTheme="majorEastAsia"/>
          <w:color w:val="1A1A1A"/>
        </w:rPr>
        <w:t> </w:t>
      </w:r>
      <w:hyperlink r:id="rId80" w:tgtFrame="_blank" w:history="1">
        <w:r w:rsidRPr="00240B47">
          <w:rPr>
            <w:rStyle w:val="Hipervnculo"/>
            <w:bCs/>
            <w:color w:val="auto"/>
          </w:rPr>
          <w:t>abultado informe</w:t>
        </w:r>
      </w:hyperlink>
      <w:r w:rsidRPr="002A40A8">
        <w:rPr>
          <w:rStyle w:val="apple-converted-space"/>
          <w:rFonts w:eastAsiaTheme="majorEastAsia"/>
          <w:color w:val="1A1A1A"/>
        </w:rPr>
        <w:t> </w:t>
      </w:r>
      <w:r w:rsidRPr="002A40A8">
        <w:rPr>
          <w:color w:val="1A1A1A"/>
        </w:rPr>
        <w:t>sobre el futuro del trabajo que han elaborado los investigadores del</w:t>
      </w:r>
      <w:r w:rsidRPr="002A40A8">
        <w:rPr>
          <w:rStyle w:val="apple-converted-space"/>
          <w:rFonts w:eastAsiaTheme="majorEastAsia"/>
          <w:color w:val="1A1A1A"/>
        </w:rPr>
        <w:t> </w:t>
      </w:r>
      <w:r w:rsidRPr="00240B47">
        <w:rPr>
          <w:b/>
          <w:bCs/>
          <w:color w:val="1A1A1A"/>
          <w:u w:val="single"/>
          <w:bdr w:val="none" w:sz="0" w:space="0" w:color="auto" w:frame="1"/>
        </w:rPr>
        <w:t>Foro Económico Mundial</w:t>
      </w:r>
      <w:r w:rsidRPr="002A40A8">
        <w:rPr>
          <w:b/>
          <w:bCs/>
          <w:color w:val="1A1A1A"/>
          <w:bdr w:val="none" w:sz="0" w:space="0" w:color="auto" w:frame="1"/>
        </w:rPr>
        <w:t>,</w:t>
      </w:r>
      <w:r w:rsidRPr="002A40A8">
        <w:rPr>
          <w:rStyle w:val="apple-converted-space"/>
          <w:rFonts w:eastAsiaTheme="majorEastAsia"/>
          <w:color w:val="1A1A1A"/>
        </w:rPr>
        <w:t> </w:t>
      </w:r>
      <w:r w:rsidRPr="002A40A8">
        <w:rPr>
          <w:color w:val="1A1A1A"/>
        </w:rPr>
        <w:t>más conocido como el Foro de Davos, de cara a su inminente Asamblea Anual.</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El documento, que sin duda será uno de los ejes sobre el que girarán las conversaciones de los líderes empresariales, políticos e intelectuales que se reunirán a finales de este mes en la localidad suiza, reúne la opinión de los expertos de</w:t>
      </w:r>
      <w:r w:rsidRPr="002A40A8">
        <w:rPr>
          <w:rStyle w:val="apple-converted-space"/>
          <w:rFonts w:eastAsiaTheme="majorEastAsia"/>
          <w:color w:val="1A1A1A"/>
        </w:rPr>
        <w:t> </w:t>
      </w:r>
      <w:r w:rsidRPr="00240B47">
        <w:rPr>
          <w:rStyle w:val="Textoennegrita"/>
          <w:b w:val="0"/>
          <w:color w:val="1A1A1A"/>
          <w:bdr w:val="none" w:sz="0" w:space="0" w:color="auto" w:frame="1"/>
        </w:rPr>
        <w:t>Recursos Humanos</w:t>
      </w:r>
      <w:r w:rsidRPr="002A40A8">
        <w:rPr>
          <w:rStyle w:val="apple-converted-space"/>
          <w:rFonts w:eastAsiaTheme="majorEastAsia"/>
          <w:color w:val="1A1A1A"/>
          <w:bdr w:val="none" w:sz="0" w:space="0" w:color="auto" w:frame="1"/>
        </w:rPr>
        <w:t> </w:t>
      </w:r>
      <w:r w:rsidRPr="002A40A8">
        <w:rPr>
          <w:color w:val="1A1A1A"/>
        </w:rPr>
        <w:t>y directivos de estrategia de las más grandes compañías del mundo.</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En su opinión, hay</w:t>
      </w:r>
      <w:r w:rsidRPr="002A40A8">
        <w:rPr>
          <w:rStyle w:val="apple-converted-space"/>
          <w:rFonts w:eastAsiaTheme="majorEastAsia"/>
          <w:color w:val="1A1A1A"/>
        </w:rPr>
        <w:t> </w:t>
      </w:r>
      <w:r w:rsidRPr="00240B47">
        <w:rPr>
          <w:rStyle w:val="Textoennegrita"/>
          <w:b w:val="0"/>
          <w:color w:val="1A1A1A"/>
          <w:u w:val="single"/>
          <w:bdr w:val="none" w:sz="0" w:space="0" w:color="auto" w:frame="1"/>
        </w:rPr>
        <w:t>seis factores</w:t>
      </w:r>
      <w:r w:rsidRPr="002A40A8">
        <w:rPr>
          <w:rStyle w:val="apple-converted-space"/>
          <w:rFonts w:eastAsiaTheme="majorEastAsia"/>
          <w:color w:val="1A1A1A"/>
        </w:rPr>
        <w:t> </w:t>
      </w:r>
      <w:r w:rsidRPr="002A40A8">
        <w:rPr>
          <w:color w:val="1A1A1A"/>
        </w:rPr>
        <w:t>que determinarán el futuro del trabajo, y más vale que ciudadanos, empresarios y políticos los tengan en cuenta, si no queremos que el paro sea mucho más intenso y duradero de lo que hemos conocido hasta la fecha.</w:t>
      </w:r>
    </w:p>
    <w:p w:rsidR="0056185F"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p>
    <w:p w:rsidR="0056185F"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1. En 5 años sufriremos una tormenta perfecta</w:t>
      </w:r>
    </w:p>
    <w:p w:rsidR="0056185F" w:rsidRDefault="0056185F" w:rsidP="0056185F">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En sólo un lustro, la</w:t>
      </w:r>
      <w:r w:rsidRPr="002A40A8">
        <w:rPr>
          <w:rStyle w:val="apple-converted-space"/>
          <w:rFonts w:eastAsiaTheme="majorEastAsia"/>
          <w:color w:val="1A1A1A"/>
        </w:rPr>
        <w:t> </w:t>
      </w:r>
      <w:hyperlink r:id="rId81" w:tgtFrame="_self" w:history="1">
        <w:r w:rsidRPr="00240B47">
          <w:rPr>
            <w:rStyle w:val="Hipervnculo"/>
            <w:b/>
            <w:bCs/>
            <w:color w:val="auto"/>
          </w:rPr>
          <w:t>disrupción tecnológica</w:t>
        </w:r>
      </w:hyperlink>
      <w:r w:rsidRPr="002A40A8">
        <w:rPr>
          <w:rStyle w:val="apple-converted-space"/>
          <w:rFonts w:eastAsiaTheme="majorEastAsia"/>
          <w:color w:val="1A1A1A"/>
        </w:rPr>
        <w:t> </w:t>
      </w:r>
      <w:r w:rsidRPr="002A40A8">
        <w:rPr>
          <w:color w:val="1A1A1A"/>
        </w:rPr>
        <w:t>interactuará con otras variables socieconómicas, geopolíticas y demográficas para generar una tormenta perfecta que hará que el</w:t>
      </w:r>
      <w:r w:rsidRPr="002A40A8">
        <w:rPr>
          <w:rStyle w:val="apple-converted-space"/>
          <w:rFonts w:eastAsiaTheme="majorEastAsia"/>
          <w:color w:val="1A1A1A"/>
        </w:rPr>
        <w:t> </w:t>
      </w:r>
      <w:r w:rsidRPr="00240B47">
        <w:rPr>
          <w:rStyle w:val="Textoennegrita"/>
          <w:b w:val="0"/>
          <w:color w:val="1A1A1A"/>
          <w:bdr w:val="none" w:sz="0" w:space="0" w:color="auto" w:frame="1"/>
        </w:rPr>
        <w:t>mercado laboral</w:t>
      </w:r>
      <w:r w:rsidRPr="002A40A8">
        <w:rPr>
          <w:rStyle w:val="apple-converted-space"/>
          <w:rFonts w:eastAsiaTheme="majorEastAsia"/>
          <w:color w:val="1A1A1A"/>
          <w:bdr w:val="none" w:sz="0" w:space="0" w:color="auto" w:frame="1"/>
        </w:rPr>
        <w:t> </w:t>
      </w:r>
      <w:r w:rsidRPr="002A40A8">
        <w:rPr>
          <w:color w:val="1A1A1A"/>
        </w:rPr>
        <w:t>salte por los aires.</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El</w:t>
      </w:r>
      <w:r w:rsidRPr="002A40A8">
        <w:rPr>
          <w:rStyle w:val="apple-converted-space"/>
          <w:rFonts w:eastAsiaTheme="majorEastAsia"/>
          <w:color w:val="1A1A1A"/>
        </w:rPr>
        <w:t> </w:t>
      </w:r>
      <w:r w:rsidRPr="00240B47">
        <w:rPr>
          <w:rStyle w:val="Textoennegrita"/>
          <w:b w:val="0"/>
          <w:color w:val="1A1A1A"/>
          <w:bdr w:val="none" w:sz="0" w:space="0" w:color="auto" w:frame="1"/>
        </w:rPr>
        <w:t>desarrollo tecnológico</w:t>
      </w:r>
      <w:r w:rsidRPr="002A40A8">
        <w:rPr>
          <w:rStyle w:val="apple-converted-space"/>
          <w:rFonts w:eastAsiaTheme="majorEastAsia"/>
          <w:color w:val="1A1A1A"/>
        </w:rPr>
        <w:t> </w:t>
      </w:r>
      <w:r w:rsidRPr="002A40A8">
        <w:rPr>
          <w:color w:val="1A1A1A"/>
        </w:rPr>
        <w:t>en campos previamente inconexos como la inteligencia artificial y el aprendizaje por refuerzo inverso, la robótica, la nanotecnología, la impresión 3D, la genética y la biotecnología, se está</w:t>
      </w:r>
      <w:r w:rsidRPr="00240B47">
        <w:rPr>
          <w:rStyle w:val="Textoennegrita"/>
          <w:b w:val="0"/>
          <w:color w:val="1A1A1A"/>
          <w:bdr w:val="none" w:sz="0" w:space="0" w:color="auto" w:frame="1"/>
        </w:rPr>
        <w:t>interconectando</w:t>
      </w:r>
      <w:r w:rsidRPr="002A40A8">
        <w:rPr>
          <w:rStyle w:val="apple-converted-space"/>
          <w:rFonts w:eastAsiaTheme="majorEastAsia"/>
          <w:color w:val="1A1A1A"/>
        </w:rPr>
        <w:t> </w:t>
      </w:r>
      <w:r w:rsidRPr="002A40A8">
        <w:rPr>
          <w:color w:val="1A1A1A"/>
        </w:rPr>
        <w:t>y amplificando entre sí.</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Paralelamente a esta revolución tecnológica, se están desarrollando ya un conjunto de cambios socioeconómicos, geopolíticos y demográficos más amplios, como el auge del</w:t>
      </w:r>
      <w:r w:rsidRPr="002A40A8">
        <w:rPr>
          <w:rStyle w:val="apple-converted-space"/>
          <w:rFonts w:eastAsiaTheme="majorEastAsia"/>
          <w:color w:val="1A1A1A"/>
        </w:rPr>
        <w:t> </w:t>
      </w:r>
      <w:r w:rsidRPr="00240B47">
        <w:rPr>
          <w:rStyle w:val="Textoennegrita"/>
          <w:b w:val="0"/>
          <w:color w:val="1A1A1A"/>
          <w:bdr w:val="none" w:sz="0" w:space="0" w:color="auto" w:frame="1"/>
        </w:rPr>
        <w:t>teletrabajo</w:t>
      </w:r>
      <w:r w:rsidRPr="002A40A8">
        <w:rPr>
          <w:rStyle w:val="Textoennegrita"/>
          <w:color w:val="1A1A1A"/>
          <w:bdr w:val="none" w:sz="0" w:space="0" w:color="auto" w:frame="1"/>
        </w:rPr>
        <w:t>,</w:t>
      </w:r>
      <w:r w:rsidRPr="002A40A8">
        <w:rPr>
          <w:rStyle w:val="apple-converted-space"/>
          <w:rFonts w:eastAsiaTheme="majorEastAsia"/>
          <w:color w:val="1A1A1A"/>
        </w:rPr>
        <w:t> </w:t>
      </w:r>
      <w:r w:rsidRPr="002A40A8">
        <w:rPr>
          <w:color w:val="1A1A1A"/>
        </w:rPr>
        <w:t>el aumento de la clase media en los mercados emergentes o el cambio climático, que en conjunto suponen un impacto casi equivalente al de los factores tecnológicos.</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2. Habrá nuevos oficios, pero no será suficiente</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Durante toda la historia de la Humanidad los avances tecnológicos han acabado con determinados empleos y han creado otros, pero pocos dudan ya que en los años venideros la </w:t>
      </w:r>
      <w:hyperlink r:id="rId82" w:tgtFrame="_self" w:history="1">
        <w:r w:rsidRPr="00240B47">
          <w:rPr>
            <w:rStyle w:val="Hipervnculo"/>
            <w:b/>
            <w:bCs/>
            <w:color w:val="auto"/>
          </w:rPr>
          <w:t>destrucción de profesiones</w:t>
        </w:r>
      </w:hyperlink>
      <w:r w:rsidRPr="002A40A8">
        <w:rPr>
          <w:color w:val="1A1A1A"/>
        </w:rPr>
        <w:t> vaya a ser mucho mayor que nuestra capacidad para crear otras nuevas.</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lastRenderedPageBreak/>
        <w:t>Según el informe de Davos, los cambios tecnológicos y demográficos destruirán más de siete millones de puestos de trabajo antes de 2020, dos tercios de los cuales serán rutinarios</w:t>
      </w:r>
      <w:r w:rsidRPr="002A40A8">
        <w:rPr>
          <w:rStyle w:val="apple-converted-space"/>
          <w:rFonts w:eastAsiaTheme="majorEastAsia"/>
          <w:color w:val="1A1A1A"/>
        </w:rPr>
        <w:t> </w:t>
      </w:r>
      <w:r w:rsidRPr="00240B47">
        <w:rPr>
          <w:rStyle w:val="Textoennegrita"/>
          <w:b w:val="0"/>
          <w:color w:val="1A1A1A"/>
          <w:bdr w:val="none" w:sz="0" w:space="0" w:color="auto" w:frame="1"/>
        </w:rPr>
        <w:t>trabajos de oficina,</w:t>
      </w:r>
      <w:r w:rsidRPr="002A40A8">
        <w:rPr>
          <w:rStyle w:val="apple-converted-space"/>
          <w:rFonts w:eastAsiaTheme="majorEastAsia"/>
          <w:color w:val="1A1A1A"/>
        </w:rPr>
        <w:t> </w:t>
      </w:r>
      <w:r w:rsidRPr="002A40A8">
        <w:rPr>
          <w:color w:val="1A1A1A"/>
        </w:rPr>
        <w:t>como la mayoría de roles administrativos. También se espera que sufran mucho los empleados en procesos de fabricación y producción, pero estos tienen un poco más de margen para mejorar su cualificación, por lo que podrán optar a una reconversión si reaccionan a tiempo.</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Pr="00240B47" w:rsidRDefault="0056185F" w:rsidP="0056185F">
      <w:pPr>
        <w:pStyle w:val="NormalWeb"/>
        <w:shd w:val="clear" w:color="auto" w:fill="FFFFFF"/>
        <w:spacing w:before="0" w:beforeAutospacing="0" w:after="0" w:afterAutospacing="0"/>
        <w:jc w:val="both"/>
        <w:textAlignment w:val="baseline"/>
        <w:rPr>
          <w:b/>
          <w:color w:val="1A1A1A"/>
          <w:u w:val="single"/>
        </w:rPr>
      </w:pPr>
      <w:r w:rsidRPr="002A40A8">
        <w:rPr>
          <w:color w:val="1A1A1A"/>
        </w:rPr>
        <w:t>Cierto es que se crearán también dos millones de</w:t>
      </w:r>
      <w:r w:rsidRPr="002A40A8">
        <w:rPr>
          <w:rStyle w:val="apple-converted-space"/>
          <w:rFonts w:eastAsiaTheme="majorEastAsia"/>
          <w:color w:val="1A1A1A"/>
        </w:rPr>
        <w:t> </w:t>
      </w:r>
      <w:r w:rsidRPr="00240B47">
        <w:rPr>
          <w:rStyle w:val="Textoennegrita"/>
          <w:b w:val="0"/>
          <w:color w:val="1A1A1A"/>
          <w:bdr w:val="none" w:sz="0" w:space="0" w:color="auto" w:frame="1"/>
        </w:rPr>
        <w:t>nuevos oficios</w:t>
      </w:r>
      <w:r w:rsidRPr="002A40A8">
        <w:rPr>
          <w:rStyle w:val="apple-converted-space"/>
          <w:rFonts w:eastAsiaTheme="majorEastAsia"/>
          <w:color w:val="1A1A1A"/>
          <w:bdr w:val="none" w:sz="0" w:space="0" w:color="auto" w:frame="1"/>
        </w:rPr>
        <w:t> </w:t>
      </w:r>
      <w:r w:rsidRPr="002A40A8">
        <w:rPr>
          <w:color w:val="1A1A1A"/>
        </w:rPr>
        <w:t xml:space="preserve">en campos relacionados con la informática, las matemáticas, la ingeniería y la arquitectura, pero basta hacer una sencilla resta para ver que no serán suficientes. </w:t>
      </w:r>
      <w:r w:rsidRPr="00332C23">
        <w:rPr>
          <w:b/>
          <w:color w:val="1A1A1A"/>
          <w:u w:val="single"/>
        </w:rPr>
        <w:t>Más de</w:t>
      </w:r>
      <w:r w:rsidRPr="00332C23">
        <w:rPr>
          <w:rStyle w:val="apple-converted-space"/>
          <w:rFonts w:eastAsiaTheme="majorEastAsia"/>
          <w:b/>
          <w:color w:val="1A1A1A"/>
          <w:u w:val="single"/>
        </w:rPr>
        <w:t> </w:t>
      </w:r>
      <w:r w:rsidRPr="00332C23">
        <w:rPr>
          <w:rStyle w:val="Textoennegrita"/>
          <w:color w:val="1A1A1A"/>
          <w:u w:val="single"/>
          <w:bdr w:val="none" w:sz="0" w:space="0" w:color="auto" w:frame="1"/>
        </w:rPr>
        <w:t>cinco millones de personas</w:t>
      </w:r>
      <w:r w:rsidRPr="00332C23">
        <w:rPr>
          <w:rStyle w:val="apple-converted-space"/>
          <w:rFonts w:eastAsiaTheme="majorEastAsia"/>
          <w:b/>
          <w:color w:val="1A1A1A"/>
          <w:u w:val="single"/>
        </w:rPr>
        <w:t> </w:t>
      </w:r>
      <w:r w:rsidRPr="00332C23">
        <w:rPr>
          <w:b/>
          <w:color w:val="1A1A1A"/>
          <w:u w:val="single"/>
        </w:rPr>
        <w:t>se</w:t>
      </w:r>
      <w:r w:rsidRPr="00240B47">
        <w:rPr>
          <w:b/>
          <w:color w:val="1A1A1A"/>
          <w:u w:val="single"/>
        </w:rPr>
        <w:t xml:space="preserve"> irán al paro para siempre.</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3. Quien no estudie ciencias lo tendrá crudo</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Según los directivos participantes en el informe del Foro de Davos, tres tipos de trabajo acapararan gran parte de las nuevas contrataciones en los tiempos venideros, en casi todas las industrias y países:</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Uno es el rol de</w:t>
      </w:r>
      <w:r w:rsidRPr="002A40A8">
        <w:rPr>
          <w:rStyle w:val="apple-converted-space"/>
          <w:rFonts w:eastAsiaTheme="majorEastAsia"/>
          <w:color w:val="1A1A1A"/>
        </w:rPr>
        <w:t> </w:t>
      </w:r>
      <w:r w:rsidRPr="00240B47">
        <w:rPr>
          <w:b/>
          <w:bCs/>
          <w:color w:val="1A1A1A"/>
          <w:u w:val="single"/>
          <w:bdr w:val="none" w:sz="0" w:space="0" w:color="auto" w:frame="1"/>
        </w:rPr>
        <w:t>analista de datos</w:t>
      </w:r>
      <w:r w:rsidRPr="002A40A8">
        <w:rPr>
          <w:b/>
          <w:bCs/>
          <w:color w:val="1A1A1A"/>
          <w:bdr w:val="none" w:sz="0" w:space="0" w:color="auto" w:frame="1"/>
        </w:rPr>
        <w:t>,</w:t>
      </w:r>
      <w:r w:rsidRPr="002A40A8">
        <w:rPr>
          <w:rStyle w:val="apple-converted-space"/>
          <w:rFonts w:eastAsiaTheme="majorEastAsia"/>
          <w:color w:val="1A1A1A"/>
        </w:rPr>
        <w:t> </w:t>
      </w:r>
      <w:r w:rsidRPr="002A40A8">
        <w:rPr>
          <w:color w:val="1A1A1A"/>
        </w:rPr>
        <w:t>que las empresas potenciarán esperando que el manejo de la cada vez más voluminosa información disponible les ayude a generar estrategias con las que sortear la disrupción tecnológica.</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Otro es el empleo como </w:t>
      </w:r>
      <w:r w:rsidRPr="00240B47">
        <w:rPr>
          <w:b/>
          <w:bCs/>
          <w:color w:val="1A1A1A"/>
          <w:u w:val="single"/>
          <w:bdr w:val="none" w:sz="0" w:space="0" w:color="auto" w:frame="1"/>
        </w:rPr>
        <w:t>agente de ventas especializado</w:t>
      </w:r>
      <w:r w:rsidRPr="002A40A8">
        <w:rPr>
          <w:color w:val="1A1A1A"/>
        </w:rPr>
        <w:t>, estos comerciales tendrán que explicar las nuevas ofertas de las compañías a sus clientes, que no van a estar familiarizados con sus servicios.</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En último lugar, las empresas necesitarán un</w:t>
      </w:r>
      <w:r w:rsidRPr="002A40A8">
        <w:rPr>
          <w:rStyle w:val="apple-converted-space"/>
          <w:rFonts w:eastAsiaTheme="majorEastAsia"/>
          <w:color w:val="1A1A1A"/>
        </w:rPr>
        <w:t> </w:t>
      </w:r>
      <w:r w:rsidRPr="00240B47">
        <w:rPr>
          <w:b/>
          <w:bCs/>
          <w:color w:val="1A1A1A"/>
          <w:u w:val="single"/>
          <w:bdr w:val="none" w:sz="0" w:space="0" w:color="auto" w:frame="1"/>
        </w:rPr>
        <w:t>nuevo tipo de directivo</w:t>
      </w:r>
      <w:r w:rsidRPr="002A40A8">
        <w:rPr>
          <w:rStyle w:val="apple-converted-space"/>
          <w:rFonts w:eastAsiaTheme="majorEastAsia"/>
          <w:color w:val="1A1A1A"/>
        </w:rPr>
        <w:t> </w:t>
      </w:r>
      <w:r w:rsidRPr="002A40A8">
        <w:rPr>
          <w:color w:val="1A1A1A"/>
        </w:rPr>
        <w:t>que pueda orientar a la compañía a través de todos estos cambios y disrupciones.</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Pr="00240B47" w:rsidRDefault="0056185F" w:rsidP="0056185F">
      <w:pPr>
        <w:pStyle w:val="NormalWeb"/>
        <w:shd w:val="clear" w:color="auto" w:fill="FFFFFF"/>
        <w:spacing w:before="0" w:beforeAutospacing="0" w:after="0" w:afterAutospacing="0"/>
        <w:jc w:val="both"/>
        <w:textAlignment w:val="baseline"/>
      </w:pPr>
      <w:r w:rsidRPr="00240B47">
        <w:rPr>
          <w:color w:val="1A1A1A"/>
          <w:u w:val="single"/>
        </w:rPr>
        <w:t>Los expertos consultados creen que la mayoría de estos puestos requerirán una formación en ciencia, tecnología, ingeniería o</w:t>
      </w:r>
      <w:r w:rsidRPr="00240B47">
        <w:rPr>
          <w:rStyle w:val="apple-converted-space"/>
          <w:rFonts w:eastAsiaTheme="majorEastAsia"/>
          <w:color w:val="1A1A1A"/>
          <w:u w:val="single"/>
        </w:rPr>
        <w:t> </w:t>
      </w:r>
      <w:hyperlink r:id="rId83" w:tgtFrame="_self" w:history="1">
        <w:r w:rsidRPr="00240B47">
          <w:rPr>
            <w:rStyle w:val="Hipervnculo"/>
            <w:bCs/>
            <w:color w:val="auto"/>
          </w:rPr>
          <w:t>matemáticas</w:t>
        </w:r>
      </w:hyperlink>
      <w:r w:rsidRPr="002A40A8">
        <w:rPr>
          <w:rStyle w:val="apple-converted-space"/>
          <w:rFonts w:eastAsiaTheme="majorEastAsia"/>
          <w:color w:val="1A1A1A"/>
        </w:rPr>
        <w:t> </w:t>
      </w:r>
      <w:r w:rsidRPr="002A40A8">
        <w:rPr>
          <w:color w:val="1A1A1A"/>
        </w:rPr>
        <w:t>(el tipo de habilidades que los expertos agrupan bajo el acrónimo</w:t>
      </w:r>
      <w:r w:rsidRPr="002A40A8">
        <w:rPr>
          <w:rStyle w:val="apple-converted-space"/>
          <w:rFonts w:eastAsiaTheme="majorEastAsia"/>
          <w:color w:val="1A1A1A"/>
        </w:rPr>
        <w:t> </w:t>
      </w:r>
      <w:r w:rsidRPr="00240B47">
        <w:rPr>
          <w:rStyle w:val="Textoennegrita"/>
          <w:b w:val="0"/>
          <w:color w:val="1A1A1A"/>
          <w:bdr w:val="none" w:sz="0" w:space="0" w:color="auto" w:frame="1"/>
        </w:rPr>
        <w:t>STEM</w:t>
      </w:r>
      <w:r w:rsidRPr="002A40A8">
        <w:rPr>
          <w:color w:val="1A1A1A"/>
        </w:rPr>
        <w:t>). No parece por tanto un buen momento para estud</w:t>
      </w:r>
      <w:r>
        <w:rPr>
          <w:color w:val="1A1A1A"/>
        </w:rPr>
        <w:t xml:space="preserve">iar una carrera de Humanidades </w:t>
      </w:r>
      <w:r w:rsidRPr="002A40A8">
        <w:rPr>
          <w:color w:val="1A1A1A"/>
        </w:rPr>
        <w:t>aunque hay quienes piensan</w:t>
      </w:r>
      <w:r w:rsidRPr="002A40A8">
        <w:rPr>
          <w:rStyle w:val="apple-converted-space"/>
          <w:rFonts w:eastAsiaTheme="majorEastAsia"/>
          <w:color w:val="1A1A1A"/>
        </w:rPr>
        <w:t> </w:t>
      </w:r>
      <w:hyperlink r:id="rId84" w:tgtFrame="_self" w:history="1">
        <w:r w:rsidRPr="00240B47">
          <w:rPr>
            <w:rStyle w:val="Hipervnculo"/>
            <w:bCs/>
            <w:color w:val="auto"/>
            <w:u w:val="none"/>
          </w:rPr>
          <w:t>justo lo contrario</w:t>
        </w:r>
      </w:hyperlink>
      <w:r w:rsidRPr="00240B47">
        <w:t>-.</w:t>
      </w: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4. Las empresas no cubrirán todos los puestos</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 xml:space="preserve">Según el informe, dada </w:t>
      </w:r>
      <w:r w:rsidRPr="00240B47">
        <w:rPr>
          <w:b/>
          <w:color w:val="1A1A1A"/>
          <w:u w:val="single"/>
        </w:rPr>
        <w:t xml:space="preserve">la disrupción general que experimentarán todas las </w:t>
      </w:r>
      <w:r w:rsidRPr="00240B47">
        <w:rPr>
          <w:rStyle w:val="Textoennegrita"/>
          <w:color w:val="1A1A1A"/>
          <w:u w:val="single"/>
          <w:bdr w:val="none" w:sz="0" w:space="0" w:color="auto" w:frame="1"/>
        </w:rPr>
        <w:t>industrias</w:t>
      </w:r>
      <w:r w:rsidRPr="002A40A8">
        <w:rPr>
          <w:rStyle w:val="Textoennegrita"/>
          <w:color w:val="1A1A1A"/>
          <w:bdr w:val="none" w:sz="0" w:space="0" w:color="auto" w:frame="1"/>
        </w:rPr>
        <w:t>,</w:t>
      </w:r>
      <w:r w:rsidRPr="002A40A8">
        <w:rPr>
          <w:rStyle w:val="apple-converted-space"/>
          <w:rFonts w:eastAsiaTheme="majorEastAsia"/>
          <w:color w:val="1A1A1A"/>
          <w:bdr w:val="none" w:sz="0" w:space="0" w:color="auto" w:frame="1"/>
        </w:rPr>
        <w:t> </w:t>
      </w:r>
      <w:r w:rsidRPr="002A40A8">
        <w:rPr>
          <w:color w:val="1A1A1A"/>
        </w:rPr>
        <w:t>no es de extrañar que aumente la demanda de informáticos, matemáticos, arquitectos e ingenieros, así como la</w:t>
      </w:r>
      <w:r w:rsidRPr="002A40A8">
        <w:rPr>
          <w:rStyle w:val="apple-converted-space"/>
          <w:rFonts w:eastAsiaTheme="majorEastAsia"/>
          <w:color w:val="1A1A1A"/>
        </w:rPr>
        <w:t> </w:t>
      </w:r>
      <w:r w:rsidRPr="00240B47">
        <w:rPr>
          <w:rStyle w:val="Textoennegrita"/>
          <w:b w:val="0"/>
          <w:color w:val="1A1A1A"/>
          <w:bdr w:val="none" w:sz="0" w:space="0" w:color="auto" w:frame="1"/>
        </w:rPr>
        <w:t>competencia</w:t>
      </w:r>
      <w:r w:rsidRPr="002A40A8">
        <w:rPr>
          <w:rStyle w:val="apple-converted-space"/>
          <w:rFonts w:eastAsiaTheme="majorEastAsia"/>
          <w:color w:val="1A1A1A"/>
        </w:rPr>
        <w:t> </w:t>
      </w:r>
      <w:r w:rsidRPr="002A40A8">
        <w:rPr>
          <w:color w:val="1A1A1A"/>
        </w:rPr>
        <w:t>entre ellos. Pero dado que no todo el mundo puede desempañar su rol, habrá muchos puestos imposibles de cubrir, pese a los enormes niveles de desempleo. </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Encontrar maneras de retener a los mejores talentos será una prioridad para todas las empresas. Incluso en los campos laborales en los que se va a destruir empleo, los roles serán cada vez más</w:t>
      </w:r>
      <w:r w:rsidRPr="002A40A8">
        <w:rPr>
          <w:rStyle w:val="apple-converted-space"/>
          <w:rFonts w:eastAsiaTheme="majorEastAsia"/>
          <w:color w:val="1A1A1A"/>
        </w:rPr>
        <w:t> </w:t>
      </w:r>
      <w:r w:rsidRPr="00240B47">
        <w:rPr>
          <w:rStyle w:val="Textoennegrita"/>
          <w:b w:val="0"/>
          <w:color w:val="1A1A1A"/>
          <w:bdr w:val="none" w:sz="0" w:space="0" w:color="auto" w:frame="1"/>
        </w:rPr>
        <w:t>especializados</w:t>
      </w:r>
      <w:r w:rsidRPr="002A40A8">
        <w:rPr>
          <w:color w:val="1A1A1A"/>
        </w:rPr>
        <w:t>, haciendo que sea más difícil cubrir los puestos si las habilidades y la educación de los trabajadores no evoluciona.</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p>
    <w:p w:rsidR="0056185F" w:rsidRPr="002A40A8"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5. Todos tendremos que reciclarnos</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r w:rsidRPr="00240B47">
        <w:rPr>
          <w:b/>
          <w:color w:val="1A1A1A"/>
          <w:u w:val="single"/>
        </w:rPr>
        <w:t>En casi todas las industrias, el impacto de la tecnología acortará la vida útil de las habilidades de los trabajadores, que tendrán que formarse durante toda su vida</w:t>
      </w:r>
      <w:r w:rsidRPr="002A40A8">
        <w:rPr>
          <w:color w:val="1A1A1A"/>
        </w:rPr>
        <w:t>. Es más, en este nuevo entorno, los cambios en el modelo de negocio se convierten de forma inmediata en un cambio de las competencias demandadas, sin apenas tiempo de transición. Incluso en los trabajos cada vez menos demandados se requerirán habilidades inexistentes hasta la fecha.</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Como se observa en la tabla, más de un tercio de las habilidades básicas que demandarán las empresas en 2020 no se consideran cruciales a día de hoy. Además, cualquier destreza técnica tendrá que ser complementada con fuertes habilidades sociales y de colaboración.</w:t>
      </w:r>
    </w:p>
    <w:p w:rsidR="0056185F"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p>
    <w:p w:rsidR="0056185F" w:rsidRPr="002A40A8"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6. Una lenta reacción agravará el problema</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r w:rsidRPr="00240B47">
        <w:rPr>
          <w:b/>
          <w:color w:val="1A1A1A"/>
          <w:u w:val="single"/>
        </w:rPr>
        <w:t>La amenaza de la automatización puede convertirse en una</w:t>
      </w:r>
      <w:r w:rsidRPr="00240B47">
        <w:rPr>
          <w:rStyle w:val="apple-converted-space"/>
          <w:rFonts w:eastAsiaTheme="majorEastAsia"/>
          <w:b/>
          <w:color w:val="1A1A1A"/>
          <w:u w:val="single"/>
          <w:bdr w:val="none" w:sz="0" w:space="0" w:color="auto" w:frame="1"/>
        </w:rPr>
        <w:t> </w:t>
      </w:r>
      <w:r w:rsidRPr="00240B47">
        <w:rPr>
          <w:rStyle w:val="Textoennegrita"/>
          <w:color w:val="1A1A1A"/>
          <w:u w:val="single"/>
          <w:bdr w:val="none" w:sz="0" w:space="0" w:color="auto" w:frame="1"/>
        </w:rPr>
        <w:t>profecía autocumplida</w:t>
      </w:r>
      <w:r w:rsidRPr="00240B47">
        <w:rPr>
          <w:rStyle w:val="apple-converted-space"/>
          <w:rFonts w:eastAsiaTheme="majorEastAsia"/>
          <w:b/>
          <w:color w:val="1A1A1A"/>
          <w:u w:val="single"/>
        </w:rPr>
        <w:t> </w:t>
      </w:r>
      <w:r w:rsidRPr="00240B47">
        <w:rPr>
          <w:b/>
          <w:color w:val="1A1A1A"/>
          <w:u w:val="single"/>
        </w:rPr>
        <w:t>si empleados y empleadores no abordan el problema desde hoy mismo</w:t>
      </w:r>
      <w:r w:rsidRPr="002A40A8">
        <w:rPr>
          <w:color w:val="1A1A1A"/>
        </w:rPr>
        <w:t>. Según el informe de Davos, si no nos anticipamos a la amenaza, tendremos que estar dispuestos a pagar un altísimo costo económico y social. Y los líderes empresariales, aunque son conscientes de que vienen curvas, no están actuando de forma contundente para prevenir el desastre.</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Pr="00240B47" w:rsidRDefault="0056185F" w:rsidP="0056185F">
      <w:pPr>
        <w:pStyle w:val="NormalWeb"/>
        <w:shd w:val="clear" w:color="auto" w:fill="FFFFFF"/>
        <w:spacing w:before="0" w:beforeAutospacing="0" w:after="0" w:afterAutospacing="0"/>
        <w:jc w:val="both"/>
        <w:textAlignment w:val="baseline"/>
        <w:rPr>
          <w:color w:val="1A1A1A"/>
          <w:u w:val="single"/>
        </w:rPr>
      </w:pPr>
      <w:r w:rsidRPr="002A40A8">
        <w:rPr>
          <w:color w:val="1A1A1A"/>
        </w:rPr>
        <w:t xml:space="preserve">Sólo el 53% de los directores de Recursos Humanos consultados para elaborar el informe confían en la estrategia de su empresa para enfrentarse los próximos años a los cambios en el mercado laboral. </w:t>
      </w:r>
      <w:r w:rsidRPr="00240B47">
        <w:rPr>
          <w:color w:val="1A1A1A"/>
          <w:u w:val="single"/>
        </w:rPr>
        <w:t>Al mismo tiempo, los</w:t>
      </w:r>
      <w:r w:rsidRPr="00240B47">
        <w:rPr>
          <w:rStyle w:val="apple-converted-space"/>
          <w:rFonts w:eastAsiaTheme="majorEastAsia"/>
          <w:color w:val="1A1A1A"/>
          <w:u w:val="single"/>
          <w:bdr w:val="none" w:sz="0" w:space="0" w:color="auto" w:frame="1"/>
        </w:rPr>
        <w:t> </w:t>
      </w:r>
      <w:r w:rsidRPr="00240B47">
        <w:rPr>
          <w:rStyle w:val="Textoennegrita"/>
          <w:color w:val="1A1A1A"/>
          <w:u w:val="single"/>
          <w:bdr w:val="none" w:sz="0" w:space="0" w:color="auto" w:frame="1"/>
        </w:rPr>
        <w:t>trabajadores menos cualificados</w:t>
      </w:r>
      <w:r w:rsidRPr="00240B47">
        <w:rPr>
          <w:rStyle w:val="apple-converted-space"/>
          <w:rFonts w:eastAsiaTheme="majorEastAsia"/>
          <w:color w:val="1A1A1A"/>
          <w:u w:val="single"/>
          <w:bdr w:val="none" w:sz="0" w:space="0" w:color="auto" w:frame="1"/>
        </w:rPr>
        <w:t> </w:t>
      </w:r>
      <w:r w:rsidRPr="00240B47">
        <w:rPr>
          <w:color w:val="1A1A1A"/>
          <w:u w:val="single"/>
        </w:rPr>
        <w:t>podrían sufrir un despido sin ninguna posibilidad de reciclarse para desempeñar otra función.</w:t>
      </w:r>
    </w:p>
    <w:p w:rsidR="0056185F" w:rsidRDefault="0056185F" w:rsidP="0056185F">
      <w:pPr>
        <w:pStyle w:val="Ttulo2"/>
        <w:shd w:val="clear" w:color="auto" w:fill="FFFFFF"/>
        <w:spacing w:before="0" w:line="240" w:lineRule="auto"/>
        <w:jc w:val="both"/>
        <w:textAlignment w:val="baseline"/>
        <w:rPr>
          <w:rFonts w:ascii="Times New Roman" w:eastAsia="Calibri" w:hAnsi="Times New Roman" w:cs="Times New Roman"/>
          <w:b w:val="0"/>
          <w:bCs w:val="0"/>
          <w:noProof/>
          <w:color w:val="1A1A1A"/>
          <w:sz w:val="24"/>
          <w:szCs w:val="24"/>
        </w:rPr>
      </w:pPr>
    </w:p>
    <w:p w:rsidR="0056185F" w:rsidRPr="002A40A8" w:rsidRDefault="0056185F" w:rsidP="0056185F">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Conclusión: necesitamos una nueva mentalidad</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Pr="002A40A8" w:rsidRDefault="0056185F" w:rsidP="0056185F">
      <w:pPr>
        <w:pStyle w:val="NormalWeb"/>
        <w:shd w:val="clear" w:color="auto" w:fill="FFFFFF"/>
        <w:spacing w:before="0" w:beforeAutospacing="0" w:after="0" w:afterAutospacing="0"/>
        <w:jc w:val="both"/>
        <w:textAlignment w:val="baseline"/>
        <w:rPr>
          <w:color w:val="1A1A1A"/>
        </w:rPr>
      </w:pPr>
      <w:r w:rsidRPr="002A40A8">
        <w:rPr>
          <w:color w:val="1A1A1A"/>
        </w:rPr>
        <w:t xml:space="preserve">Según los autores del informe, </w:t>
      </w:r>
      <w:r w:rsidRPr="00240B47">
        <w:rPr>
          <w:b/>
          <w:color w:val="1A1A1A"/>
          <w:u w:val="single"/>
        </w:rPr>
        <w:t>para evitar el desastre debemos apostar por una</w:t>
      </w:r>
      <w:r w:rsidRPr="00240B47">
        <w:rPr>
          <w:rStyle w:val="apple-converted-space"/>
          <w:rFonts w:eastAsiaTheme="majorEastAsia"/>
          <w:b/>
          <w:color w:val="1A1A1A"/>
          <w:u w:val="single"/>
        </w:rPr>
        <w:t> </w:t>
      </w:r>
      <w:r w:rsidRPr="00240B47">
        <w:rPr>
          <w:b/>
          <w:bCs/>
          <w:color w:val="1A1A1A"/>
          <w:u w:val="single"/>
          <w:bdr w:val="none" w:sz="0" w:space="0" w:color="auto" w:frame="1"/>
        </w:rPr>
        <w:t>revolución del talento</w:t>
      </w:r>
      <w:r w:rsidRPr="002A40A8">
        <w:rPr>
          <w:color w:val="1A1A1A"/>
        </w:rPr>
        <w:t xml:space="preserve">: y las empresas, acostumbradas a ser consumidores pasivos de trabajadores talentosos, son las primeras que deben fomentarla </w:t>
      </w:r>
      <w:r w:rsidR="005337CB" w:rsidRPr="002A40A8">
        <w:rPr>
          <w:color w:val="1A1A1A"/>
        </w:rPr>
        <w:t>si no</w:t>
      </w:r>
      <w:r w:rsidRPr="002A40A8">
        <w:rPr>
          <w:color w:val="1A1A1A"/>
        </w:rPr>
        <w:t xml:space="preserve"> quieren perder el tren del progreso.</w:t>
      </w:r>
    </w:p>
    <w:p w:rsidR="0056185F" w:rsidRDefault="0056185F" w:rsidP="0056185F">
      <w:pPr>
        <w:pStyle w:val="NormalWeb"/>
        <w:shd w:val="clear" w:color="auto" w:fill="FFFFFF"/>
        <w:spacing w:before="0" w:beforeAutospacing="0" w:after="0" w:afterAutospacing="0"/>
        <w:jc w:val="both"/>
        <w:textAlignment w:val="baseline"/>
        <w:rPr>
          <w:color w:val="1A1A1A"/>
        </w:rPr>
      </w:pPr>
    </w:p>
    <w:p w:rsidR="0056185F" w:rsidRPr="00240B47" w:rsidRDefault="0056185F" w:rsidP="0056185F">
      <w:pPr>
        <w:pStyle w:val="NormalWeb"/>
        <w:shd w:val="clear" w:color="auto" w:fill="FFFFFF"/>
        <w:spacing w:before="0" w:beforeAutospacing="0" w:after="0" w:afterAutospacing="0"/>
        <w:jc w:val="both"/>
        <w:textAlignment w:val="baseline"/>
        <w:rPr>
          <w:b/>
          <w:color w:val="1A1A1A"/>
          <w:u w:val="single"/>
        </w:rPr>
      </w:pPr>
      <w:r w:rsidRPr="002A40A8">
        <w:rPr>
          <w:color w:val="1A1A1A"/>
        </w:rPr>
        <w:t>Las empresas tendrán que apostar por el desarrollo del talento como pilar mismo de su crecimiento futuro. Más complejo si cabe es el papel que deberán cumplir los políticos, que deberán liderar un cambio en el</w:t>
      </w:r>
      <w:r w:rsidRPr="002A40A8">
        <w:rPr>
          <w:rStyle w:val="apple-converted-space"/>
          <w:rFonts w:eastAsiaTheme="majorEastAsia"/>
          <w:color w:val="1A1A1A"/>
        </w:rPr>
        <w:t> </w:t>
      </w:r>
      <w:hyperlink r:id="rId85" w:tgtFrame="_self" w:history="1">
        <w:r w:rsidRPr="00240B47">
          <w:rPr>
            <w:rStyle w:val="Hipervnculo"/>
            <w:bCs/>
            <w:color w:val="auto"/>
          </w:rPr>
          <w:t>sistema educativo</w:t>
        </w:r>
      </w:hyperlink>
      <w:r w:rsidRPr="00240B47">
        <w:rPr>
          <w:rStyle w:val="apple-converted-space"/>
          <w:rFonts w:eastAsiaTheme="majorEastAsia"/>
        </w:rPr>
        <w:t> </w:t>
      </w:r>
      <w:r w:rsidRPr="002A40A8">
        <w:rPr>
          <w:color w:val="1A1A1A"/>
        </w:rPr>
        <w:t>y la regulación del mercado de trabajo, que llevan décadas de retraso en muchos países. Y a todos nosotros, como trabajadores, no nos quedará otra que desarrollar nuestro talento, abrazando aunque nos pese el</w:t>
      </w:r>
      <w:r w:rsidRPr="002A40A8">
        <w:rPr>
          <w:rStyle w:val="apple-converted-space"/>
          <w:rFonts w:eastAsiaTheme="majorEastAsia"/>
          <w:color w:val="1A1A1A"/>
          <w:bdr w:val="none" w:sz="0" w:space="0" w:color="auto" w:frame="1"/>
        </w:rPr>
        <w:t> </w:t>
      </w:r>
      <w:r w:rsidRPr="00240B47">
        <w:rPr>
          <w:rStyle w:val="Textoennegrita"/>
          <w:b w:val="0"/>
          <w:color w:val="1A1A1A"/>
          <w:u w:val="single"/>
          <w:bdr w:val="none" w:sz="0" w:space="0" w:color="auto" w:frame="1"/>
        </w:rPr>
        <w:t>aprendizaje permanente.</w:t>
      </w:r>
    </w:p>
    <w:p w:rsidR="0056185F" w:rsidRPr="00986092" w:rsidRDefault="0056185F" w:rsidP="0056185F">
      <w:pPr>
        <w:pStyle w:val="selectionshareable"/>
        <w:spacing w:after="300"/>
        <w:jc w:val="both"/>
        <w:textAlignment w:val="baseline"/>
        <w:rPr>
          <w:b/>
        </w:rPr>
      </w:pPr>
      <w:r w:rsidRPr="00986092">
        <w:rPr>
          <w:b/>
        </w:rPr>
        <w:t>Los cambios que dinamitarán el mercado de trabajo</w:t>
      </w:r>
    </w:p>
    <w:p w:rsidR="0056185F" w:rsidRPr="00986092" w:rsidRDefault="0056185F" w:rsidP="0056185F">
      <w:pPr>
        <w:pStyle w:val="selectionshareable"/>
        <w:spacing w:after="300"/>
        <w:jc w:val="both"/>
        <w:textAlignment w:val="baseline"/>
      </w:pPr>
      <w:r w:rsidRPr="00986092">
        <w:t>Porcentaje de directivos que consideran que esta será el principal factor en el cambio en el mercado laboral</w:t>
      </w:r>
    </w:p>
    <w:p w:rsidR="0056185F" w:rsidRDefault="0056185F" w:rsidP="0056185F">
      <w:pPr>
        <w:pStyle w:val="selectionshareable"/>
        <w:spacing w:after="300"/>
        <w:jc w:val="both"/>
        <w:textAlignment w:val="baseline"/>
        <w:rPr>
          <w:b/>
        </w:rPr>
      </w:pPr>
      <w:r w:rsidRPr="00986092">
        <w:rPr>
          <w:b/>
          <w:noProof/>
          <w:lang w:val="en-GB" w:eastAsia="en-GB"/>
        </w:rPr>
        <w:lastRenderedPageBreak/>
        <w:drawing>
          <wp:inline distT="0" distB="0" distL="0" distR="0">
            <wp:extent cx="5397500" cy="3479800"/>
            <wp:effectExtent l="0" t="0" r="0" b="635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400040" cy="3481438"/>
                    </a:xfrm>
                    <a:prstGeom prst="rect">
                      <a:avLst/>
                    </a:prstGeom>
                  </pic:spPr>
                </pic:pic>
              </a:graphicData>
            </a:graphic>
          </wp:inline>
        </w:drawing>
      </w:r>
    </w:p>
    <w:p w:rsidR="0056185F" w:rsidRDefault="0056185F" w:rsidP="0056185F">
      <w:pPr>
        <w:pStyle w:val="selectionshareable"/>
        <w:spacing w:after="300"/>
        <w:jc w:val="both"/>
        <w:textAlignment w:val="baseline"/>
        <w:rPr>
          <w:b/>
        </w:rPr>
      </w:pPr>
      <w:r w:rsidRPr="00986092">
        <w:rPr>
          <w:b/>
          <w:noProof/>
          <w:lang w:val="en-GB" w:eastAsia="en-GB"/>
        </w:rPr>
        <w:drawing>
          <wp:inline distT="0" distB="0" distL="0" distR="0">
            <wp:extent cx="5396573" cy="3924300"/>
            <wp:effectExtent l="0" t="0" r="0"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00040" cy="3926821"/>
                    </a:xfrm>
                    <a:prstGeom prst="rect">
                      <a:avLst/>
                    </a:prstGeom>
                  </pic:spPr>
                </pic:pic>
              </a:graphicData>
            </a:graphic>
          </wp:inline>
        </w:drawing>
      </w:r>
    </w:p>
    <w:p w:rsidR="0056185F" w:rsidRDefault="0056185F" w:rsidP="0056185F">
      <w:pPr>
        <w:pStyle w:val="selectionshareable"/>
        <w:spacing w:after="300"/>
        <w:jc w:val="both"/>
        <w:textAlignment w:val="baseline"/>
        <w:rPr>
          <w:b/>
        </w:rPr>
      </w:pPr>
    </w:p>
    <w:p w:rsidR="0056185F" w:rsidRDefault="0056185F" w:rsidP="0056185F">
      <w:pPr>
        <w:pStyle w:val="selectionshareable"/>
        <w:spacing w:after="300"/>
        <w:jc w:val="both"/>
        <w:textAlignment w:val="baseline"/>
        <w:rPr>
          <w:b/>
        </w:rPr>
      </w:pPr>
    </w:p>
    <w:p w:rsidR="0056185F" w:rsidRDefault="0056185F" w:rsidP="0056185F">
      <w:pPr>
        <w:pStyle w:val="selectionshareable"/>
        <w:spacing w:after="300"/>
        <w:jc w:val="both"/>
        <w:textAlignment w:val="baseline"/>
        <w:rPr>
          <w:b/>
        </w:rPr>
      </w:pPr>
      <w:r w:rsidRPr="00986092">
        <w:rPr>
          <w:b/>
          <w:noProof/>
          <w:lang w:val="en-GB" w:eastAsia="en-GB"/>
        </w:rPr>
        <w:lastRenderedPageBreak/>
        <w:drawing>
          <wp:inline distT="0" distB="0" distL="0" distR="0">
            <wp:extent cx="5400040" cy="507743"/>
            <wp:effectExtent l="0" t="0" r="0" b="6985"/>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400040" cy="507743"/>
                    </a:xfrm>
                    <a:prstGeom prst="rect">
                      <a:avLst/>
                    </a:prstGeom>
                  </pic:spPr>
                </pic:pic>
              </a:graphicData>
            </a:graphic>
          </wp:inline>
        </w:drawing>
      </w:r>
    </w:p>
    <w:p w:rsidR="0056185F" w:rsidRDefault="0056185F" w:rsidP="0056185F">
      <w:pPr>
        <w:pStyle w:val="selectionshareable"/>
        <w:spacing w:after="300"/>
        <w:jc w:val="both"/>
        <w:textAlignment w:val="baseline"/>
        <w:rPr>
          <w:b/>
        </w:rPr>
      </w:pPr>
      <w:r w:rsidRPr="00986092">
        <w:rPr>
          <w:b/>
          <w:noProof/>
          <w:lang w:val="en-GB" w:eastAsia="en-GB"/>
        </w:rPr>
        <w:drawing>
          <wp:inline distT="0" distB="0" distL="0" distR="0">
            <wp:extent cx="5397500" cy="3803650"/>
            <wp:effectExtent l="0" t="0" r="0" b="635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400040" cy="3805440"/>
                    </a:xfrm>
                    <a:prstGeom prst="rect">
                      <a:avLst/>
                    </a:prstGeom>
                  </pic:spPr>
                </pic:pic>
              </a:graphicData>
            </a:graphic>
          </wp:inline>
        </w:drawing>
      </w:r>
    </w:p>
    <w:p w:rsidR="0056185F" w:rsidRDefault="0056185F" w:rsidP="0056185F">
      <w:pPr>
        <w:pStyle w:val="selectionshareable"/>
        <w:spacing w:after="300"/>
        <w:jc w:val="both"/>
        <w:textAlignment w:val="baseline"/>
        <w:rPr>
          <w:b/>
        </w:rPr>
      </w:pPr>
    </w:p>
    <w:p w:rsidR="0056185F" w:rsidRPr="00F521CB" w:rsidRDefault="0056185F" w:rsidP="0056185F">
      <w:pPr>
        <w:pStyle w:val="selectionshareable"/>
        <w:spacing w:after="300"/>
        <w:jc w:val="both"/>
        <w:textAlignment w:val="baseline"/>
        <w:rPr>
          <w:b/>
        </w:rPr>
      </w:pPr>
      <w:r w:rsidRPr="00986092">
        <w:rPr>
          <w:b/>
          <w:noProof/>
          <w:lang w:val="en-GB" w:eastAsia="en-GB"/>
        </w:rPr>
        <w:drawing>
          <wp:inline distT="0" distB="0" distL="0" distR="0">
            <wp:extent cx="5400040" cy="3534038"/>
            <wp:effectExtent l="0" t="0" r="0" b="9525"/>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400040" cy="3534038"/>
                    </a:xfrm>
                    <a:prstGeom prst="rect">
                      <a:avLst/>
                    </a:prstGeom>
                  </pic:spPr>
                </pic:pic>
              </a:graphicData>
            </a:graphic>
          </wp:inline>
        </w:drawing>
      </w:r>
    </w:p>
    <w:p w:rsidR="0056185F" w:rsidRPr="00FB2238" w:rsidRDefault="0056185F" w:rsidP="0056185F">
      <w:pPr>
        <w:pStyle w:val="NormalWeb"/>
        <w:shd w:val="clear" w:color="auto" w:fill="FFFFFF"/>
        <w:spacing w:after="300"/>
        <w:jc w:val="both"/>
        <w:textAlignment w:val="baseline"/>
        <w:rPr>
          <w:color w:val="1A1816"/>
        </w:rPr>
      </w:pPr>
      <w:r>
        <w:rPr>
          <w:color w:val="1A1816"/>
        </w:rPr>
        <w:lastRenderedPageBreak/>
        <w:t xml:space="preserve">- </w:t>
      </w:r>
      <w:r w:rsidRPr="00FB2238">
        <w:rPr>
          <w:color w:val="1A1816"/>
          <w:u w:val="single"/>
        </w:rPr>
        <w:t>Cuatro claves sobre el futuro del empleo en 2025 de las que se habló en Davos</w:t>
      </w:r>
      <w:r>
        <w:rPr>
          <w:color w:val="1A1816"/>
        </w:rPr>
        <w:t xml:space="preserve"> (Libertad Digital - </w:t>
      </w:r>
      <w:r w:rsidRPr="00FB2238">
        <w:rPr>
          <w:b/>
          <w:color w:val="1A1816"/>
        </w:rPr>
        <w:t>27/1/16</w:t>
      </w:r>
      <w:r>
        <w:rPr>
          <w:color w:val="1A1816"/>
        </w:rPr>
        <w:t>)                                                               Lectura recomendada</w:t>
      </w:r>
    </w:p>
    <w:p w:rsidR="0056185F" w:rsidRPr="00227198" w:rsidRDefault="0056185F" w:rsidP="0056185F">
      <w:pPr>
        <w:pStyle w:val="NormalWeb"/>
        <w:shd w:val="clear" w:color="auto" w:fill="FFFFFF"/>
        <w:spacing w:before="0" w:beforeAutospacing="0" w:after="300" w:afterAutospacing="0"/>
        <w:jc w:val="both"/>
        <w:textAlignment w:val="baseline"/>
        <w:rPr>
          <w:color w:val="1A1816"/>
          <w:u w:val="single"/>
        </w:rPr>
      </w:pPr>
      <w:r w:rsidRPr="00227198">
        <w:rPr>
          <w:color w:val="1A1816"/>
          <w:u w:val="single"/>
        </w:rPr>
        <w:t>Las nuevas tecnologías cambiarán la realidad a muy corto plazo. Miles de trabajos quedarán obsoletos y aparecerán otros nuevos.</w:t>
      </w:r>
    </w:p>
    <w:p w:rsidR="0056185F" w:rsidRDefault="0056185F" w:rsidP="0056185F">
      <w:pPr>
        <w:pStyle w:val="NormalWeb"/>
        <w:shd w:val="clear" w:color="auto" w:fill="FFFFFF"/>
        <w:spacing w:before="0" w:beforeAutospacing="0" w:after="0" w:afterAutospacing="0"/>
        <w:jc w:val="both"/>
        <w:textAlignment w:val="baseline"/>
        <w:rPr>
          <w:color w:val="000000"/>
        </w:rPr>
      </w:pPr>
      <w:r w:rsidRPr="00FB2238">
        <w:rPr>
          <w:color w:val="000000"/>
        </w:rPr>
        <w:t>En 1989, Robert Zemeckis rodó la segunda parte de su taquillazo,</w:t>
      </w:r>
      <w:r w:rsidRPr="00FB2238">
        <w:rPr>
          <w:rStyle w:val="apple-converted-space"/>
          <w:rFonts w:eastAsiaTheme="majorEastAsia"/>
          <w:color w:val="000000"/>
        </w:rPr>
        <w:t> </w:t>
      </w:r>
      <w:r w:rsidRPr="00FB2238">
        <w:rPr>
          <w:rStyle w:val="nfasis"/>
          <w:rFonts w:eastAsiaTheme="majorEastAsia"/>
          <w:color w:val="000000"/>
          <w:bdr w:val="none" w:sz="0" w:space="0" w:color="auto" w:frame="1"/>
        </w:rPr>
        <w:t>Regreso al futuro</w:t>
      </w:r>
      <w:r w:rsidRPr="00FB2238">
        <w:rPr>
          <w:color w:val="000000"/>
        </w:rPr>
        <w:t>. En esta secuela, Marty McFly no viaja al pasado, sino al futuro, en concreto al 21 de octubre de 2015. Hace poco que se cumplió la efeméride y parece que</w:t>
      </w:r>
      <w:r w:rsidRPr="00FB2238">
        <w:rPr>
          <w:rStyle w:val="apple-converted-space"/>
          <w:rFonts w:eastAsiaTheme="majorEastAsia"/>
          <w:color w:val="000000"/>
        </w:rPr>
        <w:t> </w:t>
      </w:r>
      <w:hyperlink r:id="rId91" w:history="1">
        <w:r w:rsidRPr="00240B47">
          <w:rPr>
            <w:rStyle w:val="Hipervnculo"/>
            <w:color w:val="auto"/>
            <w:u w:val="none"/>
            <w:bdr w:val="none" w:sz="0" w:space="0" w:color="auto" w:frame="1"/>
          </w:rPr>
          <w:t>las apuestas de los guionistas</w:t>
        </w:r>
      </w:hyperlink>
      <w:r w:rsidRPr="00FB2238">
        <w:rPr>
          <w:rStyle w:val="apple-converted-space"/>
          <w:rFonts w:eastAsiaTheme="majorEastAsia"/>
          <w:color w:val="000000"/>
        </w:rPr>
        <w:t> </w:t>
      </w:r>
      <w:r w:rsidRPr="00FB2238">
        <w:rPr>
          <w:color w:val="000000"/>
        </w:rPr>
        <w:t>respecto de lo que pasaría 25 años después no fueron especialmente proféticas. Se acercaron en algunas cosas (por ejemplo, en esa televisión con la que se pueden hacer videollamadas) y se quedaron muy lejos en otras (como las autopistas para coches volantes).</w:t>
      </w:r>
    </w:p>
    <w:p w:rsidR="0056185F" w:rsidRPr="00FB2238" w:rsidRDefault="0056185F" w:rsidP="0056185F">
      <w:pPr>
        <w:pStyle w:val="NormalWeb"/>
        <w:shd w:val="clear" w:color="auto" w:fill="FFFFFF"/>
        <w:spacing w:before="0" w:beforeAutospacing="0" w:after="0" w:afterAutospacing="0"/>
        <w:jc w:val="both"/>
        <w:textAlignment w:val="baseline"/>
        <w:rPr>
          <w:color w:val="000000"/>
        </w:rPr>
      </w:pPr>
    </w:p>
    <w:p w:rsidR="0056185F" w:rsidRDefault="0056185F" w:rsidP="0056185F">
      <w:pPr>
        <w:pStyle w:val="NormalWeb"/>
        <w:shd w:val="clear" w:color="auto" w:fill="FFFFFF"/>
        <w:spacing w:before="0" w:beforeAutospacing="0" w:after="0" w:afterAutospacing="0"/>
        <w:jc w:val="both"/>
        <w:textAlignment w:val="baseline"/>
        <w:rPr>
          <w:color w:val="000000"/>
          <w:u w:val="single"/>
        </w:rPr>
      </w:pPr>
      <w:r w:rsidRPr="00227198">
        <w:rPr>
          <w:color w:val="FF0000"/>
          <w:u w:val="single"/>
        </w:rPr>
        <w:t>En</w:t>
      </w:r>
      <w:r w:rsidRPr="00227198">
        <w:rPr>
          <w:rStyle w:val="apple-converted-space"/>
          <w:rFonts w:eastAsiaTheme="majorEastAsia"/>
          <w:color w:val="FF0000"/>
          <w:u w:val="single"/>
        </w:rPr>
        <w:t> </w:t>
      </w:r>
      <w:r w:rsidRPr="00227198">
        <w:rPr>
          <w:rStyle w:val="Textoennegrita"/>
          <w:color w:val="FF0000"/>
          <w:u w:val="single"/>
        </w:rPr>
        <w:t>Davos, cada año, se reúnen economistas, políticos, periodistas</w:t>
      </w:r>
      <w:r w:rsidRPr="00227198">
        <w:rPr>
          <w:color w:val="FF0000"/>
          <w:u w:val="single"/>
        </w:rPr>
        <w:t>, sabios y gurús varios. Hablan de todo, pero la futurología también es habitual en los principales debates. ¿Qué va a pasar en las próximas décadas? ¿Cómo será el mundo de 2040? ¿Cuáles son las tendencias de la economía mundial en los que vienen?</w:t>
      </w:r>
      <w:r w:rsidRPr="00FB2238">
        <w:rPr>
          <w:color w:val="000000"/>
        </w:rPr>
        <w:t xml:space="preserve">Habría que ver si lo que han escrito en años anteriores todos estos líderes mundiales ha tenido más éxito que Zemeckis y los suyos. No parece que acierten demasiado, pero no desfallecen. </w:t>
      </w:r>
      <w:r w:rsidRPr="00227198">
        <w:rPr>
          <w:color w:val="000000"/>
          <w:u w:val="single"/>
        </w:rPr>
        <w:t xml:space="preserve">Este año, el tema estrella ha girado en torno a la pregunta de cómo cambiará nuestras vidas la que se ha dado en </w:t>
      </w:r>
      <w:r w:rsidRPr="00C326D4">
        <w:rPr>
          <w:color w:val="000000"/>
          <w:u w:val="single"/>
        </w:rPr>
        <w:t>llamar</w:t>
      </w:r>
      <w:r w:rsidRPr="00C326D4">
        <w:rPr>
          <w:rStyle w:val="apple-converted-space"/>
          <w:rFonts w:eastAsiaTheme="majorEastAsia"/>
          <w:color w:val="000000"/>
          <w:u w:val="single"/>
        </w:rPr>
        <w:t> </w:t>
      </w:r>
      <w:r w:rsidRPr="00C326D4">
        <w:rPr>
          <w:b/>
          <w:u w:val="single"/>
          <w:bdr w:val="none" w:sz="0" w:space="0" w:color="auto" w:frame="1"/>
        </w:rPr>
        <w:t>“Cuarta Revolución Industrial”.</w:t>
      </w:r>
      <w:r w:rsidRPr="00227198">
        <w:rPr>
          <w:color w:val="000000"/>
          <w:u w:val="single"/>
        </w:rPr>
        <w:t>En palabras de Fulvia Montresor, directora de tecnol</w:t>
      </w:r>
      <w:r>
        <w:rPr>
          <w:color w:val="000000"/>
          <w:u w:val="single"/>
        </w:rPr>
        <w:t>ogía del World Economic Forum, “</w:t>
      </w:r>
      <w:r w:rsidRPr="00227198">
        <w:rPr>
          <w:color w:val="000000"/>
          <w:u w:val="single"/>
        </w:rPr>
        <w:t>ésta es una revolución dirigida por el asombroso alcance de las nuevas tecnologías que están borrando las fronteras entre la ge</w:t>
      </w:r>
      <w:r>
        <w:rPr>
          <w:color w:val="000000"/>
          <w:u w:val="single"/>
        </w:rPr>
        <w:t>nte, internet y el mundo físico”</w:t>
      </w:r>
      <w:r w:rsidRPr="00227198">
        <w:rPr>
          <w:color w:val="000000"/>
          <w:u w:val="single"/>
        </w:rPr>
        <w:t>.</w:t>
      </w:r>
    </w:p>
    <w:p w:rsidR="0056185F" w:rsidRPr="00227198" w:rsidRDefault="0056185F" w:rsidP="0056185F">
      <w:pPr>
        <w:pStyle w:val="NormalWeb"/>
        <w:shd w:val="clear" w:color="auto" w:fill="FFFFFF"/>
        <w:spacing w:before="0" w:beforeAutospacing="0" w:after="0" w:afterAutospacing="0"/>
        <w:jc w:val="both"/>
        <w:textAlignment w:val="baseline"/>
        <w:rPr>
          <w:color w:val="000000"/>
          <w:u w:val="single"/>
        </w:rPr>
      </w:pPr>
    </w:p>
    <w:p w:rsidR="0056185F" w:rsidRDefault="0056185F" w:rsidP="0056185F">
      <w:pPr>
        <w:pStyle w:val="NormalWeb"/>
        <w:shd w:val="clear" w:color="auto" w:fill="FFFFFF"/>
        <w:spacing w:before="0" w:beforeAutospacing="0" w:after="360" w:afterAutospacing="0"/>
        <w:jc w:val="both"/>
        <w:textAlignment w:val="baseline"/>
        <w:rPr>
          <w:color w:val="000000"/>
          <w:u w:val="single"/>
        </w:rPr>
      </w:pPr>
      <w:r w:rsidRPr="00227198">
        <w:rPr>
          <w:color w:val="000000"/>
          <w:u w:val="single"/>
        </w:rPr>
        <w:t>Son cosas de las que se habla a menudo, pero a veces parecen muy lejanas. Ya no. Viendo las respuestas de los asistentes a las conferencias, uno se pregunta si es posible que todo eso vaya a ocurrir en tan corto período de tiempo. No sólo eso</w:t>
      </w:r>
      <w:r w:rsidRPr="00FB2238">
        <w:rPr>
          <w:color w:val="000000"/>
        </w:rPr>
        <w:t xml:space="preserve">. </w:t>
      </w:r>
      <w:r w:rsidRPr="00227198">
        <w:rPr>
          <w:color w:val="FF0000"/>
          <w:u w:val="single"/>
        </w:rPr>
        <w:t>Todos</w:t>
      </w:r>
      <w:r w:rsidRPr="00227198">
        <w:rPr>
          <w:rStyle w:val="apple-converted-space"/>
          <w:rFonts w:eastAsiaTheme="majorEastAsia"/>
          <w:color w:val="FF0000"/>
          <w:u w:val="single"/>
        </w:rPr>
        <w:t> </w:t>
      </w:r>
      <w:r w:rsidRPr="00227198">
        <w:rPr>
          <w:rStyle w:val="Textoennegrita"/>
          <w:color w:val="FF0000"/>
          <w:u w:val="single"/>
        </w:rPr>
        <w:t>estos avances tienen una derivada en el mercado laboral</w:t>
      </w:r>
      <w:r w:rsidRPr="00227198">
        <w:rPr>
          <w:color w:val="FF0000"/>
          <w:u w:val="single"/>
        </w:rPr>
        <w:t>. Habrá áreas en las que se disparará la demanda de profesionales y otras que serán borradas de un plumazo por los nuevos avances.</w:t>
      </w:r>
      <w:r w:rsidRPr="00227198">
        <w:rPr>
          <w:color w:val="000000"/>
          <w:u w:val="single"/>
        </w:rPr>
        <w:t>La historia de la humanidad es una demostración constante de cómo estos avances no sólo no empobrecen, sino que generan más riqueza bienestar y empleo.</w:t>
      </w:r>
      <w:r w:rsidR="005337CB" w:rsidRPr="00FB2238">
        <w:rPr>
          <w:color w:val="000000"/>
        </w:rPr>
        <w:t>Aun</w:t>
      </w:r>
      <w:r w:rsidRPr="00FB2238">
        <w:rPr>
          <w:color w:val="000000"/>
        </w:rPr>
        <w:t xml:space="preserve"> así, probablemente resurgirá alguna forma de neo-ludismo (aquel movimiento que destrozaba las máquinas que creían que les robaban el trabajo). Habrá tensiones entre países y continentes. Las posibilidades se multiplicarán y nuestra calidad de vida también. </w:t>
      </w:r>
      <w:r w:rsidRPr="00227198">
        <w:rPr>
          <w:color w:val="000000"/>
          <w:u w:val="single"/>
        </w:rPr>
        <w:t>Las siguientes son las predicciones más interesantes-curiosas-llamativas realizadas por los sabios reunidos en la localidad suiza. ¿Tendrán razón?</w:t>
      </w:r>
    </w:p>
    <w:p w:rsidR="0056185F" w:rsidRPr="00227198" w:rsidRDefault="0056185F" w:rsidP="0056185F">
      <w:pPr>
        <w:pStyle w:val="NormalWeb"/>
        <w:shd w:val="clear" w:color="auto" w:fill="FFFFFF"/>
        <w:spacing w:before="0" w:beforeAutospacing="0" w:after="360" w:afterAutospacing="0"/>
        <w:jc w:val="both"/>
        <w:textAlignment w:val="baseline"/>
        <w:rPr>
          <w:color w:val="000000"/>
          <w:u w:val="single"/>
        </w:rPr>
      </w:pPr>
      <w:r>
        <w:rPr>
          <w:color w:val="000000"/>
          <w:u w:val="single"/>
        </w:rPr>
        <w:t>Las predicciones</w:t>
      </w:r>
    </w:p>
    <w:p w:rsidR="0056185F" w:rsidRDefault="0056185F" w:rsidP="0056185F">
      <w:pPr>
        <w:pStyle w:val="NormalWeb"/>
        <w:shd w:val="clear" w:color="auto" w:fill="FFFFFF"/>
        <w:spacing w:before="0" w:beforeAutospacing="0" w:after="0" w:afterAutospacing="0"/>
        <w:jc w:val="both"/>
        <w:textAlignment w:val="baseline"/>
        <w:rPr>
          <w:color w:val="000000"/>
          <w:u w:val="single"/>
        </w:rPr>
      </w:pPr>
      <w:r w:rsidRPr="00227198">
        <w:rPr>
          <w:color w:val="000000"/>
          <w:u w:val="single"/>
        </w:rPr>
        <w:t>El siguiente gráfico recoge las respuestas de 800 ejecutivos expertos del sector tecnológico</w:t>
      </w:r>
      <w:r w:rsidRPr="00FB2238">
        <w:rPr>
          <w:color w:val="000000"/>
        </w:rPr>
        <w:t xml:space="preserve">. </w:t>
      </w:r>
      <w:r w:rsidRPr="00227198">
        <w:rPr>
          <w:color w:val="000000"/>
          <w:u w:val="single"/>
        </w:rPr>
        <w:t>Les preguntaron su opinión acerca de la implantación de diferentes tecnologías en la próxima década. Es decir, si creían que estas novedades</w:t>
      </w:r>
      <w:r w:rsidRPr="00227198">
        <w:rPr>
          <w:rStyle w:val="apple-converted-space"/>
          <w:rFonts w:eastAsiaTheme="majorEastAsia"/>
          <w:color w:val="000000"/>
          <w:u w:val="single"/>
        </w:rPr>
        <w:t> </w:t>
      </w:r>
      <w:hyperlink r:id="rId92" w:history="1">
        <w:r w:rsidRPr="00C326D4">
          <w:rPr>
            <w:rStyle w:val="Hipervnculo"/>
            <w:color w:val="auto"/>
            <w:bdr w:val="none" w:sz="0" w:space="0" w:color="auto" w:frame="1"/>
          </w:rPr>
          <w:t>estarían operativas para el año 2025</w:t>
        </w:r>
      </w:hyperlink>
      <w:r w:rsidRPr="00FB2238">
        <w:rPr>
          <w:color w:val="000000"/>
        </w:rPr>
        <w:t xml:space="preserve">. Puede parecer mucho tiempo, pero hablamos de menos de una década y algunos de los cambios por los que apuestan serían muy llamativos. </w:t>
      </w:r>
      <w:r w:rsidRPr="00227198">
        <w:rPr>
          <w:color w:val="000000"/>
          <w:u w:val="single"/>
        </w:rPr>
        <w:t xml:space="preserve">Por ejemplo, el 91% de estos gurús cree que el 10% de las personas llevará ropa que estará conectada a internet, el 84% apuesta porque el primer coche realizado con una impresora 3D estará en la cadena de montaje y el 78% piensa que el número de coches sin conductor (autónomos) alcanzará el 10% de los que estén circulando, lo que </w:t>
      </w:r>
      <w:r w:rsidRPr="00227198">
        <w:rPr>
          <w:color w:val="000000"/>
          <w:u w:val="single"/>
        </w:rPr>
        <w:lastRenderedPageBreak/>
        <w:t>implicaría una cuota de mercado en nuevas ventas a partir de 2020 por encima del 20-25%.</w:t>
      </w:r>
    </w:p>
    <w:p w:rsidR="0056185F" w:rsidRPr="00227198" w:rsidRDefault="0056185F" w:rsidP="0056185F">
      <w:pPr>
        <w:pStyle w:val="NormalWeb"/>
        <w:shd w:val="clear" w:color="auto" w:fill="FFFFFF"/>
        <w:spacing w:before="0" w:beforeAutospacing="0" w:after="0" w:afterAutospacing="0"/>
        <w:jc w:val="both"/>
        <w:textAlignment w:val="baseline"/>
        <w:rPr>
          <w:color w:val="000000"/>
          <w:u w:val="single"/>
        </w:rPr>
      </w:pPr>
    </w:p>
    <w:p w:rsidR="0056185F" w:rsidRPr="00FB2238" w:rsidRDefault="0056185F" w:rsidP="0056185F">
      <w:pPr>
        <w:spacing w:line="240" w:lineRule="auto"/>
        <w:rPr>
          <w:rFonts w:ascii="Times New Roman" w:hAnsi="Times New Roman" w:cs="Times New Roman"/>
          <w:sz w:val="24"/>
          <w:szCs w:val="24"/>
        </w:rPr>
      </w:pPr>
      <w:r w:rsidRPr="00FB2238">
        <w:rPr>
          <w:rFonts w:ascii="Times New Roman" w:hAnsi="Times New Roman" w:cs="Times New Roman"/>
          <w:noProof/>
          <w:color w:val="1883BA"/>
          <w:sz w:val="24"/>
          <w:szCs w:val="24"/>
          <w:bdr w:val="none" w:sz="0" w:space="0" w:color="auto" w:frame="1"/>
          <w:lang w:val="en-GB" w:eastAsia="en-GB"/>
        </w:rPr>
        <w:drawing>
          <wp:inline distT="0" distB="0" distL="0" distR="0">
            <wp:extent cx="5327650" cy="3638550"/>
            <wp:effectExtent l="0" t="0" r="6350" b="0"/>
            <wp:docPr id="236" name="Imagen 236" descr="http://s.libertaddigital.com/2016/01/25/468/0/davos_futuro_1.jpg">
              <a:hlinkClick xmlns:a="http://schemas.openxmlformats.org/drawingml/2006/main" r:id="rId93"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2016/01/25/468/0/davos_futuro_1.jpg">
                      <a:hlinkClick r:id="rId93" tooltip="&quot;WEF 2016&quot;"/>
                    </pic:cNvPr>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7650" cy="3638550"/>
                    </a:xfrm>
                    <a:prstGeom prst="rect">
                      <a:avLst/>
                    </a:prstGeom>
                    <a:noFill/>
                    <a:ln>
                      <a:noFill/>
                    </a:ln>
                  </pic:spPr>
                </pic:pic>
              </a:graphicData>
            </a:graphic>
          </wp:inline>
        </w:drawing>
      </w:r>
      <w:r w:rsidRPr="00FB2238">
        <w:rPr>
          <w:rFonts w:ascii="Times New Roman" w:hAnsi="Times New Roman" w:cs="Times New Roman"/>
          <w:sz w:val="24"/>
          <w:szCs w:val="24"/>
        </w:rPr>
        <w:t>WEF 2016</w:t>
      </w:r>
    </w:p>
    <w:p w:rsidR="0056185F" w:rsidRPr="00227198" w:rsidRDefault="0056185F" w:rsidP="0056185F">
      <w:pPr>
        <w:pStyle w:val="NormalWeb"/>
        <w:shd w:val="clear" w:color="auto" w:fill="FFFFFF"/>
        <w:spacing w:before="0" w:beforeAutospacing="0" w:after="360" w:afterAutospacing="0"/>
        <w:jc w:val="both"/>
        <w:textAlignment w:val="baseline"/>
        <w:rPr>
          <w:color w:val="FF0000"/>
          <w:u w:val="single"/>
        </w:rPr>
      </w:pPr>
      <w:r w:rsidRPr="00227198">
        <w:rPr>
          <w:color w:val="000000"/>
          <w:u w:val="single"/>
        </w:rPr>
        <w:t>Podría decirse que el párrafo anterior es la parte positiva, pero este desarrollo también tiene otra cara</w:t>
      </w:r>
      <w:r w:rsidRPr="002F0A11">
        <w:rPr>
          <w:color w:val="000000"/>
        </w:rPr>
        <w:t xml:space="preserve">. </w:t>
      </w:r>
      <w:r w:rsidRPr="00227198">
        <w:rPr>
          <w:color w:val="FF0000"/>
          <w:u w:val="single"/>
        </w:rPr>
        <w:t>Las nuevas tecnologías harán que miles de puestos de trabajo ya no sean necesarios</w:t>
      </w:r>
      <w:r w:rsidRPr="002F0A11">
        <w:rPr>
          <w:color w:val="000000"/>
        </w:rPr>
        <w:t>. Al igual que ahora hay menos mozos de cuadra que en 1900 o menos taquilleros de cine que en 1980,</w:t>
      </w:r>
      <w:r w:rsidRPr="002F0A11">
        <w:rPr>
          <w:rStyle w:val="apple-converted-space"/>
          <w:rFonts w:eastAsiaTheme="majorEastAsia"/>
          <w:color w:val="000000"/>
        </w:rPr>
        <w:t> </w:t>
      </w:r>
      <w:r w:rsidRPr="002F0A11">
        <w:rPr>
          <w:rStyle w:val="Textoennegrita"/>
          <w:color w:val="000000"/>
        </w:rPr>
        <w:t>en 2025 o 2030 habrá menos trabajadores</w:t>
      </w:r>
      <w:r w:rsidRPr="002F0A11">
        <w:rPr>
          <w:rStyle w:val="apple-converted-space"/>
          <w:rFonts w:eastAsiaTheme="majorEastAsia"/>
          <w:color w:val="000000"/>
        </w:rPr>
        <w:t> </w:t>
      </w:r>
      <w:r w:rsidRPr="002F0A11">
        <w:rPr>
          <w:color w:val="000000"/>
        </w:rPr>
        <w:t xml:space="preserve">en otros puestos. </w:t>
      </w:r>
      <w:r w:rsidRPr="00227198">
        <w:rPr>
          <w:color w:val="000000"/>
          <w:u w:val="single"/>
        </w:rPr>
        <w:t>El siguiente gráfico muestra los empleos que más probabilidades tienen de ser automatizados, según un estudio de la Universidad de Oxford</w:t>
      </w:r>
      <w:r w:rsidRPr="002F0A11">
        <w:rPr>
          <w:color w:val="000000"/>
        </w:rPr>
        <w:t xml:space="preserve">. </w:t>
      </w:r>
      <w:r w:rsidR="00193BD2">
        <w:rPr>
          <w:color w:val="FF0000"/>
          <w:u w:val="single"/>
        </w:rPr>
        <w:t>El primero sería algo así como “agente de préstamos”</w:t>
      </w:r>
      <w:r w:rsidRPr="00227198">
        <w:rPr>
          <w:color w:val="FF0000"/>
          <w:u w:val="single"/>
        </w:rPr>
        <w:t xml:space="preserve"> y haría referencia a aquellas personas que evalúan la idoneidad de una persona para ser merecedora de un crédito. Cada vez más, la decisión la tomará un ordenador, en función de las características del peticionario: ingresos, historial de pagos, bienes en propiedad, cantidad demandada…</w:t>
      </w:r>
    </w:p>
    <w:p w:rsidR="0056185F" w:rsidRPr="00227198" w:rsidRDefault="0056185F" w:rsidP="0056185F">
      <w:pPr>
        <w:pStyle w:val="NormalWeb"/>
        <w:shd w:val="clear" w:color="auto" w:fill="FFFFFF"/>
        <w:spacing w:before="0" w:beforeAutospacing="0" w:after="360" w:afterAutospacing="0"/>
        <w:jc w:val="both"/>
        <w:textAlignment w:val="baseline"/>
        <w:rPr>
          <w:color w:val="FF0000"/>
          <w:u w:val="single"/>
        </w:rPr>
      </w:pPr>
      <w:r w:rsidRPr="00227198">
        <w:rPr>
          <w:color w:val="FF0000"/>
          <w:u w:val="single"/>
        </w:rPr>
        <w:t>Como vemos, muchos otros oficios más comunes también están en peligro, desde</w:t>
      </w:r>
      <w:r w:rsidRPr="00227198">
        <w:rPr>
          <w:rStyle w:val="apple-converted-space"/>
          <w:rFonts w:eastAsiaTheme="majorEastAsia"/>
          <w:color w:val="FF0000"/>
          <w:u w:val="single"/>
        </w:rPr>
        <w:t> </w:t>
      </w:r>
      <w:r w:rsidRPr="00227198">
        <w:rPr>
          <w:rStyle w:val="Textoennegrita"/>
          <w:color w:val="FF0000"/>
          <w:u w:val="single"/>
        </w:rPr>
        <w:t>recepcionistas a comerciantes, taxistas o guardas de seguridad</w:t>
      </w:r>
      <w:r w:rsidRPr="002F0A11">
        <w:rPr>
          <w:color w:val="000000"/>
        </w:rPr>
        <w:t xml:space="preserve">. No es que vayan a desaparecer, pero sí que disminuirá su número y probablemente cambien mucho sus tareas (entre otras cosas porque tendrán que interactuar con los ordenadores, que les proveerán de información). </w:t>
      </w:r>
      <w:r w:rsidRPr="00227198">
        <w:rPr>
          <w:color w:val="FF0000"/>
          <w:u w:val="single"/>
        </w:rPr>
        <w:t>En el lado contrario de la escala, parece que abogados, músicos, profesores o médicos tienen poco de lo que preocuparse: los ordenadores también cambiarán la forma en la que ejecutan sus trabajos, pero la presencia de un humano en estas ocupaciones seguirá siendo imprescindible.</w:t>
      </w:r>
    </w:p>
    <w:p w:rsidR="0056185F" w:rsidRPr="00FB2238" w:rsidRDefault="0056185F" w:rsidP="0056185F">
      <w:pPr>
        <w:spacing w:line="240" w:lineRule="auto"/>
        <w:jc w:val="both"/>
        <w:rPr>
          <w:rFonts w:ascii="Times New Roman" w:hAnsi="Times New Roman" w:cs="Times New Roman"/>
          <w:sz w:val="24"/>
          <w:szCs w:val="24"/>
        </w:rPr>
      </w:pPr>
      <w:r w:rsidRPr="00FB2238">
        <w:rPr>
          <w:rFonts w:ascii="Times New Roman" w:hAnsi="Times New Roman" w:cs="Times New Roman"/>
          <w:noProof/>
          <w:color w:val="1883BA"/>
          <w:sz w:val="24"/>
          <w:szCs w:val="24"/>
          <w:bdr w:val="none" w:sz="0" w:space="0" w:color="auto" w:frame="1"/>
          <w:lang w:val="en-GB" w:eastAsia="en-GB"/>
        </w:rPr>
        <w:lastRenderedPageBreak/>
        <w:drawing>
          <wp:inline distT="0" distB="0" distL="0" distR="0">
            <wp:extent cx="5340350" cy="3441700"/>
            <wp:effectExtent l="0" t="0" r="0" b="6350"/>
            <wp:docPr id="237" name="Imagen 237" descr="http://s.libertaddigital.com/2016/01/25/468/0/davos_futuro_2.jpg">
              <a:hlinkClick xmlns:a="http://schemas.openxmlformats.org/drawingml/2006/main" r:id="rId95"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2016/01/25/468/0/davos_futuro_2.jpg">
                      <a:hlinkClick r:id="rId95" tooltip="&quot;WEF 2016&quot;"/>
                    </pic:cNvPr>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0350" cy="3441700"/>
                    </a:xfrm>
                    <a:prstGeom prst="rect">
                      <a:avLst/>
                    </a:prstGeom>
                    <a:noFill/>
                    <a:ln>
                      <a:noFill/>
                    </a:ln>
                  </pic:spPr>
                </pic:pic>
              </a:graphicData>
            </a:graphic>
          </wp:inline>
        </w:drawing>
      </w:r>
      <w:r w:rsidRPr="00FB2238">
        <w:rPr>
          <w:rFonts w:ascii="Times New Roman" w:hAnsi="Times New Roman" w:cs="Times New Roman"/>
          <w:sz w:val="24"/>
          <w:szCs w:val="24"/>
        </w:rPr>
        <w:t>WEF 2016</w:t>
      </w:r>
    </w:p>
    <w:p w:rsidR="0056185F" w:rsidRDefault="0056185F" w:rsidP="0056185F">
      <w:pPr>
        <w:pStyle w:val="NormalWeb"/>
        <w:shd w:val="clear" w:color="auto" w:fill="FFFFFF"/>
        <w:spacing w:before="0" w:beforeAutospacing="0" w:after="0" w:afterAutospacing="0"/>
        <w:jc w:val="both"/>
        <w:textAlignment w:val="baseline"/>
        <w:rPr>
          <w:color w:val="000000"/>
        </w:rPr>
      </w:pPr>
      <w:r w:rsidRPr="004D46C7">
        <w:rPr>
          <w:color w:val="000000"/>
          <w:u w:val="single"/>
        </w:rPr>
        <w:t>Esto nos lleva al</w:t>
      </w:r>
      <w:r w:rsidRPr="004D46C7">
        <w:rPr>
          <w:rStyle w:val="apple-converted-space"/>
          <w:rFonts w:eastAsiaTheme="majorEastAsia"/>
          <w:color w:val="000000"/>
          <w:u w:val="single"/>
        </w:rPr>
        <w:t> </w:t>
      </w:r>
      <w:hyperlink r:id="rId97" w:history="1">
        <w:r w:rsidRPr="00C326D4">
          <w:rPr>
            <w:rStyle w:val="Hipervnculo"/>
            <w:color w:val="auto"/>
            <w:bdr w:val="none" w:sz="0" w:space="0" w:color="auto" w:frame="1"/>
          </w:rPr>
          <w:t>siguiente gráfico</w:t>
        </w:r>
      </w:hyperlink>
      <w:r w:rsidRPr="004D46C7">
        <w:rPr>
          <w:color w:val="000000"/>
          <w:u w:val="single"/>
        </w:rPr>
        <w:t>, que recoge qué es</w:t>
      </w:r>
      <w:r w:rsidRPr="004D46C7">
        <w:rPr>
          <w:rStyle w:val="apple-converted-space"/>
          <w:rFonts w:eastAsiaTheme="majorEastAsia"/>
          <w:color w:val="000000"/>
          <w:u w:val="single"/>
        </w:rPr>
        <w:t> </w:t>
      </w:r>
      <w:r w:rsidRPr="004D46C7">
        <w:rPr>
          <w:rStyle w:val="Textoennegrita"/>
          <w:color w:val="000000"/>
          <w:u w:val="single"/>
        </w:rPr>
        <w:t>lo que están buscando las empresas de 2015</w:t>
      </w:r>
      <w:r w:rsidRPr="004D46C7">
        <w:rPr>
          <w:rStyle w:val="apple-converted-space"/>
          <w:rFonts w:eastAsiaTheme="majorEastAsia"/>
          <w:color w:val="000000"/>
          <w:u w:val="single"/>
        </w:rPr>
        <w:t> </w:t>
      </w:r>
      <w:r w:rsidRPr="004D46C7">
        <w:rPr>
          <w:color w:val="000000"/>
          <w:u w:val="single"/>
        </w:rPr>
        <w:t>y qué buscarán en 2020</w:t>
      </w:r>
      <w:r w:rsidRPr="00FB2238">
        <w:rPr>
          <w:color w:val="000000"/>
        </w:rPr>
        <w:t xml:space="preserve">. </w:t>
      </w:r>
      <w:r w:rsidRPr="004D46C7">
        <w:rPr>
          <w:color w:val="000000"/>
          <w:u w:val="single"/>
        </w:rPr>
        <w:t>No nos referimos tanto a una titulación oficial o una formación reglada, sino más bien a las habilidades que los empleadores más valoran.</w:t>
      </w:r>
      <w:r w:rsidRPr="00FB2238">
        <w:rPr>
          <w:color w:val="000000"/>
        </w:rPr>
        <w:t xml:space="preserve"> No es algo baladí. Por ejemplo, hace medio siglo, las pruebas de los departamentos de recursos humanos se centraban en conocimientos objetivos más o menos fáciles de comprobar.</w:t>
      </w:r>
    </w:p>
    <w:p w:rsidR="0056185F" w:rsidRPr="00FB2238" w:rsidRDefault="0056185F" w:rsidP="0056185F">
      <w:pPr>
        <w:pStyle w:val="NormalWeb"/>
        <w:shd w:val="clear" w:color="auto" w:fill="FFFFFF"/>
        <w:spacing w:before="0" w:beforeAutospacing="0" w:after="0" w:afterAutospacing="0"/>
        <w:jc w:val="both"/>
        <w:textAlignment w:val="baseline"/>
        <w:rPr>
          <w:color w:val="000000"/>
        </w:rPr>
      </w:pPr>
    </w:p>
    <w:p w:rsidR="0056185F" w:rsidRPr="004D46C7" w:rsidRDefault="0056185F" w:rsidP="0056185F">
      <w:pPr>
        <w:pStyle w:val="NormalWeb"/>
        <w:shd w:val="clear" w:color="auto" w:fill="FFFFFF"/>
        <w:spacing w:before="0" w:beforeAutospacing="0" w:after="360" w:afterAutospacing="0"/>
        <w:jc w:val="both"/>
        <w:textAlignment w:val="baseline"/>
        <w:rPr>
          <w:color w:val="FF0000"/>
          <w:u w:val="single"/>
        </w:rPr>
      </w:pPr>
      <w:r w:rsidRPr="00FB2238">
        <w:rPr>
          <w:color w:val="000000"/>
        </w:rPr>
        <w:t>Según una</w:t>
      </w:r>
      <w:r w:rsidRPr="00FB2238">
        <w:rPr>
          <w:rStyle w:val="apple-converted-space"/>
          <w:rFonts w:eastAsiaTheme="majorEastAsia"/>
          <w:color w:val="000000"/>
        </w:rPr>
        <w:t> </w:t>
      </w:r>
      <w:r w:rsidRPr="00C326D4">
        <w:rPr>
          <w:rStyle w:val="Textoennegrita"/>
          <w:b w:val="0"/>
          <w:color w:val="000000"/>
        </w:rPr>
        <w:t>encuesta realizada en empresas norteamericanas</w:t>
      </w:r>
      <w:r w:rsidRPr="00FB2238">
        <w:rPr>
          <w:rStyle w:val="apple-converted-space"/>
          <w:rFonts w:eastAsiaTheme="majorEastAsia"/>
          <w:color w:val="000000"/>
        </w:rPr>
        <w:t> </w:t>
      </w:r>
      <w:r w:rsidRPr="00FB2238">
        <w:rPr>
          <w:color w:val="000000"/>
        </w:rPr>
        <w:t>en los años 60, la</w:t>
      </w:r>
      <w:r>
        <w:rPr>
          <w:color w:val="000000"/>
        </w:rPr>
        <w:t>s</w:t>
      </w:r>
      <w:r w:rsidRPr="00FB2238">
        <w:rPr>
          <w:color w:val="000000"/>
        </w:rPr>
        <w:t xml:space="preserve"> habilidades más buscadas eran el dominio del lenguaje y de las reglas matemáticas básicas. Y desde el punto de vista de la titulación, la clave era tener un grado en una de las universidades de más fama. Ahora, </w:t>
      </w:r>
      <w:r w:rsidRPr="004D46C7">
        <w:rPr>
          <w:color w:val="FF0000"/>
          <w:u w:val="single"/>
        </w:rPr>
        <w:t>la lista de habilidades la encabeza la capacidad para resolver problemas complejos, trabajar en equipo o dirigir a un grupo de personas.En los próximos años, las modas dicen que lo más preciado serán el pensamiento crítico o la creatividad. Y en el sector de la educación, los grandes actores se están moviendo mientras muchos de los títulos tradicionales y las carreras clásicas pierden su atractivo para estudiantes y empresas.</w:t>
      </w:r>
    </w:p>
    <w:p w:rsidR="0056185F" w:rsidRPr="00DE75D0" w:rsidRDefault="0056185F" w:rsidP="0056185F">
      <w:pPr>
        <w:spacing w:line="240" w:lineRule="auto"/>
        <w:rPr>
          <w:rFonts w:ascii="Times New Roman" w:hAnsi="Times New Roman" w:cs="Times New Roman"/>
          <w:sz w:val="24"/>
          <w:szCs w:val="24"/>
        </w:rPr>
      </w:pPr>
      <w:r>
        <w:rPr>
          <w:rFonts w:ascii="inherit" w:hAnsi="inherit"/>
          <w:noProof/>
          <w:color w:val="1883BA"/>
          <w:bdr w:val="none" w:sz="0" w:space="0" w:color="auto" w:frame="1"/>
          <w:lang w:val="en-GB" w:eastAsia="en-GB"/>
        </w:rPr>
        <w:drawing>
          <wp:inline distT="0" distB="0" distL="0" distR="0">
            <wp:extent cx="5391150" cy="1860550"/>
            <wp:effectExtent l="0" t="0" r="0" b="6350"/>
            <wp:docPr id="238" name="Imagen 238" descr="http://s.libertaddigital.com/2016/01/25/468/0/davos_futuro_3.jpg">
              <a:hlinkClick xmlns:a="http://schemas.openxmlformats.org/drawingml/2006/main" r:id="rId98"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2016/01/25/468/0/davos_futuro_3.jpg">
                      <a:hlinkClick r:id="rId98" tooltip="&quot;WEF 2016&quot;"/>
                    </pic:cNvPr>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1860550"/>
                    </a:xfrm>
                    <a:prstGeom prst="rect">
                      <a:avLst/>
                    </a:prstGeom>
                    <a:noFill/>
                    <a:ln>
                      <a:noFill/>
                    </a:ln>
                  </pic:spPr>
                </pic:pic>
              </a:graphicData>
            </a:graphic>
          </wp:inline>
        </w:drawing>
      </w:r>
      <w:r w:rsidRPr="00DE75D0">
        <w:rPr>
          <w:rFonts w:ascii="Times New Roman" w:hAnsi="Times New Roman" w:cs="Times New Roman"/>
          <w:sz w:val="24"/>
          <w:szCs w:val="24"/>
        </w:rPr>
        <w:t>WEF 2016</w:t>
      </w:r>
    </w:p>
    <w:p w:rsidR="0056185F" w:rsidRPr="00332C23" w:rsidRDefault="0056185F" w:rsidP="0056185F">
      <w:pPr>
        <w:pStyle w:val="NormalWeb"/>
        <w:shd w:val="clear" w:color="auto" w:fill="FFFFFF"/>
        <w:spacing w:before="0" w:beforeAutospacing="0" w:after="0" w:afterAutospacing="0"/>
        <w:jc w:val="both"/>
        <w:textAlignment w:val="baseline"/>
        <w:rPr>
          <w:b/>
          <w:color w:val="FF0000"/>
          <w:u w:val="single"/>
        </w:rPr>
      </w:pPr>
      <w:r w:rsidRPr="004D46C7">
        <w:rPr>
          <w:color w:val="FF0000"/>
          <w:u w:val="single"/>
        </w:rPr>
        <w:lastRenderedPageBreak/>
        <w:t>Con todo esto en la cabeza, habrá quien se pregunte qué es lo que debe hacer para adaptarse al nuevo mercado laboral que se nos viene encima. ¿Cambiar de sector? ¿Dar unos cursos? Sólo con inglés e informática ya no se va ni a la vuelta de la esquina.</w:t>
      </w:r>
      <w:r w:rsidRPr="004D46C7">
        <w:rPr>
          <w:color w:val="000000"/>
          <w:u w:val="single"/>
        </w:rPr>
        <w:t>Según el informe del WEF,</w:t>
      </w:r>
      <w:r w:rsidRPr="004D46C7">
        <w:rPr>
          <w:rStyle w:val="apple-converted-space"/>
          <w:rFonts w:eastAsiaTheme="majorEastAsia"/>
          <w:color w:val="000000"/>
          <w:u w:val="single"/>
        </w:rPr>
        <w:t> </w:t>
      </w:r>
      <w:r w:rsidRPr="004D46C7">
        <w:rPr>
          <w:rStyle w:val="nfasis"/>
          <w:rFonts w:eastAsiaTheme="majorEastAsia"/>
          <w:color w:val="000000"/>
          <w:u w:val="single"/>
          <w:bdr w:val="none" w:sz="0" w:space="0" w:color="auto" w:frame="1"/>
        </w:rPr>
        <w:t>El futuro del empleo</w:t>
      </w:r>
      <w:r w:rsidRPr="004D46C7">
        <w:rPr>
          <w:color w:val="000000"/>
          <w:u w:val="single"/>
        </w:rPr>
        <w:t>,</w:t>
      </w:r>
      <w:r w:rsidRPr="004D46C7">
        <w:rPr>
          <w:rStyle w:val="apple-converted-space"/>
          <w:rFonts w:eastAsiaTheme="majorEastAsia"/>
          <w:color w:val="000000"/>
          <w:u w:val="single"/>
        </w:rPr>
        <w:t> </w:t>
      </w:r>
      <w:hyperlink r:id="rId100" w:history="1">
        <w:r w:rsidRPr="00C326D4">
          <w:rPr>
            <w:rStyle w:val="Hipervnculo"/>
            <w:color w:val="auto"/>
            <w:bdr w:val="none" w:sz="0" w:space="0" w:color="auto" w:frame="1"/>
          </w:rPr>
          <w:t>habrá industrias que perderán millones de empleos</w:t>
        </w:r>
      </w:hyperlink>
      <w:r w:rsidRPr="004D46C7">
        <w:rPr>
          <w:rStyle w:val="apple-converted-space"/>
          <w:rFonts w:eastAsiaTheme="majorEastAsia"/>
          <w:color w:val="000000"/>
          <w:u w:val="single"/>
        </w:rPr>
        <w:t> </w:t>
      </w:r>
      <w:r w:rsidRPr="004D46C7">
        <w:rPr>
          <w:color w:val="000000"/>
          <w:u w:val="single"/>
        </w:rPr>
        <w:t>en los próximos cinco años y otras que los ganarán</w:t>
      </w:r>
      <w:r w:rsidRPr="002F0A11">
        <w:rPr>
          <w:color w:val="000000"/>
        </w:rPr>
        <w:t xml:space="preserve">. </w:t>
      </w:r>
      <w:r w:rsidRPr="00332C23">
        <w:rPr>
          <w:b/>
          <w:color w:val="FF0000"/>
          <w:u w:val="single"/>
        </w:rPr>
        <w:t>Como puede verse en el siguiente gráfico,</w:t>
      </w:r>
      <w:r w:rsidRPr="00332C23">
        <w:rPr>
          <w:rStyle w:val="apple-converted-space"/>
          <w:rFonts w:eastAsiaTheme="majorEastAsia"/>
          <w:b/>
          <w:color w:val="FF0000"/>
          <w:u w:val="single"/>
        </w:rPr>
        <w:t> </w:t>
      </w:r>
      <w:r w:rsidRPr="00332C23">
        <w:rPr>
          <w:rStyle w:val="Textoennegrita"/>
          <w:color w:val="FF0000"/>
          <w:u w:val="single"/>
        </w:rPr>
        <w:t>entre los que pierden</w:t>
      </w:r>
      <w:r w:rsidRPr="00332C23">
        <w:rPr>
          <w:rStyle w:val="apple-converted-space"/>
          <w:rFonts w:eastAsiaTheme="majorEastAsia"/>
          <w:b/>
          <w:color w:val="FF0000"/>
          <w:u w:val="single"/>
        </w:rPr>
        <w:t> </w:t>
      </w:r>
      <w:r w:rsidRPr="00332C23">
        <w:rPr>
          <w:b/>
          <w:color w:val="FF0000"/>
          <w:u w:val="single"/>
        </w:rPr>
        <w:t>tenemos los trabajos administrativos y manufactureros; los ganadores del cambio están más distribuidos, con el sector financiero y el informático en cabeza de la tendencia positiva.</w:t>
      </w:r>
    </w:p>
    <w:p w:rsidR="0056185F" w:rsidRPr="004D46C7" w:rsidRDefault="0056185F" w:rsidP="0056185F">
      <w:pPr>
        <w:pStyle w:val="NormalWeb"/>
        <w:shd w:val="clear" w:color="auto" w:fill="FFFFFF"/>
        <w:spacing w:before="0" w:beforeAutospacing="0" w:after="0" w:afterAutospacing="0"/>
        <w:jc w:val="both"/>
        <w:textAlignment w:val="baseline"/>
        <w:rPr>
          <w:color w:val="FF0000"/>
          <w:u w:val="single"/>
        </w:rPr>
      </w:pPr>
    </w:p>
    <w:p w:rsidR="0056185F" w:rsidRDefault="0056185F" w:rsidP="0056185F">
      <w:pPr>
        <w:pStyle w:val="NormalWeb"/>
        <w:shd w:val="clear" w:color="auto" w:fill="FFFFFF"/>
        <w:spacing w:before="0" w:beforeAutospacing="0" w:after="300" w:afterAutospacing="0"/>
        <w:jc w:val="both"/>
        <w:textAlignment w:val="baseline"/>
        <w:rPr>
          <w:color w:val="1A1816"/>
        </w:rPr>
      </w:pPr>
      <w:r>
        <w:rPr>
          <w:rFonts w:ascii="inherit" w:hAnsi="inherit"/>
          <w:noProof/>
          <w:color w:val="1883BA"/>
          <w:bdr w:val="none" w:sz="0" w:space="0" w:color="auto" w:frame="1"/>
          <w:lang w:val="en-GB" w:eastAsia="en-GB"/>
        </w:rPr>
        <w:drawing>
          <wp:inline distT="0" distB="0" distL="0" distR="0">
            <wp:extent cx="5505450" cy="3778250"/>
            <wp:effectExtent l="0" t="0" r="0" b="0"/>
            <wp:docPr id="239" name="Imagen 239" descr="http://s.libertaddigital.com/2016/01/25/468/0/davos_futuro_4.jpg">
              <a:hlinkClick xmlns:a="http://schemas.openxmlformats.org/drawingml/2006/main" r:id="rId101"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2016/01/25/468/0/davos_futuro_4.jpg">
                      <a:hlinkClick r:id="rId101" tooltip="&quot;WEF 2016&quot;"/>
                    </pic:cNvPr>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5450" cy="3778250"/>
                    </a:xfrm>
                    <a:prstGeom prst="rect">
                      <a:avLst/>
                    </a:prstGeom>
                    <a:noFill/>
                    <a:ln>
                      <a:noFill/>
                    </a:ln>
                  </pic:spPr>
                </pic:pic>
              </a:graphicData>
            </a:graphic>
          </wp:inline>
        </w:drawing>
      </w:r>
    </w:p>
    <w:p w:rsidR="0056185F" w:rsidRDefault="0056185F" w:rsidP="0056185F">
      <w:pPr>
        <w:pStyle w:val="NormalWeb"/>
        <w:shd w:val="clear" w:color="auto" w:fill="FFFFFF"/>
        <w:spacing w:before="0" w:beforeAutospacing="0" w:after="300" w:afterAutospacing="0"/>
        <w:jc w:val="both"/>
        <w:textAlignment w:val="baseline"/>
        <w:rPr>
          <w:color w:val="1A1816"/>
        </w:rPr>
      </w:pPr>
    </w:p>
    <w:p w:rsidR="0056185F" w:rsidRPr="0056185F" w:rsidRDefault="0056185F" w:rsidP="0056185F">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56185F">
        <w:rPr>
          <w:rFonts w:ascii="Times New Roman" w:hAnsi="Times New Roman" w:cs="Times New Roman"/>
          <w:i/>
          <w:sz w:val="24"/>
          <w:szCs w:val="24"/>
        </w:rPr>
        <w:t>La OCDE concede la mejor nota a Islandia, Suiza, Noruega y Austria. Las calificaciones más bajas corresponden a Grecia, España, el país donde hay más miedo a quedarse sin empleo.</w:t>
      </w:r>
    </w:p>
    <w:p w:rsidR="0056185F" w:rsidRPr="0056185F" w:rsidRDefault="0056185F" w:rsidP="0056185F">
      <w:pPr>
        <w:spacing w:line="240" w:lineRule="auto"/>
        <w:jc w:val="both"/>
        <w:rPr>
          <w:rFonts w:ascii="Times New Roman" w:hAnsi="Times New Roman" w:cs="Times New Roman"/>
          <w:i/>
          <w:sz w:val="24"/>
          <w:szCs w:val="24"/>
        </w:rPr>
      </w:pPr>
      <w:r w:rsidRPr="0056185F">
        <w:rPr>
          <w:rFonts w:ascii="Times New Roman" w:hAnsi="Times New Roman" w:cs="Times New Roman"/>
          <w:i/>
          <w:sz w:val="24"/>
          <w:szCs w:val="24"/>
        </w:rPr>
        <w:t>España lleva años liderando las tasas de paro de los países más desarrollados del mundo. Ya ha dejado atrás sus récords de desempleo y los crecimientos negativos del PIB, pero las consecuencias para el mercado laboral llegaron para quedarse. Unas secuelas que colocan a España, junto a Grecia, como el país con la peor nota del planeta en el ranking de calidad del empleo.</w:t>
      </w:r>
    </w:p>
    <w:p w:rsidR="0056185F" w:rsidRPr="0056185F" w:rsidRDefault="0056185F" w:rsidP="0056185F">
      <w:pPr>
        <w:spacing w:line="240" w:lineRule="auto"/>
        <w:jc w:val="both"/>
        <w:rPr>
          <w:rFonts w:ascii="Times New Roman" w:hAnsi="Times New Roman" w:cs="Times New Roman"/>
          <w:i/>
          <w:sz w:val="24"/>
          <w:szCs w:val="24"/>
        </w:rPr>
      </w:pPr>
      <w:r w:rsidRPr="0056185F">
        <w:rPr>
          <w:rFonts w:ascii="Times New Roman" w:hAnsi="Times New Roman" w:cs="Times New Roman"/>
          <w:i/>
          <w:sz w:val="24"/>
          <w:szCs w:val="24"/>
        </w:rPr>
        <w:t xml:space="preserve">En concreto, el país debe conformarse con 2,4 puntos sobre los 10 posibles que otorga el índice de bienestar elaborado por la Organización para la Cooperación y el Desarrollo Económicos (OCDE),que agrupa a 34 grandes economías y que mide las tasas de empleo, el paro de larga duración y la seguridad laboral de cada territorio. Sólo Grecia queda por detrás con 1,5 puntos, en una clasificación que otorga una nota media a la OCDE del 6,6 y que sólo suspenden 7 potencias: además de España y el país </w:t>
      </w:r>
      <w:r w:rsidRPr="0056185F">
        <w:rPr>
          <w:rFonts w:ascii="Times New Roman" w:hAnsi="Times New Roman" w:cs="Times New Roman"/>
          <w:i/>
          <w:sz w:val="24"/>
          <w:szCs w:val="24"/>
        </w:rPr>
        <w:lastRenderedPageBreak/>
        <w:t>heleno, no llegan al aprobado Turquía (3,8 puntos), Portugal (4,1), Eslovaquia (4,3), Hungría (4,8) y Polonia (4,9).</w:t>
      </w:r>
    </w:p>
    <w:p w:rsidR="0056185F" w:rsidRDefault="0056185F" w:rsidP="0056185F">
      <w:pPr>
        <w:spacing w:line="240" w:lineRule="auto"/>
        <w:jc w:val="both"/>
        <w:rPr>
          <w:rFonts w:ascii="Times New Roman" w:hAnsi="Times New Roman" w:cs="Times New Roman"/>
          <w:sz w:val="24"/>
          <w:szCs w:val="24"/>
        </w:rPr>
      </w:pPr>
      <w:r w:rsidRPr="0056185F">
        <w:rPr>
          <w:rFonts w:ascii="Times New Roman" w:hAnsi="Times New Roman" w:cs="Times New Roman"/>
          <w:i/>
          <w:sz w:val="24"/>
          <w:szCs w:val="24"/>
        </w:rPr>
        <w:t>Son notas muy bajas si se comparan con los países líderes del ranking de calidad del empleo. La mejor calificación corresponde a Islandia, con un 9,5. A continuación, figuran Suiza (9,4), Noruega (9), Australia (8,3), Austria, Luxemburgo y Holanda (las tres con 8,2 puntos)</w:t>
      </w:r>
      <w:r>
        <w:rPr>
          <w:rFonts w:ascii="Times New Roman" w:hAnsi="Times New Roman" w:cs="Times New Roman"/>
          <w:i/>
          <w:sz w:val="24"/>
          <w:szCs w:val="24"/>
        </w:rPr>
        <w:t>”..</w:t>
      </w:r>
      <w:r w:rsidRPr="0056185F">
        <w:rPr>
          <w:rFonts w:ascii="Times New Roman" w:hAnsi="Times New Roman" w:cs="Times New Roman"/>
          <w:i/>
          <w:sz w:val="24"/>
          <w:szCs w:val="24"/>
        </w:rPr>
        <w:t>.</w:t>
      </w:r>
      <w:r w:rsidRPr="009E327E">
        <w:rPr>
          <w:rFonts w:ascii="Times New Roman" w:hAnsi="Times New Roman" w:cs="Times New Roman"/>
          <w:sz w:val="24"/>
          <w:szCs w:val="24"/>
        </w:rPr>
        <w:t>¿</w:t>
      </w:r>
      <w:r w:rsidRPr="009E327E">
        <w:rPr>
          <w:rFonts w:ascii="Times New Roman" w:hAnsi="Times New Roman" w:cs="Times New Roman"/>
          <w:sz w:val="24"/>
          <w:szCs w:val="24"/>
          <w:u w:val="single"/>
        </w:rPr>
        <w:t>Cuáles son los mejores (y peores) países para trabajar</w:t>
      </w:r>
      <w:r w:rsidRPr="009E327E">
        <w:rPr>
          <w:rFonts w:ascii="Times New Roman" w:hAnsi="Times New Roman" w:cs="Times New Roman"/>
          <w:sz w:val="24"/>
          <w:szCs w:val="24"/>
        </w:rPr>
        <w:t>?</w:t>
      </w:r>
      <w:r>
        <w:rPr>
          <w:rFonts w:ascii="Times New Roman" w:hAnsi="Times New Roman" w:cs="Times New Roman"/>
          <w:sz w:val="24"/>
          <w:szCs w:val="24"/>
        </w:rPr>
        <w:t xml:space="preserve"> (Expansión - </w:t>
      </w:r>
      <w:r w:rsidRPr="009E327E">
        <w:rPr>
          <w:rFonts w:ascii="Times New Roman" w:hAnsi="Times New Roman" w:cs="Times New Roman"/>
          <w:b/>
          <w:sz w:val="24"/>
          <w:szCs w:val="24"/>
        </w:rPr>
        <w:t>6/2/16</w:t>
      </w:r>
      <w:r>
        <w:rPr>
          <w:rFonts w:ascii="Times New Roman" w:hAnsi="Times New Roman" w:cs="Times New Roman"/>
          <w:sz w:val="24"/>
          <w:szCs w:val="24"/>
        </w:rPr>
        <w:t>)</w:t>
      </w:r>
    </w:p>
    <w:p w:rsidR="0056185F" w:rsidRDefault="0056185F" w:rsidP="0056185F">
      <w:pPr>
        <w:spacing w:line="240" w:lineRule="auto"/>
        <w:jc w:val="both"/>
        <w:rPr>
          <w:rFonts w:ascii="Times New Roman" w:hAnsi="Times New Roman" w:cs="Times New Roman"/>
          <w:i/>
          <w:sz w:val="24"/>
          <w:szCs w:val="24"/>
        </w:rPr>
      </w:pPr>
      <w:r>
        <w:rPr>
          <w:noProof/>
          <w:lang w:val="en-GB" w:eastAsia="en-GB"/>
        </w:rPr>
        <w:drawing>
          <wp:inline distT="0" distB="0" distL="0" distR="0">
            <wp:extent cx="5397500" cy="6038850"/>
            <wp:effectExtent l="0" t="0" r="0" b="0"/>
            <wp:docPr id="240" name="Imagen 240" descr="http://estaticos.expansion.com/assets/multimedia/imagenes/2016/02/01/14543327338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expansion.com/assets/multimedia/imagenes/2016/02/01/14543327338334.jpg"/>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6041692"/>
                    </a:xfrm>
                    <a:prstGeom prst="rect">
                      <a:avLst/>
                    </a:prstGeom>
                    <a:noFill/>
                    <a:ln>
                      <a:noFill/>
                    </a:ln>
                  </pic:spPr>
                </pic:pic>
              </a:graphicData>
            </a:graphic>
          </wp:inline>
        </w:drawing>
      </w:r>
    </w:p>
    <w:p w:rsidR="0056185F" w:rsidRDefault="0056185F" w:rsidP="0056185F">
      <w:pPr>
        <w:pStyle w:val="NormalWeb"/>
        <w:spacing w:after="0"/>
        <w:jc w:val="both"/>
        <w:textAlignment w:val="baseline"/>
        <w:rPr>
          <w:color w:val="FF0000"/>
          <w:u w:val="single"/>
        </w:rPr>
      </w:pPr>
    </w:p>
    <w:p w:rsidR="0056185F" w:rsidRPr="0056185F" w:rsidRDefault="0056185F" w:rsidP="0056185F">
      <w:pPr>
        <w:pStyle w:val="NormalWeb"/>
        <w:spacing w:after="0"/>
        <w:jc w:val="both"/>
        <w:textAlignment w:val="baseline"/>
        <w:rPr>
          <w:i/>
        </w:rPr>
      </w:pPr>
      <w:r>
        <w:rPr>
          <w:i/>
        </w:rPr>
        <w:t>“</w:t>
      </w:r>
      <w:r w:rsidRPr="0056185F">
        <w:rPr>
          <w:i/>
        </w:rPr>
        <w:t xml:space="preserve">El Objetivo de Desarrollo Sostenible de Naciones Unidas tiene entre sus fines acabar con la pobreza moderada y extrema en todo el mundo para el año 2030. Y según estimaciones de la Organización Internacional del Trabajo (OIT), harían falta unos diez billones de dólares estadounidenses (casi nueve billones de euros) para lograr este </w:t>
      </w:r>
      <w:r w:rsidRPr="0056185F">
        <w:rPr>
          <w:i/>
        </w:rPr>
        <w:lastRenderedPageBreak/>
        <w:t>objetivo. Sin embargo, la OIT añade que no sería realista pensar que se puede erradicar la pobreza mundial solo con transferencias de rentas: “no será posible reducir la pobreza de manera duradera sin empleo decente”.</w:t>
      </w:r>
    </w:p>
    <w:p w:rsidR="0056185F" w:rsidRPr="0056185F" w:rsidRDefault="0056185F" w:rsidP="0056185F">
      <w:pPr>
        <w:pStyle w:val="NormalWeb"/>
        <w:spacing w:after="0"/>
        <w:jc w:val="both"/>
        <w:textAlignment w:val="baseline"/>
        <w:rPr>
          <w:i/>
        </w:rPr>
      </w:pPr>
      <w:r w:rsidRPr="0056185F">
        <w:rPr>
          <w:i/>
        </w:rPr>
        <w:t>Según el último informe de la OIT, Perspectivas sociales y de empleo en el mundo: transformar el empleo para erradicar la pobreza, la clave está en “reforzar la capacidad de las personas para mantenerse por sí mismas mediante empleos de calidad”.</w:t>
      </w:r>
    </w:p>
    <w:p w:rsidR="0056185F" w:rsidRPr="0056185F" w:rsidRDefault="0056185F" w:rsidP="0056185F">
      <w:pPr>
        <w:pStyle w:val="NormalWeb"/>
        <w:spacing w:after="0"/>
        <w:jc w:val="both"/>
        <w:textAlignment w:val="baseline"/>
        <w:rPr>
          <w:i/>
        </w:rPr>
      </w:pPr>
      <w:r w:rsidRPr="0056185F">
        <w:rPr>
          <w:i/>
        </w:rPr>
        <w:t>De hecho, esta organización alerta sobre lo que se conoce como pobreza laboral. Los datos de la OIT indican que “casi un tercio de las personas que viven en situación de pobreza extrema y moderada en los países emergentes y en desarrollo tienen un empleo”. Sin embargo, se trata de puestos de trabajo en ocasiones no remunerados, poco cualificados, sin protección social y en los que la dependencia del salario es total.</w:t>
      </w:r>
    </w:p>
    <w:p w:rsidR="0056185F" w:rsidRPr="0056185F" w:rsidRDefault="0056185F" w:rsidP="0056185F">
      <w:pPr>
        <w:pStyle w:val="NormalWeb"/>
        <w:spacing w:after="0"/>
        <w:jc w:val="both"/>
        <w:textAlignment w:val="baseline"/>
        <w:rPr>
          <w:i/>
        </w:rPr>
      </w:pPr>
      <w:r w:rsidRPr="0056185F">
        <w:rPr>
          <w:i/>
        </w:rPr>
        <w:t>Esta situación empieza a ser cada día más conocida en Europa. De hecho, este informe asegura que en los países desarrollados, aunque la proporción de trabajadores asalariados, y por tanto menos precarios, es más alta “tampoco están exentos del riesgo de caer en una situación de pobreza”. Es más, explica que más del 80% de los trabajadores pobres de los países desarrollados tiene un empleo asalariado.</w:t>
      </w:r>
    </w:p>
    <w:p w:rsidR="00FF49E8" w:rsidRDefault="0056185F" w:rsidP="00FF49E8">
      <w:pPr>
        <w:pStyle w:val="NormalWeb"/>
        <w:spacing w:after="0"/>
        <w:jc w:val="both"/>
        <w:textAlignment w:val="baseline"/>
      </w:pPr>
      <w:r w:rsidRPr="0056185F">
        <w:rPr>
          <w:i/>
        </w:rPr>
        <w:t>Una de las causas principales de este empobrecimiento de la clase trabajadora, sobre todo en zonas desarrolladas, son los recortes salariales registrados durante los años de la crisis económica. La OIT calcula que durante dichos años, los trabajadores vieron cómo se reducían sus salarios entre un 2% y un 5% anual</w:t>
      </w:r>
      <w:r>
        <w:rPr>
          <w:i/>
        </w:rPr>
        <w:t>”..</w:t>
      </w:r>
      <w:r w:rsidRPr="0056185F">
        <w:rPr>
          <w:i/>
        </w:rPr>
        <w:t>.</w:t>
      </w:r>
      <w:r w:rsidR="00FF49E8" w:rsidRPr="00CA6E34">
        <w:rPr>
          <w:u w:val="single"/>
        </w:rPr>
        <w:t>OIT: nueve billones de euros acabarían con la pobreza... pero no bastaría</w:t>
      </w:r>
      <w:r w:rsidR="00FF49E8">
        <w:t xml:space="preserve"> (Cinco Días - </w:t>
      </w:r>
      <w:r w:rsidR="00FF49E8" w:rsidRPr="00CA6E34">
        <w:rPr>
          <w:b/>
        </w:rPr>
        <w:t>19/5/16</w:t>
      </w:r>
      <w:r w:rsidR="00FF49E8">
        <w:t>)</w:t>
      </w:r>
    </w:p>
    <w:p w:rsidR="00FF49E8" w:rsidRPr="00FF49E8" w:rsidRDefault="00FF49E8" w:rsidP="00FF49E8">
      <w:pPr>
        <w:spacing w:line="240" w:lineRule="auto"/>
        <w:jc w:val="both"/>
        <w:rPr>
          <w:rFonts w:ascii="Times New Roman" w:hAnsi="Times New Roman"/>
          <w:i/>
          <w:iCs/>
          <w:sz w:val="24"/>
          <w:szCs w:val="24"/>
        </w:rPr>
      </w:pPr>
      <w:r>
        <w:rPr>
          <w:rFonts w:ascii="Times New Roman" w:hAnsi="Times New Roman"/>
          <w:i/>
          <w:iCs/>
          <w:sz w:val="24"/>
          <w:szCs w:val="24"/>
        </w:rPr>
        <w:t>“</w:t>
      </w:r>
      <w:r w:rsidRPr="00FF49E8">
        <w:rPr>
          <w:rFonts w:ascii="Times New Roman" w:hAnsi="Times New Roman"/>
          <w:i/>
          <w:iCs/>
          <w:sz w:val="24"/>
          <w:szCs w:val="24"/>
        </w:rPr>
        <w:t>Sabemos desde hace años que Europa tiene un problema grave de desempleo. La débil demanda, unos impuestos salariales punitivamente altos y las restricciones a la contratación y al despido que favorecen al personal de dentro frente al de fuera se han combinado para crear uno de los mercados laborales más disfuncionales del mundo. En casi todos los países la tasa sube y baja, pero en buena parte de Europa se intensifica y se estanca…</w:t>
      </w:r>
    </w:p>
    <w:p w:rsidR="00FF49E8" w:rsidRPr="00FF49E8" w:rsidRDefault="00FF49E8" w:rsidP="00FF49E8">
      <w:pPr>
        <w:spacing w:line="240" w:lineRule="auto"/>
        <w:jc w:val="both"/>
        <w:rPr>
          <w:rFonts w:ascii="Times New Roman" w:hAnsi="Times New Roman"/>
          <w:i/>
          <w:iCs/>
          <w:sz w:val="24"/>
          <w:szCs w:val="24"/>
        </w:rPr>
      </w:pPr>
      <w:r w:rsidRPr="00FF49E8">
        <w:rPr>
          <w:rFonts w:ascii="Times New Roman" w:hAnsi="Times New Roman"/>
          <w:i/>
          <w:iCs/>
          <w:sz w:val="24"/>
          <w:szCs w:val="24"/>
        </w:rPr>
        <w:t>También se empieza a conocer el grave problema del infraempleo. Eurostat, la agencia estadística de la UE, ha publicado este mes datos oficiales sobre las cifras de personas que querrían trabajar más. En la Unión Europea 44 millones de personas trabajan a media jornada, el 20 por ciento del total, y sobre todo, la gran mayoría preferiría trabajar más horas. En Grecia, el 71% de los trabajadores a jornada parcial querría echar más horas. En España, es el 52% -nada que ver con el mito de los griegos vagos y españoles durmiendo la siesta que se ha hecho popular en Alemania.</w:t>
      </w:r>
    </w:p>
    <w:p w:rsidR="00FF49E8" w:rsidRDefault="00FF49E8" w:rsidP="00FF49E8">
      <w:pPr>
        <w:spacing w:line="240" w:lineRule="auto"/>
        <w:jc w:val="both"/>
        <w:rPr>
          <w:rFonts w:ascii="Times New Roman" w:hAnsi="Times New Roman"/>
          <w:iCs/>
          <w:sz w:val="24"/>
          <w:szCs w:val="24"/>
        </w:rPr>
      </w:pPr>
      <w:r w:rsidRPr="00FF49E8">
        <w:rPr>
          <w:rFonts w:ascii="Times New Roman" w:hAnsi="Times New Roman"/>
          <w:i/>
          <w:iCs/>
          <w:sz w:val="24"/>
          <w:szCs w:val="24"/>
        </w:rPr>
        <w:t>Peor aún, Eurostat se ha encontrado con un ejército de personas que podrían trabajar, pero no buscan empleo. En el lenguaje árido de los libros de texto económicos, se les llama “trabajadores desanimados”. En Italia, suponen el 14% de la mano de obra. En todo el continente, son 9,3 millones de personas. Otros 2,2 millones de personas se clasifican con potencial para incorporarse al mercado laboral en cualquier momento, como los estudiantes próximos a su graduación</w:t>
      </w:r>
      <w:r>
        <w:rPr>
          <w:rFonts w:ascii="Times New Roman" w:hAnsi="Times New Roman"/>
          <w:i/>
          <w:iCs/>
          <w:sz w:val="24"/>
          <w:szCs w:val="24"/>
        </w:rPr>
        <w:t>”..</w:t>
      </w:r>
      <w:r w:rsidRPr="00FF49E8">
        <w:rPr>
          <w:rFonts w:ascii="Times New Roman" w:hAnsi="Times New Roman"/>
          <w:i/>
          <w:iCs/>
          <w:sz w:val="24"/>
          <w:szCs w:val="24"/>
        </w:rPr>
        <w:t>.</w:t>
      </w:r>
      <w:r w:rsidRPr="00021A1F">
        <w:rPr>
          <w:rFonts w:ascii="Times New Roman" w:hAnsi="Times New Roman"/>
          <w:iCs/>
          <w:sz w:val="24"/>
          <w:szCs w:val="24"/>
          <w:u w:val="single"/>
        </w:rPr>
        <w:t>El paro en Europa, peor de lo que se piensa</w:t>
      </w:r>
      <w:r>
        <w:rPr>
          <w:rFonts w:ascii="Times New Roman" w:hAnsi="Times New Roman"/>
          <w:iCs/>
          <w:sz w:val="24"/>
          <w:szCs w:val="24"/>
        </w:rPr>
        <w:t xml:space="preserve"> (El Economista - </w:t>
      </w:r>
      <w:r w:rsidRPr="00021A1F">
        <w:rPr>
          <w:rFonts w:ascii="Times New Roman" w:hAnsi="Times New Roman"/>
          <w:b/>
          <w:iCs/>
          <w:sz w:val="24"/>
          <w:szCs w:val="24"/>
        </w:rPr>
        <w:t>30/5/16</w:t>
      </w:r>
      <w:r>
        <w:rPr>
          <w:rFonts w:ascii="Times New Roman" w:hAnsi="Times New Roman"/>
          <w:iCs/>
          <w:sz w:val="24"/>
          <w:szCs w:val="24"/>
        </w:rPr>
        <w:t>)</w:t>
      </w:r>
    </w:p>
    <w:p w:rsidR="00FF49E8" w:rsidRPr="00FF49E8" w:rsidRDefault="00FF49E8" w:rsidP="00FF49E8">
      <w:pPr>
        <w:pStyle w:val="NormalWeb"/>
        <w:shd w:val="clear" w:color="auto" w:fill="FFFFFF"/>
        <w:spacing w:before="0" w:beforeAutospacing="0" w:after="0" w:afterAutospacing="0"/>
        <w:jc w:val="both"/>
        <w:textAlignment w:val="baseline"/>
        <w:rPr>
          <w:i/>
        </w:rPr>
      </w:pPr>
      <w:r>
        <w:rPr>
          <w:i/>
        </w:rPr>
        <w:lastRenderedPageBreak/>
        <w:t>“</w:t>
      </w:r>
      <w:r w:rsidRPr="00FF49E8">
        <w:rPr>
          <w:i/>
        </w:rPr>
        <w:t xml:space="preserve">Olvídese de un futuro seguro: los empleos de hoy ni siquiera ofrecen un presente que sea seguro. La era en la que se podía hacer carrera en una sola empresa ha terminado, y las nuevas tendencias en los mercados laborales solo añaden ansiedad a aquellos que logran ser contratados. Este “precariado” es una realidad en EEUU y se extiende poco a poco por el mundo, y es al que muchos culpan del estancamiento secular que vive la economía global. </w:t>
      </w:r>
    </w:p>
    <w:p w:rsidR="00FF49E8" w:rsidRPr="00FF49E8" w:rsidRDefault="00FF49E8" w:rsidP="00FF49E8">
      <w:pPr>
        <w:pStyle w:val="NormalWeb"/>
        <w:shd w:val="clear" w:color="auto" w:fill="FFFFFF"/>
        <w:spacing w:before="0" w:beforeAutospacing="0" w:after="0" w:afterAutospacing="0"/>
        <w:jc w:val="both"/>
        <w:textAlignment w:val="baseline"/>
        <w:rPr>
          <w:i/>
        </w:rPr>
      </w:pPr>
    </w:p>
    <w:p w:rsidR="00FF49E8" w:rsidRPr="00FF49E8" w:rsidRDefault="00FF49E8" w:rsidP="00FF49E8">
      <w:pPr>
        <w:pStyle w:val="NormalWeb"/>
        <w:shd w:val="clear" w:color="auto" w:fill="FFFFFF"/>
        <w:spacing w:before="0" w:beforeAutospacing="0" w:after="300" w:afterAutospacing="0"/>
        <w:jc w:val="both"/>
        <w:textAlignment w:val="baseline"/>
        <w:rPr>
          <w:i/>
        </w:rPr>
      </w:pPr>
      <w:r w:rsidRPr="00FF49E8">
        <w:rPr>
          <w:i/>
        </w:rPr>
        <w:t>En líneas generales, quien consigue hoy un trabajo no se va a encontrar con nada parecido a lo que era un empleo antes. El arquetipo de estos nuevos trabajos es el de conductor de Uber, pero afecta a todo el espectro de empleos, desde contratos para diseño gráfico hasta peones de fábrica  contratados a través de agencias de empleo.</w:t>
      </w:r>
    </w:p>
    <w:p w:rsidR="00FF49E8" w:rsidRDefault="00FF49E8" w:rsidP="00FF49E8">
      <w:pPr>
        <w:pStyle w:val="NormalWeb"/>
        <w:shd w:val="clear" w:color="auto" w:fill="FFFFFF"/>
        <w:spacing w:before="0" w:beforeAutospacing="0" w:after="300" w:afterAutospacing="0"/>
        <w:jc w:val="both"/>
        <w:textAlignment w:val="baseline"/>
        <w:rPr>
          <w:i/>
        </w:rPr>
      </w:pPr>
      <w:r w:rsidRPr="00FF49E8">
        <w:rPr>
          <w:i/>
        </w:rPr>
        <w:t>La pregunta es: ¿cuántos empleos nuevos entran en esta categoría? Todos. O por lo menos, todos los puestos nuevos netos -más de 9 millones- que se han creado en Estados Unidos desde el año 2005, según un estudio realizado este año por Lawrence Katz y Alan Krueger de las universidades de Harvard y Princeton</w:t>
      </w:r>
      <w:r>
        <w:rPr>
          <w:i/>
        </w:rPr>
        <w:t>.</w:t>
      </w:r>
    </w:p>
    <w:p w:rsidR="00FF49E8" w:rsidRPr="00FF49E8" w:rsidRDefault="00FF49E8" w:rsidP="00FF49E8">
      <w:pPr>
        <w:pStyle w:val="NormalWeb"/>
        <w:shd w:val="clear" w:color="auto" w:fill="FFFFFF"/>
        <w:spacing w:before="0" w:beforeAutospacing="0" w:after="300" w:afterAutospacing="0"/>
        <w:jc w:val="both"/>
        <w:textAlignment w:val="baseline"/>
        <w:rPr>
          <w:i/>
        </w:rPr>
      </w:pPr>
      <w:r w:rsidRPr="00FF49E8">
        <w:rPr>
          <w:i/>
        </w:rPr>
        <w:t>Y este cambio de paradigma tiene consecuencias, y se puede pensar que es otra de las causas de la revuelta electoral de este año, munición para el argumento de que algo está básicamente mal en la economía. A una gran parte de los estadounidenses le gusta la flexibilidad que se da en el nuevo mundo laboral, pero son aún más los que están allí involuntariamente y que se dan cuenta de que su ingreso es volátil y los beneficios, difíciles de conseguir.</w:t>
      </w:r>
    </w:p>
    <w:p w:rsidR="00FF49E8" w:rsidRDefault="00FF49E8" w:rsidP="00FF49E8">
      <w:pPr>
        <w:shd w:val="clear" w:color="auto" w:fill="FFFFFF"/>
        <w:spacing w:line="240" w:lineRule="auto"/>
        <w:jc w:val="both"/>
        <w:textAlignment w:val="baseline"/>
        <w:rPr>
          <w:rFonts w:ascii="Times New Roman" w:eastAsia="Times New Roman" w:hAnsi="Times New Roman"/>
          <w:sz w:val="24"/>
          <w:szCs w:val="24"/>
        </w:rPr>
      </w:pPr>
      <w:r w:rsidRPr="00FF49E8">
        <w:rPr>
          <w:rFonts w:ascii="Times New Roman" w:hAnsi="Times New Roman" w:cs="Times New Roman"/>
          <w:i/>
          <w:sz w:val="24"/>
          <w:szCs w:val="24"/>
        </w:rPr>
        <w:t>“Esto pasa a formar parte de la creciente inseguridad y, en muchos casos, de la ira”, dijo Katz. “En especial, para los trabajadores que perciben salarios bajos o medios, el tipo de situación en la que uno tenía la aspiración de tener un trabajo más permanente con un empleador que le diera una mejor remuneración, pero ese tipo de empresas cada vez subcontrata más””...</w:t>
      </w:r>
      <w:r w:rsidRPr="00D3425F">
        <w:rPr>
          <w:rFonts w:ascii="Times New Roman" w:eastAsia="Times New Roman" w:hAnsi="Times New Roman"/>
          <w:sz w:val="24"/>
          <w:szCs w:val="24"/>
          <w:u w:val="single"/>
        </w:rPr>
        <w:t>Hacer carrera es imposible: el nuevo mundo laboral, inseguro y precario</w:t>
      </w:r>
      <w:r>
        <w:rPr>
          <w:rFonts w:ascii="Times New Roman" w:eastAsia="Times New Roman" w:hAnsi="Times New Roman"/>
          <w:sz w:val="24"/>
          <w:szCs w:val="24"/>
        </w:rPr>
        <w:t xml:space="preserve"> (El Economista - </w:t>
      </w:r>
      <w:r w:rsidRPr="00D3425F">
        <w:rPr>
          <w:rFonts w:ascii="Times New Roman" w:eastAsia="Times New Roman" w:hAnsi="Times New Roman"/>
          <w:b/>
          <w:sz w:val="24"/>
          <w:szCs w:val="24"/>
        </w:rPr>
        <w:t>3/6/16</w:t>
      </w:r>
      <w:r>
        <w:rPr>
          <w:rFonts w:ascii="Times New Roman" w:eastAsia="Times New Roman" w:hAnsi="Times New Roman"/>
          <w:sz w:val="24"/>
          <w:szCs w:val="24"/>
        </w:rPr>
        <w:t>)</w:t>
      </w:r>
    </w:p>
    <w:p w:rsidR="00FF49E8" w:rsidRPr="00FF49E8" w:rsidRDefault="00FF49E8" w:rsidP="00FF49E8">
      <w:pPr>
        <w:pStyle w:val="NormalWeb"/>
        <w:shd w:val="clear" w:color="auto" w:fill="FFFFFF"/>
        <w:spacing w:before="0" w:beforeAutospacing="0" w:after="0" w:afterAutospacing="0"/>
        <w:jc w:val="both"/>
        <w:textAlignment w:val="baseline"/>
        <w:rPr>
          <w:i/>
        </w:rPr>
      </w:pPr>
      <w:r w:rsidRPr="00FF49E8">
        <w:rPr>
          <w:i/>
        </w:rPr>
        <w:t>“La eliminación general de la capacidad de la gente de ganar un salario decente es lo que está provocando un crecimiento global más lento, lo que algunos llaman estancamiento secular”, asegura Lawrence Mishel, presidente del Economic Policy Institute. “Contribuye a esta política</w:t>
      </w:r>
      <w:r w:rsidRPr="00FF49E8">
        <w:rPr>
          <w:rStyle w:val="apple-converted-space"/>
          <w:rFonts w:eastAsiaTheme="majorEastAsia"/>
          <w:i/>
        </w:rPr>
        <w:t> </w:t>
      </w:r>
      <w:r w:rsidRPr="00FF49E8">
        <w:rPr>
          <w:i/>
          <w:iCs/>
          <w:bdr w:val="none" w:sz="0" w:space="0" w:color="auto" w:frame="1"/>
        </w:rPr>
        <w:t>cabreada</w:t>
      </w:r>
      <w:r w:rsidRPr="00FF49E8">
        <w:rPr>
          <w:rStyle w:val="apple-converted-space"/>
          <w:rFonts w:eastAsiaTheme="majorEastAsia"/>
          <w:i/>
          <w:iCs/>
          <w:bdr w:val="none" w:sz="0" w:space="0" w:color="auto" w:frame="1"/>
        </w:rPr>
        <w:t> </w:t>
      </w:r>
      <w:r w:rsidRPr="00FF49E8">
        <w:rPr>
          <w:i/>
        </w:rPr>
        <w:t>que tenemos ahora”.</w:t>
      </w:r>
    </w:p>
    <w:p w:rsidR="00FF49E8" w:rsidRPr="00FF49E8" w:rsidRDefault="00FF49E8" w:rsidP="00FF49E8">
      <w:pPr>
        <w:pStyle w:val="NormalWeb"/>
        <w:shd w:val="clear" w:color="auto" w:fill="FFFFFF"/>
        <w:spacing w:before="0" w:beforeAutospacing="0" w:after="0" w:afterAutospacing="0"/>
        <w:jc w:val="both"/>
        <w:textAlignment w:val="baseline"/>
        <w:rPr>
          <w:i/>
        </w:rPr>
      </w:pPr>
    </w:p>
    <w:p w:rsidR="00FF49E8" w:rsidRPr="00FF49E8" w:rsidRDefault="00FF49E8" w:rsidP="00FF49E8">
      <w:pPr>
        <w:pStyle w:val="NormalWeb"/>
        <w:shd w:val="clear" w:color="auto" w:fill="FFFFFF"/>
        <w:spacing w:before="0" w:beforeAutospacing="0" w:after="0" w:afterAutospacing="0"/>
        <w:jc w:val="both"/>
        <w:textAlignment w:val="baseline"/>
        <w:rPr>
          <w:i/>
        </w:rPr>
      </w:pPr>
      <w:r w:rsidRPr="00FF49E8">
        <w:rPr>
          <w:i/>
        </w:rPr>
        <w:t>Este problema de la calidad del empleo ha entrado de lleno en la campaña presidencial de EEUU, con la promesa de tomar medidas para que vuelvan los empleos de antes. Es un nuevo mundo en el que palabras como</w:t>
      </w:r>
      <w:r w:rsidRPr="00FF49E8">
        <w:rPr>
          <w:rStyle w:val="apple-converted-space"/>
          <w:rFonts w:eastAsiaTheme="majorEastAsia"/>
          <w:i/>
        </w:rPr>
        <w:t> </w:t>
      </w:r>
      <w:hyperlink r:id="rId104" w:history="1">
        <w:r>
          <w:rPr>
            <w:rStyle w:val="Hipervnculo"/>
            <w:i/>
            <w:color w:val="auto"/>
            <w:u w:val="none"/>
            <w:bdr w:val="none" w:sz="0" w:space="0" w:color="auto" w:frame="1"/>
          </w:rPr>
          <w:t>“</w:t>
        </w:r>
      </w:hyperlink>
      <w:r w:rsidRPr="00FF49E8">
        <w:rPr>
          <w:i/>
        </w:rPr>
        <w:t>, término que también se usa en Europa y que se discute a nivel académico como el nuevo “proletariado” del siglo XXI, son cada día más habituales.</w:t>
      </w:r>
    </w:p>
    <w:p w:rsidR="00FF49E8" w:rsidRPr="00FF49E8" w:rsidRDefault="00FF49E8" w:rsidP="00FF49E8">
      <w:pPr>
        <w:pStyle w:val="NormalWeb"/>
        <w:shd w:val="clear" w:color="auto" w:fill="FFFFFF"/>
        <w:spacing w:before="0" w:beforeAutospacing="0" w:after="0" w:afterAutospacing="0"/>
        <w:jc w:val="both"/>
        <w:textAlignment w:val="baseline"/>
        <w:rPr>
          <w:i/>
        </w:rPr>
      </w:pPr>
    </w:p>
    <w:p w:rsidR="00FF49E8" w:rsidRPr="00FF49E8" w:rsidRDefault="00FF49E8" w:rsidP="00FF49E8">
      <w:pPr>
        <w:pStyle w:val="NormalWeb"/>
        <w:shd w:val="clear" w:color="auto" w:fill="FFFFFF"/>
        <w:spacing w:before="0" w:beforeAutospacing="0" w:after="300" w:afterAutospacing="0"/>
        <w:jc w:val="both"/>
        <w:textAlignment w:val="baseline"/>
        <w:rPr>
          <w:i/>
        </w:rPr>
      </w:pPr>
      <w:r w:rsidRPr="00FF49E8">
        <w:rPr>
          <w:i/>
        </w:rPr>
        <w:t>Adam Cobb, profesor de la Wharton School de la Universidad de Pennsylvania, cree que este cambio está liderado fundamentalmente por los mercados financieros, que recompensan a aquellas compañías que tienen los mínimos activos posibles, incluidos los trabajadores.</w:t>
      </w:r>
    </w:p>
    <w:p w:rsidR="00FF49E8" w:rsidRDefault="00FF49E8" w:rsidP="00FF49E8">
      <w:pPr>
        <w:shd w:val="clear" w:color="auto" w:fill="FFFFFF"/>
        <w:spacing w:line="240" w:lineRule="auto"/>
        <w:jc w:val="both"/>
        <w:textAlignment w:val="baseline"/>
        <w:rPr>
          <w:rFonts w:ascii="Times New Roman" w:eastAsia="Times New Roman" w:hAnsi="Times New Roman"/>
          <w:sz w:val="24"/>
          <w:szCs w:val="24"/>
        </w:rPr>
      </w:pPr>
      <w:r w:rsidRPr="00FF49E8">
        <w:rPr>
          <w:rFonts w:ascii="Times New Roman" w:hAnsi="Times New Roman" w:cs="Times New Roman"/>
          <w:i/>
          <w:sz w:val="24"/>
          <w:szCs w:val="24"/>
        </w:rPr>
        <w:t xml:space="preserve">Y las estadísticas económicas ni siquiera pueden medir la magnitud de la pérdida. “Estamos orgullosos de lo que hacemos y un buen trabajo da una narrativa a nuestra vida. Hay consecuencias sobre cómo pensamos sobre nosotros y nuestro papel en la </w:t>
      </w:r>
      <w:r w:rsidRPr="00FF49E8">
        <w:rPr>
          <w:rFonts w:ascii="Times New Roman" w:hAnsi="Times New Roman" w:cs="Times New Roman"/>
          <w:i/>
          <w:sz w:val="24"/>
          <w:szCs w:val="24"/>
        </w:rPr>
        <w:lastRenderedPageBreak/>
        <w:t>sociedad una vez que perdemos la conexión con nuestro trabajo”, concluye Cobb”…</w:t>
      </w:r>
      <w:r w:rsidRPr="00D3425F">
        <w:rPr>
          <w:rFonts w:ascii="Times New Roman" w:eastAsia="Times New Roman" w:hAnsi="Times New Roman"/>
          <w:sz w:val="24"/>
          <w:szCs w:val="24"/>
          <w:u w:val="single"/>
        </w:rPr>
        <w:t>Hacer carrera es imposible: el nuevo mundo laboral, inseguro y precario</w:t>
      </w:r>
      <w:r>
        <w:rPr>
          <w:rFonts w:ascii="Times New Roman" w:eastAsia="Times New Roman" w:hAnsi="Times New Roman"/>
          <w:sz w:val="24"/>
          <w:szCs w:val="24"/>
        </w:rPr>
        <w:t xml:space="preserve"> (El Economista - </w:t>
      </w:r>
      <w:r w:rsidRPr="00D3425F">
        <w:rPr>
          <w:rFonts w:ascii="Times New Roman" w:eastAsia="Times New Roman" w:hAnsi="Times New Roman"/>
          <w:b/>
          <w:sz w:val="24"/>
          <w:szCs w:val="24"/>
        </w:rPr>
        <w:t>3/6/16</w:t>
      </w:r>
      <w:r>
        <w:rPr>
          <w:rFonts w:ascii="Times New Roman" w:eastAsia="Times New Roman" w:hAnsi="Times New Roman"/>
          <w:sz w:val="24"/>
          <w:szCs w:val="24"/>
        </w:rPr>
        <w:t>)</w:t>
      </w:r>
    </w:p>
    <w:p w:rsidR="00FF49E8" w:rsidRPr="00FC4D89" w:rsidRDefault="00FC4D89" w:rsidP="00FF49E8">
      <w:pPr>
        <w:pStyle w:val="NormalWeb"/>
        <w:shd w:val="clear" w:color="auto" w:fill="FFFFFF"/>
        <w:spacing w:before="0" w:beforeAutospacing="0" w:after="0" w:afterAutospacing="0"/>
        <w:jc w:val="both"/>
        <w:textAlignment w:val="baseline"/>
        <w:rPr>
          <w:i/>
        </w:rPr>
      </w:pPr>
      <w:r w:rsidRPr="00FC4D89">
        <w:rPr>
          <w:i/>
        </w:rPr>
        <w:t>“</w:t>
      </w:r>
      <w:r w:rsidR="00FF49E8" w:rsidRPr="00FC4D89">
        <w:rPr>
          <w:i/>
        </w:rPr>
        <w:t>En 2011 se produjo un evento sin precedentes en EEUU: más empresas se establecieron en territorio norteamericano de las que se deslocalizaron. Esto es,</w:t>
      </w:r>
      <w:r w:rsidR="00FF49E8" w:rsidRPr="00FC4D89">
        <w:rPr>
          <w:rStyle w:val="apple-converted-space"/>
          <w:rFonts w:eastAsiaTheme="majorEastAsia"/>
          <w:i/>
        </w:rPr>
        <w:t> </w:t>
      </w:r>
      <w:r w:rsidR="00FF49E8" w:rsidRPr="00FC4D89">
        <w:rPr>
          <w:rStyle w:val="Textoennegrita"/>
          <w:b w:val="0"/>
          <w:i/>
          <w:bdr w:val="none" w:sz="0" w:space="0" w:color="auto" w:frame="1"/>
        </w:rPr>
        <w:t>el reshoring o relocalización</w:t>
      </w:r>
      <w:r w:rsidR="00FF49E8" w:rsidRPr="00FC4D89">
        <w:rPr>
          <w:i/>
        </w:rPr>
        <w:t xml:space="preserve">, fenómeno consistente en volver a traer la producción a los países desarrollados, tuvo un impacto mayor que el </w:t>
      </w:r>
      <w:r w:rsidR="00FF49E8" w:rsidRPr="00FC4D89">
        <w:rPr>
          <w:rStyle w:val="Textoennegrita"/>
          <w:b w:val="0"/>
          <w:i/>
          <w:bdr w:val="none" w:sz="0" w:space="0" w:color="auto" w:frame="1"/>
        </w:rPr>
        <w:t>offshoring</w:t>
      </w:r>
      <w:r w:rsidR="00FF49E8" w:rsidRPr="00FC4D89">
        <w:rPr>
          <w:rStyle w:val="apple-converted-space"/>
          <w:rFonts w:eastAsiaTheme="majorEastAsia"/>
          <w:b/>
          <w:i/>
        </w:rPr>
        <w:t> </w:t>
      </w:r>
      <w:r w:rsidR="00FF49E8" w:rsidRPr="00FC4D89">
        <w:rPr>
          <w:rStyle w:val="Textoennegrita"/>
          <w:b w:val="0"/>
          <w:i/>
          <w:bdr w:val="none" w:sz="0" w:space="0" w:color="auto" w:frame="1"/>
        </w:rPr>
        <w:t>o deslocalización</w:t>
      </w:r>
      <w:r w:rsidR="00FF49E8" w:rsidRPr="00FC4D89">
        <w:rPr>
          <w:i/>
        </w:rPr>
        <w:t>. De hecho,</w:t>
      </w:r>
      <w:r w:rsidR="00FF49E8" w:rsidRPr="00FC4D89">
        <w:rPr>
          <w:rStyle w:val="apple-converted-space"/>
          <w:rFonts w:eastAsiaTheme="majorEastAsia"/>
          <w:i/>
        </w:rPr>
        <w:t> </w:t>
      </w:r>
      <w:hyperlink r:id="rId105" w:history="1">
        <w:r w:rsidR="00FF49E8" w:rsidRPr="00FC4D89">
          <w:rPr>
            <w:rStyle w:val="Hipervnculo"/>
            <w:bCs/>
            <w:i/>
            <w:color w:val="auto"/>
            <w:u w:val="none"/>
          </w:rPr>
          <w:t>en los últimos 5 años</w:t>
        </w:r>
      </w:hyperlink>
      <w:r w:rsidR="00FF49E8" w:rsidRPr="00FC4D89">
        <w:rPr>
          <w:rStyle w:val="apple-converted-space"/>
          <w:rFonts w:eastAsiaTheme="majorEastAsia"/>
          <w:i/>
        </w:rPr>
        <w:t> </w:t>
      </w:r>
      <w:r w:rsidR="00FF49E8" w:rsidRPr="00FC4D89">
        <w:rPr>
          <w:i/>
        </w:rPr>
        <w:t>se calcula que</w:t>
      </w:r>
      <w:r w:rsidR="00FF49E8" w:rsidRPr="00FC4D89">
        <w:rPr>
          <w:rStyle w:val="apple-converted-space"/>
          <w:rFonts w:eastAsiaTheme="majorEastAsia"/>
          <w:i/>
        </w:rPr>
        <w:t> </w:t>
      </w:r>
      <w:r w:rsidR="00FF49E8" w:rsidRPr="00FC4D89">
        <w:rPr>
          <w:rStyle w:val="Textoennegrita"/>
          <w:b w:val="0"/>
          <w:i/>
          <w:bdr w:val="none" w:sz="0" w:space="0" w:color="auto" w:frame="1"/>
        </w:rPr>
        <w:t>248.000 empleos fueron creados en Estados Unidos</w:t>
      </w:r>
      <w:r w:rsidR="00FF49E8" w:rsidRPr="00FC4D89">
        <w:rPr>
          <w:rStyle w:val="apple-converted-space"/>
          <w:rFonts w:eastAsiaTheme="majorEastAsia"/>
          <w:i/>
        </w:rPr>
        <w:t> </w:t>
      </w:r>
      <w:r w:rsidR="00FF49E8" w:rsidRPr="00FC4D89">
        <w:rPr>
          <w:i/>
        </w:rPr>
        <w:t>gracias a la vuelta a casa de su industria manufacturera. Hay múltiples ejemplos de ello. ¿Podríamos estar, por tanto, ante una solución a los problemas de desempleo que algunos países sufrimos?</w:t>
      </w:r>
    </w:p>
    <w:p w:rsidR="00FF49E8" w:rsidRPr="00FC4D89" w:rsidRDefault="00FF49E8" w:rsidP="00FF49E8">
      <w:pPr>
        <w:pStyle w:val="NormalWeb"/>
        <w:shd w:val="clear" w:color="auto" w:fill="FFFFFF"/>
        <w:spacing w:before="0" w:beforeAutospacing="0" w:after="0" w:afterAutospacing="0"/>
        <w:jc w:val="both"/>
        <w:textAlignment w:val="baseline"/>
        <w:rPr>
          <w:i/>
        </w:rPr>
      </w:pPr>
    </w:p>
    <w:p w:rsidR="00FF49E8" w:rsidRPr="00FC4D89" w:rsidRDefault="00FF49E8" w:rsidP="00FF49E8">
      <w:pPr>
        <w:pStyle w:val="NormalWeb"/>
        <w:shd w:val="clear" w:color="auto" w:fill="FFFFFF"/>
        <w:spacing w:before="0" w:beforeAutospacing="0" w:after="0" w:afterAutospacing="0"/>
        <w:jc w:val="both"/>
        <w:textAlignment w:val="baseline"/>
        <w:rPr>
          <w:i/>
        </w:rPr>
      </w:pPr>
      <w:r w:rsidRPr="00FC4D89">
        <w:rPr>
          <w:i/>
        </w:rPr>
        <w:t>Y es que hay más ejemplos. Italia también ha sido un país muy beneficiado, pues</w:t>
      </w:r>
      <w:r w:rsidRPr="00FC4D89">
        <w:rPr>
          <w:rStyle w:val="apple-converted-space"/>
          <w:rFonts w:eastAsiaTheme="majorEastAsia"/>
          <w:i/>
        </w:rPr>
        <w:t> </w:t>
      </w:r>
      <w:hyperlink r:id="rId106" w:history="1">
        <w:r w:rsidRPr="00FC4D89">
          <w:rPr>
            <w:rStyle w:val="Hipervnculo"/>
            <w:bCs/>
            <w:i/>
            <w:color w:val="auto"/>
            <w:u w:val="none"/>
          </w:rPr>
          <w:t>se estima que han conseguido “repatriar” a 121 empresas en 2015</w:t>
        </w:r>
      </w:hyperlink>
      <w:r w:rsidRPr="00FC4D89">
        <w:rPr>
          <w:i/>
        </w:rPr>
        <w:t>(tras las 326 de EEUU, y por delante de las 68 de Reino Unido o 63 de Alemania). Incluso en España se han vuelto a ver noticias sobre la vuelta</w:t>
      </w:r>
      <w:r w:rsidRPr="00FC4D89">
        <w:rPr>
          <w:rStyle w:val="apple-converted-space"/>
          <w:rFonts w:eastAsiaTheme="majorEastAsia"/>
          <w:i/>
        </w:rPr>
        <w:t> </w:t>
      </w:r>
      <w:hyperlink r:id="rId107" w:history="1">
        <w:r w:rsidRPr="00FC4D89">
          <w:rPr>
            <w:rStyle w:val="Hipervnculo"/>
            <w:bCs/>
            <w:i/>
            <w:color w:val="auto"/>
            <w:u w:val="none"/>
          </w:rPr>
          <w:t>de la industria del juguete</w:t>
        </w:r>
      </w:hyperlink>
      <w:r w:rsidRPr="00FC4D89">
        <w:rPr>
          <w:rStyle w:val="apple-converted-space"/>
          <w:rFonts w:eastAsiaTheme="majorEastAsia"/>
          <w:i/>
        </w:rPr>
        <w:t> </w:t>
      </w:r>
      <w:r w:rsidR="00FC4D89" w:rsidRPr="00FC4D89">
        <w:rPr>
          <w:i/>
        </w:rPr>
        <w:t>o del “</w:t>
      </w:r>
      <w:hyperlink r:id="rId108" w:history="1">
        <w:r w:rsidRPr="00FC4D89">
          <w:rPr>
            <w:rStyle w:val="Hipervnculo"/>
            <w:bCs/>
            <w:i/>
            <w:color w:val="auto"/>
            <w:u w:val="none"/>
          </w:rPr>
          <w:t>Made in Spain</w:t>
        </w:r>
      </w:hyperlink>
      <w:r w:rsidR="00FC4D89" w:rsidRPr="00FC4D89">
        <w:rPr>
          <w:i/>
        </w:rPr>
        <w:t>”</w:t>
      </w:r>
      <w:r w:rsidRPr="00FC4D89">
        <w:rPr>
          <w:i/>
        </w:rPr>
        <w:t>. Algo impensable hace tan solo una década. Desgraciadamente, aunque estamos ante una tendencia muy relevante, parece que será insuficiente para paliar nuestros problemas. En concreto, analizando los últimos datos, se observa que</w:t>
      </w:r>
      <w:r w:rsidRPr="00FC4D89">
        <w:rPr>
          <w:rStyle w:val="apple-converted-space"/>
          <w:rFonts w:eastAsiaTheme="majorEastAsia"/>
          <w:i/>
        </w:rPr>
        <w:t> </w:t>
      </w:r>
      <w:r w:rsidRPr="00FC4D89">
        <w:rPr>
          <w:rStyle w:val="Textoennegrita"/>
          <w:b w:val="0"/>
          <w:i/>
          <w:bdr w:val="none" w:sz="0" w:space="0" w:color="auto" w:frame="1"/>
        </w:rPr>
        <w:t>la relocalización va a más pero no consigue generar el suficiente empleo</w:t>
      </w:r>
      <w:r w:rsidRPr="00FC4D89">
        <w:rPr>
          <w:b/>
          <w:i/>
        </w:rPr>
        <w:t>.</w:t>
      </w:r>
      <w:r w:rsidRPr="00FC4D89">
        <w:rPr>
          <w:i/>
        </w:rPr>
        <w:t xml:space="preserve"> ¿Por qué?...</w:t>
      </w:r>
    </w:p>
    <w:p w:rsidR="00FF49E8" w:rsidRPr="00FC4D89" w:rsidRDefault="00FF49E8" w:rsidP="00FF49E8">
      <w:pPr>
        <w:pStyle w:val="NormalWeb"/>
        <w:shd w:val="clear" w:color="auto" w:fill="FFFFFF"/>
        <w:spacing w:before="0" w:beforeAutospacing="0" w:after="0" w:afterAutospacing="0"/>
        <w:jc w:val="both"/>
        <w:textAlignment w:val="baseline"/>
        <w:rPr>
          <w:i/>
        </w:rPr>
      </w:pPr>
    </w:p>
    <w:p w:rsidR="00FC4D89" w:rsidRPr="00E67CB0" w:rsidRDefault="00FF49E8" w:rsidP="00FC4D89">
      <w:pPr>
        <w:shd w:val="clear" w:color="auto" w:fill="FFFFFF"/>
        <w:spacing w:after="270" w:line="240" w:lineRule="auto"/>
        <w:jc w:val="both"/>
        <w:textAlignment w:val="baseline"/>
        <w:rPr>
          <w:rFonts w:ascii="Times New Roman" w:eastAsia="Times New Roman" w:hAnsi="Times New Roman"/>
          <w:sz w:val="24"/>
          <w:szCs w:val="24"/>
        </w:rPr>
      </w:pPr>
      <w:r w:rsidRPr="00FC4D89">
        <w:rPr>
          <w:rFonts w:ascii="Times New Roman" w:hAnsi="Times New Roman" w:cs="Times New Roman"/>
          <w:i/>
          <w:sz w:val="24"/>
          <w:szCs w:val="24"/>
        </w:rPr>
        <w:t>El reshoring es una realidad y ha venido para quedarse, pero no tendrá los efectos positivos que muchos esperan.</w:t>
      </w:r>
      <w:r w:rsidRPr="00FC4D89">
        <w:rPr>
          <w:rStyle w:val="apple-converted-space"/>
          <w:rFonts w:ascii="Times New Roman" w:eastAsiaTheme="majorEastAsia" w:hAnsi="Times New Roman" w:cs="Times New Roman"/>
          <w:i/>
          <w:sz w:val="24"/>
          <w:szCs w:val="24"/>
        </w:rPr>
        <w:t> </w:t>
      </w:r>
      <w:hyperlink r:id="rId109" w:history="1">
        <w:r w:rsidRPr="00FC4D89">
          <w:rPr>
            <w:rStyle w:val="Hipervnculo"/>
            <w:rFonts w:ascii="Times New Roman" w:hAnsi="Times New Roman" w:cs="Times New Roman"/>
            <w:bCs/>
            <w:i/>
            <w:color w:val="auto"/>
            <w:sz w:val="24"/>
            <w:szCs w:val="24"/>
            <w:u w:val="none"/>
          </w:rPr>
          <w:t>Ni siquiera en Estados Unidos, país que es uno de los mejor posicionados en el ranking de deslocalización elaborado por Deloitte</w:t>
        </w:r>
      </w:hyperlink>
      <w:r w:rsidRPr="00FC4D89">
        <w:rPr>
          <w:rFonts w:ascii="Times New Roman" w:hAnsi="Times New Roman" w:cs="Times New Roman"/>
          <w:i/>
          <w:sz w:val="24"/>
          <w:szCs w:val="24"/>
        </w:rPr>
        <w:t>, y que ha sido el principal beneficiado en los últimos años.</w:t>
      </w:r>
      <w:r w:rsidRPr="00FC4D89">
        <w:rPr>
          <w:rStyle w:val="apple-converted-space"/>
          <w:rFonts w:ascii="Times New Roman" w:eastAsiaTheme="majorEastAsia" w:hAnsi="Times New Roman" w:cs="Times New Roman"/>
          <w:i/>
          <w:sz w:val="24"/>
          <w:szCs w:val="24"/>
        </w:rPr>
        <w:t> </w:t>
      </w:r>
      <w:r w:rsidRPr="00FC4D89">
        <w:rPr>
          <w:rStyle w:val="Textoennegrita"/>
          <w:rFonts w:ascii="Times New Roman" w:hAnsi="Times New Roman" w:cs="Times New Roman"/>
          <w:b w:val="0"/>
          <w:i/>
          <w:sz w:val="24"/>
          <w:szCs w:val="24"/>
          <w:bdr w:val="none" w:sz="0" w:space="0" w:color="auto" w:frame="1"/>
        </w:rPr>
        <w:t>¿Por qué incluso en los países más competitivos el reshoring no será una solución para el desempleo?</w:t>
      </w:r>
      <w:r w:rsidRPr="00FC4D89">
        <w:rPr>
          <w:rFonts w:ascii="Times New Roman" w:hAnsi="Times New Roman" w:cs="Times New Roman"/>
          <w:i/>
          <w:sz w:val="24"/>
          <w:szCs w:val="24"/>
        </w:rPr>
        <w:t>Principalmente por el nearshoring, porque la deslocalización sigue siendo una tendencia al menos tan fuerte como la relocalización y también por la robotización</w:t>
      </w:r>
      <w:r w:rsidR="00FC4D89" w:rsidRPr="00FC4D89">
        <w:rPr>
          <w:rFonts w:ascii="Times New Roman" w:hAnsi="Times New Roman" w:cs="Times New Roman"/>
          <w:i/>
          <w:sz w:val="24"/>
          <w:szCs w:val="24"/>
        </w:rPr>
        <w:t>”..</w:t>
      </w:r>
      <w:r w:rsidRPr="00FC4D89">
        <w:rPr>
          <w:rFonts w:ascii="Times New Roman" w:hAnsi="Times New Roman" w:cs="Times New Roman"/>
          <w:i/>
          <w:sz w:val="24"/>
          <w:szCs w:val="24"/>
        </w:rPr>
        <w:t>.</w:t>
      </w:r>
      <w:r w:rsidR="00FC4D89" w:rsidRPr="00E67CB0">
        <w:rPr>
          <w:rFonts w:ascii="Times New Roman" w:eastAsia="Times New Roman" w:hAnsi="Times New Roman"/>
          <w:sz w:val="24"/>
          <w:szCs w:val="24"/>
          <w:u w:val="single"/>
        </w:rPr>
        <w:t>Reshoring: el regreso al primer mundo de la industria ¿solución al desempleo?</w:t>
      </w:r>
      <w:r w:rsidR="00FC4D89">
        <w:rPr>
          <w:rFonts w:ascii="Times New Roman" w:eastAsia="Times New Roman" w:hAnsi="Times New Roman"/>
          <w:sz w:val="24"/>
          <w:szCs w:val="24"/>
        </w:rPr>
        <w:t xml:space="preserve"> (El Confidencial - </w:t>
      </w:r>
      <w:r w:rsidR="00FC4D89" w:rsidRPr="00E67CB0">
        <w:rPr>
          <w:rFonts w:ascii="Times New Roman" w:eastAsia="Times New Roman" w:hAnsi="Times New Roman"/>
          <w:b/>
          <w:sz w:val="24"/>
          <w:szCs w:val="24"/>
        </w:rPr>
        <w:t>7/6/16</w:t>
      </w:r>
      <w:r w:rsidR="00FC4D89">
        <w:rPr>
          <w:rFonts w:ascii="Times New Roman" w:eastAsia="Times New Roman" w:hAnsi="Times New Roman"/>
          <w:sz w:val="24"/>
          <w:szCs w:val="24"/>
        </w:rPr>
        <w:t>)</w:t>
      </w:r>
    </w:p>
    <w:p w:rsidR="00FC4D89" w:rsidRPr="00332C23" w:rsidRDefault="00332C23" w:rsidP="00FC4D89">
      <w:pPr>
        <w:pStyle w:val="NormalWeb"/>
        <w:shd w:val="clear" w:color="auto" w:fill="FFFFFF"/>
        <w:spacing w:before="0" w:beforeAutospacing="0" w:after="0" w:afterAutospacing="0"/>
        <w:jc w:val="both"/>
        <w:textAlignment w:val="baseline"/>
        <w:rPr>
          <w:b/>
          <w:i/>
        </w:rPr>
      </w:pPr>
      <w:r>
        <w:rPr>
          <w:i/>
        </w:rPr>
        <w:t>“</w:t>
      </w:r>
      <w:r w:rsidR="00FC4D89" w:rsidRPr="00332C23">
        <w:rPr>
          <w:i/>
        </w:rPr>
        <w:t>Otro motivo de peso es que, a pesar de que la relocalización es un fenómeno fuerte, y que seguirá en boga en el futuro, la deslocalización lo es aún más. Vamos, que muchas empresas se han dado cuenta de que China no es la panacea y vuelven, pero muchas otras siguen yéndose de España o Estados Unidos hacía allá. Es más, China es ahora también víctima de la deslocalización, puesto que ciertas compañías, por ejemplo en el textil, prefieren a Vietnam o Bangladesh por ser más baratos. Es más, ¡</w:t>
      </w:r>
      <w:hyperlink r:id="rId110" w:tgtFrame="_blank" w:history="1">
        <w:r w:rsidR="00FC4D89" w:rsidRPr="00332C23">
          <w:rPr>
            <w:rStyle w:val="Hipervnculo"/>
            <w:bCs/>
            <w:i/>
            <w:color w:val="auto"/>
            <w:u w:val="none"/>
          </w:rPr>
          <w:t>Bangladesh sufre ya la deslocalización en sus propias carnes</w:t>
        </w:r>
      </w:hyperlink>
      <w:r w:rsidR="00FC4D89" w:rsidRPr="00332C23">
        <w:rPr>
          <w:i/>
        </w:rPr>
        <w:t>! </w:t>
      </w:r>
      <w:r w:rsidR="00FC4D89" w:rsidRPr="00332C23">
        <w:rPr>
          <w:rStyle w:val="Textoennegrita"/>
          <w:b w:val="0"/>
          <w:i/>
          <w:bdr w:val="none" w:sz="0" w:space="0" w:color="auto" w:frame="1"/>
        </w:rPr>
        <w:t xml:space="preserve">Por cada empresa que está dispuesta a pagar un poco más y obtener mejores prestaciones (reshoring) existen cuatro o cinco que quieren pagar menos, </w:t>
      </w:r>
      <w:r w:rsidR="005337CB" w:rsidRPr="00332C23">
        <w:rPr>
          <w:rStyle w:val="Textoennegrita"/>
          <w:b w:val="0"/>
          <w:i/>
          <w:bdr w:val="none" w:sz="0" w:space="0" w:color="auto" w:frame="1"/>
        </w:rPr>
        <w:t>aun</w:t>
      </w:r>
      <w:r w:rsidR="00FC4D89" w:rsidRPr="00332C23">
        <w:rPr>
          <w:rStyle w:val="Textoennegrita"/>
          <w:b w:val="0"/>
          <w:i/>
          <w:bdr w:val="none" w:sz="0" w:space="0" w:color="auto" w:frame="1"/>
        </w:rPr>
        <w:t xml:space="preserve"> perdiendo calidad (offshoring)</w:t>
      </w:r>
      <w:r w:rsidR="00FC4D89" w:rsidRPr="00332C23">
        <w:rPr>
          <w:b/>
          <w:i/>
        </w:rPr>
        <w:t>.</w:t>
      </w:r>
    </w:p>
    <w:p w:rsidR="00FC4D89" w:rsidRPr="00332C23" w:rsidRDefault="00FC4D89" w:rsidP="00FC4D89">
      <w:pPr>
        <w:pStyle w:val="NormalWeb"/>
        <w:shd w:val="clear" w:color="auto" w:fill="FFFFFF"/>
        <w:spacing w:before="0" w:beforeAutospacing="0" w:after="0" w:afterAutospacing="0"/>
        <w:jc w:val="both"/>
        <w:textAlignment w:val="baseline"/>
        <w:rPr>
          <w:i/>
        </w:rPr>
      </w:pPr>
    </w:p>
    <w:p w:rsidR="00FC4D89" w:rsidRPr="00E67CB0" w:rsidRDefault="00FC4D89" w:rsidP="00FC4D89">
      <w:pPr>
        <w:shd w:val="clear" w:color="auto" w:fill="FFFFFF"/>
        <w:spacing w:after="270" w:line="240" w:lineRule="auto"/>
        <w:jc w:val="both"/>
        <w:textAlignment w:val="baseline"/>
        <w:rPr>
          <w:rFonts w:ascii="Times New Roman" w:eastAsia="Times New Roman" w:hAnsi="Times New Roman"/>
          <w:sz w:val="24"/>
          <w:szCs w:val="24"/>
        </w:rPr>
      </w:pPr>
      <w:r w:rsidRPr="00332C23">
        <w:rPr>
          <w:rFonts w:ascii="Times New Roman" w:hAnsi="Times New Roman" w:cs="Times New Roman"/>
          <w:i/>
          <w:sz w:val="24"/>
          <w:szCs w:val="24"/>
        </w:rPr>
        <w:t>Esto puede comprobarse en la siguiente gráfica de</w:t>
      </w:r>
      <w:r w:rsidRPr="00332C23">
        <w:rPr>
          <w:rStyle w:val="apple-converted-space"/>
          <w:rFonts w:ascii="Times New Roman" w:eastAsiaTheme="majorEastAsia" w:hAnsi="Times New Roman" w:cs="Times New Roman"/>
          <w:i/>
          <w:sz w:val="24"/>
          <w:szCs w:val="24"/>
        </w:rPr>
        <w:t> </w:t>
      </w:r>
      <w:r w:rsidRPr="00332C23">
        <w:rPr>
          <w:rStyle w:val="Textoennegrita"/>
          <w:rFonts w:ascii="Times New Roman" w:hAnsi="Times New Roman" w:cs="Times New Roman"/>
          <w:b w:val="0"/>
          <w:i/>
          <w:sz w:val="24"/>
          <w:szCs w:val="24"/>
          <w:bdr w:val="none" w:sz="0" w:space="0" w:color="auto" w:frame="1"/>
        </w:rPr>
        <w:t>AT Kearney</w:t>
      </w:r>
      <w:r w:rsidRPr="00332C23">
        <w:rPr>
          <w:rFonts w:ascii="Times New Roman" w:hAnsi="Times New Roman" w:cs="Times New Roman"/>
          <w:i/>
          <w:sz w:val="24"/>
          <w:szCs w:val="24"/>
        </w:rPr>
        <w:t xml:space="preserve">, la cual muestra el indicador </w:t>
      </w:r>
      <w:r w:rsidRPr="00332C23">
        <w:rPr>
          <w:rFonts w:ascii="Times New Roman" w:hAnsi="Times New Roman" w:cs="Times New Roman"/>
          <w:b/>
          <w:i/>
          <w:sz w:val="24"/>
          <w:szCs w:val="24"/>
        </w:rPr>
        <w:t>“</w:t>
      </w:r>
      <w:r w:rsidRPr="00332C23">
        <w:rPr>
          <w:rStyle w:val="Textoennegrita"/>
          <w:rFonts w:ascii="Times New Roman" w:hAnsi="Times New Roman" w:cs="Times New Roman"/>
          <w:b w:val="0"/>
          <w:i/>
          <w:sz w:val="24"/>
          <w:szCs w:val="24"/>
          <w:bdr w:val="none" w:sz="0" w:space="0" w:color="auto" w:frame="1"/>
        </w:rPr>
        <w:t>US Reshoring Index Score</w:t>
      </w:r>
      <w:r w:rsidRPr="00332C23">
        <w:rPr>
          <w:rFonts w:ascii="Times New Roman" w:hAnsi="Times New Roman" w:cs="Times New Roman"/>
          <w:b/>
          <w:i/>
          <w:sz w:val="24"/>
          <w:szCs w:val="24"/>
        </w:rPr>
        <w:t>”</w:t>
      </w:r>
      <w:r w:rsidRPr="00332C23">
        <w:rPr>
          <w:rFonts w:ascii="Times New Roman" w:hAnsi="Times New Roman" w:cs="Times New Roman"/>
          <w:i/>
          <w:sz w:val="24"/>
          <w:szCs w:val="24"/>
        </w:rPr>
        <w:t>. Dicho ratio es positivo cuando existen más empresas practicando el reshoring que el</w:t>
      </w:r>
      <w:r w:rsidRPr="00FC4D89">
        <w:rPr>
          <w:rFonts w:ascii="Times New Roman" w:hAnsi="Times New Roman" w:cs="Times New Roman"/>
          <w:i/>
          <w:sz w:val="24"/>
          <w:szCs w:val="24"/>
        </w:rPr>
        <w:t xml:space="preserve"> offshoring, y viceversa. Se ve a simple vista que tras el “boom” de 2011-2013, la tendencia ha vuelto a revertir con mucha fuerza”…</w:t>
      </w:r>
      <w:r w:rsidRPr="00E67CB0">
        <w:rPr>
          <w:rFonts w:ascii="Times New Roman" w:eastAsia="Times New Roman" w:hAnsi="Times New Roman"/>
          <w:sz w:val="24"/>
          <w:szCs w:val="24"/>
          <w:u w:val="single"/>
        </w:rPr>
        <w:t>Reshoring: el regreso al primer mundo de la industria ¿solución al desempleo?</w:t>
      </w:r>
      <w:r>
        <w:rPr>
          <w:rFonts w:ascii="Times New Roman" w:eastAsia="Times New Roman" w:hAnsi="Times New Roman"/>
          <w:sz w:val="24"/>
          <w:szCs w:val="24"/>
        </w:rPr>
        <w:t xml:space="preserve"> (El Confidencial - </w:t>
      </w:r>
      <w:r w:rsidRPr="00E67CB0">
        <w:rPr>
          <w:rFonts w:ascii="Times New Roman" w:eastAsia="Times New Roman" w:hAnsi="Times New Roman"/>
          <w:b/>
          <w:sz w:val="24"/>
          <w:szCs w:val="24"/>
        </w:rPr>
        <w:t>7/6/16</w:t>
      </w:r>
      <w:r>
        <w:rPr>
          <w:rFonts w:ascii="Times New Roman" w:eastAsia="Times New Roman" w:hAnsi="Times New Roman"/>
          <w:sz w:val="24"/>
          <w:szCs w:val="24"/>
        </w:rPr>
        <w:t>)</w:t>
      </w:r>
    </w:p>
    <w:p w:rsidR="00FC4D89" w:rsidRPr="00FC4D89" w:rsidRDefault="00FC4D89" w:rsidP="00FC4D89">
      <w:pPr>
        <w:pStyle w:val="NormalWeb"/>
        <w:shd w:val="clear" w:color="auto" w:fill="FFFFFF"/>
        <w:spacing w:before="0" w:beforeAutospacing="0" w:after="0" w:afterAutospacing="0"/>
        <w:jc w:val="both"/>
        <w:textAlignment w:val="baseline"/>
        <w:rPr>
          <w:i/>
        </w:rPr>
      </w:pPr>
    </w:p>
    <w:p w:rsidR="00FC4D89" w:rsidRPr="00FC4D89" w:rsidRDefault="00FC4D89" w:rsidP="00FC4D89">
      <w:pPr>
        <w:pStyle w:val="NormalWeb"/>
        <w:shd w:val="clear" w:color="auto" w:fill="FFFFFF"/>
        <w:spacing w:before="0" w:beforeAutospacing="0" w:after="0" w:afterAutospacing="0"/>
        <w:jc w:val="both"/>
        <w:textAlignment w:val="baseline"/>
        <w:rPr>
          <w:i/>
        </w:rPr>
      </w:pPr>
    </w:p>
    <w:p w:rsidR="00FC4D89" w:rsidRDefault="00FC4D89" w:rsidP="00FC4D89">
      <w:pPr>
        <w:shd w:val="clear" w:color="auto" w:fill="FFFFFF"/>
        <w:spacing w:line="240" w:lineRule="auto"/>
        <w:jc w:val="both"/>
        <w:textAlignment w:val="baseline"/>
        <w:rPr>
          <w:rFonts w:ascii="Times New Roman" w:hAnsi="Times New Roman"/>
          <w:color w:val="1A1A1A"/>
          <w:sz w:val="24"/>
          <w:szCs w:val="24"/>
        </w:rPr>
      </w:pPr>
      <w:r w:rsidRPr="00E67CB0">
        <w:rPr>
          <w:rFonts w:ascii="Times New Roman" w:hAnsi="Times New Roman"/>
          <w:noProof/>
          <w:color w:val="1A1A1A"/>
          <w:sz w:val="24"/>
          <w:szCs w:val="24"/>
          <w:lang w:val="en-GB" w:eastAsia="en-GB"/>
        </w:rPr>
        <w:lastRenderedPageBreak/>
        <w:drawing>
          <wp:inline distT="0" distB="0" distL="0" distR="0">
            <wp:extent cx="5334000" cy="3187700"/>
            <wp:effectExtent l="0" t="0" r="0" b="0"/>
            <wp:docPr id="245" name="Imagen 245" descr="Reshoring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horing Index"/>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3187700"/>
                    </a:xfrm>
                    <a:prstGeom prst="rect">
                      <a:avLst/>
                    </a:prstGeom>
                    <a:noFill/>
                    <a:ln>
                      <a:noFill/>
                    </a:ln>
                  </pic:spPr>
                </pic:pic>
              </a:graphicData>
            </a:graphic>
          </wp:inline>
        </w:drawing>
      </w:r>
      <w:r w:rsidRPr="00E67CB0">
        <w:rPr>
          <w:rFonts w:ascii="Times New Roman" w:hAnsi="Times New Roman"/>
          <w:color w:val="1A1A1A"/>
          <w:sz w:val="24"/>
          <w:szCs w:val="24"/>
        </w:rPr>
        <w:t>Reshoring Index</w:t>
      </w:r>
    </w:p>
    <w:p w:rsidR="00FC4D89" w:rsidRDefault="00FC4D89" w:rsidP="00FC4D89">
      <w:pPr>
        <w:pStyle w:val="NormalWeb"/>
        <w:shd w:val="clear" w:color="auto" w:fill="FFFFFF"/>
        <w:spacing w:before="0" w:beforeAutospacing="0" w:after="270" w:afterAutospacing="0"/>
        <w:jc w:val="both"/>
        <w:textAlignment w:val="baseline"/>
      </w:pPr>
      <w:r>
        <w:t xml:space="preserve">- </w:t>
      </w:r>
      <w:r w:rsidRPr="004445B9">
        <w:rPr>
          <w:u w:val="single"/>
        </w:rPr>
        <w:t>Por qué aceptar un empleo de medio tiempo podría afectar su carrera</w:t>
      </w:r>
      <w:r>
        <w:t xml:space="preserve"> (The Wall Street Journal - </w:t>
      </w:r>
      <w:r w:rsidRPr="004445B9">
        <w:rPr>
          <w:b/>
        </w:rPr>
        <w:t>12/6/16</w:t>
      </w:r>
      <w:r>
        <w:t>)                                                                              Lectura recomendada</w:t>
      </w:r>
    </w:p>
    <w:p w:rsidR="00FC4D89" w:rsidRDefault="00FC4D89" w:rsidP="00FC4D89">
      <w:pPr>
        <w:pStyle w:val="NormalWeb"/>
        <w:shd w:val="clear" w:color="auto" w:fill="FFFFFF"/>
        <w:spacing w:after="270"/>
        <w:jc w:val="both"/>
        <w:textAlignment w:val="baseline"/>
      </w:pPr>
      <w:r>
        <w:t xml:space="preserve">(Por Ben Leubsdorf)  </w:t>
      </w:r>
    </w:p>
    <w:p w:rsidR="00FC4D89" w:rsidRDefault="00FC4D89" w:rsidP="00FC4D89">
      <w:pPr>
        <w:pStyle w:val="NormalWeb"/>
        <w:shd w:val="clear" w:color="auto" w:fill="FFFFFF"/>
        <w:spacing w:after="270"/>
        <w:jc w:val="both"/>
        <w:textAlignment w:val="baseline"/>
      </w:pPr>
      <w:r>
        <w:t>Para los hombres desempleados, aceptar un trabajo de medio tiempo podría ser tan perjudicial para su carrera como seguir desocupado.</w:t>
      </w:r>
    </w:p>
    <w:p w:rsidR="00FC4D89" w:rsidRDefault="00FC4D89" w:rsidP="00FC4D89">
      <w:pPr>
        <w:pStyle w:val="NormalWeb"/>
        <w:shd w:val="clear" w:color="auto" w:fill="FFFFFF"/>
        <w:spacing w:after="270"/>
        <w:jc w:val="both"/>
        <w:textAlignment w:val="baseline"/>
      </w:pPr>
      <w:r>
        <w:t>David Pedulla, sociólogo de la Universidad de Texas en Austin, envió miles de currículums falsos para demostrar como el género y el historial laboral afectaba la posibilidad de que estos candidatos fueran llamados a una entrevista por un empleador interesado. Pedulla encontró que las mujeres que trabajaban medio tiempo tenían el doble de ser llamadas que los hombres con empleos de tiempo parcial. En realidad, los hombres con trabajos de medio tiempo tuvieron un desempeño levemente superior a los que estaban desempleados.</w:t>
      </w:r>
    </w:p>
    <w:p w:rsidR="00FC4D89" w:rsidRDefault="00FC4D89" w:rsidP="00FC4D89">
      <w:pPr>
        <w:pStyle w:val="NormalWeb"/>
        <w:shd w:val="clear" w:color="auto" w:fill="FFFFFF"/>
        <w:spacing w:after="270"/>
        <w:jc w:val="both"/>
        <w:textAlignment w:val="baseline"/>
      </w:pPr>
      <w:r>
        <w:t>En el trabajo a medio tiempo, parece haber “castigos para los hombres que son severos como el castigo por estar desempleado, mientras que en el caso de las mujeres no observamos ningún castigo”, dijo Pedulla.</w:t>
      </w:r>
    </w:p>
    <w:p w:rsidR="00FC4D89" w:rsidRDefault="00FC4D89" w:rsidP="00FC4D89">
      <w:pPr>
        <w:pStyle w:val="NormalWeb"/>
        <w:shd w:val="clear" w:color="auto" w:fill="FFFFFF"/>
        <w:spacing w:after="270"/>
        <w:jc w:val="both"/>
        <w:textAlignment w:val="baseline"/>
      </w:pPr>
      <w:r>
        <w:t>Se calcula que uno de cada seis trabajadores estadounidenses perdió su empleo durante los años de recesión de 2007, 2008 y 2009 y la desocupación siguió en niveles altos en los años siguientes, pese a la recuperación de la economía. Un número creciente de estudios indica que el daño financiero y psicológico producido por un período prolongado de desempleo puede ser significativo y duradero, en especial para quienes permanecen desocupados por lapsos más extendidos.</w:t>
      </w:r>
    </w:p>
    <w:p w:rsidR="00FC4D89" w:rsidRDefault="00FC4D89" w:rsidP="00FC4D89">
      <w:pPr>
        <w:pStyle w:val="NormalWeb"/>
        <w:shd w:val="clear" w:color="auto" w:fill="FFFFFF"/>
        <w:spacing w:after="270"/>
        <w:jc w:val="both"/>
        <w:textAlignment w:val="baseline"/>
      </w:pPr>
      <w:r>
        <w:t>La salud del mercado laboral estadounidense ha mejorado en los últimos años, pero hallar un empleo no sólo tiene que ver con la tasa de desocupación.</w:t>
      </w:r>
    </w:p>
    <w:p w:rsidR="00FC4D89" w:rsidRDefault="00FC4D89" w:rsidP="00FC4D89">
      <w:pPr>
        <w:pStyle w:val="NormalWeb"/>
        <w:shd w:val="clear" w:color="auto" w:fill="FFFFFF"/>
        <w:spacing w:after="270"/>
        <w:jc w:val="both"/>
        <w:textAlignment w:val="baseline"/>
      </w:pPr>
      <w:r>
        <w:lastRenderedPageBreak/>
        <w:t>La investigación de Pedulla, publicada en un número reciente de la revista especializada American Sociological Review, detalló un experimento en el que se enviaron 2.420 solicitudes de empleo a 1.210 vacantes en cinco ciudades de EEUU entre noviembre de 2012 y junio de 2013. Los currículums describieron a candidatos y candidatas que se habían graduado de importantes universidades estatales de la región del medio oeste de EEUU y tenían un historial laboral parecido hasta 12 meses antes de la postulación. En ese momento, los candidatos fueron divididos en cinco: los que tenían un empleo de tiempo completo, un empleo de tiempo parcial, un empleo mediante una agencia de trabajo temporal, un empleo por debajo de su nivel de destrezas (vendedor en una tienda) o desempleados.</w:t>
      </w:r>
    </w:p>
    <w:p w:rsidR="00FC4D89" w:rsidRDefault="00FC4D89" w:rsidP="00FC4D89">
      <w:pPr>
        <w:pStyle w:val="NormalWeb"/>
        <w:shd w:val="clear" w:color="auto" w:fill="FFFFFF"/>
        <w:spacing w:after="270"/>
        <w:jc w:val="both"/>
        <w:textAlignment w:val="baseline"/>
      </w:pPr>
      <w:r>
        <w:t>Entre hombres y mujeres con un trabajo de tiempo completo, 10,4% fueron llamados a una entrevista con un posible empleador. Aquellos con el trabajo por debajo de sus habilidades sólo fueron llamados un 4,7% de las veces en el caso de los varones y 5,2% en el de las mujeres.</w:t>
      </w:r>
    </w:p>
    <w:p w:rsidR="00FC4D89" w:rsidRDefault="00FC4D89" w:rsidP="00FC4D89">
      <w:pPr>
        <w:pStyle w:val="NormalWeb"/>
        <w:shd w:val="clear" w:color="auto" w:fill="FFFFFF"/>
        <w:spacing w:after="270"/>
        <w:jc w:val="both"/>
        <w:textAlignment w:val="baseline"/>
      </w:pPr>
      <w:r>
        <w:t>“Tanto para los hombres como para las mujeres, aceptar un empleo por debajo de sus habilidades resulta en un castigo severo en términos de las oportunidades de trabajo disponibles”, dijo el sociólogo.</w:t>
      </w:r>
    </w:p>
    <w:p w:rsidR="00FC4D89" w:rsidRDefault="00FC4D89" w:rsidP="00FC4D89">
      <w:pPr>
        <w:pStyle w:val="NormalWeb"/>
        <w:shd w:val="clear" w:color="auto" w:fill="FFFFFF"/>
        <w:spacing w:after="270"/>
        <w:jc w:val="both"/>
        <w:textAlignment w:val="baseline"/>
      </w:pPr>
      <w:r>
        <w:t>El trabajo temporal, en tanto, generó llamados para 7,1% de los postulantes varones, la mayor tasa después del trabajo a tiempo completo, y 8,3% de las mujeres.</w:t>
      </w:r>
    </w:p>
    <w:p w:rsidR="00FC4D89" w:rsidRDefault="00FC4D89" w:rsidP="00FC4D89">
      <w:pPr>
        <w:pStyle w:val="NormalWeb"/>
        <w:shd w:val="clear" w:color="auto" w:fill="FFFFFF"/>
        <w:spacing w:after="270"/>
        <w:jc w:val="both"/>
        <w:textAlignment w:val="baseline"/>
      </w:pPr>
      <w:r>
        <w:t>Al parecer, los empleadores no consideraron un empleo de medio tiempo como una barrera para contratar mujeres, 10,9% de las cuales fueron llamadas a una entrevista. La cifra, no obstante, cayó a 4,8% en el caso de los hombres, apenas superior al 4,2% de los desempleados que recibieron llamadas. Un 7,5% de mujeres desempleadas en el estudio fueron llamadas a una entrevista.</w:t>
      </w:r>
    </w:p>
    <w:p w:rsidR="00FC4D89" w:rsidRDefault="00FC4D89" w:rsidP="00FC4D89">
      <w:pPr>
        <w:pStyle w:val="NormalWeb"/>
        <w:shd w:val="clear" w:color="auto" w:fill="FFFFFF"/>
        <w:spacing w:after="270"/>
        <w:jc w:val="both"/>
        <w:textAlignment w:val="baseline"/>
      </w:pPr>
      <w:r>
        <w:t>¿Qué factores explican la brecha de género? Pedulla señaló en una entrevista que cuesta separar las causas de fondo. Basado en los resultados de una encuesta separada entre gerentes de personal, dijo que “parece que los hombres son castigados por trabajar medio tiempo en parte por la percepción de los empleadores sobre su grado de compromiso”. Ello, no obstante, no acontece con las mujeres.</w:t>
      </w:r>
    </w:p>
    <w:p w:rsidR="00FC4D89" w:rsidRDefault="00FC4D89" w:rsidP="00FC4D89">
      <w:pPr>
        <w:pStyle w:val="NormalWeb"/>
        <w:shd w:val="clear" w:color="auto" w:fill="FFFFFF"/>
        <w:spacing w:after="270"/>
        <w:jc w:val="both"/>
        <w:textAlignment w:val="baseline"/>
      </w:pPr>
      <w:r>
        <w:t>“Aunque hay buenas razones para que las personas acepten cualquier trabajo que encuentren, en específico cuando las penurias económicas son inminentes, los datos experimentales aquí presentados generan interrogantes sobre si todos los tipos de empleo abren nuevas oportunidades laborales para los trabajadores”, escribió Pedulla en el estudio. “En realidad, ciertos tipos de posiciones de empleo parecen enviar señales negativas a los futuros empleadores acerca de la competencia de los trabajadores y de su compromiso, castigándolos de una forma parecida a si estuvieran desempleados”.</w:t>
      </w:r>
    </w:p>
    <w:p w:rsidR="00FC4D89" w:rsidRDefault="00FC4D89" w:rsidP="00FC4D89">
      <w:pPr>
        <w:pStyle w:val="NormalWeb"/>
        <w:shd w:val="clear" w:color="auto" w:fill="FFFFFF"/>
        <w:spacing w:after="270"/>
        <w:jc w:val="both"/>
        <w:textAlignment w:val="baseline"/>
      </w:pPr>
      <w:r>
        <w:t xml:space="preserve">Algunos de sus hallazgos son parecidos a los resultados de investigaciones publicadas el año pasado por el economista de la Universidad de Princeton, Henry Farber, el economista de la Universidad Estatal de Arizona, Dan Silverman, y el economista de la Universidad de California en Los Ángeles, Till von Wachter. Los economistas, al igual que Pedulla, enviaron currículums para ver las respuestas de los posibles empleadores, aunque en este caso los falsos postulantes eran todas mujeres desempleadas. La investigación encontró que aceptar un empleo “interino de nivel bajo”, como por </w:t>
      </w:r>
      <w:r>
        <w:lastRenderedPageBreak/>
        <w:t>ejemplo, cajera de una tienda, reducía en forma importante la probabilidad de ser llamada a una entrevista.</w:t>
      </w:r>
    </w:p>
    <w:p w:rsidR="00FC4D89" w:rsidRDefault="00FC4D89" w:rsidP="00FC4D89">
      <w:pPr>
        <w:pStyle w:val="NormalWeb"/>
        <w:shd w:val="clear" w:color="auto" w:fill="FFFFFF"/>
        <w:spacing w:after="270"/>
        <w:jc w:val="both"/>
        <w:textAlignment w:val="baseline"/>
      </w:pPr>
      <w:r>
        <w:t>“Al parecer, a un trabajador desempleado le conviene más seguir desocupado y seguir buscando que aceptar un empleo de bajo nivel y seguir buscando”, señalaron los autores. “Si un postulante aceptó un trabajo de bajo nivel en forma interina, podría ser mejor que no lo pusieran en su currículum”.</w:t>
      </w:r>
    </w:p>
    <w:p w:rsidR="00FC4D89" w:rsidRDefault="00FC4D89" w:rsidP="00FC4D89">
      <w:pPr>
        <w:pStyle w:val="NormalWeb"/>
        <w:shd w:val="clear" w:color="auto" w:fill="FFFFFF"/>
        <w:spacing w:before="0" w:beforeAutospacing="0" w:after="270" w:afterAutospacing="0"/>
        <w:jc w:val="both"/>
        <w:textAlignment w:val="baseline"/>
      </w:pPr>
      <w:r>
        <w:t>Farber, Silverman y von Wachter también hallaron que los empleados de más de 50 años tenían menos probabilidades de ser llamados que los menores de 50 años. No encontraron una relación entre los llamados de los empleadores interesados en sus servicios y el tiempo de desempleo, un hallazgo que no encaja con las conclusiones de otros estudios que hallaron evidencia de discriminación contra quienes llevaban más tiempo al margen de la fuerza laboral, recalcaron los autores.</w:t>
      </w:r>
    </w:p>
    <w:p w:rsidR="00FC4D89" w:rsidRPr="00FC4D89" w:rsidRDefault="00FC4D89" w:rsidP="00FC4D89">
      <w:pPr>
        <w:pStyle w:val="NormalWeb"/>
        <w:shd w:val="clear" w:color="auto" w:fill="FFFFFF"/>
        <w:spacing w:before="0" w:beforeAutospacing="0" w:after="270" w:afterAutospacing="0"/>
        <w:jc w:val="both"/>
        <w:textAlignment w:val="baseline"/>
        <w:rPr>
          <w:i/>
        </w:rPr>
      </w:pPr>
      <w:r>
        <w:rPr>
          <w:i/>
        </w:rPr>
        <w:t>“</w:t>
      </w:r>
      <w:r w:rsidRPr="00FC4D89">
        <w:rPr>
          <w:i/>
        </w:rPr>
        <w:t>La economía china camina por la cuerda floja. El gobierno central, preocupado por la pérdida de empresas manufactureras de bajo costo que optan por trasladarse a otros países, les está ofreciendo incentivos para instalarse en otras regiones más baratas de China. Al mismo tiempo, las autoridades quieren también elevar los salarios y estimular la demanda mediante el desarrollo de manufacturas de alta tecnología, como semiconductores y robótica.</w:t>
      </w:r>
    </w:p>
    <w:p w:rsidR="00FC4D89" w:rsidRPr="00FC4D89" w:rsidRDefault="00FC4D89" w:rsidP="00FC4D89">
      <w:pPr>
        <w:pStyle w:val="NormalWeb"/>
        <w:shd w:val="clear" w:color="auto" w:fill="FFFFFF"/>
        <w:spacing w:before="0" w:beforeAutospacing="0" w:after="270" w:afterAutospacing="0"/>
        <w:jc w:val="both"/>
        <w:textAlignment w:val="baseline"/>
        <w:rPr>
          <w:i/>
        </w:rPr>
      </w:pPr>
      <w:r w:rsidRPr="00FC4D89">
        <w:rPr>
          <w:i/>
        </w:rPr>
        <w:t>Las autoridades, por ende, tienen que mantener un delicado equilibrio mientras tratan de impedir que los salarios demasiado rápido como para restarle competitividad a la economía y, por otra parte, estimulan otras clases de empleo fabril con el fin de aumentar los ingresos y crear una economía que dependa más del consumo.</w:t>
      </w:r>
    </w:p>
    <w:p w:rsidR="00FC4D89" w:rsidRPr="00FC4D89" w:rsidRDefault="00FC4D89" w:rsidP="00FC4D89">
      <w:pPr>
        <w:pStyle w:val="NormalWeb"/>
        <w:shd w:val="clear" w:color="auto" w:fill="FFFFFF"/>
        <w:spacing w:before="0" w:beforeAutospacing="0" w:after="270" w:afterAutospacing="0"/>
        <w:jc w:val="both"/>
        <w:textAlignment w:val="baseline"/>
        <w:rPr>
          <w:i/>
        </w:rPr>
      </w:pPr>
      <w:r w:rsidRPr="00FC4D89">
        <w:rPr>
          <w:i/>
        </w:rPr>
        <w:t>China no publica cifras de cierres o reubicaciones de fábricas. No obstante, según un análisis de la investigadora Justina Yung de la Universidad Politécnica de Hong Kong por encargo de la Federación de Industrias de Hong Kong, la cantidad de plantas en manos de empresas de Hong Kong que operan en el Delta del Río de las Perlas, cerca de Hong Kong, descendió en un tercio a 32.000 en 2013 desde su máximo de 2006. Muchas de esas fábricas se trasladaron a países con salarios más bajos.</w:t>
      </w:r>
    </w:p>
    <w:p w:rsidR="00FC4D89" w:rsidRPr="00FC4D89" w:rsidRDefault="00FC4D89" w:rsidP="00FC4D89">
      <w:pPr>
        <w:pStyle w:val="NormalWeb"/>
        <w:shd w:val="clear" w:color="auto" w:fill="FFFFFF"/>
        <w:spacing w:before="0" w:beforeAutospacing="0" w:after="270" w:afterAutospacing="0"/>
        <w:jc w:val="both"/>
        <w:textAlignment w:val="baseline"/>
        <w:rPr>
          <w:i/>
        </w:rPr>
      </w:pPr>
      <w:r w:rsidRPr="00FC4D89">
        <w:rPr>
          <w:i/>
        </w:rPr>
        <w:t>Los costos laborales de China han crecido más que la inflación durante años, según la consultora BMI Research, y en la actualidad casi cuadruplican los de Bangladesh, Camboya, Myanmar y Laos.</w:t>
      </w:r>
    </w:p>
    <w:p w:rsidR="00FC4D89" w:rsidRDefault="00FC4D89" w:rsidP="00FC4D89">
      <w:pPr>
        <w:pStyle w:val="NormalWeb"/>
        <w:spacing w:before="300" w:beforeAutospacing="0" w:after="0" w:afterAutospacing="0"/>
        <w:jc w:val="both"/>
      </w:pPr>
      <w:r w:rsidRPr="00FC4D89">
        <w:rPr>
          <w:i/>
        </w:rPr>
        <w:t xml:space="preserve">Algunas empresas textiles también hallan ventajas en Vietnam. “Mudarse a Vietnam es una tendencia”, dice Wang Wei, gerente general de Guangzhou Weihong Footwear Industrial Co., que instaló en 2013 su primera fábrica en la ciudad del sudeste de Vietnam Thuan An, desde donde suple a gigantes del calzado deportivo como </w:t>
      </w:r>
      <w:hyperlink r:id="rId112" w:history="1">
        <w:r w:rsidRPr="00FC4D89">
          <w:rPr>
            <w:rStyle w:val="Hipervnculo"/>
            <w:i/>
            <w:color w:val="auto"/>
            <w:u w:val="none"/>
          </w:rPr>
          <w:t>Nike</w:t>
        </w:r>
      </w:hyperlink>
      <w:r w:rsidRPr="00FC4D89">
        <w:rPr>
          <w:rStyle w:val="apple-converted-space"/>
          <w:rFonts w:eastAsiaTheme="majorEastAsia"/>
          <w:i/>
          <w:bdr w:val="none" w:sz="0" w:space="0" w:color="auto" w:frame="1"/>
        </w:rPr>
        <w:t> </w:t>
      </w:r>
      <w:r w:rsidRPr="00FC4D89">
        <w:rPr>
          <w:i/>
          <w:bdr w:val="none" w:sz="0" w:space="0" w:color="auto" w:frame="1"/>
        </w:rPr>
        <w:t>Inc.,</w:t>
      </w:r>
      <w:r w:rsidRPr="00FC4D89">
        <w:rPr>
          <w:rStyle w:val="apple-converted-space"/>
          <w:rFonts w:eastAsiaTheme="majorEastAsia"/>
          <w:i/>
        </w:rPr>
        <w:t> </w:t>
      </w:r>
      <w:hyperlink r:id="rId113" w:history="1">
        <w:r w:rsidRPr="00FC4D89">
          <w:rPr>
            <w:rStyle w:val="Hipervnculo"/>
            <w:i/>
            <w:color w:val="auto"/>
            <w:u w:val="none"/>
          </w:rPr>
          <w:t>Adidas</w:t>
        </w:r>
      </w:hyperlink>
      <w:r w:rsidRPr="00FC4D89">
        <w:rPr>
          <w:rStyle w:val="apple-converted-space"/>
          <w:rFonts w:eastAsiaTheme="majorEastAsia"/>
          <w:i/>
          <w:bdr w:val="none" w:sz="0" w:space="0" w:color="auto" w:frame="1"/>
        </w:rPr>
        <w:t> </w:t>
      </w:r>
      <w:r w:rsidRPr="00FC4D89">
        <w:rPr>
          <w:i/>
          <w:bdr w:val="none" w:sz="0" w:space="0" w:color="auto" w:frame="1"/>
        </w:rPr>
        <w:t>AG</w:t>
      </w:r>
      <w:r w:rsidRPr="00FC4D89">
        <w:rPr>
          <w:rStyle w:val="apple-converted-space"/>
          <w:rFonts w:eastAsiaTheme="majorEastAsia"/>
          <w:i/>
        </w:rPr>
        <w:t> </w:t>
      </w:r>
      <w:r w:rsidRPr="00FC4D89">
        <w:rPr>
          <w:i/>
        </w:rPr>
        <w:t>y</w:t>
      </w:r>
      <w:r w:rsidRPr="00FC4D89">
        <w:rPr>
          <w:rStyle w:val="apple-converted-space"/>
          <w:rFonts w:eastAsiaTheme="majorEastAsia"/>
          <w:i/>
        </w:rPr>
        <w:t> </w:t>
      </w:r>
      <w:hyperlink r:id="rId114" w:history="1">
        <w:r w:rsidRPr="00FC4D89">
          <w:rPr>
            <w:rStyle w:val="Hipervnculo"/>
            <w:i/>
            <w:color w:val="auto"/>
            <w:u w:val="none"/>
          </w:rPr>
          <w:t>Puma SE</w:t>
        </w:r>
      </w:hyperlink>
      <w:r w:rsidRPr="00FC4D89">
        <w:rPr>
          <w:i/>
          <w:bdr w:val="none" w:sz="0" w:space="0" w:color="auto" w:frame="1"/>
        </w:rPr>
        <w:t>.</w:t>
      </w:r>
      <w:r w:rsidRPr="00FC4D89">
        <w:rPr>
          <w:rStyle w:val="apple-converted-space"/>
          <w:rFonts w:eastAsiaTheme="majorEastAsia"/>
          <w:i/>
        </w:rPr>
        <w:t> </w:t>
      </w:r>
      <w:r w:rsidRPr="00FC4D89">
        <w:rPr>
          <w:i/>
        </w:rPr>
        <w:t>Weihong contempla la construcción de una segunda planta de zapatos y el traslado de varias plantas textiles desde China a Vietnam</w:t>
      </w:r>
      <w:r>
        <w:rPr>
          <w:i/>
        </w:rPr>
        <w:t>”..</w:t>
      </w:r>
      <w:r w:rsidRPr="00FC4D89">
        <w:rPr>
          <w:i/>
        </w:rPr>
        <w:t>.</w:t>
      </w:r>
      <w:r w:rsidRPr="004445B9">
        <w:rPr>
          <w:u w:val="single"/>
        </w:rPr>
        <w:t>China lucha para evitar que sus fábricas se muden a países con menores costos</w:t>
      </w:r>
      <w:r>
        <w:t xml:space="preserve"> (The Wall Street Journal - </w:t>
      </w:r>
      <w:r>
        <w:rPr>
          <w:b/>
        </w:rPr>
        <w:t>13</w:t>
      </w:r>
      <w:r w:rsidRPr="004445B9">
        <w:rPr>
          <w:b/>
        </w:rPr>
        <w:t>/6/16</w:t>
      </w:r>
      <w:r>
        <w:t xml:space="preserve">) </w:t>
      </w:r>
    </w:p>
    <w:p w:rsidR="00FC4D89" w:rsidRPr="00FC4D89" w:rsidRDefault="00FC4D89" w:rsidP="00FC4D89">
      <w:pPr>
        <w:pStyle w:val="NormalWeb"/>
        <w:shd w:val="clear" w:color="auto" w:fill="FFFFFF"/>
        <w:spacing w:before="0" w:beforeAutospacing="0" w:after="0" w:afterAutospacing="0"/>
        <w:jc w:val="both"/>
        <w:textAlignment w:val="baseline"/>
        <w:rPr>
          <w:i/>
        </w:rPr>
      </w:pPr>
      <w:r w:rsidRPr="004445B9">
        <w:rPr>
          <w:rFonts w:ascii="Arial" w:hAnsi="Arial" w:cs="Arial"/>
          <w:noProof/>
          <w:sz w:val="15"/>
          <w:szCs w:val="15"/>
          <w:lang w:val="en-GB" w:eastAsia="en-GB"/>
        </w:rPr>
        <w:lastRenderedPageBreak/>
        <w:drawing>
          <wp:inline distT="0" distB="0" distL="0" distR="0">
            <wp:extent cx="5308600" cy="3219450"/>
            <wp:effectExtent l="0" t="0" r="6350" b="0"/>
            <wp:docPr id="246" name="Imagen 246" descr="https://si.wsj.net/public/resources/images/AO-AB071_wsjamd_NS_20160612190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071_wsjamd_NS_20160612190118.jpg"/>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8600" cy="3219450"/>
                    </a:xfrm>
                    <a:prstGeom prst="rect">
                      <a:avLst/>
                    </a:prstGeom>
                    <a:noFill/>
                    <a:ln>
                      <a:noFill/>
                    </a:ln>
                  </pic:spPr>
                </pic:pic>
              </a:graphicData>
            </a:graphic>
          </wp:inline>
        </w:drawing>
      </w:r>
    </w:p>
    <w:p w:rsidR="00FC4D89" w:rsidRDefault="00FC4D89" w:rsidP="00FC4D89">
      <w:pPr>
        <w:shd w:val="clear" w:color="auto" w:fill="FFFFFF"/>
        <w:spacing w:after="270" w:line="240" w:lineRule="auto"/>
        <w:jc w:val="both"/>
        <w:textAlignment w:val="baseline"/>
        <w:rPr>
          <w:rFonts w:ascii="Times New Roman" w:eastAsia="Times New Roman" w:hAnsi="Times New Roman"/>
          <w:sz w:val="24"/>
          <w:szCs w:val="24"/>
        </w:rPr>
      </w:pPr>
    </w:p>
    <w:p w:rsidR="00FC4D89" w:rsidRPr="00FC4D89" w:rsidRDefault="00FC4D89" w:rsidP="00FC4D89">
      <w:pPr>
        <w:shd w:val="clear" w:color="auto" w:fill="FFFFFF"/>
        <w:spacing w:after="270" w:line="240" w:lineRule="auto"/>
        <w:jc w:val="both"/>
        <w:textAlignment w:val="baseline"/>
        <w:rPr>
          <w:rFonts w:ascii="Times New Roman" w:eastAsia="Times New Roman" w:hAnsi="Times New Roman"/>
          <w:i/>
          <w:sz w:val="24"/>
          <w:szCs w:val="24"/>
        </w:rPr>
      </w:pPr>
      <w:r>
        <w:rPr>
          <w:rFonts w:ascii="Times New Roman" w:eastAsia="Times New Roman" w:hAnsi="Times New Roman"/>
          <w:i/>
          <w:sz w:val="24"/>
          <w:szCs w:val="24"/>
        </w:rPr>
        <w:t>“</w:t>
      </w:r>
      <w:r w:rsidRPr="00FC4D89">
        <w:rPr>
          <w:rFonts w:ascii="Times New Roman" w:eastAsia="Times New Roman" w:hAnsi="Times New Roman"/>
          <w:i/>
          <w:sz w:val="24"/>
          <w:szCs w:val="24"/>
        </w:rPr>
        <w:t>Como tras una larga batalla, Europa empieza a hacer balance del daño causado por la Gran Recesión a partir de 2008. Y entre las víctimas destacan, junto a los millones de puestos de trabajo destruidos, los parados que tardan en volver al mercado laboral y que, en los casos más dramáticos, tal vez nunca lo consigan…</w:t>
      </w:r>
    </w:p>
    <w:p w:rsidR="00FC4D89" w:rsidRPr="00FC4D89" w:rsidRDefault="00FC4D89" w:rsidP="00FC4D89">
      <w:pPr>
        <w:shd w:val="clear" w:color="auto" w:fill="FFFFFF"/>
        <w:spacing w:after="270" w:line="240" w:lineRule="auto"/>
        <w:jc w:val="both"/>
        <w:textAlignment w:val="baseline"/>
        <w:rPr>
          <w:rFonts w:ascii="Times New Roman" w:eastAsia="Times New Roman" w:hAnsi="Times New Roman"/>
          <w:i/>
          <w:sz w:val="24"/>
          <w:szCs w:val="24"/>
        </w:rPr>
      </w:pPr>
      <w:r w:rsidRPr="00FC4D89">
        <w:rPr>
          <w:rFonts w:ascii="Times New Roman" w:eastAsia="Times New Roman" w:hAnsi="Times New Roman"/>
          <w:i/>
          <w:sz w:val="24"/>
          <w:szCs w:val="24"/>
        </w:rPr>
        <w:t>El problema castiga a una buena parte del continente. De los 21 millones de parados que hay en Europa, la mitad lleva ya más de un año sin empleo, según los datos de la CE. Y de ellos, más de siete millones de personas llevan más de 24 meses sin encontrar trabajo. Unos parados de por vida que pueden convertirse en una de las herencias más dolorosas y difíciles de gestionar que dejará la crisis actual.</w:t>
      </w:r>
    </w:p>
    <w:p w:rsidR="00FC4D89" w:rsidRPr="00FC4D89" w:rsidRDefault="00FC4D89" w:rsidP="00FC4D89">
      <w:pPr>
        <w:shd w:val="clear" w:color="auto" w:fill="FFFFFF"/>
        <w:spacing w:after="270" w:line="240" w:lineRule="auto"/>
        <w:jc w:val="both"/>
        <w:textAlignment w:val="baseline"/>
        <w:rPr>
          <w:rFonts w:ascii="Times New Roman" w:eastAsia="Times New Roman" w:hAnsi="Times New Roman"/>
          <w:i/>
          <w:sz w:val="24"/>
          <w:szCs w:val="24"/>
        </w:rPr>
      </w:pPr>
      <w:r w:rsidRPr="00FC4D89">
        <w:rPr>
          <w:rFonts w:ascii="Times New Roman" w:eastAsia="Times New Roman" w:hAnsi="Times New Roman"/>
          <w:i/>
          <w:sz w:val="24"/>
          <w:szCs w:val="24"/>
        </w:rPr>
        <w:t>“El paro de larga duración se ha convertido en el principal legado dejado por la crisis en el mercado laboral”, concluye un informe publicado el pasado viernes por la Fundación Bertelsmann. Y señala que ese tipo de paro ya es el dominante en España, Italia, Bélgica, Grecia, Portugal, Eslovaquia, Eslovenia y Letonia, dentro de la zona euro, además de Croacia y Bulgaria en el conjunto de la Unión Europea.</w:t>
      </w:r>
    </w:p>
    <w:p w:rsidR="00FC4D89" w:rsidRPr="005A35CB" w:rsidRDefault="00FC4D89" w:rsidP="00FC4D89">
      <w:pPr>
        <w:shd w:val="clear" w:color="auto" w:fill="FFFFFF"/>
        <w:spacing w:after="270" w:line="240" w:lineRule="auto"/>
        <w:jc w:val="both"/>
        <w:textAlignment w:val="baseline"/>
        <w:rPr>
          <w:rFonts w:ascii="Times New Roman" w:eastAsia="Times New Roman" w:hAnsi="Times New Roman"/>
          <w:sz w:val="24"/>
          <w:szCs w:val="24"/>
        </w:rPr>
      </w:pPr>
      <w:r w:rsidRPr="00FC4D89">
        <w:rPr>
          <w:rFonts w:ascii="Times New Roman" w:eastAsia="Times New Roman" w:hAnsi="Times New Roman"/>
          <w:i/>
          <w:sz w:val="24"/>
          <w:szCs w:val="24"/>
        </w:rPr>
        <w:t>En todos esos países, el paro de larga duración supone más del 50% del total (en España, el 52,8%). En Grecia, el país que se ha convertido en el símbolo de todos los males de la zona euro, llega al 73% del total de los parados, según recoge el documento de la fundación alemana</w:t>
      </w:r>
      <w:r>
        <w:rPr>
          <w:rFonts w:ascii="Times New Roman" w:eastAsia="Times New Roman" w:hAnsi="Times New Roman"/>
          <w:i/>
          <w:sz w:val="24"/>
          <w:szCs w:val="24"/>
        </w:rPr>
        <w:t>”..</w:t>
      </w:r>
      <w:r w:rsidRPr="00FC4D89">
        <w:rPr>
          <w:rFonts w:ascii="Times New Roman" w:eastAsia="Times New Roman" w:hAnsi="Times New Roman"/>
          <w:i/>
          <w:sz w:val="24"/>
          <w:szCs w:val="24"/>
        </w:rPr>
        <w:t>.</w:t>
      </w:r>
      <w:r w:rsidRPr="005A35CB">
        <w:rPr>
          <w:rFonts w:ascii="Times New Roman" w:eastAsia="Times New Roman" w:hAnsi="Times New Roman"/>
          <w:sz w:val="24"/>
          <w:szCs w:val="24"/>
          <w:u w:val="single"/>
        </w:rPr>
        <w:t>El paro eterno castiga a Europ</w:t>
      </w:r>
      <w:r>
        <w:rPr>
          <w:rFonts w:ascii="Times New Roman" w:eastAsia="Times New Roman" w:hAnsi="Times New Roman"/>
          <w:sz w:val="24"/>
          <w:szCs w:val="24"/>
        </w:rPr>
        <w:t xml:space="preserve">a (Cinco Días - </w:t>
      </w:r>
      <w:r w:rsidRPr="005A35CB">
        <w:rPr>
          <w:rFonts w:ascii="Times New Roman" w:eastAsia="Times New Roman" w:hAnsi="Times New Roman"/>
          <w:b/>
          <w:sz w:val="24"/>
          <w:szCs w:val="24"/>
        </w:rPr>
        <w:t>13/6/16</w:t>
      </w:r>
      <w:r>
        <w:rPr>
          <w:rFonts w:ascii="Times New Roman" w:eastAsia="Times New Roman" w:hAnsi="Times New Roman"/>
          <w:sz w:val="24"/>
          <w:szCs w:val="24"/>
        </w:rPr>
        <w:t>)</w:t>
      </w:r>
    </w:p>
    <w:p w:rsidR="00433D95" w:rsidRDefault="00433D95" w:rsidP="00433D95">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DF0248">
        <w:rPr>
          <w:rFonts w:ascii="Times New Roman" w:eastAsia="Times New Roman" w:hAnsi="Times New Roman"/>
          <w:sz w:val="24"/>
          <w:szCs w:val="24"/>
          <w:u w:val="single"/>
        </w:rPr>
        <w:t>La corta lista de lo</w:t>
      </w:r>
      <w:r>
        <w:rPr>
          <w:rFonts w:ascii="Times New Roman" w:eastAsia="Times New Roman" w:hAnsi="Times New Roman"/>
          <w:sz w:val="24"/>
          <w:szCs w:val="24"/>
          <w:u w:val="single"/>
        </w:rPr>
        <w:t>s trabajos que pagan bien en EE</w:t>
      </w:r>
      <w:r w:rsidRPr="00DF0248">
        <w:rPr>
          <w:rFonts w:ascii="Times New Roman" w:eastAsia="Times New Roman" w:hAnsi="Times New Roman"/>
          <w:sz w:val="24"/>
          <w:szCs w:val="24"/>
          <w:u w:val="single"/>
        </w:rPr>
        <w:t>UU</w:t>
      </w:r>
      <w:r>
        <w:rPr>
          <w:rFonts w:ascii="Times New Roman" w:eastAsia="Times New Roman" w:hAnsi="Times New Roman"/>
          <w:sz w:val="24"/>
          <w:szCs w:val="24"/>
        </w:rPr>
        <w:t xml:space="preserve"> (The Wall Street Journal - </w:t>
      </w:r>
      <w:r w:rsidRPr="00DF0248">
        <w:rPr>
          <w:rFonts w:ascii="Times New Roman" w:eastAsia="Times New Roman" w:hAnsi="Times New Roman"/>
          <w:b/>
          <w:sz w:val="24"/>
          <w:szCs w:val="24"/>
        </w:rPr>
        <w:t>2/8/16</w:t>
      </w:r>
      <w:r>
        <w:rPr>
          <w:rFonts w:ascii="Times New Roman" w:eastAsia="Times New Roman" w:hAnsi="Times New Roman"/>
          <w:sz w:val="24"/>
          <w:szCs w:val="24"/>
        </w:rPr>
        <w:t>)                                                                                               Lectura recomendada</w:t>
      </w:r>
    </w:p>
    <w:p w:rsidR="00433D95" w:rsidRPr="00DF0248" w:rsidRDefault="00433D95" w:rsidP="00433D95">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bdr w:val="none" w:sz="0" w:space="0" w:color="auto" w:frame="1"/>
        </w:rPr>
        <w:t>(</w:t>
      </w:r>
      <w:r w:rsidRPr="00DF0248">
        <w:rPr>
          <w:rFonts w:ascii="Times New Roman" w:eastAsia="Times New Roman" w:hAnsi="Times New Roman"/>
          <w:sz w:val="24"/>
          <w:szCs w:val="24"/>
          <w:bdr w:val="none" w:sz="0" w:space="0" w:color="auto" w:frame="1"/>
        </w:rPr>
        <w:t>Por</w:t>
      </w:r>
      <w:r>
        <w:rPr>
          <w:rFonts w:ascii="Times New Roman" w:eastAsia="Times New Roman" w:hAnsi="Times New Roman"/>
          <w:sz w:val="24"/>
          <w:szCs w:val="24"/>
          <w:bdr w:val="none" w:sz="0" w:space="0" w:color="auto" w:frame="1"/>
        </w:rPr>
        <w:t xml:space="preserve"> Jeffrey Sparshott)</w:t>
      </w:r>
      <w:r w:rsidRPr="00DF0248">
        <w:rPr>
          <w:rFonts w:ascii="Times New Roman" w:eastAsia="Times New Roman" w:hAnsi="Times New Roman"/>
          <w:sz w:val="24"/>
          <w:szCs w:val="24"/>
        </w:rPr>
        <w:t> </w:t>
      </w:r>
    </w:p>
    <w:p w:rsidR="00433D95" w:rsidRPr="00DF0248" w:rsidRDefault="00433D95" w:rsidP="00433D95">
      <w:pPr>
        <w:shd w:val="clear" w:color="auto" w:fill="FFFFFF"/>
        <w:spacing w:after="270" w:line="240" w:lineRule="auto"/>
        <w:jc w:val="both"/>
        <w:textAlignment w:val="baseline"/>
        <w:rPr>
          <w:rFonts w:ascii="Times New Roman" w:eastAsia="Times New Roman" w:hAnsi="Times New Roman"/>
          <w:sz w:val="24"/>
          <w:szCs w:val="24"/>
        </w:rPr>
      </w:pPr>
      <w:r w:rsidRPr="00DF0248">
        <w:rPr>
          <w:rFonts w:ascii="Times New Roman" w:eastAsia="Times New Roman" w:hAnsi="Times New Roman"/>
          <w:sz w:val="24"/>
          <w:szCs w:val="24"/>
        </w:rPr>
        <w:t>Durante la última década, sólo una pequeña fracción de los estadounidenses en edad productiva ha conseguido empleos que ofrecen buenos salarios y aumentos salariales significativos.</w:t>
      </w:r>
    </w:p>
    <w:p w:rsidR="00433D95" w:rsidRPr="00DF0248" w:rsidRDefault="00433D95" w:rsidP="00433D95">
      <w:pPr>
        <w:shd w:val="clear" w:color="auto" w:fill="FFFFFF"/>
        <w:spacing w:after="270" w:line="240" w:lineRule="auto"/>
        <w:jc w:val="both"/>
        <w:textAlignment w:val="baseline"/>
        <w:rPr>
          <w:rFonts w:ascii="Times New Roman" w:eastAsia="Times New Roman" w:hAnsi="Times New Roman"/>
          <w:sz w:val="24"/>
          <w:szCs w:val="24"/>
        </w:rPr>
      </w:pPr>
      <w:r w:rsidRPr="00DF0248">
        <w:rPr>
          <w:rFonts w:ascii="Times New Roman" w:eastAsia="Times New Roman" w:hAnsi="Times New Roman"/>
          <w:sz w:val="24"/>
          <w:szCs w:val="24"/>
        </w:rPr>
        <w:lastRenderedPageBreak/>
        <w:t>Esta es la conclusión de un nuevo estudio realizado por el sitio de búsqueda de empleo Indeed, que revela un amplio descontento económico entre muchos estadounidenses. La investigación encontró que sólo 15% de la población en edad de trabajar tiene un empleo que ofrece un alza salarial que haya al menos igualado el récord promedio de los ingresos familiares y que no haya retrocedido respecto de la inflación durante la última década.</w:t>
      </w:r>
    </w:p>
    <w:p w:rsidR="00433D95" w:rsidRPr="00DF0248" w:rsidRDefault="00433D95" w:rsidP="00433D95">
      <w:pPr>
        <w:shd w:val="clear" w:color="auto" w:fill="FFFFFF"/>
        <w:spacing w:after="270" w:line="240" w:lineRule="auto"/>
        <w:jc w:val="both"/>
        <w:textAlignment w:val="baseline"/>
        <w:rPr>
          <w:rFonts w:ascii="Times New Roman" w:eastAsia="Times New Roman" w:hAnsi="Times New Roman"/>
          <w:sz w:val="24"/>
          <w:szCs w:val="24"/>
        </w:rPr>
      </w:pPr>
      <w:r w:rsidRPr="00DF0248">
        <w:rPr>
          <w:rFonts w:ascii="Times New Roman" w:eastAsia="Times New Roman" w:hAnsi="Times New Roman"/>
          <w:sz w:val="24"/>
          <w:szCs w:val="24"/>
        </w:rPr>
        <w:t>“Hay un pequeño grupo de personas [que] tiene buenos salarios y aumentos salariales, mientras que la gran mayoría de nuestro mercado laboral está luchando por lo menos en uno de esos dos frentes”, dijo Tara Sinclair, economista jefe de Indeed.</w:t>
      </w:r>
    </w:p>
    <w:p w:rsidR="00433D95" w:rsidRDefault="00433D95" w:rsidP="00433D95">
      <w:pPr>
        <w:shd w:val="clear" w:color="auto" w:fill="FFFFFF"/>
        <w:spacing w:after="270" w:line="240" w:lineRule="auto"/>
        <w:jc w:val="both"/>
        <w:textAlignment w:val="baseline"/>
        <w:rPr>
          <w:rFonts w:ascii="Times New Roman" w:eastAsia="Times New Roman" w:hAnsi="Times New Roman"/>
          <w:sz w:val="24"/>
          <w:szCs w:val="24"/>
        </w:rPr>
      </w:pPr>
      <w:r w:rsidRPr="00DF0248">
        <w:rPr>
          <w:rFonts w:ascii="Times New Roman" w:eastAsia="Times New Roman" w:hAnsi="Times New Roman"/>
          <w:sz w:val="24"/>
          <w:szCs w:val="24"/>
        </w:rPr>
        <w:t>(La compañía utilizó datos de la Oficina de Estadísticas Laborales de</w:t>
      </w:r>
      <w:r>
        <w:rPr>
          <w:rFonts w:ascii="Times New Roman" w:eastAsia="Times New Roman" w:hAnsi="Times New Roman"/>
          <w:sz w:val="24"/>
          <w:szCs w:val="24"/>
        </w:rPr>
        <w:t>l Departamento de Trabajo de EEUU</w:t>
      </w:r>
      <w:r w:rsidRPr="00DF0248">
        <w:rPr>
          <w:rFonts w:ascii="Times New Roman" w:eastAsia="Times New Roman" w:hAnsi="Times New Roman"/>
          <w:sz w:val="24"/>
          <w:szCs w:val="24"/>
        </w:rPr>
        <w:t xml:space="preserve"> y los listados de trabajo de su sitio. El estudio se centró en las ocupaciones con un salario medio anual de al menos US$57.700, el ingreso familiar promedio ajustado por inflación del año 2000, muy cercano al máximo de 1999. Si bien el informe concluye formalmente con los datos de 2014, Indeed indicó que las tendencias se mantuvieron en 2015.)</w:t>
      </w:r>
    </w:p>
    <w:p w:rsidR="00433D95" w:rsidRDefault="00433D95" w:rsidP="00433D95">
      <w:pPr>
        <w:shd w:val="clear" w:color="auto" w:fill="FFFFFF"/>
        <w:spacing w:after="270" w:line="240" w:lineRule="auto"/>
        <w:jc w:val="both"/>
        <w:textAlignment w:val="baseline"/>
        <w:rPr>
          <w:rFonts w:ascii="Times New Roman" w:eastAsia="Times New Roman" w:hAnsi="Times New Roman"/>
          <w:sz w:val="24"/>
          <w:szCs w:val="24"/>
        </w:rPr>
      </w:pPr>
      <w:r w:rsidRPr="00DF0248">
        <w:rPr>
          <w:rFonts w:ascii="Times New Roman" w:eastAsia="Times New Roman" w:hAnsi="Times New Roman"/>
          <w:sz w:val="24"/>
          <w:szCs w:val="24"/>
        </w:rPr>
        <w:t>No hay que perder de vista que el mercado laboral ha estado agregando constantemente puestos de trabajo durante años y los salarios empiezan a mostrar signos de aceleración. Algunos economistas prevén que el crecimiento salarial repunte en los próximos meses.</w:t>
      </w:r>
    </w:p>
    <w:p w:rsidR="00433D95" w:rsidRDefault="00433D95" w:rsidP="00433D95">
      <w:pPr>
        <w:shd w:val="clear" w:color="auto" w:fill="FFFFFF"/>
        <w:spacing w:after="270" w:line="240" w:lineRule="auto"/>
        <w:jc w:val="both"/>
        <w:textAlignment w:val="baseline"/>
        <w:rPr>
          <w:rFonts w:ascii="Times New Roman" w:eastAsia="Times New Roman" w:hAnsi="Times New Roman"/>
          <w:sz w:val="24"/>
          <w:szCs w:val="24"/>
        </w:rPr>
      </w:pPr>
      <w:r w:rsidRPr="00DF0248">
        <w:rPr>
          <w:rFonts w:ascii="Times New Roman" w:eastAsia="Times New Roman" w:hAnsi="Times New Roman"/>
          <w:noProof/>
          <w:sz w:val="24"/>
          <w:szCs w:val="24"/>
          <w:lang w:val="en-GB" w:eastAsia="en-GB"/>
        </w:rPr>
        <w:drawing>
          <wp:inline distT="0" distB="0" distL="0" distR="0">
            <wp:extent cx="5397500" cy="4826000"/>
            <wp:effectExtent l="0" t="0" r="0" b="0"/>
            <wp:docPr id="255" name="Imagen 255" descr="https://si.wsj.net/public/resources/images/OA-BD187_DHighJ_NS_20160801193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OA-BD187_DHighJ_NS_20160801193929.jpg"/>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828271"/>
                    </a:xfrm>
                    <a:prstGeom prst="rect">
                      <a:avLst/>
                    </a:prstGeom>
                    <a:noFill/>
                    <a:ln>
                      <a:noFill/>
                    </a:ln>
                  </pic:spPr>
                </pic:pic>
              </a:graphicData>
            </a:graphic>
          </wp:inline>
        </w:drawing>
      </w:r>
    </w:p>
    <w:p w:rsidR="00433D95" w:rsidRDefault="00433D95" w:rsidP="00433D95">
      <w:pPr>
        <w:shd w:val="clear" w:color="auto" w:fill="FFFFFF"/>
        <w:spacing w:after="270" w:line="240" w:lineRule="auto"/>
        <w:jc w:val="both"/>
        <w:textAlignment w:val="baseline"/>
        <w:rPr>
          <w:rFonts w:ascii="Times New Roman" w:eastAsia="Times New Roman" w:hAnsi="Times New Roman"/>
          <w:sz w:val="24"/>
          <w:szCs w:val="24"/>
        </w:rPr>
      </w:pPr>
      <w:r w:rsidRPr="00DF0248">
        <w:rPr>
          <w:rFonts w:ascii="Times New Roman" w:eastAsia="Times New Roman" w:hAnsi="Times New Roman"/>
          <w:sz w:val="24"/>
          <w:szCs w:val="24"/>
        </w:rPr>
        <w:lastRenderedPageBreak/>
        <w:t>No obstante, en todo el mercado laboral también hay evidencia de una brecha cada vez mayor entre los trabajadores con al menos un título universitario de cuatro años y los que tienen menos estudios. La desaparición de muchos puestos poco calificados pero de buenos sueldos parece estar agravando la situación de muchos estadounidenses, especialmente hombres de edad intermedia, y llevándolos a abandonar la fuerza laboral.</w:t>
      </w:r>
    </w:p>
    <w:p w:rsidR="00433D95" w:rsidRPr="00DF0248" w:rsidRDefault="00433D95" w:rsidP="00433D95">
      <w:pPr>
        <w:shd w:val="clear" w:color="auto" w:fill="FFFFFF"/>
        <w:spacing w:after="270" w:line="240" w:lineRule="auto"/>
        <w:jc w:val="both"/>
        <w:textAlignment w:val="baseline"/>
        <w:rPr>
          <w:rFonts w:ascii="Times New Roman" w:eastAsia="Times New Roman" w:hAnsi="Times New Roman"/>
          <w:sz w:val="24"/>
          <w:szCs w:val="24"/>
        </w:rPr>
      </w:pPr>
      <w:r w:rsidRPr="00DF0248">
        <w:rPr>
          <w:rFonts w:ascii="Times New Roman" w:eastAsia="Times New Roman" w:hAnsi="Times New Roman"/>
          <w:sz w:val="24"/>
          <w:szCs w:val="24"/>
        </w:rPr>
        <w:t>“Observamos un crecimiento de las ofertas de empleo en general y de los salarios en general”, manifestó Sinclair. “Pero estamos viendo el mayor crecimiento en términos de salarios y remuneración, en general, en un selecto grupo muy pequeño de personas”.</w:t>
      </w:r>
    </w:p>
    <w:p w:rsidR="00433D95" w:rsidRDefault="00433D95" w:rsidP="00433D95">
      <w:pPr>
        <w:shd w:val="clear" w:color="auto" w:fill="FFFFFF"/>
        <w:spacing w:after="270" w:line="240" w:lineRule="auto"/>
        <w:jc w:val="both"/>
        <w:textAlignment w:val="baseline"/>
        <w:rPr>
          <w:rFonts w:ascii="Times New Roman" w:eastAsia="Times New Roman" w:hAnsi="Times New Roman"/>
          <w:sz w:val="24"/>
          <w:szCs w:val="24"/>
        </w:rPr>
      </w:pPr>
      <w:r w:rsidRPr="00DF0248">
        <w:rPr>
          <w:rFonts w:ascii="Times New Roman" w:eastAsia="Times New Roman" w:hAnsi="Times New Roman"/>
          <w:sz w:val="24"/>
          <w:szCs w:val="24"/>
        </w:rPr>
        <w:t>Indeed analizó 800 ocupaciones y halló que apenas 170 cumplen con los criterios de la investigación: ser un “empleo de oportunidad” con un salario anual de al menos US$57.700 y ofrecer aumentos de salarios que coincidan con la inflación por más de una década. Sólo 15% de la fuerza laboral tenía este tipo de posiciones.</w:t>
      </w:r>
    </w:p>
    <w:p w:rsidR="00122697" w:rsidRDefault="00122697" w:rsidP="00122697">
      <w:pPr>
        <w:pStyle w:val="NormalWeb"/>
        <w:spacing w:after="300"/>
        <w:jc w:val="both"/>
        <w:textAlignment w:val="baseline"/>
      </w:pPr>
      <w:r>
        <w:t xml:space="preserve">- </w:t>
      </w:r>
      <w:r w:rsidRPr="000D58FA">
        <w:rPr>
          <w:u w:val="single"/>
        </w:rPr>
        <w:t>Eurosta</w:t>
      </w:r>
      <w:r>
        <w:rPr>
          <w:u w:val="single"/>
        </w:rPr>
        <w:t xml:space="preserve">t: </w:t>
      </w:r>
      <w:r w:rsidRPr="000D58FA">
        <w:rPr>
          <w:u w:val="single"/>
        </w:rPr>
        <w:t>los datos del paro</w:t>
      </w:r>
      <w:r w:rsidR="00332C23">
        <w:rPr>
          <w:u w:val="single"/>
        </w:rPr>
        <w:t xml:space="preserve"> en los países de la Zona Euro</w:t>
      </w:r>
      <w:r>
        <w:t xml:space="preserve"> (El Español - </w:t>
      </w:r>
      <w:r w:rsidRPr="000D58FA">
        <w:rPr>
          <w:b/>
        </w:rPr>
        <w:t>5/9/16</w:t>
      </w:r>
      <w:r>
        <w:t>)</w:t>
      </w:r>
    </w:p>
    <w:p w:rsidR="00122697" w:rsidRPr="00DB498E" w:rsidRDefault="00122697" w:rsidP="00122697">
      <w:pPr>
        <w:pStyle w:val="NormalWeb"/>
        <w:spacing w:after="300"/>
        <w:jc w:val="both"/>
        <w:textAlignment w:val="baseline"/>
      </w:pPr>
      <w:r w:rsidRPr="00DB498E">
        <w:rPr>
          <w:noProof/>
          <w:lang w:val="en-GB" w:eastAsia="en-GB"/>
        </w:rPr>
        <w:drawing>
          <wp:inline distT="0" distB="0" distL="0" distR="0">
            <wp:extent cx="5391150" cy="2495550"/>
            <wp:effectExtent l="0" t="0" r="0" b="0"/>
            <wp:docPr id="318" name="Imagen 318" descr="http://s3.eestatic.com/2016/09/04/actualidad/Actualidad_152997525_15513808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3.eestatic.com/2016/09/04/actualidad/Actualidad_152997525_15513808_1706x960.jpg"/>
                    <pic:cNvPicPr>
                      <a:picLocks noChangeAspect="1" noChangeArrowheads="1"/>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499665"/>
                    </a:xfrm>
                    <a:prstGeom prst="rect">
                      <a:avLst/>
                    </a:prstGeom>
                    <a:noFill/>
                    <a:ln>
                      <a:noFill/>
                    </a:ln>
                  </pic:spPr>
                </pic:pic>
              </a:graphicData>
            </a:graphic>
          </wp:inline>
        </w:drawing>
      </w:r>
    </w:p>
    <w:p w:rsidR="00122697" w:rsidRPr="00DB498E" w:rsidRDefault="00122697" w:rsidP="00122697">
      <w:pPr>
        <w:pStyle w:val="NormalWeb"/>
        <w:shd w:val="clear" w:color="auto" w:fill="FFFFFF"/>
        <w:spacing w:before="0" w:beforeAutospacing="0" w:after="0" w:afterAutospacing="0"/>
        <w:jc w:val="both"/>
        <w:textAlignment w:val="baseline"/>
      </w:pPr>
    </w:p>
    <w:p w:rsidR="00122697" w:rsidRPr="00DB498E" w:rsidRDefault="00122697" w:rsidP="00122697">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 xml:space="preserve">1. </w:t>
      </w:r>
      <w:r w:rsidRPr="000A3391">
        <w:rPr>
          <w:rStyle w:val="Textoennegrita"/>
          <w:u w:val="single"/>
          <w:bdr w:val="none" w:sz="0" w:space="0" w:color="auto" w:frame="1"/>
        </w:rPr>
        <w:t>Uno de cada cuatro parados de la eurozona es español</w:t>
      </w:r>
      <w:r w:rsidRPr="00DB498E">
        <w:rPr>
          <w:rStyle w:val="Textoennegrita"/>
          <w:bdr w:val="none" w:sz="0" w:space="0" w:color="auto" w:frame="1"/>
        </w:rPr>
        <w:t>.</w:t>
      </w:r>
      <w:r w:rsidRPr="00DB498E">
        <w:rPr>
          <w:rStyle w:val="apple-converted-space"/>
        </w:rPr>
        <w:t> </w:t>
      </w:r>
      <w:r w:rsidRPr="00DB498E">
        <w:t>Rajoy ha repetido en numerosas ocasiones este año que uno de cada cuatro nuevos puestos de trabajo se crea en España, sin embargo, omite un dato muy preocupante: en el país vive uno de cada cuatro parados que hay en la Zona Euro. En julio todavía quedaban casi 4,5 millones de personas desempleadas según los datos publicados el miércoles por Eurostat, mientras que en el resto de países de la eurozona ya son menos de 12 millones (como aparece en el gráfico que encabeza la noticia). El siguiente país tras España en número de parados es Francia, que tiene casi 1,5 millones de desempleados menos.</w:t>
      </w:r>
    </w:p>
    <w:p w:rsidR="00122697" w:rsidRPr="00DB498E" w:rsidRDefault="00122697" w:rsidP="00122697">
      <w:pPr>
        <w:pStyle w:val="NormalWeb"/>
        <w:shd w:val="clear" w:color="auto" w:fill="FFFFFF"/>
        <w:spacing w:before="0" w:beforeAutospacing="0" w:after="0" w:afterAutospacing="0"/>
        <w:ind w:left="720"/>
        <w:jc w:val="both"/>
        <w:textAlignment w:val="baseline"/>
      </w:pPr>
    </w:p>
    <w:p w:rsidR="00122697" w:rsidRPr="00DB498E" w:rsidRDefault="00122697" w:rsidP="00122697">
      <w:pPr>
        <w:pStyle w:val="NormalWeb"/>
        <w:shd w:val="clear" w:color="auto" w:fill="FFFFFF"/>
        <w:spacing w:before="0" w:beforeAutospacing="0" w:after="0" w:afterAutospacing="0"/>
        <w:jc w:val="both"/>
        <w:textAlignment w:val="baseline"/>
      </w:pPr>
      <w:r w:rsidRPr="00DB498E">
        <w:t>La</w:t>
      </w:r>
      <w:r w:rsidRPr="00DB498E">
        <w:rPr>
          <w:rStyle w:val="apple-converted-space"/>
        </w:rPr>
        <w:t> </w:t>
      </w:r>
      <w:hyperlink r:id="rId118" w:history="1">
        <w:r w:rsidRPr="000A3391">
          <w:rPr>
            <w:rStyle w:val="Hipervnculo"/>
            <w:color w:val="auto"/>
            <w:bdr w:val="none" w:sz="0" w:space="0" w:color="auto" w:frame="1"/>
          </w:rPr>
          <w:t>tasa de paro</w:t>
        </w:r>
      </w:hyperlink>
      <w:r w:rsidRPr="000A3391">
        <w:rPr>
          <w:u w:val="single"/>
        </w:rPr>
        <w:t> en España</w:t>
      </w:r>
      <w:r w:rsidRPr="00DB498E">
        <w:t>, esto es, el porcentaje de población que está desempleada sobre el total de personas que quieren trabajar (población activa) es la segunda más elevada de toda la zona euro. Solo en Grecia hay más proporción de la población sin trabajo. En concreto, la tasa de paro en España se situó en julio en el 19,6%, casi el doble que el resto de la eurozona, que ya está en el 10,1%.</w:t>
      </w:r>
    </w:p>
    <w:p w:rsidR="00122697" w:rsidRDefault="00122697" w:rsidP="00122697">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val="en-GB" w:eastAsia="en-GB"/>
        </w:rPr>
        <w:lastRenderedPageBreak/>
        <w:drawing>
          <wp:inline distT="0" distB="0" distL="0" distR="0">
            <wp:extent cx="5410200" cy="2343150"/>
            <wp:effectExtent l="0" t="0" r="0" b="0"/>
            <wp:docPr id="319" name="Imagen 319" descr="http://s3.eestatic.com/2016/09/04/actualidad/Actualidad_152997666_15516781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3.eestatic.com/2016/09/04/actualidad/Actualidad_152997666_15516781_1706x960.jpg"/>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0200" cy="2343150"/>
                    </a:xfrm>
                    <a:prstGeom prst="rect">
                      <a:avLst/>
                    </a:prstGeom>
                    <a:noFill/>
                    <a:ln>
                      <a:noFill/>
                    </a:ln>
                  </pic:spPr>
                </pic:pic>
              </a:graphicData>
            </a:graphic>
          </wp:inline>
        </w:drawing>
      </w:r>
    </w:p>
    <w:p w:rsidR="00122697" w:rsidRPr="00DB498E" w:rsidRDefault="00122697" w:rsidP="00122697">
      <w:pPr>
        <w:shd w:val="clear" w:color="auto" w:fill="FFFFFF"/>
        <w:spacing w:line="240" w:lineRule="auto"/>
        <w:jc w:val="both"/>
        <w:textAlignment w:val="baseline"/>
        <w:rPr>
          <w:rFonts w:ascii="Times New Roman" w:hAnsi="Times New Roman"/>
          <w:sz w:val="24"/>
          <w:szCs w:val="24"/>
        </w:rPr>
      </w:pPr>
    </w:p>
    <w:p w:rsidR="00122697" w:rsidRPr="00DB498E" w:rsidRDefault="00122697" w:rsidP="00122697">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 xml:space="preserve">2. </w:t>
      </w:r>
      <w:r w:rsidRPr="000A3391">
        <w:rPr>
          <w:rStyle w:val="Textoennegrita"/>
          <w:u w:val="single"/>
          <w:bdr w:val="none" w:sz="0" w:space="0" w:color="auto" w:frame="1"/>
        </w:rPr>
        <w:t>El problema del subempleo</w:t>
      </w:r>
      <w:r w:rsidRPr="00DB498E">
        <w:rPr>
          <w:rStyle w:val="Textoennegrita"/>
          <w:bdr w:val="none" w:sz="0" w:space="0" w:color="auto" w:frame="1"/>
        </w:rPr>
        <w:t>.</w:t>
      </w:r>
      <w:r w:rsidRPr="00DB498E">
        <w:rPr>
          <w:rStyle w:val="apple-converted-space"/>
        </w:rPr>
        <w:t> </w:t>
      </w:r>
      <w:r w:rsidRPr="00DB498E">
        <w:t>Este concepto es muy importante para el mercado laboral que significa todos los trabajos a tiempo parcial que están ocupados por personas que les gustaría trabajar más horas. Este indicador es un buen reflejo de la calidad del trabajo en un país, ya que, si muchos empleados se tienen que conformar con trabajar menos horas de las que les gustaría significa que no encuentran un trabajo mejor a tiempo completo.</w:t>
      </w:r>
    </w:p>
    <w:p w:rsidR="00122697" w:rsidRPr="00DB498E" w:rsidRDefault="00122697" w:rsidP="00122697">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val="en-GB" w:eastAsia="en-GB"/>
        </w:rPr>
        <w:drawing>
          <wp:inline distT="0" distB="0" distL="0" distR="0">
            <wp:extent cx="5410200" cy="2533650"/>
            <wp:effectExtent l="0" t="0" r="0" b="0"/>
            <wp:docPr id="320" name="Imagen 320" descr="http://s4.eestatic.com/2016/09/04/actualidad/Actualidad_152997536_15514039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4.eestatic.com/2016/09/04/actualidad/Actualidad_152997536_15514039_1706x960.jpg"/>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0200" cy="2533650"/>
                    </a:xfrm>
                    <a:prstGeom prst="rect">
                      <a:avLst/>
                    </a:prstGeom>
                    <a:noFill/>
                    <a:ln>
                      <a:noFill/>
                    </a:ln>
                  </pic:spPr>
                </pic:pic>
              </a:graphicData>
            </a:graphic>
          </wp:inline>
        </w:drawing>
      </w:r>
    </w:p>
    <w:p w:rsidR="00122697" w:rsidRPr="00DB498E" w:rsidRDefault="00122697" w:rsidP="00122697">
      <w:pPr>
        <w:pStyle w:val="NormalWeb"/>
        <w:shd w:val="clear" w:color="auto" w:fill="FFFFFF"/>
        <w:spacing w:before="0" w:beforeAutospacing="0" w:after="300" w:afterAutospacing="0"/>
        <w:jc w:val="both"/>
        <w:textAlignment w:val="baseline"/>
      </w:pPr>
      <w:r w:rsidRPr="00DB498E">
        <w:t>En España hay un 8,1% de los trabajadores que querrían trabajar más horas, pero que tienen que conformarse con un submepleo, el segundo peor país de toda la eurozona. Solo Chipre está en una situación peor, con una tasa del 9,4%. En el conjunto de la región, el subempleo está en el 5%.</w:t>
      </w:r>
    </w:p>
    <w:p w:rsidR="00122697" w:rsidRPr="00DB498E" w:rsidRDefault="00122697" w:rsidP="00122697">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 xml:space="preserve">3. </w:t>
      </w:r>
      <w:r w:rsidRPr="000A3391">
        <w:rPr>
          <w:rStyle w:val="Textoennegrita"/>
          <w:u w:val="single"/>
          <w:bdr w:val="none" w:sz="0" w:space="0" w:color="auto" w:frame="1"/>
        </w:rPr>
        <w:t>El triple de temporales que en Grecia</w:t>
      </w:r>
      <w:r w:rsidRPr="00DB498E">
        <w:rPr>
          <w:rStyle w:val="Textoennegrita"/>
          <w:bdr w:val="none" w:sz="0" w:space="0" w:color="auto" w:frame="1"/>
        </w:rPr>
        <w:t>.</w:t>
      </w:r>
      <w:r w:rsidRPr="00DB498E">
        <w:rPr>
          <w:rStyle w:val="apple-converted-space"/>
        </w:rPr>
        <w:t> </w:t>
      </w:r>
      <w:r w:rsidRPr="00DB498E">
        <w:t>El problema del desempleo se manifiesta de muchas maneras y una es la baja calidad del empleo. Si a esto se une la elevada estacionalidad de algunos de los motores económicos del país (el turismo es el mejor ejemplo), la consecuencia es una: España bate todos los récords europeos de temporalidad. El 20,9% de los trabajadores tienen un contrato temporal, esto es, uno de cada cinco.</w:t>
      </w:r>
    </w:p>
    <w:p w:rsidR="00122697" w:rsidRPr="00DB498E" w:rsidRDefault="00122697" w:rsidP="00122697">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val="en-GB" w:eastAsia="en-GB"/>
        </w:rPr>
        <w:lastRenderedPageBreak/>
        <w:drawing>
          <wp:inline distT="0" distB="0" distL="0" distR="0">
            <wp:extent cx="5384800" cy="2362200"/>
            <wp:effectExtent l="0" t="0" r="6350" b="0"/>
            <wp:docPr id="321" name="Imagen 321" descr="http://s6.eestatic.com/2016/09/04/actualidad/Actualidad_152997538_15514081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6.eestatic.com/2016/09/04/actualidad/Actualidad_152997538_15514081_1706x960.jpg"/>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4800" cy="2362200"/>
                    </a:xfrm>
                    <a:prstGeom prst="rect">
                      <a:avLst/>
                    </a:prstGeom>
                    <a:noFill/>
                    <a:ln>
                      <a:noFill/>
                    </a:ln>
                  </pic:spPr>
                </pic:pic>
              </a:graphicData>
            </a:graphic>
          </wp:inline>
        </w:drawing>
      </w:r>
    </w:p>
    <w:p w:rsidR="00122697" w:rsidRPr="00DB498E" w:rsidRDefault="00122697" w:rsidP="00122697">
      <w:pPr>
        <w:pStyle w:val="NormalWeb"/>
        <w:shd w:val="clear" w:color="auto" w:fill="FFFFFF"/>
        <w:spacing w:before="0" w:beforeAutospacing="0" w:after="300" w:afterAutospacing="0"/>
        <w:jc w:val="both"/>
        <w:textAlignment w:val="baseline"/>
      </w:pPr>
      <w:r w:rsidRPr="00DB498E">
        <w:t>Esta situación es impensable en la mayoría de los países de la eurozona. La media de la región de contratos temporales está en el 12,8% y en muchos países está por debajo del 10%. El porcentaje de temporales en Italia está en el 9,7%; en Grecia, en el 7,1%; o en Irlanda, en el 6,6%.</w:t>
      </w:r>
    </w:p>
    <w:p w:rsidR="00122697" w:rsidRPr="00DB498E" w:rsidRDefault="00122697" w:rsidP="00122697">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 xml:space="preserve">4. </w:t>
      </w:r>
      <w:r w:rsidRPr="000A3391">
        <w:rPr>
          <w:rStyle w:val="Textoennegrita"/>
          <w:u w:val="single"/>
          <w:bdr w:val="none" w:sz="0" w:space="0" w:color="auto" w:frame="1"/>
        </w:rPr>
        <w:t>Parado joven, parado español</w:t>
      </w:r>
      <w:r w:rsidRPr="00DB498E">
        <w:rPr>
          <w:rStyle w:val="Textoennegrita"/>
          <w:bdr w:val="none" w:sz="0" w:space="0" w:color="auto" w:frame="1"/>
        </w:rPr>
        <w:t>.</w:t>
      </w:r>
      <w:r w:rsidRPr="00DB498E">
        <w:rPr>
          <w:rStyle w:val="apple-converted-space"/>
        </w:rPr>
        <w:t> </w:t>
      </w:r>
      <w:r w:rsidRPr="00DB498E">
        <w:t>En la eurozona hay casi 3 millones de jóvenes menores de 25 años que están en el paro, según los datos de Eurostat. De todos ellos, casi un 22% son españoles. Este ha sido uno de los grandes problemas del país durante años, ya que antes del estallido de la crisis España también tenía en torno a un 20% de los parados jóvenes. En el año 2011 España llegó a tener casi un 29% de todos los desempleados menores de 25 años de toda la eurozona.</w:t>
      </w:r>
    </w:p>
    <w:p w:rsidR="00122697" w:rsidRPr="00DB498E" w:rsidRDefault="00122697" w:rsidP="00122697">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val="en-GB" w:eastAsia="en-GB"/>
        </w:rPr>
        <w:drawing>
          <wp:inline distT="0" distB="0" distL="0" distR="0">
            <wp:extent cx="5384800" cy="2324100"/>
            <wp:effectExtent l="0" t="0" r="6350" b="0"/>
            <wp:docPr id="322" name="Imagen 322" descr="http://s2.eestatic.com/2016/09/04/actualidad/Actualidad_152997561_15514572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2.eestatic.com/2016/09/04/actualidad/Actualidad_152997561_15514572_1706x960.jpg"/>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4800" cy="2324100"/>
                    </a:xfrm>
                    <a:prstGeom prst="rect">
                      <a:avLst/>
                    </a:prstGeom>
                    <a:noFill/>
                    <a:ln>
                      <a:noFill/>
                    </a:ln>
                  </pic:spPr>
                </pic:pic>
              </a:graphicData>
            </a:graphic>
          </wp:inline>
        </w:drawing>
      </w:r>
    </w:p>
    <w:p w:rsidR="00122697" w:rsidRPr="00DB498E" w:rsidRDefault="00122697" w:rsidP="00122697">
      <w:pPr>
        <w:pStyle w:val="NormalWeb"/>
        <w:shd w:val="clear" w:color="auto" w:fill="FFFFFF"/>
        <w:spacing w:before="0" w:beforeAutospacing="0" w:after="300" w:afterAutospacing="0"/>
        <w:jc w:val="both"/>
        <w:textAlignment w:val="baseline"/>
      </w:pPr>
      <w:r w:rsidRPr="00DB498E">
        <w:t>La consecuencia es que la tasa de paro juvenil en España sigue siendo de más del doble de la europea. En concreto, de todas las personas con menos de 25 años que quieren trabajar, solo un 57% pueden hacerlo, mientras que en el resto de la eurozona, tienen trabajo el 80%.</w:t>
      </w:r>
    </w:p>
    <w:p w:rsidR="00122697" w:rsidRPr="00DB498E" w:rsidRDefault="00122697" w:rsidP="00122697">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 xml:space="preserve">5. </w:t>
      </w:r>
      <w:r w:rsidRPr="000A3391">
        <w:rPr>
          <w:rStyle w:val="Textoennegrita"/>
          <w:u w:val="single"/>
          <w:bdr w:val="none" w:sz="0" w:space="0" w:color="auto" w:frame="1"/>
        </w:rPr>
        <w:t>Trabajo de baja cualificación</w:t>
      </w:r>
      <w:r w:rsidRPr="00DB498E">
        <w:rPr>
          <w:rStyle w:val="Textoennegrita"/>
          <w:bdr w:val="none" w:sz="0" w:space="0" w:color="auto" w:frame="1"/>
        </w:rPr>
        <w:t>.</w:t>
      </w:r>
      <w:r w:rsidRPr="00DB498E">
        <w:rPr>
          <w:rStyle w:val="apple-converted-space"/>
        </w:rPr>
        <w:t> </w:t>
      </w:r>
      <w:r w:rsidRPr="00DB498E">
        <w:t>El mercado laboral español tiene que lidiar con los pobres niveles de formación que tiene el país, fruto de los problemas educativos que arrastra durante años. La consecuencia de la baja formación es la poca productividad y la dificultad para adaptarse a un mercado laboral cambiante que demanda nuevos perfiles. España es uno de los países europeos con más porcentaje de trabajadores que no tienen ni la educación secundaria con un 33% de los empleados sin formación.</w:t>
      </w:r>
    </w:p>
    <w:p w:rsidR="00122697" w:rsidRPr="00DB498E" w:rsidRDefault="00122697" w:rsidP="00122697">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val="en-GB" w:eastAsia="en-GB"/>
        </w:rPr>
        <w:lastRenderedPageBreak/>
        <w:drawing>
          <wp:inline distT="0" distB="0" distL="0" distR="0">
            <wp:extent cx="5422900" cy="2266950"/>
            <wp:effectExtent l="0" t="0" r="6350" b="0"/>
            <wp:docPr id="323" name="Imagen 323" descr="http://s6.eestatic.com/2016/09/04/actualidad/Actualidad_152997562_15514593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6.eestatic.com/2016/09/04/actualidad/Actualidad_152997562_15514593_1706x960.jpg"/>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2900" cy="2266950"/>
                    </a:xfrm>
                    <a:prstGeom prst="rect">
                      <a:avLst/>
                    </a:prstGeom>
                    <a:noFill/>
                    <a:ln>
                      <a:noFill/>
                    </a:ln>
                  </pic:spPr>
                </pic:pic>
              </a:graphicData>
            </a:graphic>
          </wp:inline>
        </w:drawing>
      </w:r>
    </w:p>
    <w:p w:rsidR="00122697" w:rsidRPr="00DB498E" w:rsidRDefault="00122697" w:rsidP="00122697">
      <w:pPr>
        <w:pStyle w:val="NormalWeb"/>
        <w:shd w:val="clear" w:color="auto" w:fill="FFFFFF"/>
        <w:spacing w:before="0" w:beforeAutospacing="0" w:after="300" w:afterAutospacing="0"/>
        <w:jc w:val="both"/>
        <w:textAlignment w:val="baseline"/>
      </w:pPr>
      <w:r w:rsidRPr="00DB498E">
        <w:t>Sólo hay dos países en una situación peor: Malta, con un 41% de sus trabajadores en el nivel educativo más bajo y Portugal, con un 46,3%. La media de la eurozona de empleados que no tienen la secundaria es del 19,3%, casi 15 puntos menos de España.</w:t>
      </w:r>
    </w:p>
    <w:p w:rsidR="00122697" w:rsidRDefault="00122697" w:rsidP="00122697">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 xml:space="preserve">6. </w:t>
      </w:r>
      <w:r w:rsidRPr="000A3391">
        <w:rPr>
          <w:rStyle w:val="Textoennegrita"/>
          <w:u w:val="single"/>
          <w:bdr w:val="none" w:sz="0" w:space="0" w:color="auto" w:frame="1"/>
        </w:rPr>
        <w:t>¿Cómo se pagarán las pensiones?</w:t>
      </w:r>
      <w:r w:rsidRPr="00DB498E">
        <w:rPr>
          <w:rStyle w:val="apple-converted-space"/>
        </w:rPr>
        <w:t> </w:t>
      </w:r>
      <w:r w:rsidRPr="00DB498E">
        <w:t>De todas las personas en edad de trabajar (tomando como referencia entre 20 y 64 años), en España tienen un empleo un 62,8%. Este es un grave problema para el país y un agujero en la Seguridad Social, ya que quedan muy pocos cotizantes sobre el total de la población.</w:t>
      </w:r>
    </w:p>
    <w:p w:rsidR="00122697" w:rsidRPr="00DB498E" w:rsidRDefault="00122697" w:rsidP="00122697">
      <w:pPr>
        <w:pStyle w:val="NormalWeb"/>
        <w:shd w:val="clear" w:color="auto" w:fill="FFFFFF"/>
        <w:spacing w:before="0" w:beforeAutospacing="0" w:after="0" w:afterAutospacing="0"/>
        <w:jc w:val="both"/>
        <w:textAlignment w:val="baseline"/>
      </w:pPr>
    </w:p>
    <w:p w:rsidR="00122697" w:rsidRPr="00DB498E" w:rsidRDefault="00122697" w:rsidP="00122697">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val="en-GB" w:eastAsia="en-GB"/>
        </w:rPr>
        <w:drawing>
          <wp:inline distT="0" distB="0" distL="0" distR="0">
            <wp:extent cx="5378450" cy="1962150"/>
            <wp:effectExtent l="0" t="0" r="0" b="0"/>
            <wp:docPr id="324" name="Imagen 324" descr="http://s5.eestatic.com/2016/09/04/actualidad/Actualidad_152997565_15514656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5.eestatic.com/2016/09/04/actualidad/Actualidad_152997565_15514656_1706x960.jpg"/>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8450" cy="1962150"/>
                    </a:xfrm>
                    <a:prstGeom prst="rect">
                      <a:avLst/>
                    </a:prstGeom>
                    <a:noFill/>
                    <a:ln>
                      <a:noFill/>
                    </a:ln>
                  </pic:spPr>
                </pic:pic>
              </a:graphicData>
            </a:graphic>
          </wp:inline>
        </w:drawing>
      </w:r>
    </w:p>
    <w:p w:rsidR="00122697" w:rsidRPr="00DB498E" w:rsidRDefault="00122697" w:rsidP="00122697">
      <w:pPr>
        <w:pStyle w:val="NormalWeb"/>
        <w:shd w:val="clear" w:color="auto" w:fill="FFFFFF"/>
        <w:spacing w:before="0" w:beforeAutospacing="0" w:after="300" w:afterAutospacing="0"/>
        <w:jc w:val="both"/>
        <w:textAlignment w:val="baseline"/>
      </w:pPr>
      <w:r w:rsidRPr="00DB498E">
        <w:t>En la eurozona tienen trabajo un 69,2% de las personas en esta franja de edad y en algunos países la tasa es superior. Por ejemplo, en Alemania trabajan un 78,2% de las personas en edad de trabajar.</w:t>
      </w:r>
    </w:p>
    <w:p w:rsidR="00122697" w:rsidRDefault="00122697" w:rsidP="00122697">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 xml:space="preserve">7. </w:t>
      </w:r>
      <w:r w:rsidRPr="000A3391">
        <w:rPr>
          <w:rStyle w:val="Textoennegrita"/>
          <w:u w:val="single"/>
          <w:bdr w:val="none" w:sz="0" w:space="0" w:color="auto" w:frame="1"/>
        </w:rPr>
        <w:t>Los beneficios de la migración</w:t>
      </w:r>
      <w:r w:rsidRPr="00DB498E">
        <w:t>. El envejecimiento de la población es uno de los mayores problemas de los países desarrollados y una de las soluciones que tiene es la llegada de extranjeros en edad de trabajar y también de concebir hijos. Una gran multitud de estudios han mostrado las ventajas de la inmigración, pero el país de acogida tiene que ser capaz de ofrecer un trabajo a las personas que llegan. Este es el gran problema de España: de todos los extranjeros en edad de trabajar, sólo lo hace el 56,1%, el tercer peor dato de la eurozona, solo superado por Grecia, con un 49,4% de los extranjeros con empleo, e Italia, con el 55,7%.</w:t>
      </w:r>
    </w:p>
    <w:p w:rsidR="00122697" w:rsidRDefault="00122697" w:rsidP="00122697">
      <w:pPr>
        <w:pStyle w:val="NormalWeb"/>
        <w:shd w:val="clear" w:color="auto" w:fill="FFFFFF"/>
        <w:spacing w:before="0" w:beforeAutospacing="0" w:after="0" w:afterAutospacing="0"/>
        <w:jc w:val="both"/>
        <w:textAlignment w:val="baseline"/>
      </w:pPr>
    </w:p>
    <w:p w:rsidR="00122697" w:rsidRPr="00DB498E" w:rsidRDefault="00122697" w:rsidP="00122697">
      <w:pPr>
        <w:pStyle w:val="NormalWeb"/>
        <w:shd w:val="clear" w:color="auto" w:fill="FFFFFF"/>
        <w:spacing w:before="0" w:beforeAutospacing="0" w:after="0" w:afterAutospacing="0"/>
        <w:jc w:val="both"/>
        <w:textAlignment w:val="baseline"/>
      </w:pPr>
    </w:p>
    <w:p w:rsidR="00122697" w:rsidRPr="00DB498E" w:rsidRDefault="00122697" w:rsidP="00122697">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val="en-GB" w:eastAsia="en-GB"/>
        </w:rPr>
        <w:lastRenderedPageBreak/>
        <w:drawing>
          <wp:inline distT="0" distB="0" distL="0" distR="0">
            <wp:extent cx="5384800" cy="2101850"/>
            <wp:effectExtent l="0" t="0" r="6350" b="0"/>
            <wp:docPr id="325" name="Imagen 325" descr="http://s1.eestatic.com/2016/09/04/actualidad/Actualidad_152997680_15517075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1.eestatic.com/2016/09/04/actualidad/Actualidad_152997680_15517075_1706x960.jpg"/>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4800" cy="2101850"/>
                    </a:xfrm>
                    <a:prstGeom prst="rect">
                      <a:avLst/>
                    </a:prstGeom>
                    <a:noFill/>
                    <a:ln>
                      <a:noFill/>
                    </a:ln>
                  </pic:spPr>
                </pic:pic>
              </a:graphicData>
            </a:graphic>
          </wp:inline>
        </w:drawing>
      </w:r>
    </w:p>
    <w:p w:rsidR="00122697" w:rsidRPr="00DB498E" w:rsidRDefault="00122697" w:rsidP="00122697">
      <w:pPr>
        <w:pStyle w:val="NormalWeb"/>
        <w:shd w:val="clear" w:color="auto" w:fill="FFFFFF"/>
        <w:spacing w:before="0" w:beforeAutospacing="0" w:after="300" w:afterAutospacing="0"/>
        <w:jc w:val="both"/>
        <w:textAlignment w:val="baseline"/>
      </w:pPr>
      <w:r w:rsidRPr="00DB498E">
        <w:t>Del resto de extranjeros en edad de trabajar, el 18,2% está en el paro y el 25,7% no están activos (no buscan empleo). Alemania, uno de los países que está recibiendo más presión migratoria, tiene al 73,3% de los extranjeros trabajando y sólo un 3,9% en el paro.</w:t>
      </w:r>
    </w:p>
    <w:p w:rsidR="00122697" w:rsidRDefault="00122697" w:rsidP="00122697">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 xml:space="preserve">8. </w:t>
      </w:r>
      <w:r w:rsidRPr="000A3391">
        <w:rPr>
          <w:rStyle w:val="Textoennegrita"/>
          <w:u w:val="single"/>
          <w:bdr w:val="none" w:sz="0" w:space="0" w:color="auto" w:frame="1"/>
        </w:rPr>
        <w:t>El abandono</w:t>
      </w:r>
      <w:r w:rsidRPr="00DB498E">
        <w:rPr>
          <w:rStyle w:val="Textoennegrita"/>
          <w:bdr w:val="none" w:sz="0" w:space="0" w:color="auto" w:frame="1"/>
        </w:rPr>
        <w:t>.</w:t>
      </w:r>
      <w:r w:rsidRPr="00DB498E">
        <w:rPr>
          <w:rStyle w:val="apple-converted-space"/>
        </w:rPr>
        <w:t> </w:t>
      </w:r>
      <w:r w:rsidRPr="00DB498E">
        <w:t>Todos estos problemas conjuntos de España: la tasa de paro, la baja formación, la inmigración, la baja calidad del empleo… confluyen en el drama social del paro de larga duración. En la eurozona hay 8,3 millones de personas que llevan más de un año desempleados y que anteriormente estaban trabajando. De estos, 2,3 millones son españoles, esto es, casi uno de cada tres parados de larga duración son españoles.</w:t>
      </w:r>
    </w:p>
    <w:p w:rsidR="00122697" w:rsidRPr="00DB498E" w:rsidRDefault="00122697" w:rsidP="00122697">
      <w:pPr>
        <w:pStyle w:val="NormalWeb"/>
        <w:shd w:val="clear" w:color="auto" w:fill="FFFFFF"/>
        <w:spacing w:before="0" w:beforeAutospacing="0" w:after="0" w:afterAutospacing="0"/>
        <w:jc w:val="both"/>
        <w:textAlignment w:val="baseline"/>
      </w:pPr>
    </w:p>
    <w:p w:rsidR="00122697" w:rsidRPr="00DB498E" w:rsidRDefault="00122697" w:rsidP="00122697">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val="en-GB" w:eastAsia="en-GB"/>
        </w:rPr>
        <w:drawing>
          <wp:inline distT="0" distB="0" distL="0" distR="0">
            <wp:extent cx="5384800" cy="2209800"/>
            <wp:effectExtent l="0" t="0" r="6350" b="0"/>
            <wp:docPr id="326" name="Imagen 326" descr="http://s1.eestatic.com/2016/09/04/actualidad/Actualidad_152997569_15514740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1.eestatic.com/2016/09/04/actualidad/Actualidad_152997569_15514740_1706x960.jpg"/>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4800" cy="2209800"/>
                    </a:xfrm>
                    <a:prstGeom prst="rect">
                      <a:avLst/>
                    </a:prstGeom>
                    <a:noFill/>
                    <a:ln>
                      <a:noFill/>
                    </a:ln>
                  </pic:spPr>
                </pic:pic>
              </a:graphicData>
            </a:graphic>
          </wp:inline>
        </w:drawing>
      </w:r>
    </w:p>
    <w:p w:rsidR="00122697" w:rsidRDefault="00122697" w:rsidP="00122697">
      <w:pPr>
        <w:pStyle w:val="NormalWeb"/>
        <w:shd w:val="clear" w:color="auto" w:fill="FFFFFF"/>
        <w:spacing w:before="0" w:beforeAutospacing="0" w:after="300" w:afterAutospacing="0"/>
        <w:textAlignment w:val="baseline"/>
        <w:rPr>
          <w:b/>
        </w:rPr>
      </w:pPr>
      <w:r w:rsidRPr="00DB498E">
        <w:rPr>
          <w:noProof/>
          <w:lang w:val="en-GB" w:eastAsia="en-GB"/>
        </w:rPr>
        <w:drawing>
          <wp:inline distT="0" distB="0" distL="0" distR="0">
            <wp:extent cx="5391150" cy="2343150"/>
            <wp:effectExtent l="0" t="0" r="0" b="0"/>
            <wp:docPr id="327" name="Imagen 327" descr="http://s6.eestatic.com/2016/09/04/actualidad/Actualidad_152997573_15514824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6.eestatic.com/2016/09/04/actualidad/Actualidad_152997573_15514824_1706x960.jpg"/>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347014"/>
                    </a:xfrm>
                    <a:prstGeom prst="rect">
                      <a:avLst/>
                    </a:prstGeom>
                    <a:noFill/>
                    <a:ln>
                      <a:noFill/>
                    </a:ln>
                  </pic:spPr>
                </pic:pic>
              </a:graphicData>
            </a:graphic>
          </wp:inline>
        </w:drawing>
      </w:r>
    </w:p>
    <w:p w:rsidR="00122697" w:rsidRDefault="00C31EDD" w:rsidP="00122697">
      <w:pPr>
        <w:pStyle w:val="NormalWeb"/>
        <w:shd w:val="clear" w:color="auto" w:fill="FFFFFF"/>
        <w:spacing w:before="0" w:beforeAutospacing="0" w:after="300" w:afterAutospacing="0"/>
        <w:textAlignment w:val="baseline"/>
        <w:rPr>
          <w:b/>
        </w:rPr>
      </w:pPr>
      <w:r>
        <w:rPr>
          <w:b/>
        </w:rPr>
        <w:lastRenderedPageBreak/>
        <w:t xml:space="preserve">- </w:t>
      </w:r>
      <w:r w:rsidR="00122697" w:rsidRPr="008F257A">
        <w:rPr>
          <w:b/>
        </w:rPr>
        <w:t xml:space="preserve">Fracaso </w:t>
      </w:r>
      <w:r w:rsidR="00122697">
        <w:rPr>
          <w:b/>
        </w:rPr>
        <w:t>en la distribución de ingresos: incremento de la desigualdad</w:t>
      </w:r>
    </w:p>
    <w:p w:rsidR="00122697" w:rsidRPr="00122697" w:rsidRDefault="00122697" w:rsidP="00122697">
      <w:pPr>
        <w:shd w:val="clear" w:color="auto" w:fill="FFFFFF"/>
        <w:spacing w:line="240" w:lineRule="auto"/>
        <w:jc w:val="both"/>
        <w:textAlignment w:val="baseline"/>
        <w:rPr>
          <w:rFonts w:ascii="Times New Roman" w:hAnsi="Times New Roman" w:cs="Times New Roman"/>
          <w:i/>
          <w:sz w:val="24"/>
          <w:szCs w:val="24"/>
        </w:rPr>
      </w:pPr>
      <w:r>
        <w:rPr>
          <w:rFonts w:ascii="Times New Roman" w:hAnsi="Times New Roman" w:cs="Times New Roman"/>
          <w:i/>
          <w:sz w:val="24"/>
          <w:szCs w:val="24"/>
        </w:rPr>
        <w:t>“</w:t>
      </w:r>
      <w:r w:rsidRPr="00122697">
        <w:rPr>
          <w:rFonts w:ascii="Times New Roman" w:hAnsi="Times New Roman" w:cs="Times New Roman"/>
          <w:i/>
          <w:sz w:val="24"/>
          <w:szCs w:val="24"/>
        </w:rPr>
        <w:t>La pobreza y la exclusión en España han aumentado “de manera alarmante” en los últimos años, con 13,4 millones de personas en riesgo de exclusión en el año 2014, esto es, el 29,2% de la población española, según concluye el informe Una economía al servicio del 1% hecha pública hoy por Oxfam Intermon.</w:t>
      </w:r>
    </w:p>
    <w:p w:rsidR="00122697" w:rsidRPr="00122697" w:rsidRDefault="00122697" w:rsidP="00122697">
      <w:pPr>
        <w:shd w:val="clear" w:color="auto" w:fill="FFFFFF"/>
        <w:spacing w:line="240" w:lineRule="auto"/>
        <w:jc w:val="both"/>
        <w:textAlignment w:val="baseline"/>
        <w:rPr>
          <w:rFonts w:ascii="Times New Roman" w:hAnsi="Times New Roman" w:cs="Times New Roman"/>
          <w:i/>
          <w:sz w:val="24"/>
          <w:szCs w:val="24"/>
        </w:rPr>
      </w:pPr>
      <w:r w:rsidRPr="00122697">
        <w:rPr>
          <w:rFonts w:ascii="Times New Roman" w:hAnsi="Times New Roman" w:cs="Times New Roman"/>
          <w:i/>
          <w:sz w:val="24"/>
          <w:szCs w:val="24"/>
        </w:rPr>
        <w:t>“La distancia entre ricos y pobres ha crecido y en 2015 el 1% de la población concentró tanta riqueza como el 80% de los más desfavorecidos. La fortuna de sólo veinte personas en España alcanza un total de 115.100 millones de euros”, explica el informe.</w:t>
      </w:r>
    </w:p>
    <w:p w:rsidR="00122697" w:rsidRPr="00122697" w:rsidRDefault="00122697" w:rsidP="00122697">
      <w:pPr>
        <w:shd w:val="clear" w:color="auto" w:fill="FFFFFF"/>
        <w:spacing w:line="240" w:lineRule="auto"/>
        <w:jc w:val="both"/>
        <w:textAlignment w:val="baseline"/>
        <w:rPr>
          <w:rFonts w:ascii="Times New Roman" w:hAnsi="Times New Roman" w:cs="Times New Roman"/>
          <w:i/>
          <w:sz w:val="24"/>
          <w:szCs w:val="24"/>
        </w:rPr>
      </w:pPr>
      <w:r w:rsidRPr="00122697">
        <w:rPr>
          <w:rFonts w:ascii="Times New Roman" w:hAnsi="Times New Roman" w:cs="Times New Roman"/>
          <w:i/>
          <w:sz w:val="24"/>
          <w:szCs w:val="24"/>
        </w:rPr>
        <w:t>En este sentido, España es el segundo país de la Unión Europea en el que más ha crecido la distancia entre rentas altas y bajas, sólo por detrás de Estonia, y entre 2007 y 2014 el salario medio español se desplomó un 22,2%.</w:t>
      </w:r>
    </w:p>
    <w:p w:rsidR="00122697" w:rsidRPr="006466B6" w:rsidRDefault="00122697" w:rsidP="00122697">
      <w:pPr>
        <w:shd w:val="clear" w:color="auto" w:fill="FFFFFF"/>
        <w:spacing w:line="240" w:lineRule="auto"/>
        <w:jc w:val="both"/>
        <w:textAlignment w:val="baseline"/>
        <w:rPr>
          <w:rFonts w:ascii="Times New Roman" w:hAnsi="Times New Roman" w:cs="Times New Roman"/>
          <w:sz w:val="24"/>
          <w:szCs w:val="24"/>
        </w:rPr>
      </w:pPr>
      <w:r w:rsidRPr="00122697">
        <w:rPr>
          <w:rFonts w:ascii="Times New Roman" w:hAnsi="Times New Roman" w:cs="Times New Roman"/>
          <w:i/>
          <w:sz w:val="24"/>
          <w:szCs w:val="24"/>
        </w:rPr>
        <w:t>Además, según los datos de la OCDE, los hogares más desfavorecidos son los que han sufrido una mayor caída de los ingresos durante la crisis, y el salario de los más ricos es 18 veces superior al del 10% más pobres</w:t>
      </w:r>
      <w:r>
        <w:rPr>
          <w:rFonts w:ascii="Times New Roman" w:hAnsi="Times New Roman" w:cs="Times New Roman"/>
          <w:i/>
          <w:sz w:val="24"/>
          <w:szCs w:val="24"/>
        </w:rPr>
        <w:t>”..</w:t>
      </w:r>
      <w:r w:rsidRPr="00122697">
        <w:rPr>
          <w:rFonts w:ascii="Times New Roman" w:hAnsi="Times New Roman" w:cs="Times New Roman"/>
          <w:i/>
          <w:sz w:val="24"/>
          <w:szCs w:val="24"/>
        </w:rPr>
        <w:t>.</w:t>
      </w:r>
      <w:r w:rsidRPr="006466B6">
        <w:rPr>
          <w:rFonts w:ascii="Times New Roman" w:hAnsi="Times New Roman" w:cs="Times New Roman"/>
          <w:sz w:val="24"/>
          <w:szCs w:val="24"/>
          <w:u w:val="single"/>
        </w:rPr>
        <w:t>España es el país de la OCDE donde más avanzó la desigualdad durante la crisis</w:t>
      </w:r>
      <w:r w:rsidRPr="006466B6">
        <w:rPr>
          <w:rFonts w:ascii="Times New Roman" w:hAnsi="Times New Roman" w:cs="Times New Roman"/>
          <w:sz w:val="24"/>
          <w:szCs w:val="24"/>
        </w:rPr>
        <w:t xml:space="preserve"> (Expansión - </w:t>
      </w:r>
      <w:r w:rsidRPr="006466B6">
        <w:rPr>
          <w:rFonts w:ascii="Times New Roman" w:hAnsi="Times New Roman" w:cs="Times New Roman"/>
          <w:b/>
          <w:sz w:val="24"/>
          <w:szCs w:val="24"/>
        </w:rPr>
        <w:t>18/1/16</w:t>
      </w:r>
      <w:r w:rsidRPr="006466B6">
        <w:rPr>
          <w:rFonts w:ascii="Times New Roman" w:hAnsi="Times New Roman" w:cs="Times New Roman"/>
          <w:sz w:val="24"/>
          <w:szCs w:val="24"/>
        </w:rPr>
        <w:t>)</w:t>
      </w:r>
    </w:p>
    <w:p w:rsidR="00122697" w:rsidRPr="00122697" w:rsidRDefault="00122697" w:rsidP="00122697">
      <w:pPr>
        <w:shd w:val="clear" w:color="auto" w:fill="FFFFFF"/>
        <w:spacing w:line="240" w:lineRule="auto"/>
        <w:jc w:val="both"/>
        <w:textAlignment w:val="baseline"/>
        <w:rPr>
          <w:rFonts w:ascii="Times New Roman" w:hAnsi="Times New Roman" w:cs="Times New Roman"/>
          <w:i/>
          <w:sz w:val="24"/>
          <w:szCs w:val="24"/>
        </w:rPr>
      </w:pPr>
      <w:r>
        <w:rPr>
          <w:rFonts w:ascii="Times New Roman" w:hAnsi="Times New Roman" w:cs="Times New Roman"/>
          <w:i/>
          <w:sz w:val="24"/>
          <w:szCs w:val="24"/>
        </w:rPr>
        <w:t>“</w:t>
      </w:r>
      <w:r w:rsidRPr="00122697">
        <w:rPr>
          <w:rFonts w:ascii="Times New Roman" w:hAnsi="Times New Roman" w:cs="Times New Roman"/>
          <w:i/>
          <w:sz w:val="24"/>
          <w:szCs w:val="24"/>
        </w:rPr>
        <w:t>Apenas 62 personas poseen tanta riqueza como la mitad de la población mundial más pobre (3.600 millones de habitantes), cuando hace cinco años esta cifra ascendía a 388, es decir, el aumento de la desigualdad ha provocado que quienes ahora tienen tanto como medio planeta sean seis veces menos que en 2010. Además, el 1% más rico concentra ya más fortuna que el 99% restante.</w:t>
      </w:r>
    </w:p>
    <w:p w:rsidR="00122697" w:rsidRPr="00122697" w:rsidRDefault="00122697" w:rsidP="00122697">
      <w:pPr>
        <w:shd w:val="clear" w:color="auto" w:fill="FFFFFF"/>
        <w:spacing w:line="240" w:lineRule="auto"/>
        <w:jc w:val="both"/>
        <w:textAlignment w:val="baseline"/>
        <w:rPr>
          <w:rFonts w:ascii="Times New Roman" w:hAnsi="Times New Roman" w:cs="Times New Roman"/>
          <w:i/>
          <w:sz w:val="24"/>
          <w:szCs w:val="24"/>
        </w:rPr>
      </w:pPr>
      <w:r w:rsidRPr="00122697">
        <w:rPr>
          <w:rFonts w:ascii="Times New Roman" w:hAnsi="Times New Roman" w:cs="Times New Roman"/>
          <w:i/>
          <w:sz w:val="24"/>
          <w:szCs w:val="24"/>
        </w:rPr>
        <w:t>Estos datos se recogen en el informe “Una economía al servicio del 1%”, re</w:t>
      </w:r>
      <w:r w:rsidR="005337CB">
        <w:rPr>
          <w:rFonts w:ascii="Times New Roman" w:hAnsi="Times New Roman" w:cs="Times New Roman"/>
          <w:i/>
          <w:sz w:val="24"/>
          <w:szCs w:val="24"/>
        </w:rPr>
        <w:t>alizado por Oxfam (Oxfam Intermo</w:t>
      </w:r>
      <w:r w:rsidRPr="00122697">
        <w:rPr>
          <w:rFonts w:ascii="Times New Roman" w:hAnsi="Times New Roman" w:cs="Times New Roman"/>
          <w:i/>
          <w:sz w:val="24"/>
          <w:szCs w:val="24"/>
        </w:rPr>
        <w:t>n en España) y hecho público este lunes, dos días antes de que comience la reunión anual de líderes en el Foro Económico Mundial de Davos (Suiza).</w:t>
      </w:r>
    </w:p>
    <w:p w:rsidR="00122697" w:rsidRDefault="00122697" w:rsidP="00122697">
      <w:pPr>
        <w:shd w:val="clear" w:color="auto" w:fill="FFFFFF"/>
        <w:spacing w:line="240" w:lineRule="auto"/>
        <w:jc w:val="both"/>
        <w:textAlignment w:val="baseline"/>
        <w:rPr>
          <w:rFonts w:ascii="Times New Roman" w:hAnsi="Times New Roman" w:cs="Times New Roman"/>
          <w:color w:val="333333"/>
          <w:sz w:val="24"/>
          <w:szCs w:val="24"/>
        </w:rPr>
      </w:pPr>
      <w:r w:rsidRPr="00122697">
        <w:rPr>
          <w:rFonts w:ascii="Times New Roman" w:hAnsi="Times New Roman" w:cs="Times New Roman"/>
          <w:i/>
          <w:sz w:val="24"/>
          <w:szCs w:val="24"/>
        </w:rPr>
        <w:t>El informe señala que los ingresos de la mitad de la población mundial se han reducido en un billón de dólares (cerca de 920.000 millones de euros) desde 2010, lo que supone una caída del 41%, mientras que la riqueza de las 62 personas más pudientes del planeta ha aumentado en más de 500.000 millones de dólares (casi 460.000 millones de euros), esto es, un 44% más</w:t>
      </w:r>
      <w:r>
        <w:rPr>
          <w:rFonts w:ascii="Times New Roman" w:hAnsi="Times New Roman" w:cs="Times New Roman"/>
          <w:i/>
          <w:sz w:val="24"/>
          <w:szCs w:val="24"/>
        </w:rPr>
        <w:t>”..</w:t>
      </w:r>
      <w:r w:rsidRPr="00122697">
        <w:rPr>
          <w:rFonts w:ascii="Times New Roman" w:hAnsi="Times New Roman" w:cs="Times New Roman"/>
          <w:i/>
          <w:sz w:val="24"/>
          <w:szCs w:val="24"/>
        </w:rPr>
        <w:t>.</w:t>
      </w:r>
      <w:r w:rsidR="006C19F4" w:rsidRPr="006466B6">
        <w:rPr>
          <w:rFonts w:ascii="Times New Roman" w:hAnsi="Times New Roman" w:cs="Times New Roman"/>
          <w:sz w:val="24"/>
          <w:szCs w:val="24"/>
          <w:u w:val="single"/>
        </w:rPr>
        <w:t>Las 62 personas más ricas tienen tanto como las 3.600 millones más pobres</w:t>
      </w:r>
      <w:r w:rsidR="006C19F4" w:rsidRPr="006466B6">
        <w:rPr>
          <w:rFonts w:ascii="Times New Roman" w:hAnsi="Times New Roman" w:cs="Times New Roman"/>
          <w:sz w:val="24"/>
          <w:szCs w:val="24"/>
        </w:rPr>
        <w:t xml:space="preserve"> (servimedia.es -</w:t>
      </w:r>
      <w:r w:rsidR="006C19F4" w:rsidRPr="006B28A0">
        <w:rPr>
          <w:rFonts w:ascii="Times New Roman" w:hAnsi="Times New Roman" w:cs="Times New Roman"/>
          <w:b/>
          <w:color w:val="333333"/>
          <w:sz w:val="24"/>
          <w:szCs w:val="24"/>
        </w:rPr>
        <w:t>18/1/16</w:t>
      </w:r>
      <w:r w:rsidR="006C19F4">
        <w:rPr>
          <w:rFonts w:ascii="Times New Roman" w:hAnsi="Times New Roman" w:cs="Times New Roman"/>
          <w:color w:val="333333"/>
          <w:sz w:val="24"/>
          <w:szCs w:val="24"/>
        </w:rPr>
        <w:t>)</w:t>
      </w:r>
    </w:p>
    <w:p w:rsidR="006C19F4" w:rsidRPr="00BE01F3" w:rsidRDefault="006C19F4" w:rsidP="006C19F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E01F3">
        <w:rPr>
          <w:rFonts w:ascii="Times New Roman" w:hAnsi="Times New Roman" w:cs="Times New Roman"/>
          <w:sz w:val="24"/>
          <w:szCs w:val="24"/>
          <w:u w:val="single"/>
        </w:rPr>
        <w:t>Viejunocracia</w:t>
      </w:r>
      <w:r>
        <w:rPr>
          <w:rFonts w:ascii="Times New Roman" w:hAnsi="Times New Roman" w:cs="Times New Roman"/>
          <w:sz w:val="24"/>
          <w:szCs w:val="24"/>
        </w:rPr>
        <w:t xml:space="preserve"> (El Confidencial - </w:t>
      </w:r>
      <w:r w:rsidRPr="00BE01F3">
        <w:rPr>
          <w:rFonts w:ascii="Times New Roman" w:hAnsi="Times New Roman" w:cs="Times New Roman"/>
          <w:b/>
          <w:sz w:val="24"/>
          <w:szCs w:val="24"/>
        </w:rPr>
        <w:t>4/2/16</w:t>
      </w:r>
      <w:r>
        <w:rPr>
          <w:rFonts w:ascii="Times New Roman" w:hAnsi="Times New Roman" w:cs="Times New Roman"/>
          <w:sz w:val="24"/>
          <w:szCs w:val="24"/>
        </w:rPr>
        <w:t>)                                       Lectura recomendada</w:t>
      </w:r>
    </w:p>
    <w:p w:rsidR="006C19F4" w:rsidRPr="00976352" w:rsidRDefault="006C19F4" w:rsidP="006C19F4">
      <w:pPr>
        <w:spacing w:line="240" w:lineRule="auto"/>
        <w:jc w:val="both"/>
        <w:rPr>
          <w:rFonts w:ascii="Times New Roman" w:hAnsi="Times New Roman" w:cs="Times New Roman"/>
          <w:color w:val="FF0000"/>
          <w:sz w:val="24"/>
          <w:szCs w:val="24"/>
        </w:rPr>
      </w:pPr>
      <w:r w:rsidRPr="00976352">
        <w:rPr>
          <w:rFonts w:ascii="Times New Roman" w:hAnsi="Times New Roman" w:cs="Times New Roman"/>
          <w:color w:val="FF0000"/>
          <w:sz w:val="24"/>
          <w:szCs w:val="24"/>
        </w:rPr>
        <w:t>Por primera vez en varias generaciones, los jóvenes no vivirán mejor que sus antepasados. Eso contrasta con otra generación que se ha encontrado con un futuro mejor a lo largo de toda su vida</w:t>
      </w:r>
    </w:p>
    <w:p w:rsidR="006C19F4" w:rsidRDefault="006C19F4" w:rsidP="006C19F4">
      <w:pPr>
        <w:spacing w:line="240" w:lineRule="auto"/>
        <w:jc w:val="both"/>
        <w:rPr>
          <w:rFonts w:ascii="Times New Roman" w:hAnsi="Times New Roman" w:cs="Times New Roman"/>
          <w:sz w:val="24"/>
          <w:szCs w:val="24"/>
        </w:rPr>
      </w:pPr>
      <w:r>
        <w:rPr>
          <w:rFonts w:ascii="Times New Roman" w:hAnsi="Times New Roman" w:cs="Times New Roman"/>
          <w:sz w:val="24"/>
          <w:szCs w:val="24"/>
        </w:rPr>
        <w:t>(Por Kike Vázquez)</w:t>
      </w:r>
    </w:p>
    <w:p w:rsidR="006C19F4" w:rsidRPr="009A6ECC" w:rsidRDefault="006C19F4" w:rsidP="006C19F4">
      <w:pPr>
        <w:spacing w:line="240" w:lineRule="auto"/>
        <w:jc w:val="both"/>
        <w:rPr>
          <w:rFonts w:ascii="Times New Roman" w:hAnsi="Times New Roman" w:cs="Times New Roman"/>
          <w:sz w:val="24"/>
          <w:szCs w:val="24"/>
        </w:rPr>
      </w:pPr>
      <w:r w:rsidRPr="00BE01F3">
        <w:rPr>
          <w:rFonts w:ascii="Times New Roman" w:hAnsi="Times New Roman" w:cs="Times New Roman"/>
          <w:sz w:val="24"/>
          <w:szCs w:val="24"/>
        </w:rPr>
        <w:t xml:space="preserve">Soy joven, o eso quiero creer, y por tanto parte interesada de esta historia. Pero </w:t>
      </w:r>
      <w:r w:rsidRPr="00976352">
        <w:rPr>
          <w:rFonts w:ascii="Times New Roman" w:hAnsi="Times New Roman" w:cs="Times New Roman"/>
          <w:color w:val="FF0000"/>
          <w:sz w:val="24"/>
          <w:szCs w:val="24"/>
          <w:u w:val="single"/>
        </w:rPr>
        <w:t>este artículo</w:t>
      </w:r>
      <w:r w:rsidRPr="00BE01F3">
        <w:rPr>
          <w:rFonts w:ascii="Times New Roman" w:hAnsi="Times New Roman" w:cs="Times New Roman"/>
          <w:sz w:val="24"/>
          <w:szCs w:val="24"/>
        </w:rPr>
        <w:t xml:space="preserve"> no va sobre mí, ni sobre casos de conocidos, </w:t>
      </w:r>
      <w:r w:rsidRPr="00976352">
        <w:rPr>
          <w:rFonts w:ascii="Times New Roman" w:hAnsi="Times New Roman" w:cs="Times New Roman"/>
          <w:color w:val="FF0000"/>
          <w:sz w:val="24"/>
          <w:szCs w:val="24"/>
          <w:u w:val="single"/>
        </w:rPr>
        <w:t>va sobre dar voz a lo que siente una generación que se enfrenta al entorno laboral actual</w:t>
      </w:r>
      <w:r w:rsidRPr="00BE01F3">
        <w:rPr>
          <w:rFonts w:ascii="Times New Roman" w:hAnsi="Times New Roman" w:cs="Times New Roman"/>
          <w:sz w:val="24"/>
          <w:szCs w:val="24"/>
        </w:rPr>
        <w:t xml:space="preserve">. </w:t>
      </w:r>
      <w:r w:rsidRPr="00976352">
        <w:rPr>
          <w:rFonts w:ascii="Times New Roman" w:hAnsi="Times New Roman" w:cs="Times New Roman"/>
          <w:sz w:val="24"/>
          <w:szCs w:val="24"/>
          <w:u w:val="single"/>
        </w:rPr>
        <w:t>Un artículo escrito e</w:t>
      </w:r>
      <w:r>
        <w:rPr>
          <w:rFonts w:ascii="Times New Roman" w:hAnsi="Times New Roman" w:cs="Times New Roman"/>
          <w:sz w:val="24"/>
          <w:szCs w:val="24"/>
          <w:u w:val="single"/>
        </w:rPr>
        <w:t>l martes en Project Syndicate (“</w:t>
      </w:r>
      <w:r w:rsidRPr="00976352">
        <w:rPr>
          <w:rFonts w:ascii="Times New Roman" w:hAnsi="Times New Roman" w:cs="Times New Roman"/>
          <w:sz w:val="24"/>
          <w:szCs w:val="24"/>
          <w:u w:val="single"/>
        </w:rPr>
        <w:t>The Politics of Young a</w:t>
      </w:r>
      <w:r>
        <w:rPr>
          <w:rFonts w:ascii="Times New Roman" w:hAnsi="Times New Roman" w:cs="Times New Roman"/>
          <w:sz w:val="24"/>
          <w:szCs w:val="24"/>
          <w:u w:val="single"/>
        </w:rPr>
        <w:t>nd Old”</w:t>
      </w:r>
      <w:r w:rsidRPr="00976352">
        <w:rPr>
          <w:rFonts w:ascii="Times New Roman" w:hAnsi="Times New Roman" w:cs="Times New Roman"/>
          <w:sz w:val="24"/>
          <w:szCs w:val="24"/>
          <w:u w:val="single"/>
        </w:rPr>
        <w:t>)</w:t>
      </w:r>
      <w:r w:rsidRPr="00BE01F3">
        <w:rPr>
          <w:rFonts w:ascii="Times New Roman" w:hAnsi="Times New Roman" w:cs="Times New Roman"/>
          <w:sz w:val="24"/>
          <w:szCs w:val="24"/>
        </w:rPr>
        <w:t xml:space="preserve"> me ha dado la excusa perfecta, pues analiza el choque de generaciones que se está dando a lo largo del mundo, </w:t>
      </w:r>
      <w:r>
        <w:rPr>
          <w:rFonts w:ascii="Times New Roman" w:hAnsi="Times New Roman" w:cs="Times New Roman"/>
          <w:sz w:val="24"/>
          <w:szCs w:val="24"/>
          <w:u w:val="single"/>
        </w:rPr>
        <w:t>lo que en España llamamos “viejunocracia”</w:t>
      </w:r>
      <w:r w:rsidRPr="00976352">
        <w:rPr>
          <w:rFonts w:ascii="Times New Roman" w:hAnsi="Times New Roman" w:cs="Times New Roman"/>
          <w:sz w:val="24"/>
          <w:szCs w:val="24"/>
          <w:u w:val="single"/>
        </w:rPr>
        <w:t>.</w:t>
      </w:r>
    </w:p>
    <w:p w:rsidR="006C19F4" w:rsidRPr="00976352" w:rsidRDefault="006C19F4" w:rsidP="006C19F4">
      <w:pPr>
        <w:spacing w:line="240" w:lineRule="auto"/>
        <w:jc w:val="both"/>
        <w:rPr>
          <w:rFonts w:ascii="Times New Roman" w:hAnsi="Times New Roman" w:cs="Times New Roman"/>
          <w:sz w:val="24"/>
          <w:szCs w:val="24"/>
          <w:u w:val="single"/>
        </w:rPr>
      </w:pPr>
      <w:r w:rsidRPr="00976352">
        <w:rPr>
          <w:rFonts w:ascii="Times New Roman" w:hAnsi="Times New Roman" w:cs="Times New Roman"/>
          <w:color w:val="FF0000"/>
          <w:sz w:val="24"/>
          <w:szCs w:val="24"/>
          <w:u w:val="single"/>
        </w:rPr>
        <w:lastRenderedPageBreak/>
        <w:t>¿Qué es la viejunocracia?</w:t>
      </w:r>
      <w:r w:rsidRPr="00976352">
        <w:rPr>
          <w:rFonts w:ascii="Times New Roman" w:hAnsi="Times New Roman" w:cs="Times New Roman"/>
          <w:sz w:val="24"/>
          <w:szCs w:val="24"/>
          <w:u w:val="single"/>
        </w:rPr>
        <w:t>Pues básicamente un sist</w:t>
      </w:r>
      <w:r w:rsidR="006466B6">
        <w:rPr>
          <w:rFonts w:ascii="Times New Roman" w:hAnsi="Times New Roman" w:cs="Times New Roman"/>
          <w:sz w:val="24"/>
          <w:szCs w:val="24"/>
          <w:u w:val="single"/>
        </w:rPr>
        <w:t>ema económico y social que los “no jóvenes”</w:t>
      </w:r>
      <w:r w:rsidRPr="00976352">
        <w:rPr>
          <w:rFonts w:ascii="Times New Roman" w:hAnsi="Times New Roman" w:cs="Times New Roman"/>
          <w:sz w:val="24"/>
          <w:szCs w:val="24"/>
          <w:u w:val="single"/>
        </w:rPr>
        <w:t xml:space="preserve"> conocerán como gerontocracia, en donde los más ancianos son los que mantienen el control. Dicho así, puede parecer un poco exagerado, pues vivimos en una teórica democracia y en las calles no se percibe que sean los más longevos del lugar los que tengan el poder, en ocasiones todo lo contrario (desgraciadamente). Cierto es, pero no solo hay que ver la teoría, también la práctica.</w:t>
      </w:r>
    </w:p>
    <w:p w:rsidR="006C19F4" w:rsidRPr="00976352" w:rsidRDefault="006C19F4" w:rsidP="006C19F4">
      <w:pPr>
        <w:spacing w:line="240" w:lineRule="auto"/>
        <w:jc w:val="both"/>
        <w:rPr>
          <w:rFonts w:ascii="Times New Roman" w:hAnsi="Times New Roman" w:cs="Times New Roman"/>
          <w:sz w:val="24"/>
          <w:szCs w:val="24"/>
          <w:u w:val="single"/>
        </w:rPr>
      </w:pPr>
      <w:r w:rsidRPr="00976352">
        <w:rPr>
          <w:rFonts w:ascii="Times New Roman" w:hAnsi="Times New Roman" w:cs="Times New Roman"/>
          <w:sz w:val="24"/>
          <w:szCs w:val="24"/>
          <w:u w:val="single"/>
        </w:rPr>
        <w:t>Comencemos por ejemplo por el sistema de pensiones. ¿Alguien se ha fijado, por ejemplo, cómo en estas elecciones todos los partidos hablaban de subirlas?</w:t>
      </w:r>
      <w:r w:rsidRPr="00BE01F3">
        <w:rPr>
          <w:rFonts w:ascii="Times New Roman" w:hAnsi="Times New Roman" w:cs="Times New Roman"/>
          <w:sz w:val="24"/>
          <w:szCs w:val="24"/>
        </w:rPr>
        <w:t xml:space="preserve"> Da igual el color, todos los partidos las quieren subir y aprovechan la menor debilidad del</w:t>
      </w:r>
      <w:r>
        <w:rPr>
          <w:rFonts w:ascii="Times New Roman" w:hAnsi="Times New Roman" w:cs="Times New Roman"/>
          <w:sz w:val="24"/>
          <w:szCs w:val="24"/>
        </w:rPr>
        <w:t xml:space="preserve"> rival para acusarlo de vaciar “la hucha”</w:t>
      </w:r>
      <w:r w:rsidRPr="00BE01F3">
        <w:rPr>
          <w:rFonts w:ascii="Times New Roman" w:hAnsi="Times New Roman" w:cs="Times New Roman"/>
          <w:sz w:val="24"/>
          <w:szCs w:val="24"/>
        </w:rPr>
        <w:t xml:space="preserve">. </w:t>
      </w:r>
      <w:r w:rsidRPr="00976352">
        <w:rPr>
          <w:rFonts w:ascii="Times New Roman" w:hAnsi="Times New Roman" w:cs="Times New Roman"/>
          <w:sz w:val="24"/>
          <w:szCs w:val="24"/>
          <w:u w:val="single"/>
        </w:rPr>
        <w:t>¿Por qué? Porque los m</w:t>
      </w:r>
      <w:r>
        <w:rPr>
          <w:rFonts w:ascii="Times New Roman" w:hAnsi="Times New Roman" w:cs="Times New Roman"/>
          <w:sz w:val="24"/>
          <w:szCs w:val="24"/>
          <w:u w:val="single"/>
        </w:rPr>
        <w:t>ayores de 65 años son el mayor “lobby”</w:t>
      </w:r>
      <w:r w:rsidRPr="00976352">
        <w:rPr>
          <w:rFonts w:ascii="Times New Roman" w:hAnsi="Times New Roman" w:cs="Times New Roman"/>
          <w:sz w:val="24"/>
          <w:szCs w:val="24"/>
          <w:u w:val="single"/>
        </w:rPr>
        <w:t xml:space="preserve"> político que existe en nuestro país, unos 8,5 millones de personas movilizadas (vota más del 90%) y cuyas preocupaciones son muy concretas: mi pensión, mi pensión, mi pensión.</w:t>
      </w:r>
    </w:p>
    <w:p w:rsidR="006C19F4" w:rsidRPr="00BE01F3" w:rsidRDefault="006C19F4" w:rsidP="006C19F4">
      <w:pPr>
        <w:spacing w:line="240" w:lineRule="auto"/>
        <w:jc w:val="both"/>
        <w:rPr>
          <w:rFonts w:ascii="Times New Roman" w:hAnsi="Times New Roman" w:cs="Times New Roman"/>
          <w:sz w:val="24"/>
          <w:szCs w:val="24"/>
        </w:rPr>
      </w:pPr>
      <w:r w:rsidRPr="00BE01F3">
        <w:rPr>
          <w:rFonts w:ascii="Times New Roman" w:hAnsi="Times New Roman" w:cs="Times New Roman"/>
          <w:sz w:val="24"/>
          <w:szCs w:val="24"/>
        </w:rPr>
        <w:t xml:space="preserve">Una caricaturización de la realidad, sí, pero que en muchos casos es bastante fidedigna de lo que ocurre. </w:t>
      </w:r>
      <w:r w:rsidRPr="00976352">
        <w:rPr>
          <w:rFonts w:ascii="Times New Roman" w:hAnsi="Times New Roman" w:cs="Times New Roman"/>
          <w:sz w:val="24"/>
          <w:szCs w:val="24"/>
          <w:u w:val="single"/>
        </w:rPr>
        <w:t>Los pensionistas votan en masa y por hechos muy concretos, por contra, los jóvenes presentan una alta abstención y tienen inquietudes muy diversas.</w:t>
      </w:r>
      <w:r w:rsidRPr="00BE01F3">
        <w:rPr>
          <w:rFonts w:ascii="Times New Roman" w:hAnsi="Times New Roman" w:cs="Times New Roman"/>
          <w:sz w:val="24"/>
          <w:szCs w:val="24"/>
        </w:rPr>
        <w:t xml:space="preserve"> Con este panorama, no es extraño que se hagan reformas laborales, que se suban impuestos o que incluso se toque a otro todopoderoso grupo como es el de los funcionarios, </w:t>
      </w:r>
      <w:r w:rsidRPr="009A6ECC">
        <w:rPr>
          <w:rFonts w:ascii="Times New Roman" w:hAnsi="Times New Roman" w:cs="Times New Roman"/>
          <w:sz w:val="24"/>
          <w:szCs w:val="24"/>
          <w:u w:val="single"/>
        </w:rPr>
        <w:t>con tal de no cabrear a los de más de 65 años. Ellos dan votos; los otros también, pero no tantos.</w:t>
      </w:r>
    </w:p>
    <w:p w:rsidR="006C19F4" w:rsidRPr="009A6ECC" w:rsidRDefault="006C19F4" w:rsidP="006C19F4">
      <w:pPr>
        <w:spacing w:line="240" w:lineRule="auto"/>
        <w:jc w:val="both"/>
        <w:rPr>
          <w:rFonts w:ascii="Times New Roman" w:hAnsi="Times New Roman" w:cs="Times New Roman"/>
          <w:sz w:val="24"/>
          <w:szCs w:val="24"/>
          <w:u w:val="single"/>
        </w:rPr>
      </w:pPr>
      <w:r w:rsidRPr="00BE01F3">
        <w:rPr>
          <w:rFonts w:ascii="Times New Roman" w:hAnsi="Times New Roman" w:cs="Times New Roman"/>
          <w:sz w:val="24"/>
          <w:szCs w:val="24"/>
        </w:rPr>
        <w:t xml:space="preserve">Por supuesto no estoy negando el derecho a una prestación a quien ha trabajado toda la vida para ello, faltaría más. </w:t>
      </w:r>
      <w:r w:rsidRPr="009A6ECC">
        <w:rPr>
          <w:rFonts w:ascii="Times New Roman" w:hAnsi="Times New Roman" w:cs="Times New Roman"/>
          <w:sz w:val="24"/>
          <w:szCs w:val="24"/>
          <w:u w:val="single"/>
        </w:rPr>
        <w:t>Lo que ocurre es que mientras a la actual viejunocracia le ha resultado relativamente sencillo cumplir con sus obligaciones gracias al crecimiento económico, al crecimiento poblacional y a la baja esperanza de vida anterior, ahora todo se ha dado la vuelta. Ni crecimiento económico, ni poblacional, una esperanza de vida alta… y como hay muchas pensiones en relación a los cotizantes, más de un 25% de nuestro salario debe ir para pagarles a otros (y aun así no llega), cuando los jóvenes probablemente no tendrán derecho a nada, o casi nada.</w:t>
      </w:r>
    </w:p>
    <w:p w:rsidR="006C19F4" w:rsidRPr="009A6ECC" w:rsidRDefault="006C19F4" w:rsidP="006C19F4">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sz w:val="24"/>
          <w:szCs w:val="24"/>
          <w:u w:val="single"/>
        </w:rPr>
        <w:t>Reformar las pensiones no es un acto de corrupción ni de latrocinio, es equilibrar un poco una balanza a punto de romperse. Y ha tenido que venir Europa para que las modificásemos mínimamente, y tend</w:t>
      </w:r>
      <w:r>
        <w:rPr>
          <w:rFonts w:ascii="Times New Roman" w:hAnsi="Times New Roman" w:cs="Times New Roman"/>
          <w:sz w:val="24"/>
          <w:szCs w:val="24"/>
          <w:u w:val="single"/>
        </w:rPr>
        <w:t>rá que venir la jubilación del “baby boom”</w:t>
      </w:r>
      <w:r w:rsidRPr="009A6ECC">
        <w:rPr>
          <w:rFonts w:ascii="Times New Roman" w:hAnsi="Times New Roman" w:cs="Times New Roman"/>
          <w:sz w:val="24"/>
          <w:szCs w:val="24"/>
          <w:u w:val="single"/>
        </w:rPr>
        <w:t xml:space="preserve"> para darnos cuenta de que algo no funciona, y no solo por el elevado desempleo. </w:t>
      </w:r>
      <w:r w:rsidRPr="009A6ECC">
        <w:rPr>
          <w:rFonts w:ascii="Times New Roman" w:hAnsi="Times New Roman" w:cs="Times New Roman"/>
          <w:color w:val="FF0000"/>
          <w:sz w:val="24"/>
          <w:szCs w:val="24"/>
          <w:u w:val="single"/>
        </w:rPr>
        <w:t>Esperemos que la solución no sea dejar de depender de las cotizaciones para financiar los déficits a través de los impuestos, lo que otorgaría un saco sin fondo a partidos con poca responsabilidad política.</w:t>
      </w:r>
    </w:p>
    <w:p w:rsidR="006C19F4" w:rsidRPr="009A6ECC" w:rsidRDefault="006C19F4" w:rsidP="006C19F4">
      <w:pPr>
        <w:spacing w:line="240" w:lineRule="auto"/>
        <w:jc w:val="both"/>
        <w:rPr>
          <w:rFonts w:ascii="Times New Roman" w:hAnsi="Times New Roman" w:cs="Times New Roman"/>
          <w:b/>
          <w:color w:val="FF0000"/>
          <w:sz w:val="24"/>
          <w:szCs w:val="24"/>
          <w:u w:val="single"/>
        </w:rPr>
      </w:pPr>
      <w:r w:rsidRPr="00BE01F3">
        <w:rPr>
          <w:rFonts w:ascii="Times New Roman" w:hAnsi="Times New Roman" w:cs="Times New Roman"/>
          <w:sz w:val="24"/>
          <w:szCs w:val="24"/>
        </w:rPr>
        <w:t xml:space="preserve">No echo balones fuera. </w:t>
      </w:r>
      <w:r w:rsidRPr="009A6ECC">
        <w:rPr>
          <w:rFonts w:ascii="Times New Roman" w:hAnsi="Times New Roman" w:cs="Times New Roman"/>
          <w:b/>
          <w:color w:val="FF0000"/>
          <w:sz w:val="24"/>
          <w:szCs w:val="24"/>
          <w:u w:val="single"/>
        </w:rPr>
        <w:t xml:space="preserve">Sé que los jóvenes no somos perfectos y </w:t>
      </w:r>
      <w:r>
        <w:rPr>
          <w:rFonts w:ascii="Times New Roman" w:hAnsi="Times New Roman" w:cs="Times New Roman"/>
          <w:b/>
          <w:color w:val="FF0000"/>
          <w:sz w:val="24"/>
          <w:szCs w:val="24"/>
          <w:u w:val="single"/>
        </w:rPr>
        <w:t>hemos inventado por ejemplo la “generación nini”</w:t>
      </w:r>
      <w:r w:rsidRPr="009A6ECC">
        <w:rPr>
          <w:rFonts w:ascii="Times New Roman" w:hAnsi="Times New Roman" w:cs="Times New Roman"/>
          <w:b/>
          <w:color w:val="FF0000"/>
          <w:sz w:val="24"/>
          <w:szCs w:val="24"/>
          <w:u w:val="single"/>
        </w:rPr>
        <w:t>. Pero lejos de ser los más vagos de la historia, somos una generación que o no tiene trabajo (desempleo juvenil récord), o está mal pagada (precariedad récord) o cuyas condiciones laborales se saltan cualquier legalidad (explotación laboral). Si en las últimas décadas se cumplía la relación de esfuerzo-recompensa a quien sacaba una carrera o desempeñaba bien su puesto, independientemente de su formación, ahora nada parece serv</w:t>
      </w:r>
      <w:r>
        <w:rPr>
          <w:rFonts w:ascii="Times New Roman" w:hAnsi="Times New Roman" w:cs="Times New Roman"/>
          <w:b/>
          <w:color w:val="FF0000"/>
          <w:sz w:val="24"/>
          <w:szCs w:val="24"/>
          <w:u w:val="single"/>
        </w:rPr>
        <w:t>ir, y es recurrente el término “enchufismo”</w:t>
      </w:r>
      <w:r w:rsidRPr="009A6ECC">
        <w:rPr>
          <w:rFonts w:ascii="Times New Roman" w:hAnsi="Times New Roman" w:cs="Times New Roman"/>
          <w:b/>
          <w:color w:val="FF0000"/>
          <w:sz w:val="24"/>
          <w:szCs w:val="24"/>
          <w:u w:val="single"/>
        </w:rPr>
        <w:t>.</w:t>
      </w:r>
    </w:p>
    <w:p w:rsidR="006C19F4" w:rsidRPr="009A6ECC" w:rsidRDefault="006C19F4" w:rsidP="006C19F4">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color w:val="FF0000"/>
          <w:sz w:val="24"/>
          <w:szCs w:val="24"/>
          <w:u w:val="single"/>
        </w:rPr>
        <w:t xml:space="preserve">Sé que muchos de los que leeréis estas líneas estaréis pensando: ¡ganáoslo! Recordaréis cómo empezasteis con una mano delante y otra detrás, cómo os esforzasteis, cómo crecisteis… Y ahora veréis la generación del iPhone y las redes sociales atontada, sin </w:t>
      </w:r>
      <w:r w:rsidRPr="009A6ECC">
        <w:rPr>
          <w:rFonts w:ascii="Times New Roman" w:hAnsi="Times New Roman" w:cs="Times New Roman"/>
          <w:color w:val="FF0000"/>
          <w:sz w:val="24"/>
          <w:szCs w:val="24"/>
          <w:u w:val="single"/>
        </w:rPr>
        <w:lastRenderedPageBreak/>
        <w:t>objetivos. ¡En mis tiempos las hipotecas se hacían a doble dígito, y no se la daban a cualquiera! Pero es que no es lo mismo nadar a favor del agua que contracorriente.</w:t>
      </w:r>
    </w:p>
    <w:p w:rsidR="006C19F4" w:rsidRPr="009A6ECC" w:rsidRDefault="006C19F4" w:rsidP="006C19F4">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sz w:val="24"/>
          <w:szCs w:val="24"/>
          <w:u w:val="single"/>
        </w:rPr>
        <w:t>España desde l</w:t>
      </w:r>
      <w:r>
        <w:rPr>
          <w:rFonts w:ascii="Times New Roman" w:hAnsi="Times New Roman" w:cs="Times New Roman"/>
          <w:sz w:val="24"/>
          <w:szCs w:val="24"/>
          <w:u w:val="single"/>
        </w:rPr>
        <w:t>os años cincuenta ha vivido un “boom”</w:t>
      </w:r>
      <w:r w:rsidRPr="009A6ECC">
        <w:rPr>
          <w:rFonts w:ascii="Times New Roman" w:hAnsi="Times New Roman" w:cs="Times New Roman"/>
          <w:sz w:val="24"/>
          <w:szCs w:val="24"/>
          <w:u w:val="single"/>
        </w:rPr>
        <w:t xml:space="preserve"> económico sin precedentes, y cuando los efectos de la economía real se acababan, lo apostamos todo a una burbuja inmobiliaria que explotó. </w:t>
      </w:r>
      <w:r w:rsidRPr="009A6ECC">
        <w:rPr>
          <w:rFonts w:ascii="Times New Roman" w:hAnsi="Times New Roman" w:cs="Times New Roman"/>
          <w:color w:val="FF0000"/>
          <w:sz w:val="24"/>
          <w:szCs w:val="24"/>
          <w:u w:val="single"/>
        </w:rPr>
        <w:t>Antes no existían todas las comodidades que existen hoy, ni se vivía tan bien en casa de papi y mami, pero por contra un trabajador era dueño de su propia vida. Si estudiabas, tenías recompensa, si trabajabas, tenías recompensa, ya no. El sueño se ha esfumado como un globo que se pincha.</w:t>
      </w:r>
    </w:p>
    <w:p w:rsidR="006C19F4" w:rsidRPr="009A6ECC" w:rsidRDefault="006C19F4" w:rsidP="006C19F4">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color w:val="FF0000"/>
          <w:sz w:val="24"/>
          <w:szCs w:val="24"/>
          <w:u w:val="single"/>
        </w:rPr>
        <w:t>Si un obrero antes podía mantener una familia y comprar una vivienda, ahora la precariedad ha provocado ya no solo que eso sea racionalmente inviable, también que no puedas hacer planes de futuro, hasta el punto de replantearse un objetivo tan vital como el de formar una familia. O no tienes dinero, o no tienes estabilidad o no tienes tiempo. ¡Y aún nos preguntamos por qué cae la natalidad! Mi enhorabuena a todos los padres de este país, ¡sois unos valientes!</w:t>
      </w:r>
    </w:p>
    <w:p w:rsidR="006C19F4" w:rsidRPr="009A6ECC" w:rsidRDefault="006C19F4" w:rsidP="006C19F4">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color w:val="FF0000"/>
          <w:sz w:val="24"/>
          <w:szCs w:val="24"/>
          <w:u w:val="single"/>
        </w:rPr>
        <w:t>Unos tienen el patrimonio, y los otros o pagan un alquiler que se lleva buena parte de la renta, o se hipotecan para el resto de sus días (algo que no pasaba con las hipotecas de doble dígito). Además de pagar las pensiones, claro. Que no cobrarán, claro. Y si vivimos bien, que en muchos casos es así, es o por un Estado de bienestar ahora en decadencia, o precisamente por recibir parte de la riqueza de nuestras familias (papá, la abuela…), consolidando la desigualdad entre ricos y pobres y mermando la autoestima de una generación que lo que querría es valerse por sí misma y llevar adelante su propio plan vital.</w:t>
      </w:r>
    </w:p>
    <w:p w:rsidR="006C19F4" w:rsidRPr="009A6ECC" w:rsidRDefault="006C19F4" w:rsidP="006C19F4">
      <w:pPr>
        <w:spacing w:line="240" w:lineRule="auto"/>
        <w:jc w:val="both"/>
        <w:rPr>
          <w:rFonts w:ascii="Times New Roman" w:hAnsi="Times New Roman" w:cs="Times New Roman"/>
          <w:sz w:val="24"/>
          <w:szCs w:val="24"/>
          <w:u w:val="single"/>
        </w:rPr>
      </w:pPr>
      <w:r w:rsidRPr="00BE01F3">
        <w:rPr>
          <w:rFonts w:ascii="Times New Roman" w:hAnsi="Times New Roman" w:cs="Times New Roman"/>
          <w:sz w:val="24"/>
          <w:szCs w:val="24"/>
        </w:rPr>
        <w:t xml:space="preserve">No solo son las pensiones o la situación económica. Comenta el artículo que enlazaba al principio que también </w:t>
      </w:r>
      <w:r w:rsidRPr="009A6ECC">
        <w:rPr>
          <w:rFonts w:ascii="Times New Roman" w:hAnsi="Times New Roman" w:cs="Times New Roman"/>
          <w:sz w:val="24"/>
          <w:szCs w:val="24"/>
          <w:u w:val="single"/>
        </w:rPr>
        <w:t>hay otros graves problemas que mi generación deberá afrontar. Una es el cambio climático</w:t>
      </w:r>
      <w:r w:rsidRPr="00BE01F3">
        <w:rPr>
          <w:rFonts w:ascii="Times New Roman" w:hAnsi="Times New Roman" w:cs="Times New Roman"/>
          <w:sz w:val="24"/>
          <w:szCs w:val="24"/>
        </w:rPr>
        <w:t xml:space="preserve">. </w:t>
      </w:r>
      <w:r w:rsidRPr="009A6ECC">
        <w:rPr>
          <w:rFonts w:ascii="Times New Roman" w:hAnsi="Times New Roman" w:cs="Times New Roman"/>
          <w:sz w:val="24"/>
          <w:szCs w:val="24"/>
          <w:u w:val="single"/>
        </w:rPr>
        <w:t>Gracias por contaminar sin pensar en las consecuencias.</w:t>
      </w:r>
      <w:r w:rsidRPr="00BE01F3">
        <w:rPr>
          <w:rFonts w:ascii="Times New Roman" w:hAnsi="Times New Roman" w:cs="Times New Roman"/>
          <w:sz w:val="24"/>
          <w:szCs w:val="24"/>
        </w:rPr>
        <w:t xml:space="preserve"> Afortunadamente para algunos, </w:t>
      </w:r>
      <w:r w:rsidRPr="009A6ECC">
        <w:rPr>
          <w:rFonts w:ascii="Times New Roman" w:hAnsi="Times New Roman" w:cs="Times New Roman"/>
          <w:sz w:val="24"/>
          <w:szCs w:val="24"/>
          <w:u w:val="single"/>
        </w:rPr>
        <w:t>los cambios que se están produciendo en el mundo no se notarán en unos cuantos años, por lo que algunas generaciones habrán vivido las ventajas de contaminar sin pagar sus consecuencias. Nuestra generación sí lo pagará.</w:t>
      </w:r>
    </w:p>
    <w:p w:rsidR="006C19F4" w:rsidRPr="00BE01F3" w:rsidRDefault="006C19F4" w:rsidP="006C19F4">
      <w:pPr>
        <w:spacing w:line="240" w:lineRule="auto"/>
        <w:jc w:val="both"/>
        <w:rPr>
          <w:rFonts w:ascii="Times New Roman" w:hAnsi="Times New Roman" w:cs="Times New Roman"/>
          <w:sz w:val="24"/>
          <w:szCs w:val="24"/>
        </w:rPr>
      </w:pPr>
      <w:r w:rsidRPr="009A6ECC">
        <w:rPr>
          <w:rFonts w:ascii="Times New Roman" w:hAnsi="Times New Roman" w:cs="Times New Roman"/>
          <w:sz w:val="24"/>
          <w:szCs w:val="24"/>
          <w:u w:val="single"/>
        </w:rPr>
        <w:t>Gracias también por endeudarnos hasta el límite</w:t>
      </w:r>
      <w:r w:rsidRPr="00BE01F3">
        <w:rPr>
          <w:rFonts w:ascii="Times New Roman" w:hAnsi="Times New Roman" w:cs="Times New Roman"/>
          <w:sz w:val="24"/>
          <w:szCs w:val="24"/>
        </w:rPr>
        <w:t xml:space="preserve">. Nuevamente, cuando la deuda crece se produce paralelamente crecimiento económico y sensación de prosperidad, pero cuando llega a determinados límites provoca estancamiento. </w:t>
      </w:r>
      <w:r w:rsidRPr="009A6ECC">
        <w:rPr>
          <w:rFonts w:ascii="Times New Roman" w:hAnsi="Times New Roman" w:cs="Times New Roman"/>
          <w:sz w:val="24"/>
          <w:szCs w:val="24"/>
          <w:u w:val="single"/>
        </w:rPr>
        <w:t>Unos se han beneficiado de ella, otros pagarán las consecuencias</w:t>
      </w:r>
      <w:r w:rsidRPr="00BE01F3">
        <w:rPr>
          <w:rFonts w:ascii="Times New Roman" w:hAnsi="Times New Roman" w:cs="Times New Roman"/>
          <w:sz w:val="24"/>
          <w:szCs w:val="24"/>
        </w:rPr>
        <w:t>. Consecuencias, por otra parte, que no son ni más ni menos que las que ya empezamos a ver, pues la situación laboral de este país tiene mucho que ver con ella, tanto por no usarla correctamente como por su exceso.</w:t>
      </w:r>
    </w:p>
    <w:p w:rsidR="006C19F4" w:rsidRPr="00BE01F3" w:rsidRDefault="006C19F4" w:rsidP="006C19F4">
      <w:pPr>
        <w:spacing w:line="240" w:lineRule="auto"/>
        <w:jc w:val="both"/>
        <w:rPr>
          <w:rFonts w:ascii="Times New Roman" w:hAnsi="Times New Roman" w:cs="Times New Roman"/>
          <w:sz w:val="24"/>
          <w:szCs w:val="24"/>
        </w:rPr>
      </w:pPr>
      <w:r w:rsidRPr="00BE01F3">
        <w:rPr>
          <w:rFonts w:ascii="Times New Roman" w:hAnsi="Times New Roman" w:cs="Times New Roman"/>
          <w:sz w:val="24"/>
          <w:szCs w:val="24"/>
        </w:rPr>
        <w:t>Y aunque el artículo enlazado originalmente habla de una situación que se repite a lo largo de numerosos países, ¿cuál es la solución a la que muchos están recurriendo en España? Irse. Porque al menos en algunos países sigue existiendo una relación entre el esfuerzo y la recompensa, y sin tener en cuenta tu apellido. Así, en España, aún habrá menos votos de jóvenes, y más poder tendrá la viejunocracia, y así una y otra vez.</w:t>
      </w:r>
    </w:p>
    <w:p w:rsidR="006C19F4" w:rsidRDefault="006C19F4" w:rsidP="006C19F4">
      <w:pPr>
        <w:spacing w:line="240" w:lineRule="auto"/>
        <w:jc w:val="both"/>
        <w:rPr>
          <w:rFonts w:ascii="Times New Roman" w:hAnsi="Times New Roman" w:cs="Times New Roman"/>
          <w:sz w:val="24"/>
          <w:szCs w:val="24"/>
        </w:rPr>
      </w:pPr>
      <w:r w:rsidRPr="00BE01F3">
        <w:rPr>
          <w:rFonts w:ascii="Times New Roman" w:hAnsi="Times New Roman" w:cs="Times New Roman"/>
          <w:sz w:val="24"/>
          <w:szCs w:val="24"/>
        </w:rPr>
        <w:t>Que me perdone quien se h</w:t>
      </w:r>
      <w:r>
        <w:rPr>
          <w:rFonts w:ascii="Times New Roman" w:hAnsi="Times New Roman" w:cs="Times New Roman"/>
          <w:sz w:val="24"/>
          <w:szCs w:val="24"/>
        </w:rPr>
        <w:t>aya sentido ofendido por lo de “viejuno”</w:t>
      </w:r>
      <w:r w:rsidRPr="00BE01F3">
        <w:rPr>
          <w:rFonts w:ascii="Times New Roman" w:hAnsi="Times New Roman" w:cs="Times New Roman"/>
          <w:sz w:val="24"/>
          <w:szCs w:val="24"/>
        </w:rPr>
        <w:t xml:space="preserve">, solo es el término que se emplea en la calle o internet. Que me perdone también todo aquel que no ve reflejados su esfuerzo y las enormes dificultades que ha sorteado a lo largo de su vida para llegar a donde está. En realidad no quiero juzgar a nadie, ni sería posible hacerlo. Solo pretendo con estas líneas dar voz a una generación que por momentos cree que no se la está tratando de una manera ecuánime. Y eso a pesar de vivir en un país con una </w:t>
      </w:r>
      <w:r w:rsidRPr="00BE01F3">
        <w:rPr>
          <w:rFonts w:ascii="Times New Roman" w:hAnsi="Times New Roman" w:cs="Times New Roman"/>
          <w:sz w:val="24"/>
          <w:szCs w:val="24"/>
        </w:rPr>
        <w:lastRenderedPageBreak/>
        <w:t>calidad de vida envidiable, y de ser en muchos casos unos privilegiados. Pero necesitamos sentirnos útiles, necesitamos tener el control de nuestras propias vidas y, en otras palabras, necesitamos una oportunidad que no nos han dado.</w:t>
      </w:r>
    </w:p>
    <w:p w:rsidR="006C19F4" w:rsidRPr="006C19F4" w:rsidRDefault="006C19F4" w:rsidP="006C19F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C19F4">
        <w:rPr>
          <w:rFonts w:ascii="Times New Roman" w:hAnsi="Times New Roman" w:cs="Times New Roman"/>
          <w:i/>
          <w:sz w:val="24"/>
          <w:szCs w:val="24"/>
        </w:rPr>
        <w:t>La desigualdad de la renta en los países desarrollados es un debate que sigue ganando peso. El auge de ciertos partidos y determinados políticos que prometen reducir la desigualdad es una clara señal de que las sociedades desarrolladas son sensibles a esta cuestión. Para corregir esta brecha entre los que ingresan mucho y los que ingresan poco o nada, la renta básica parece ganar protagonismo como fórmula para paliar la situación.</w:t>
      </w:r>
    </w:p>
    <w:p w:rsidR="006C19F4" w:rsidRPr="006C19F4" w:rsidRDefault="006C19F4" w:rsidP="006C19F4">
      <w:pPr>
        <w:spacing w:line="240" w:lineRule="auto"/>
        <w:jc w:val="both"/>
        <w:rPr>
          <w:rFonts w:ascii="Times New Roman" w:hAnsi="Times New Roman" w:cs="Times New Roman"/>
          <w:i/>
          <w:sz w:val="24"/>
          <w:szCs w:val="24"/>
        </w:rPr>
      </w:pPr>
      <w:r w:rsidRPr="006C19F4">
        <w:rPr>
          <w:rFonts w:ascii="Times New Roman" w:hAnsi="Times New Roman" w:cs="Times New Roman"/>
          <w:i/>
          <w:sz w:val="24"/>
          <w:szCs w:val="24"/>
        </w:rPr>
        <w:t>Como explica Richard Reeves, miembro del think tank Brookings Institution y alma mater de la Universidad de Warwick, el mercado laboral ha cumplido un buen papel en los últimos 70 años: “Ha logrado emparejar el factor trabajo (trabajadores) y el factor capital (maquinaria, tecnología, etc.) para el buen funcionamiento de la producción. Ha impulsado el bienestar a través de una estructura aprobada socialmente. Y ha distribuido los ingresos a través de los salarios”.</w:t>
      </w:r>
    </w:p>
    <w:p w:rsidR="006C19F4" w:rsidRPr="006C19F4" w:rsidRDefault="006C19F4" w:rsidP="006C19F4">
      <w:pPr>
        <w:spacing w:line="240" w:lineRule="auto"/>
        <w:jc w:val="both"/>
        <w:rPr>
          <w:rFonts w:ascii="Times New Roman" w:hAnsi="Times New Roman" w:cs="Times New Roman"/>
          <w:i/>
          <w:sz w:val="24"/>
          <w:szCs w:val="24"/>
        </w:rPr>
      </w:pPr>
      <w:r w:rsidRPr="006C19F4">
        <w:rPr>
          <w:rFonts w:ascii="Times New Roman" w:hAnsi="Times New Roman" w:cs="Times New Roman"/>
          <w:i/>
          <w:sz w:val="24"/>
          <w:szCs w:val="24"/>
        </w:rPr>
        <w:t>Aunque estos pilares se han respetado durante los últimos 70 años, ahora se está produciendo un cambio importante. “Aunque el factor trabajo se sigue emparejando con el factor capital, la distribución de los ingresos ha dejado de funcionar. Los cambios estructurales en la economía, en particular, el cambio tecnológico, están suponiendo menores salarios para los trabajadores menos productivos. Al mismo tiempo, la porción de los salarios está cayendo como parte del PIB”. Por este motivo, quizá sea el momento de que se produzca un giro que ayude a compensar esta tendencia.</w:t>
      </w:r>
    </w:p>
    <w:p w:rsidR="006C19F4" w:rsidRDefault="006C19F4" w:rsidP="006C19F4">
      <w:pPr>
        <w:spacing w:line="240" w:lineRule="auto"/>
        <w:jc w:val="both"/>
        <w:rPr>
          <w:rFonts w:ascii="Times New Roman" w:hAnsi="Times New Roman" w:cs="Times New Roman"/>
          <w:sz w:val="24"/>
          <w:szCs w:val="24"/>
        </w:rPr>
      </w:pPr>
      <w:r w:rsidRPr="006C19F4">
        <w:rPr>
          <w:rFonts w:ascii="Times New Roman" w:hAnsi="Times New Roman" w:cs="Times New Roman"/>
          <w:i/>
          <w:sz w:val="24"/>
          <w:szCs w:val="24"/>
        </w:rPr>
        <w:t>“Subir el salario mínimo, distribuir de otra forma los beneficios o mejorar la educación son propuestas insuficientes, sería como poner tiritas en un herida abierta y que cada vez se hace más grande”, explica este experto en desigualdad económica. Por ello, Reeves cree que el momento para poner en marcha la renta básica puede ser inmejorable</w:t>
      </w:r>
      <w:r>
        <w:rPr>
          <w:rFonts w:ascii="Times New Roman" w:hAnsi="Times New Roman" w:cs="Times New Roman"/>
          <w:i/>
          <w:sz w:val="24"/>
          <w:szCs w:val="24"/>
        </w:rPr>
        <w:t>”..</w:t>
      </w:r>
      <w:r w:rsidRPr="006C19F4">
        <w:rPr>
          <w:rFonts w:ascii="Times New Roman" w:hAnsi="Times New Roman" w:cs="Times New Roman"/>
          <w:i/>
          <w:sz w:val="24"/>
          <w:szCs w:val="24"/>
        </w:rPr>
        <w:t>.</w:t>
      </w:r>
      <w:r w:rsidRPr="00760CCD">
        <w:rPr>
          <w:rFonts w:ascii="Times New Roman" w:hAnsi="Times New Roman" w:cs="Times New Roman"/>
          <w:sz w:val="24"/>
          <w:szCs w:val="24"/>
        </w:rPr>
        <w:t>¿</w:t>
      </w:r>
      <w:r w:rsidRPr="00760CCD">
        <w:rPr>
          <w:rFonts w:ascii="Times New Roman" w:hAnsi="Times New Roman" w:cs="Times New Roman"/>
          <w:sz w:val="24"/>
          <w:szCs w:val="24"/>
          <w:u w:val="single"/>
        </w:rPr>
        <w:t>Es necesaria una renta básica? El debate se extiende a EEUU, Reino Unido y más allá</w:t>
      </w:r>
      <w:r>
        <w:rPr>
          <w:rFonts w:ascii="Times New Roman" w:hAnsi="Times New Roman" w:cs="Times New Roman"/>
          <w:sz w:val="24"/>
          <w:szCs w:val="24"/>
        </w:rPr>
        <w:t xml:space="preserve"> (El Economista - </w:t>
      </w:r>
      <w:r w:rsidRPr="00760CCD">
        <w:rPr>
          <w:rFonts w:ascii="Times New Roman" w:hAnsi="Times New Roman" w:cs="Times New Roman"/>
          <w:b/>
          <w:sz w:val="24"/>
          <w:szCs w:val="24"/>
        </w:rPr>
        <w:t>1/3/16</w:t>
      </w:r>
      <w:r>
        <w:rPr>
          <w:rFonts w:ascii="Times New Roman" w:hAnsi="Times New Roman" w:cs="Times New Roman"/>
          <w:sz w:val="24"/>
          <w:szCs w:val="24"/>
        </w:rPr>
        <w:t>)</w:t>
      </w:r>
    </w:p>
    <w:p w:rsidR="00475B98" w:rsidRPr="00475B98" w:rsidRDefault="00475B98" w:rsidP="00475B98">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475B98">
        <w:rPr>
          <w:rFonts w:ascii="Times New Roman" w:hAnsi="Times New Roman" w:cs="Times New Roman"/>
          <w:i/>
          <w:sz w:val="24"/>
          <w:szCs w:val="24"/>
        </w:rPr>
        <w:t>El cambio demográfico representa uno de los mayores retos del siglo XXI, con profundas implicaciones para las economías, los mercados y la estabilidad social y geopolítica, según el Fondo Monetario Internacional (FMI), que advierte de que sin tomar medidas serán insostenibles a largo plazo los sistemas públicos de pensiones y sanidad.</w:t>
      </w:r>
    </w:p>
    <w:p w:rsidR="00475B98" w:rsidRPr="00475B98" w:rsidRDefault="00475B98" w:rsidP="00475B98">
      <w:pPr>
        <w:spacing w:line="240" w:lineRule="auto"/>
        <w:jc w:val="both"/>
        <w:rPr>
          <w:rFonts w:ascii="Times New Roman" w:hAnsi="Times New Roman" w:cs="Times New Roman"/>
          <w:i/>
          <w:sz w:val="24"/>
          <w:szCs w:val="24"/>
        </w:rPr>
      </w:pPr>
      <w:r w:rsidRPr="00475B98">
        <w:rPr>
          <w:rFonts w:ascii="Times New Roman" w:hAnsi="Times New Roman" w:cs="Times New Roman"/>
          <w:i/>
          <w:sz w:val="24"/>
          <w:szCs w:val="24"/>
        </w:rPr>
        <w:t>“Sin reformas, los sistemas públicos de pensiones y sanidad no serán sostenibles a largo plazo”, declaró la directora gerente de la institución, Christine Lagarde, durante una conferencia en el Massachusetts Institute of Technology (MIT).</w:t>
      </w:r>
    </w:p>
    <w:p w:rsidR="00475B98" w:rsidRDefault="00475B98" w:rsidP="00475B98">
      <w:pPr>
        <w:spacing w:line="240" w:lineRule="auto"/>
        <w:jc w:val="both"/>
        <w:rPr>
          <w:rFonts w:ascii="Times New Roman" w:hAnsi="Times New Roman" w:cs="Times New Roman"/>
          <w:sz w:val="24"/>
          <w:szCs w:val="24"/>
        </w:rPr>
      </w:pPr>
      <w:r w:rsidRPr="00475B98">
        <w:rPr>
          <w:rFonts w:ascii="Times New Roman" w:hAnsi="Times New Roman" w:cs="Times New Roman"/>
          <w:i/>
          <w:sz w:val="24"/>
          <w:szCs w:val="24"/>
        </w:rPr>
        <w:t>“Nuestros nietos podrían tener que hacer frente a una deuda insostenible y fuertes subidas de impuestos que ahogarían el crecimiento y reducirían su bienestar económico”, añadió la directora del FMI</w:t>
      </w:r>
      <w:r>
        <w:rPr>
          <w:rFonts w:ascii="Times New Roman" w:hAnsi="Times New Roman" w:cs="Times New Roman"/>
          <w:i/>
          <w:sz w:val="24"/>
          <w:szCs w:val="24"/>
        </w:rPr>
        <w:t>..</w:t>
      </w:r>
      <w:r w:rsidRPr="00475B98">
        <w:rPr>
          <w:rFonts w:ascii="Times New Roman" w:hAnsi="Times New Roman" w:cs="Times New Roman"/>
          <w:i/>
          <w:sz w:val="24"/>
          <w:szCs w:val="24"/>
        </w:rPr>
        <w:t>.</w:t>
      </w:r>
    </w:p>
    <w:p w:rsidR="00475B98" w:rsidRPr="00475B98" w:rsidRDefault="00475B98" w:rsidP="00475B98">
      <w:pPr>
        <w:spacing w:line="240" w:lineRule="auto"/>
        <w:jc w:val="both"/>
        <w:rPr>
          <w:rFonts w:ascii="Times New Roman" w:hAnsi="Times New Roman" w:cs="Times New Roman"/>
          <w:i/>
          <w:sz w:val="24"/>
          <w:szCs w:val="24"/>
        </w:rPr>
      </w:pPr>
      <w:r w:rsidRPr="00475B98">
        <w:rPr>
          <w:rFonts w:ascii="Times New Roman" w:hAnsi="Times New Roman" w:cs="Times New Roman"/>
          <w:i/>
          <w:sz w:val="24"/>
          <w:szCs w:val="24"/>
        </w:rPr>
        <w:t xml:space="preserve">Entre las posibles respuestas, la directora del FMI señala que abordar el reto únicamente con endeudamiento supondría “una explosión de la deuda pública”, que pasaría del 100% del PIB de media al 400% a finales de siglo, mientras buscar la </w:t>
      </w:r>
      <w:r w:rsidRPr="00475B98">
        <w:rPr>
          <w:rFonts w:ascii="Times New Roman" w:hAnsi="Times New Roman" w:cs="Times New Roman"/>
          <w:i/>
          <w:sz w:val="24"/>
          <w:szCs w:val="24"/>
        </w:rPr>
        <w:lastRenderedPageBreak/>
        <w:t>solución vía impuestos podría suponer subir el IVA en unos 20 puntos porcentuales o elevar en 25 puntos porcentuales la contribución de la seguridad social.</w:t>
      </w:r>
    </w:p>
    <w:p w:rsidR="00475B98" w:rsidRDefault="00475B98" w:rsidP="00475B98">
      <w:pPr>
        <w:spacing w:line="240" w:lineRule="auto"/>
        <w:jc w:val="both"/>
        <w:rPr>
          <w:rFonts w:ascii="Times New Roman" w:hAnsi="Times New Roman" w:cs="Times New Roman"/>
          <w:sz w:val="24"/>
          <w:szCs w:val="24"/>
        </w:rPr>
      </w:pPr>
      <w:r w:rsidRPr="00475B98">
        <w:rPr>
          <w:rFonts w:ascii="Times New Roman" w:hAnsi="Times New Roman" w:cs="Times New Roman"/>
          <w:i/>
          <w:sz w:val="24"/>
          <w:szCs w:val="24"/>
        </w:rPr>
        <w:t>En cuanto a la opción de llevar a cabo drásticas reformas en el régimen de derechos a estas prestaciones, los cálculos del FMI sugieren que sería necesario un recorte de las pensiones y beneficios sanitarios del orden de una tercera parte</w:t>
      </w:r>
      <w:r>
        <w:rPr>
          <w:rFonts w:ascii="Times New Roman" w:hAnsi="Times New Roman" w:cs="Times New Roman"/>
          <w:i/>
          <w:sz w:val="24"/>
          <w:szCs w:val="24"/>
        </w:rPr>
        <w:t>”..</w:t>
      </w:r>
      <w:r w:rsidRPr="00475B98">
        <w:rPr>
          <w:rFonts w:ascii="Times New Roman" w:hAnsi="Times New Roman" w:cs="Times New Roman"/>
          <w:i/>
          <w:sz w:val="24"/>
          <w:szCs w:val="24"/>
        </w:rPr>
        <w:t>.</w:t>
      </w:r>
      <w:r w:rsidRPr="00E50874">
        <w:rPr>
          <w:rFonts w:ascii="Times New Roman" w:hAnsi="Times New Roman" w:cs="Times New Roman"/>
          <w:sz w:val="24"/>
          <w:szCs w:val="24"/>
          <w:u w:val="single"/>
        </w:rPr>
        <w:t>Pensiones y sanidad públicas serán insostenibles sin reformas, según el FMI</w:t>
      </w:r>
      <w:r>
        <w:rPr>
          <w:rFonts w:ascii="Times New Roman" w:hAnsi="Times New Roman" w:cs="Times New Roman"/>
          <w:sz w:val="24"/>
          <w:szCs w:val="24"/>
        </w:rPr>
        <w:t xml:space="preserve"> (El Economista - </w:t>
      </w:r>
      <w:r w:rsidRPr="00E50874">
        <w:rPr>
          <w:rFonts w:ascii="Times New Roman" w:hAnsi="Times New Roman" w:cs="Times New Roman"/>
          <w:b/>
          <w:sz w:val="24"/>
          <w:szCs w:val="24"/>
        </w:rPr>
        <w:t>4/3/16</w:t>
      </w:r>
      <w:r>
        <w:rPr>
          <w:rFonts w:ascii="Times New Roman" w:hAnsi="Times New Roman" w:cs="Times New Roman"/>
          <w:sz w:val="24"/>
          <w:szCs w:val="24"/>
        </w:rPr>
        <w:t>)</w:t>
      </w:r>
    </w:p>
    <w:p w:rsidR="00475B98" w:rsidRDefault="00475B98" w:rsidP="00475B9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B31F6">
        <w:rPr>
          <w:rFonts w:ascii="Times New Roman" w:hAnsi="Times New Roman" w:cs="Times New Roman"/>
          <w:sz w:val="24"/>
          <w:szCs w:val="24"/>
          <w:u w:val="single"/>
        </w:rPr>
        <w:t>BPI achaca a la política monetaria el aumento de las desigualdades de riqueza</w:t>
      </w:r>
      <w:r>
        <w:rPr>
          <w:rFonts w:ascii="Times New Roman" w:hAnsi="Times New Roman" w:cs="Times New Roman"/>
          <w:sz w:val="24"/>
          <w:szCs w:val="24"/>
        </w:rPr>
        <w:t xml:space="preserve"> (El Economista - </w:t>
      </w:r>
      <w:r w:rsidRPr="004B31F6">
        <w:rPr>
          <w:rFonts w:ascii="Times New Roman" w:hAnsi="Times New Roman" w:cs="Times New Roman"/>
          <w:b/>
          <w:sz w:val="24"/>
          <w:szCs w:val="24"/>
        </w:rPr>
        <w:t>6/3/16</w:t>
      </w:r>
      <w:r>
        <w:rPr>
          <w:rFonts w:ascii="Times New Roman" w:hAnsi="Times New Roman" w:cs="Times New Roman"/>
          <w:sz w:val="24"/>
          <w:szCs w:val="24"/>
        </w:rPr>
        <w:t>)                                                                         Lectura recomendada</w:t>
      </w:r>
    </w:p>
    <w:p w:rsidR="00475B98" w:rsidRPr="0011691D" w:rsidRDefault="00475B98" w:rsidP="00475B98">
      <w:pPr>
        <w:spacing w:line="240" w:lineRule="auto"/>
        <w:jc w:val="both"/>
        <w:rPr>
          <w:rFonts w:ascii="Times New Roman" w:hAnsi="Times New Roman" w:cs="Times New Roman"/>
          <w:color w:val="FF0000"/>
          <w:sz w:val="24"/>
          <w:szCs w:val="24"/>
          <w:u w:val="single"/>
        </w:rPr>
      </w:pPr>
      <w:r w:rsidRPr="0011691D">
        <w:rPr>
          <w:rFonts w:ascii="Times New Roman" w:hAnsi="Times New Roman" w:cs="Times New Roman"/>
          <w:color w:val="FF0000"/>
          <w:sz w:val="24"/>
          <w:szCs w:val="24"/>
          <w:u w:val="single"/>
        </w:rPr>
        <w:t>El Banco de Pagos Internacionales (BPI) indica que la política monetaria aplicada por los bancos centrales ha contribuido a aumentar las desigualdades de la riqueza de los hogares de todo el mundo desde la crisis financiera.</w:t>
      </w:r>
    </w:p>
    <w:p w:rsidR="00475B98" w:rsidRPr="0011691D" w:rsidRDefault="00475B98" w:rsidP="00475B98">
      <w:pPr>
        <w:spacing w:line="240" w:lineRule="auto"/>
        <w:jc w:val="both"/>
        <w:rPr>
          <w:rFonts w:ascii="Times New Roman" w:hAnsi="Times New Roman" w:cs="Times New Roman"/>
          <w:color w:val="FF0000"/>
          <w:sz w:val="24"/>
          <w:szCs w:val="24"/>
          <w:u w:val="single"/>
        </w:rPr>
      </w:pPr>
      <w:r w:rsidRPr="0011691D">
        <w:rPr>
          <w:rFonts w:ascii="Times New Roman" w:hAnsi="Times New Roman" w:cs="Times New Roman"/>
          <w:color w:val="FF0000"/>
          <w:sz w:val="24"/>
          <w:szCs w:val="24"/>
          <w:u w:val="single"/>
        </w:rPr>
        <w:t>En un artículo monográfico que aparece en el último boletín trimestral de marzo del BPI, publicado hoy, Dietrich Domanski, Michela Scati</w:t>
      </w:r>
      <w:r>
        <w:rPr>
          <w:rFonts w:ascii="Times New Roman" w:hAnsi="Times New Roman" w:cs="Times New Roman"/>
          <w:color w:val="FF0000"/>
          <w:sz w:val="24"/>
          <w:szCs w:val="24"/>
          <w:u w:val="single"/>
        </w:rPr>
        <w:t>gna y Anna Zabai concluyen que “</w:t>
      </w:r>
      <w:r w:rsidRPr="0011691D">
        <w:rPr>
          <w:rFonts w:ascii="Times New Roman" w:hAnsi="Times New Roman" w:cs="Times New Roman"/>
          <w:color w:val="FF0000"/>
          <w:sz w:val="24"/>
          <w:szCs w:val="24"/>
          <w:u w:val="single"/>
        </w:rPr>
        <w:t>esta desigualdad probablemente ha aumentado en la mayoría de países como reflejo de la rápida recuperación de los precios de las acciones, que ben</w:t>
      </w:r>
      <w:r>
        <w:rPr>
          <w:rFonts w:ascii="Times New Roman" w:hAnsi="Times New Roman" w:cs="Times New Roman"/>
          <w:color w:val="FF0000"/>
          <w:sz w:val="24"/>
          <w:szCs w:val="24"/>
          <w:u w:val="single"/>
        </w:rPr>
        <w:t>eficia a los estratos más altos”</w:t>
      </w:r>
      <w:r w:rsidRPr="0011691D">
        <w:rPr>
          <w:rFonts w:ascii="Times New Roman" w:hAnsi="Times New Roman" w:cs="Times New Roman"/>
          <w:color w:val="FF0000"/>
          <w:sz w:val="24"/>
          <w:szCs w:val="24"/>
          <w:u w:val="single"/>
        </w:rPr>
        <w:t>.</w:t>
      </w:r>
    </w:p>
    <w:p w:rsidR="00475B98" w:rsidRPr="0011691D" w:rsidRDefault="00475B98" w:rsidP="00475B98">
      <w:pPr>
        <w:spacing w:line="240" w:lineRule="auto"/>
        <w:jc w:val="both"/>
        <w:rPr>
          <w:rFonts w:ascii="Times New Roman" w:hAnsi="Times New Roman" w:cs="Times New Roman"/>
          <w:color w:val="FF0000"/>
          <w:sz w:val="24"/>
          <w:szCs w:val="24"/>
          <w:u w:val="single"/>
        </w:rPr>
      </w:pPr>
      <w:r w:rsidRPr="0011691D">
        <w:rPr>
          <w:rFonts w:ascii="Times New Roman" w:hAnsi="Times New Roman" w:cs="Times New Roman"/>
          <w:color w:val="FF0000"/>
          <w:sz w:val="24"/>
          <w:szCs w:val="24"/>
          <w:u w:val="single"/>
        </w:rPr>
        <w:t>Asimismo el elevado grado de endeudamiento familiar perjudica a los estratos con menos recursos.</w:t>
      </w:r>
    </w:p>
    <w:p w:rsidR="00475B98" w:rsidRPr="0011691D" w:rsidRDefault="00475B98" w:rsidP="00475B98">
      <w:pPr>
        <w:spacing w:line="240" w:lineRule="auto"/>
        <w:jc w:val="both"/>
        <w:rPr>
          <w:rFonts w:ascii="Times New Roman" w:hAnsi="Times New Roman" w:cs="Times New Roman"/>
          <w:color w:val="FF0000"/>
          <w:sz w:val="24"/>
          <w:szCs w:val="24"/>
          <w:u w:val="single"/>
        </w:rPr>
      </w:pPr>
      <w:r w:rsidRPr="0011691D">
        <w:rPr>
          <w:rFonts w:ascii="Times New Roman" w:hAnsi="Times New Roman" w:cs="Times New Roman"/>
          <w:color w:val="FF0000"/>
          <w:sz w:val="24"/>
          <w:szCs w:val="24"/>
          <w:u w:val="single"/>
        </w:rPr>
        <w:t>La recuperación de los precios de la vivienda, que habría favorecido a los estratos más bajos, ha sido más lenta.</w:t>
      </w:r>
    </w:p>
    <w:p w:rsidR="00475B98" w:rsidRPr="0011691D" w:rsidRDefault="00475B98" w:rsidP="00475B98">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11691D">
        <w:rPr>
          <w:rFonts w:ascii="Times New Roman" w:hAnsi="Times New Roman" w:cs="Times New Roman"/>
          <w:color w:val="FF0000"/>
          <w:sz w:val="24"/>
          <w:szCs w:val="24"/>
          <w:u w:val="single"/>
        </w:rPr>
        <w:t>La expansión monetaria sin precedentes desde el inicio de la gran crisis financiera ha causado la preocupación de que la política monetaria puede hab</w:t>
      </w:r>
      <w:r>
        <w:rPr>
          <w:rFonts w:ascii="Times New Roman" w:hAnsi="Times New Roman" w:cs="Times New Roman"/>
          <w:color w:val="FF0000"/>
          <w:sz w:val="24"/>
          <w:szCs w:val="24"/>
          <w:u w:val="single"/>
        </w:rPr>
        <w:t>er contribuido a la desigualdad”</w:t>
      </w:r>
      <w:r w:rsidRPr="0011691D">
        <w:rPr>
          <w:rFonts w:ascii="Times New Roman" w:hAnsi="Times New Roman" w:cs="Times New Roman"/>
          <w:color w:val="FF0000"/>
          <w:sz w:val="24"/>
          <w:szCs w:val="24"/>
          <w:u w:val="single"/>
        </w:rPr>
        <w:t>, según el estudio del BPI, cuya sede está en la ciudad suiza de Basilea.</w:t>
      </w:r>
      <w:r w:rsidRPr="0011691D">
        <w:rPr>
          <w:rFonts w:ascii="Times New Roman" w:hAnsi="Times New Roman" w:cs="Times New Roman"/>
          <w:color w:val="FF0000"/>
          <w:sz w:val="24"/>
          <w:szCs w:val="24"/>
          <w:u w:val="single"/>
        </w:rPr>
        <w:cr/>
      </w:r>
    </w:p>
    <w:p w:rsidR="00475B98" w:rsidRPr="0011691D" w:rsidRDefault="00475B98" w:rsidP="00475B98">
      <w:pPr>
        <w:spacing w:line="240" w:lineRule="auto"/>
        <w:jc w:val="both"/>
        <w:rPr>
          <w:rFonts w:ascii="Times New Roman" w:hAnsi="Times New Roman" w:cs="Times New Roman"/>
          <w:color w:val="FF0000"/>
          <w:sz w:val="24"/>
          <w:szCs w:val="24"/>
          <w:u w:val="single"/>
        </w:rPr>
      </w:pPr>
      <w:r w:rsidRPr="0011691D">
        <w:rPr>
          <w:rFonts w:ascii="Times New Roman" w:hAnsi="Times New Roman" w:cs="Times New Roman"/>
          <w:color w:val="FF0000"/>
          <w:sz w:val="24"/>
          <w:szCs w:val="24"/>
          <w:u w:val="single"/>
        </w:rPr>
        <w:t>Algunas medidas de política monetaria no convencionales tienen como objetivo los precios de activos.</w:t>
      </w:r>
    </w:p>
    <w:p w:rsidR="00475B98" w:rsidRPr="0011691D" w:rsidRDefault="00475B98" w:rsidP="00475B98">
      <w:pPr>
        <w:spacing w:line="240" w:lineRule="auto"/>
        <w:jc w:val="both"/>
        <w:rPr>
          <w:rFonts w:ascii="Times New Roman" w:hAnsi="Times New Roman" w:cs="Times New Roman"/>
          <w:color w:val="FF0000"/>
          <w:sz w:val="24"/>
          <w:szCs w:val="24"/>
          <w:u w:val="single"/>
        </w:rPr>
      </w:pPr>
      <w:r w:rsidRPr="0011691D">
        <w:rPr>
          <w:rFonts w:ascii="Times New Roman" w:hAnsi="Times New Roman" w:cs="Times New Roman"/>
          <w:color w:val="FF0000"/>
          <w:sz w:val="24"/>
          <w:szCs w:val="24"/>
          <w:u w:val="single"/>
        </w:rPr>
        <w:t>La desigualdad de la riqueza ha aumentado en las economías avanzadas desde 1980, señalan los autores del estudio.</w:t>
      </w:r>
    </w:p>
    <w:p w:rsidR="00475B98" w:rsidRPr="0011691D" w:rsidRDefault="00475B98" w:rsidP="00475B98">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11691D">
        <w:rPr>
          <w:rFonts w:ascii="Times New Roman" w:hAnsi="Times New Roman" w:cs="Times New Roman"/>
          <w:color w:val="FF0000"/>
          <w:sz w:val="24"/>
          <w:szCs w:val="24"/>
          <w:u w:val="single"/>
        </w:rPr>
        <w:t>Aunque la desigualdad se sitúa por debajo de los niveles de la segunda mitad del siglo XIX, este incremento marca el final de una tendencia de caída de la desigualdad que d</w:t>
      </w:r>
      <w:r>
        <w:rPr>
          <w:rFonts w:ascii="Times New Roman" w:hAnsi="Times New Roman" w:cs="Times New Roman"/>
          <w:color w:val="FF0000"/>
          <w:sz w:val="24"/>
          <w:szCs w:val="24"/>
          <w:u w:val="single"/>
        </w:rPr>
        <w:t>uró la mayor parte del siglo XX”</w:t>
      </w:r>
      <w:r w:rsidRPr="0011691D">
        <w:rPr>
          <w:rFonts w:ascii="Times New Roman" w:hAnsi="Times New Roman" w:cs="Times New Roman"/>
          <w:color w:val="FF0000"/>
          <w:sz w:val="24"/>
          <w:szCs w:val="24"/>
          <w:u w:val="single"/>
        </w:rPr>
        <w:t>, consideran.</w:t>
      </w:r>
    </w:p>
    <w:p w:rsidR="00475B98" w:rsidRPr="0011691D" w:rsidRDefault="00475B98" w:rsidP="00475B98">
      <w:pPr>
        <w:spacing w:line="240" w:lineRule="auto"/>
        <w:jc w:val="both"/>
        <w:rPr>
          <w:rFonts w:ascii="Times New Roman" w:hAnsi="Times New Roman" w:cs="Times New Roman"/>
          <w:b/>
          <w:color w:val="FF0000"/>
          <w:sz w:val="24"/>
          <w:szCs w:val="24"/>
          <w:u w:val="single"/>
        </w:rPr>
      </w:pPr>
      <w:r w:rsidRPr="0011691D">
        <w:rPr>
          <w:rFonts w:ascii="Times New Roman" w:hAnsi="Times New Roman" w:cs="Times New Roman"/>
          <w:b/>
          <w:color w:val="FF0000"/>
          <w:sz w:val="24"/>
          <w:szCs w:val="24"/>
          <w:u w:val="single"/>
        </w:rPr>
        <w:t>Asimismo la desigualdad de la riqueza ha aumentado en tándem con la desigualdad de los ingresos y a ello ha contribuido la globalización.</w:t>
      </w:r>
    </w:p>
    <w:p w:rsidR="00475B98" w:rsidRPr="0011691D" w:rsidRDefault="00475B98" w:rsidP="00475B98">
      <w:pPr>
        <w:spacing w:line="240" w:lineRule="auto"/>
        <w:jc w:val="both"/>
        <w:rPr>
          <w:rFonts w:ascii="Times New Roman" w:hAnsi="Times New Roman" w:cs="Times New Roman"/>
          <w:color w:val="FF0000"/>
          <w:sz w:val="24"/>
          <w:szCs w:val="24"/>
          <w:u w:val="single"/>
        </w:rPr>
      </w:pPr>
      <w:r w:rsidRPr="0011691D">
        <w:rPr>
          <w:rFonts w:ascii="Times New Roman" w:hAnsi="Times New Roman" w:cs="Times New Roman"/>
          <w:color w:val="FF0000"/>
          <w:sz w:val="24"/>
          <w:szCs w:val="24"/>
          <w:u w:val="single"/>
        </w:rPr>
        <w:t>La globalización ha hecho que los trabajadores altamente cualificados se beneficien de las oportunidades globales, mientras que los de baja cualificación se enfrentan a una fuerte competencia de la mano de obra más barata extranjera y una pérdida de poder de negociación.</w:t>
      </w:r>
    </w:p>
    <w:p w:rsidR="00475B98" w:rsidRPr="0011691D" w:rsidRDefault="00475B98" w:rsidP="00475B98">
      <w:pPr>
        <w:spacing w:line="240" w:lineRule="auto"/>
        <w:jc w:val="both"/>
        <w:rPr>
          <w:rFonts w:ascii="Times New Roman" w:hAnsi="Times New Roman" w:cs="Times New Roman"/>
          <w:sz w:val="24"/>
          <w:szCs w:val="24"/>
          <w:u w:val="single"/>
        </w:rPr>
      </w:pPr>
      <w:r w:rsidRPr="0011691D">
        <w:rPr>
          <w:rFonts w:ascii="Times New Roman" w:hAnsi="Times New Roman" w:cs="Times New Roman"/>
          <w:sz w:val="24"/>
          <w:szCs w:val="24"/>
          <w:u w:val="single"/>
        </w:rPr>
        <w:t>Además, el rápido crecimiento del sector financiero desde 1980 y cambios en las normas sociales han hecho que aumentaran más rápidamente los salarios más elevados en comparación con los más bajos.</w:t>
      </w:r>
    </w:p>
    <w:p w:rsidR="00475B98" w:rsidRPr="004B31F6" w:rsidRDefault="00475B98" w:rsidP="00475B9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4B31F6">
        <w:rPr>
          <w:rFonts w:ascii="Times New Roman" w:hAnsi="Times New Roman" w:cs="Times New Roman"/>
          <w:sz w:val="24"/>
          <w:szCs w:val="24"/>
        </w:rPr>
        <w:t>Las políticas de redistribución fiscal parecen haber reducido el nivel de desigualdad, especialmente, en las economías avanzadas pero no han ca</w:t>
      </w:r>
      <w:r>
        <w:rPr>
          <w:rFonts w:ascii="Times New Roman" w:hAnsi="Times New Roman" w:cs="Times New Roman"/>
          <w:sz w:val="24"/>
          <w:szCs w:val="24"/>
        </w:rPr>
        <w:t>mbiado tendencias a largo plazo”</w:t>
      </w:r>
      <w:r w:rsidRPr="004B31F6">
        <w:rPr>
          <w:rFonts w:ascii="Times New Roman" w:hAnsi="Times New Roman" w:cs="Times New Roman"/>
          <w:sz w:val="24"/>
          <w:szCs w:val="24"/>
        </w:rPr>
        <w:t>, según los autores.</w:t>
      </w:r>
    </w:p>
    <w:p w:rsidR="00475B98" w:rsidRPr="004B31F6" w:rsidRDefault="00475B98" w:rsidP="00475B98">
      <w:pPr>
        <w:spacing w:line="240" w:lineRule="auto"/>
        <w:jc w:val="both"/>
        <w:rPr>
          <w:rFonts w:ascii="Times New Roman" w:hAnsi="Times New Roman" w:cs="Times New Roman"/>
          <w:sz w:val="24"/>
          <w:szCs w:val="24"/>
        </w:rPr>
      </w:pPr>
      <w:r w:rsidRPr="004B31F6">
        <w:rPr>
          <w:rFonts w:ascii="Times New Roman" w:hAnsi="Times New Roman" w:cs="Times New Roman"/>
          <w:sz w:val="24"/>
          <w:szCs w:val="24"/>
        </w:rPr>
        <w:t>Asimismo, la desigualdad de los ingresos ha aumentado dentro de los países pero se ha reducido entre países.</w:t>
      </w:r>
    </w:p>
    <w:p w:rsidR="00475B98" w:rsidRPr="004B31F6" w:rsidRDefault="00475B98" w:rsidP="00475B98">
      <w:pPr>
        <w:spacing w:line="240" w:lineRule="auto"/>
        <w:jc w:val="both"/>
        <w:rPr>
          <w:rFonts w:ascii="Times New Roman" w:hAnsi="Times New Roman" w:cs="Times New Roman"/>
          <w:sz w:val="24"/>
          <w:szCs w:val="24"/>
        </w:rPr>
      </w:pPr>
      <w:r w:rsidRPr="004B31F6">
        <w:rPr>
          <w:rFonts w:ascii="Times New Roman" w:hAnsi="Times New Roman" w:cs="Times New Roman"/>
          <w:sz w:val="24"/>
          <w:szCs w:val="24"/>
        </w:rPr>
        <w:t>En el estudio los autores han analizado datos de hogares de Alemania, España, Francia, Italia, el Reino Unido y EEUU.</w:t>
      </w:r>
    </w:p>
    <w:p w:rsidR="00475B98" w:rsidRPr="004B31F6" w:rsidRDefault="00475B98" w:rsidP="00475B98">
      <w:pPr>
        <w:spacing w:line="240" w:lineRule="auto"/>
        <w:jc w:val="both"/>
        <w:rPr>
          <w:rFonts w:ascii="Times New Roman" w:hAnsi="Times New Roman" w:cs="Times New Roman"/>
          <w:sz w:val="24"/>
          <w:szCs w:val="24"/>
        </w:rPr>
      </w:pPr>
      <w:r w:rsidRPr="004B31F6">
        <w:rPr>
          <w:rFonts w:ascii="Times New Roman" w:hAnsi="Times New Roman" w:cs="Times New Roman"/>
          <w:sz w:val="24"/>
          <w:szCs w:val="24"/>
        </w:rPr>
        <w:t>Acciones y vivienda</w:t>
      </w:r>
    </w:p>
    <w:p w:rsidR="00475B98" w:rsidRPr="0011691D" w:rsidRDefault="00475B98" w:rsidP="00475B98">
      <w:pPr>
        <w:spacing w:line="240" w:lineRule="auto"/>
        <w:jc w:val="both"/>
        <w:rPr>
          <w:rFonts w:ascii="Times New Roman" w:hAnsi="Times New Roman" w:cs="Times New Roman"/>
          <w:color w:val="FF0000"/>
          <w:sz w:val="24"/>
          <w:szCs w:val="24"/>
          <w:u w:val="single"/>
        </w:rPr>
      </w:pPr>
      <w:r w:rsidRPr="0011691D">
        <w:rPr>
          <w:rFonts w:ascii="Times New Roman" w:hAnsi="Times New Roman" w:cs="Times New Roman"/>
          <w:color w:val="FF0000"/>
          <w:sz w:val="24"/>
          <w:szCs w:val="24"/>
          <w:u w:val="single"/>
        </w:rPr>
        <w:t>Los precios de las acciones y de la vivienda han sido los principales desencadenantes de la desigualdad.</w:t>
      </w:r>
    </w:p>
    <w:p w:rsidR="00475B98" w:rsidRPr="004B31F6" w:rsidRDefault="00475B98" w:rsidP="00475B98">
      <w:pPr>
        <w:spacing w:line="240" w:lineRule="auto"/>
        <w:jc w:val="both"/>
        <w:rPr>
          <w:rFonts w:ascii="Times New Roman" w:hAnsi="Times New Roman" w:cs="Times New Roman"/>
          <w:sz w:val="24"/>
          <w:szCs w:val="24"/>
        </w:rPr>
      </w:pPr>
      <w:r w:rsidRPr="004B31F6">
        <w:rPr>
          <w:rFonts w:ascii="Times New Roman" w:hAnsi="Times New Roman" w:cs="Times New Roman"/>
          <w:sz w:val="24"/>
          <w:szCs w:val="24"/>
        </w:rPr>
        <w:t>Desde 2010 las elevadas ganancias en las acciones han sido el principal impulso para un crecimiento más rápido de la riqueza neta en la parte alta de la distribución, según el informe.</w:t>
      </w:r>
    </w:p>
    <w:p w:rsidR="00475B98" w:rsidRPr="0011691D" w:rsidRDefault="00475B98" w:rsidP="00475B9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11691D">
        <w:rPr>
          <w:rFonts w:ascii="Times New Roman" w:hAnsi="Times New Roman" w:cs="Times New Roman"/>
          <w:sz w:val="24"/>
          <w:szCs w:val="24"/>
          <w:u w:val="single"/>
        </w:rPr>
        <w:t>La recuperación de los mercados de la vivienda ha tendido a reducir la desigualdad de la riqu</w:t>
      </w:r>
      <w:r>
        <w:rPr>
          <w:rFonts w:ascii="Times New Roman" w:hAnsi="Times New Roman" w:cs="Times New Roman"/>
          <w:sz w:val="24"/>
          <w:szCs w:val="24"/>
          <w:u w:val="single"/>
        </w:rPr>
        <w:t>eza en la mayoría de los países”</w:t>
      </w:r>
      <w:r w:rsidRPr="0011691D">
        <w:rPr>
          <w:rFonts w:ascii="Times New Roman" w:hAnsi="Times New Roman" w:cs="Times New Roman"/>
          <w:sz w:val="24"/>
          <w:szCs w:val="24"/>
          <w:u w:val="single"/>
        </w:rPr>
        <w:t>, según los autores.</w:t>
      </w:r>
    </w:p>
    <w:p w:rsidR="00475B98" w:rsidRPr="0011691D" w:rsidRDefault="00475B98" w:rsidP="00475B98">
      <w:pPr>
        <w:spacing w:line="240" w:lineRule="auto"/>
        <w:jc w:val="both"/>
        <w:rPr>
          <w:rFonts w:ascii="Times New Roman" w:hAnsi="Times New Roman" w:cs="Times New Roman"/>
          <w:sz w:val="24"/>
          <w:szCs w:val="24"/>
          <w:u w:val="single"/>
        </w:rPr>
      </w:pPr>
      <w:r w:rsidRPr="0011691D">
        <w:rPr>
          <w:rFonts w:ascii="Times New Roman" w:hAnsi="Times New Roman" w:cs="Times New Roman"/>
          <w:sz w:val="24"/>
          <w:szCs w:val="24"/>
          <w:u w:val="single"/>
        </w:rPr>
        <w:t>El</w:t>
      </w:r>
      <w:r>
        <w:rPr>
          <w:rFonts w:ascii="Times New Roman" w:hAnsi="Times New Roman" w:cs="Times New Roman"/>
          <w:sz w:val="24"/>
          <w:szCs w:val="24"/>
          <w:u w:val="single"/>
        </w:rPr>
        <w:t xml:space="preserve"> estudio también destaca que “</w:t>
      </w:r>
      <w:r w:rsidRPr="0011691D">
        <w:rPr>
          <w:rFonts w:ascii="Times New Roman" w:hAnsi="Times New Roman" w:cs="Times New Roman"/>
          <w:sz w:val="24"/>
          <w:szCs w:val="24"/>
          <w:u w:val="single"/>
        </w:rPr>
        <w:t xml:space="preserve">el impacto de los precios de las acciones en la desigualdad parece ser mucho más cíclico y menos persistente que el de los precios de la vivienda, que muestra </w:t>
      </w:r>
      <w:r>
        <w:rPr>
          <w:rFonts w:ascii="Times New Roman" w:hAnsi="Times New Roman" w:cs="Times New Roman"/>
          <w:sz w:val="24"/>
          <w:szCs w:val="24"/>
          <w:u w:val="single"/>
        </w:rPr>
        <w:t>auges y colapsos de largo plazo”</w:t>
      </w:r>
      <w:r w:rsidRPr="0011691D">
        <w:rPr>
          <w:rFonts w:ascii="Times New Roman" w:hAnsi="Times New Roman" w:cs="Times New Roman"/>
          <w:sz w:val="24"/>
          <w:szCs w:val="24"/>
          <w:u w:val="single"/>
        </w:rPr>
        <w:t>.</w:t>
      </w:r>
    </w:p>
    <w:p w:rsidR="00475B98" w:rsidRPr="0011691D" w:rsidRDefault="00475B98" w:rsidP="00475B98">
      <w:pPr>
        <w:spacing w:line="240" w:lineRule="auto"/>
        <w:jc w:val="both"/>
        <w:rPr>
          <w:rFonts w:ascii="Times New Roman" w:hAnsi="Times New Roman" w:cs="Times New Roman"/>
          <w:sz w:val="24"/>
          <w:szCs w:val="24"/>
          <w:u w:val="single"/>
        </w:rPr>
      </w:pPr>
      <w:r w:rsidRPr="0011691D">
        <w:rPr>
          <w:rFonts w:ascii="Times New Roman" w:hAnsi="Times New Roman" w:cs="Times New Roman"/>
          <w:sz w:val="24"/>
          <w:szCs w:val="24"/>
          <w:u w:val="single"/>
        </w:rPr>
        <w:t>Los activos de renta fija, como bonos y depósitos, han afectado a la desigualdad en la recesión entre 2009 y 2010 y después, de nuevo, en 2012.</w:t>
      </w:r>
    </w:p>
    <w:p w:rsidR="00475B98" w:rsidRPr="004B31F6" w:rsidRDefault="00475B98" w:rsidP="00475B98">
      <w:pPr>
        <w:spacing w:line="240" w:lineRule="auto"/>
        <w:jc w:val="both"/>
        <w:rPr>
          <w:rFonts w:ascii="Times New Roman" w:hAnsi="Times New Roman" w:cs="Times New Roman"/>
          <w:sz w:val="24"/>
          <w:szCs w:val="24"/>
        </w:rPr>
      </w:pPr>
      <w:r w:rsidRPr="004B31F6">
        <w:rPr>
          <w:rFonts w:ascii="Times New Roman" w:hAnsi="Times New Roman" w:cs="Times New Roman"/>
          <w:sz w:val="24"/>
          <w:szCs w:val="24"/>
        </w:rPr>
        <w:t>Una excepción notable es Alemania, donde la caída de los tipos de interés sobre los depósitos, que son más de la mitad de los activos de los hogares en los estratos más bajos, ha añadido desigualdad.</w:t>
      </w:r>
    </w:p>
    <w:p w:rsidR="00475B98" w:rsidRDefault="00475B98" w:rsidP="00475B98">
      <w:pPr>
        <w:spacing w:line="240" w:lineRule="auto"/>
        <w:jc w:val="both"/>
        <w:rPr>
          <w:rFonts w:ascii="Times New Roman" w:hAnsi="Times New Roman" w:cs="Times New Roman"/>
          <w:sz w:val="24"/>
          <w:szCs w:val="24"/>
        </w:rPr>
      </w:pPr>
      <w:r w:rsidRPr="004B31F6">
        <w:rPr>
          <w:rFonts w:ascii="Times New Roman" w:hAnsi="Times New Roman" w:cs="Times New Roman"/>
          <w:sz w:val="24"/>
          <w:szCs w:val="24"/>
        </w:rPr>
        <w:t xml:space="preserve">El </w:t>
      </w:r>
      <w:r>
        <w:rPr>
          <w:rFonts w:ascii="Times New Roman" w:hAnsi="Times New Roman" w:cs="Times New Roman"/>
          <w:sz w:val="24"/>
          <w:szCs w:val="24"/>
        </w:rPr>
        <w:t>BPI también dice que los datos “</w:t>
      </w:r>
      <w:r w:rsidRPr="004B31F6">
        <w:rPr>
          <w:rFonts w:ascii="Times New Roman" w:hAnsi="Times New Roman" w:cs="Times New Roman"/>
          <w:sz w:val="24"/>
          <w:szCs w:val="24"/>
        </w:rPr>
        <w:t>no se prestan a una generalización simplista, por lo que habrá que seguir p</w:t>
      </w:r>
      <w:r>
        <w:rPr>
          <w:rFonts w:ascii="Times New Roman" w:hAnsi="Times New Roman" w:cs="Times New Roman"/>
          <w:sz w:val="24"/>
          <w:szCs w:val="24"/>
        </w:rPr>
        <w:t>restando atención a estos temas”</w:t>
      </w:r>
      <w:r w:rsidRPr="004B31F6">
        <w:rPr>
          <w:rFonts w:ascii="Times New Roman" w:hAnsi="Times New Roman" w:cs="Times New Roman"/>
          <w:sz w:val="24"/>
          <w:szCs w:val="24"/>
        </w:rPr>
        <w:t>.</w:t>
      </w:r>
    </w:p>
    <w:p w:rsidR="00475B98" w:rsidRPr="00475B98" w:rsidRDefault="00475B98" w:rsidP="00475B98">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475B98">
        <w:rPr>
          <w:rFonts w:ascii="Times New Roman" w:hAnsi="Times New Roman" w:cs="Times New Roman"/>
          <w:i/>
          <w:sz w:val="24"/>
          <w:szCs w:val="24"/>
        </w:rPr>
        <w:t>Debido al creciente desajuste entre las bajas tasas de natalidad y una mayor longevidad, el sistema de pensiones europeo se encuentra frente a un tsunami demográfico.</w:t>
      </w:r>
    </w:p>
    <w:p w:rsidR="00475B98" w:rsidRPr="00475B98" w:rsidRDefault="00475B98" w:rsidP="00475B98">
      <w:pPr>
        <w:spacing w:line="240" w:lineRule="auto"/>
        <w:jc w:val="both"/>
        <w:rPr>
          <w:rFonts w:ascii="Times New Roman" w:hAnsi="Times New Roman" w:cs="Times New Roman"/>
          <w:i/>
          <w:sz w:val="24"/>
          <w:szCs w:val="24"/>
        </w:rPr>
      </w:pPr>
      <w:r w:rsidRPr="00475B98">
        <w:rPr>
          <w:rFonts w:ascii="Times New Roman" w:hAnsi="Times New Roman" w:cs="Times New Roman"/>
          <w:i/>
          <w:sz w:val="24"/>
          <w:szCs w:val="24"/>
        </w:rPr>
        <w:t>La población de jubilados de Europa es la mayor del mundo, y sigue creciendo. Hay 42 personas mayores de 65 años que no trabajan por cada 100 trabajadores activos; para 2060, esta proporción se elevará a 65 por 100, según la agencia de datos de la Unión Europea. En comparación, Estados Unidos tiene 24 cesantes de 65 años o más por cada 100 trabajadores, según la Oficina de Estadísticas Laborales, que no tiene una proyección para 2060. La Comisión Económica para América Latina y El Caribe, Cepal, estima que en América Latina la cifra llegó a 11,2 jubilados sin trabajo por cada 100 trabajadores activos en 2015, lo que subiría a 24,4 por 100 para 2050.</w:t>
      </w:r>
    </w:p>
    <w:p w:rsidR="00475B98" w:rsidRPr="00475B98" w:rsidRDefault="00475B98" w:rsidP="00475B98">
      <w:pPr>
        <w:spacing w:line="240" w:lineRule="auto"/>
        <w:jc w:val="both"/>
        <w:rPr>
          <w:rFonts w:ascii="Times New Roman" w:hAnsi="Times New Roman" w:cs="Times New Roman"/>
          <w:i/>
          <w:sz w:val="24"/>
          <w:szCs w:val="24"/>
        </w:rPr>
      </w:pPr>
      <w:r w:rsidRPr="00475B98">
        <w:rPr>
          <w:rFonts w:ascii="Times New Roman" w:hAnsi="Times New Roman" w:cs="Times New Roman"/>
          <w:i/>
          <w:sz w:val="24"/>
          <w:szCs w:val="24"/>
        </w:rPr>
        <w:t xml:space="preserve">Si bien este problema ha estado incubándose durante mucho tiempo, ahora se vuelve más urgente por las cargas de deuda -uno de los productos de la crisis de 2008- que están obligando a los gobiernos a replantearse sus prioridades. Grecia, el país europeo en mayores dificultades, ha tenido que reducir la generosidad de sus pensiones en </w:t>
      </w:r>
      <w:r w:rsidRPr="00475B98">
        <w:rPr>
          <w:rFonts w:ascii="Times New Roman" w:hAnsi="Times New Roman" w:cs="Times New Roman"/>
          <w:i/>
          <w:sz w:val="24"/>
          <w:szCs w:val="24"/>
        </w:rPr>
        <w:lastRenderedPageBreak/>
        <w:t>repetidas ocasiones. Sin embargo, no es el único que está viéndose obligado a reconocer que ha hecho promesas que no puede cumplir.</w:t>
      </w:r>
    </w:p>
    <w:p w:rsidR="00F931BE" w:rsidRDefault="00475B98" w:rsidP="00F931BE">
      <w:pPr>
        <w:spacing w:line="240" w:lineRule="auto"/>
        <w:jc w:val="both"/>
        <w:rPr>
          <w:rFonts w:ascii="Times New Roman" w:hAnsi="Times New Roman" w:cs="Times New Roman"/>
          <w:sz w:val="24"/>
          <w:szCs w:val="24"/>
        </w:rPr>
      </w:pPr>
      <w:r w:rsidRPr="00475B98">
        <w:rPr>
          <w:rFonts w:ascii="Times New Roman" w:hAnsi="Times New Roman" w:cs="Times New Roman"/>
          <w:i/>
          <w:sz w:val="24"/>
          <w:szCs w:val="24"/>
        </w:rPr>
        <w:t>“Los gobiernos europeos occidentales están cerca de la quiebra a causa de la bomba de tiempo de las pensiones”, dice Roy Stockell, director de gestión de activos en Ernst &amp; Young. Stockell agrega que demasiados baby boomers (la generación posterior a la Segunda Guerra Mundial) están llegando a la edad de jubilación con “la expectativa de que el gobierno proveerá”</w:t>
      </w:r>
      <w:r>
        <w:rPr>
          <w:rFonts w:ascii="Times New Roman" w:hAnsi="Times New Roman" w:cs="Times New Roman"/>
          <w:i/>
          <w:sz w:val="24"/>
          <w:szCs w:val="24"/>
        </w:rPr>
        <w:t>”..</w:t>
      </w:r>
      <w:r w:rsidRPr="00475B98">
        <w:rPr>
          <w:rFonts w:ascii="Times New Roman" w:hAnsi="Times New Roman" w:cs="Times New Roman"/>
          <w:i/>
          <w:sz w:val="24"/>
          <w:szCs w:val="24"/>
        </w:rPr>
        <w:t>.</w:t>
      </w:r>
      <w:r w:rsidR="00F931BE" w:rsidRPr="008142DC">
        <w:rPr>
          <w:rFonts w:ascii="Times New Roman" w:hAnsi="Times New Roman" w:cs="Times New Roman"/>
          <w:sz w:val="24"/>
          <w:szCs w:val="24"/>
          <w:u w:val="single"/>
        </w:rPr>
        <w:t>La crisis de los sistemas de pensiones de Europa cobra más urgencia</w:t>
      </w:r>
      <w:r w:rsidR="00F931BE">
        <w:rPr>
          <w:rFonts w:ascii="Times New Roman" w:hAnsi="Times New Roman" w:cs="Times New Roman"/>
          <w:sz w:val="24"/>
          <w:szCs w:val="24"/>
        </w:rPr>
        <w:t xml:space="preserve"> (The Wall Street Journal - </w:t>
      </w:r>
      <w:r w:rsidR="00F931BE">
        <w:rPr>
          <w:rFonts w:ascii="Times New Roman" w:hAnsi="Times New Roman" w:cs="Times New Roman"/>
          <w:b/>
          <w:sz w:val="24"/>
          <w:szCs w:val="24"/>
        </w:rPr>
        <w:t>8/3</w:t>
      </w:r>
      <w:r w:rsidR="00F931BE" w:rsidRPr="008142DC">
        <w:rPr>
          <w:rFonts w:ascii="Times New Roman" w:hAnsi="Times New Roman" w:cs="Times New Roman"/>
          <w:b/>
          <w:sz w:val="24"/>
          <w:szCs w:val="24"/>
        </w:rPr>
        <w:t>/16</w:t>
      </w:r>
      <w:r w:rsidR="00F931BE">
        <w:rPr>
          <w:rFonts w:ascii="Times New Roman" w:hAnsi="Times New Roman" w:cs="Times New Roman"/>
          <w:sz w:val="24"/>
          <w:szCs w:val="24"/>
        </w:rPr>
        <w:t>)</w:t>
      </w:r>
    </w:p>
    <w:p w:rsidR="00475B98" w:rsidRPr="008142DC" w:rsidRDefault="00475B98" w:rsidP="00475B98">
      <w:pPr>
        <w:spacing w:line="240" w:lineRule="auto"/>
        <w:jc w:val="both"/>
        <w:rPr>
          <w:rFonts w:ascii="Times New Roman" w:hAnsi="Times New Roman" w:cs="Times New Roman"/>
          <w:sz w:val="24"/>
          <w:szCs w:val="24"/>
        </w:rPr>
      </w:pPr>
    </w:p>
    <w:p w:rsidR="00475B98" w:rsidRPr="008142DC" w:rsidRDefault="00475B98" w:rsidP="00475B98">
      <w:pPr>
        <w:shd w:val="clear" w:color="auto" w:fill="FFFFFF"/>
        <w:spacing w:line="240" w:lineRule="auto"/>
        <w:textAlignment w:val="baseline"/>
        <w:rPr>
          <w:rFonts w:ascii="Arial" w:eastAsia="Times New Roman" w:hAnsi="Arial" w:cs="Arial"/>
          <w:color w:val="333333"/>
          <w:sz w:val="15"/>
          <w:szCs w:val="15"/>
        </w:rPr>
      </w:pPr>
      <w:r>
        <w:rPr>
          <w:rFonts w:ascii="Arial" w:eastAsia="Times New Roman" w:hAnsi="Arial" w:cs="Arial"/>
          <w:noProof/>
          <w:color w:val="333333"/>
          <w:sz w:val="15"/>
          <w:szCs w:val="15"/>
          <w:lang w:val="en-GB" w:eastAsia="en-GB"/>
        </w:rPr>
        <w:drawing>
          <wp:inline distT="0" distB="0" distL="0" distR="0">
            <wp:extent cx="4521200" cy="4800600"/>
            <wp:effectExtent l="0" t="0" r="0" b="0"/>
            <wp:docPr id="264" name="Imagen 264" descr="http://si.wsj.net/public/resources/images/AO-AA821_wsjamd_NS_20160308191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821_wsjamd_NS_20160308191751.jpg"/>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21200" cy="4800600"/>
                    </a:xfrm>
                    <a:prstGeom prst="rect">
                      <a:avLst/>
                    </a:prstGeom>
                    <a:noFill/>
                    <a:ln>
                      <a:noFill/>
                    </a:ln>
                  </pic:spPr>
                </pic:pic>
              </a:graphicData>
            </a:graphic>
          </wp:inline>
        </w:drawing>
      </w:r>
    </w:p>
    <w:p w:rsidR="00F931BE" w:rsidRPr="00F931BE" w:rsidRDefault="00F931BE" w:rsidP="00F931BE">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F931BE">
        <w:rPr>
          <w:rFonts w:ascii="Times New Roman" w:hAnsi="Times New Roman" w:cs="Times New Roman"/>
          <w:i/>
          <w:sz w:val="24"/>
          <w:szCs w:val="24"/>
        </w:rPr>
        <w:t>Las autoridades de Ontario pondrán a prueba la renta básica universal dentro de su territorio. Según los presupuestos de la provincia más poblada del país, se pondrá en marcha un proyecto piloto para analizar el efecto que tendría dar a todos los ciudadanos una renta mínima por el simple hecho de existir.</w:t>
      </w:r>
    </w:p>
    <w:p w:rsidR="00F931BE" w:rsidRPr="00F931BE" w:rsidRDefault="00F931BE" w:rsidP="00F931BE">
      <w:pPr>
        <w:spacing w:line="240" w:lineRule="auto"/>
        <w:jc w:val="both"/>
        <w:rPr>
          <w:rFonts w:ascii="Times New Roman" w:hAnsi="Times New Roman" w:cs="Times New Roman"/>
          <w:i/>
          <w:sz w:val="24"/>
          <w:szCs w:val="24"/>
        </w:rPr>
      </w:pPr>
      <w:r w:rsidRPr="00F931BE">
        <w:rPr>
          <w:rFonts w:ascii="Times New Roman" w:hAnsi="Times New Roman" w:cs="Times New Roman"/>
          <w:i/>
          <w:sz w:val="24"/>
          <w:szCs w:val="24"/>
        </w:rPr>
        <w:t xml:space="preserve">Tal y como publica Quartz, las autoridades de la región no han ofrecido apenas datos concretos sobre la medida, simplemente han señalado que “el Gobierno trabajará junto con los investigadores y otros expertos la forma de diseñar este programa”. </w:t>
      </w:r>
    </w:p>
    <w:p w:rsidR="00F931BE" w:rsidRDefault="00F931BE" w:rsidP="00F931BE">
      <w:pPr>
        <w:spacing w:line="240" w:lineRule="auto"/>
        <w:jc w:val="both"/>
        <w:rPr>
          <w:rFonts w:ascii="Times New Roman" w:hAnsi="Times New Roman" w:cs="Times New Roman"/>
          <w:sz w:val="24"/>
          <w:szCs w:val="24"/>
        </w:rPr>
      </w:pPr>
      <w:r w:rsidRPr="00F931BE">
        <w:rPr>
          <w:rFonts w:ascii="Times New Roman" w:hAnsi="Times New Roman" w:cs="Times New Roman"/>
          <w:i/>
          <w:sz w:val="24"/>
          <w:szCs w:val="24"/>
        </w:rPr>
        <w:t xml:space="preserve">La idea es implantar una renta básica universal, es decir, que llegaría a todos los residentes legales de la provincia de Ontario. Aunque el Gobierno de la provincia no </w:t>
      </w:r>
      <w:r w:rsidRPr="00F931BE">
        <w:rPr>
          <w:rFonts w:ascii="Times New Roman" w:hAnsi="Times New Roman" w:cs="Times New Roman"/>
          <w:i/>
          <w:sz w:val="24"/>
          <w:szCs w:val="24"/>
        </w:rPr>
        <w:lastRenderedPageBreak/>
        <w:t>ha dado detalles exactos, la renta básica universal también incluye a los menores de edad, aunque la renta que perciben estos menores suele ser inferior que la de los adultos en gran parte de los proyectos presentados en otros países</w:t>
      </w:r>
      <w:r>
        <w:rPr>
          <w:rFonts w:ascii="Times New Roman" w:hAnsi="Times New Roman" w:cs="Times New Roman"/>
          <w:i/>
          <w:sz w:val="24"/>
          <w:szCs w:val="24"/>
        </w:rPr>
        <w:t>”..</w:t>
      </w:r>
      <w:r w:rsidRPr="00F931BE">
        <w:rPr>
          <w:rFonts w:ascii="Times New Roman" w:hAnsi="Times New Roman" w:cs="Times New Roman"/>
          <w:i/>
          <w:sz w:val="24"/>
          <w:szCs w:val="24"/>
        </w:rPr>
        <w:t xml:space="preserve">. </w:t>
      </w:r>
      <w:r w:rsidRPr="00760CCD">
        <w:rPr>
          <w:rFonts w:ascii="Times New Roman" w:hAnsi="Times New Roman" w:cs="Times New Roman"/>
          <w:sz w:val="24"/>
          <w:szCs w:val="24"/>
          <w:u w:val="single"/>
        </w:rPr>
        <w:t>Ontario (Canadá) probará la renta básica universal dentro de su territorio</w:t>
      </w:r>
      <w:r>
        <w:rPr>
          <w:rFonts w:ascii="Times New Roman" w:hAnsi="Times New Roman" w:cs="Times New Roman"/>
          <w:sz w:val="24"/>
          <w:szCs w:val="24"/>
        </w:rPr>
        <w:t xml:space="preserve"> (El Economista - </w:t>
      </w:r>
      <w:r w:rsidRPr="00760CCD">
        <w:rPr>
          <w:rFonts w:ascii="Times New Roman" w:hAnsi="Times New Roman" w:cs="Times New Roman"/>
          <w:b/>
          <w:sz w:val="24"/>
          <w:szCs w:val="24"/>
        </w:rPr>
        <w:t>8/3/16</w:t>
      </w:r>
      <w:r>
        <w:rPr>
          <w:rFonts w:ascii="Times New Roman" w:hAnsi="Times New Roman" w:cs="Times New Roman"/>
          <w:sz w:val="24"/>
          <w:szCs w:val="24"/>
        </w:rPr>
        <w:t>)</w:t>
      </w:r>
    </w:p>
    <w:p w:rsidR="00F931BE" w:rsidRDefault="00F931BE" w:rsidP="00F931BE">
      <w:pPr>
        <w:spacing w:line="240" w:lineRule="auto"/>
        <w:jc w:val="both"/>
        <w:rPr>
          <w:rStyle w:val="Hipervnculo"/>
          <w:rFonts w:ascii="Times New Roman" w:hAnsi="Times New Roman" w:cs="Times New Roman"/>
          <w:color w:val="auto"/>
          <w:sz w:val="24"/>
          <w:szCs w:val="24"/>
          <w:bdr w:val="none" w:sz="0" w:space="0" w:color="auto" w:frame="1"/>
        </w:rPr>
      </w:pPr>
      <w:r w:rsidRPr="00F931BE">
        <w:rPr>
          <w:rFonts w:ascii="Times New Roman" w:hAnsi="Times New Roman" w:cs="Times New Roman"/>
          <w:color w:val="000000"/>
          <w:sz w:val="24"/>
          <w:szCs w:val="24"/>
          <w:u w:val="single"/>
        </w:rPr>
        <w:t>OCDE publicaba su informe anual sobre los impuestos al trabajo,</w:t>
      </w:r>
      <w:r w:rsidRPr="00F931BE">
        <w:rPr>
          <w:rStyle w:val="apple-converted-space"/>
          <w:rFonts w:ascii="Times New Roman" w:hAnsi="Times New Roman" w:cs="Times New Roman"/>
          <w:color w:val="000000"/>
          <w:sz w:val="24"/>
          <w:szCs w:val="24"/>
          <w:u w:val="single"/>
        </w:rPr>
        <w:t> </w:t>
      </w:r>
      <w:hyperlink r:id="rId129" w:history="1">
        <w:r w:rsidRPr="00F931BE">
          <w:rPr>
            <w:rStyle w:val="Hipervnculo"/>
            <w:rFonts w:ascii="Times New Roman" w:hAnsi="Times New Roman" w:cs="Times New Roman"/>
            <w:color w:val="auto"/>
            <w:sz w:val="24"/>
            <w:szCs w:val="24"/>
            <w:bdr w:val="none" w:sz="0" w:space="0" w:color="auto" w:frame="1"/>
          </w:rPr>
          <w:t>Taxing wages 2016</w:t>
        </w:r>
      </w:hyperlink>
    </w:p>
    <w:p w:rsidR="00F931BE" w:rsidRPr="00D06FCF" w:rsidRDefault="00F931BE" w:rsidP="00D06FCF">
      <w:pPr>
        <w:pStyle w:val="NormalWeb"/>
        <w:shd w:val="clear" w:color="auto" w:fill="FFFFFF"/>
        <w:spacing w:after="300"/>
        <w:jc w:val="both"/>
        <w:textAlignment w:val="baseline"/>
        <w:rPr>
          <w:color w:val="000000"/>
        </w:rPr>
      </w:pPr>
      <w:r w:rsidRPr="00F931BE">
        <w:rPr>
          <w:color w:val="000000"/>
        </w:rPr>
        <w:t>En este documento, el organismo analiza cuál es el peso de los tributos con respecto al coste laboral</w:t>
      </w:r>
      <w:r w:rsidR="00D06FCF">
        <w:rPr>
          <w:color w:val="000000"/>
        </w:rPr>
        <w:t xml:space="preserve">. (Libertad Digital - </w:t>
      </w:r>
      <w:r w:rsidR="00D06FCF" w:rsidRPr="00120CF8">
        <w:rPr>
          <w:b/>
          <w:color w:val="000000"/>
        </w:rPr>
        <w:t>28/4/16</w:t>
      </w:r>
      <w:r w:rsidR="00D06FCF">
        <w:rPr>
          <w:color w:val="000000"/>
        </w:rPr>
        <w:t>)</w:t>
      </w:r>
    </w:p>
    <w:p w:rsidR="00F931BE" w:rsidRPr="00F931BE" w:rsidRDefault="00F931BE" w:rsidP="00F931BE">
      <w:pPr>
        <w:spacing w:line="240" w:lineRule="auto"/>
        <w:jc w:val="both"/>
        <w:rPr>
          <w:rFonts w:ascii="Times New Roman" w:hAnsi="Times New Roman" w:cs="Times New Roman"/>
          <w:sz w:val="24"/>
          <w:szCs w:val="24"/>
        </w:rPr>
      </w:pPr>
      <w:r w:rsidRPr="00120CF8">
        <w:rPr>
          <w:rFonts w:ascii="Times New Roman" w:hAnsi="Times New Roman" w:cs="Times New Roman"/>
          <w:noProof/>
          <w:color w:val="1883BA"/>
          <w:sz w:val="24"/>
          <w:szCs w:val="24"/>
          <w:bdr w:val="none" w:sz="0" w:space="0" w:color="auto" w:frame="1"/>
          <w:lang w:val="en-GB" w:eastAsia="en-GB"/>
        </w:rPr>
        <w:drawing>
          <wp:inline distT="0" distB="0" distL="0" distR="0">
            <wp:extent cx="5321300" cy="3860800"/>
            <wp:effectExtent l="0" t="0" r="0" b="6350"/>
            <wp:docPr id="270" name="Imagen 270" descr="http://s.libertaddigital.com/2016/04/26/468/0/palo_fiscal_ocde_2016_1.jpg">
              <a:hlinkClick xmlns:a="http://schemas.openxmlformats.org/drawingml/2006/main" r:id="rId130" tooltip="&quot;OCD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2016/04/26/468/0/palo_fiscal_ocde_2016_1.jpg">
                      <a:hlinkClick r:id="rId130" tooltip="&quot;OCDE&quot;"/>
                    </pic:cNvPr>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1300" cy="3860800"/>
                    </a:xfrm>
                    <a:prstGeom prst="rect">
                      <a:avLst/>
                    </a:prstGeom>
                    <a:noFill/>
                    <a:ln>
                      <a:noFill/>
                    </a:ln>
                  </pic:spPr>
                </pic:pic>
              </a:graphicData>
            </a:graphic>
          </wp:inline>
        </w:drawing>
      </w:r>
    </w:p>
    <w:p w:rsidR="00475B98" w:rsidRDefault="00F931BE" w:rsidP="00475B98">
      <w:pPr>
        <w:spacing w:line="240" w:lineRule="auto"/>
        <w:jc w:val="both"/>
        <w:rPr>
          <w:rFonts w:ascii="Times New Roman" w:hAnsi="Times New Roman" w:cs="Times New Roman"/>
          <w:i/>
          <w:sz w:val="24"/>
          <w:szCs w:val="24"/>
        </w:rPr>
      </w:pPr>
      <w:r w:rsidRPr="00120CF8">
        <w:rPr>
          <w:rFonts w:ascii="Times New Roman" w:hAnsi="Times New Roman" w:cs="Times New Roman"/>
          <w:noProof/>
          <w:color w:val="1883BA"/>
          <w:sz w:val="24"/>
          <w:szCs w:val="24"/>
          <w:bdr w:val="none" w:sz="0" w:space="0" w:color="auto" w:frame="1"/>
          <w:lang w:val="en-GB" w:eastAsia="en-GB"/>
        </w:rPr>
        <w:drawing>
          <wp:inline distT="0" distB="0" distL="0" distR="0">
            <wp:extent cx="4457700" cy="3079750"/>
            <wp:effectExtent l="0" t="0" r="0" b="6350"/>
            <wp:docPr id="271" name="Imagen 271" descr="http://s.libertaddigital.com/2016/04/26/468/0/palo_fiscal_ocde_2016_2.jpg">
              <a:hlinkClick xmlns:a="http://schemas.openxmlformats.org/drawingml/2006/main" r:id="rId132" tooltip="&quot;OCD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2016/04/26/468/0/palo_fiscal_ocde_2016_2.jpg">
                      <a:hlinkClick r:id="rId132" tooltip="&quot;OCDE&quot;"/>
                    </pic:cNvPr>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57700" cy="3079750"/>
                    </a:xfrm>
                    <a:prstGeom prst="rect">
                      <a:avLst/>
                    </a:prstGeom>
                    <a:noFill/>
                    <a:ln>
                      <a:noFill/>
                    </a:ln>
                  </pic:spPr>
                </pic:pic>
              </a:graphicData>
            </a:graphic>
          </wp:inline>
        </w:drawing>
      </w:r>
    </w:p>
    <w:p w:rsidR="00D06FCF" w:rsidRPr="00B77C4F" w:rsidRDefault="00D06FCF" w:rsidP="00D06FCF">
      <w:pPr>
        <w:spacing w:line="240" w:lineRule="auto"/>
        <w:jc w:val="both"/>
        <w:rPr>
          <w:rFonts w:ascii="Times New Roman" w:hAnsi="Times New Roman"/>
          <w:iCs/>
          <w:sz w:val="24"/>
          <w:szCs w:val="24"/>
        </w:rPr>
      </w:pPr>
      <w:r>
        <w:rPr>
          <w:rFonts w:ascii="Times New Roman" w:hAnsi="Times New Roman"/>
          <w:iCs/>
          <w:sz w:val="24"/>
          <w:szCs w:val="24"/>
        </w:rPr>
        <w:lastRenderedPageBreak/>
        <w:t xml:space="preserve">- </w:t>
      </w:r>
      <w:r w:rsidRPr="00B77C4F">
        <w:rPr>
          <w:rFonts w:ascii="Times New Roman" w:hAnsi="Times New Roman"/>
          <w:iCs/>
          <w:sz w:val="24"/>
          <w:szCs w:val="24"/>
          <w:u w:val="single"/>
        </w:rPr>
        <w:t>La eterna promesa de que los salarios van a subir</w:t>
      </w:r>
      <w:r w:rsidRPr="00B77C4F">
        <w:rPr>
          <w:rFonts w:ascii="Times New Roman" w:hAnsi="Times New Roman"/>
          <w:iCs/>
          <w:sz w:val="24"/>
          <w:szCs w:val="24"/>
        </w:rPr>
        <w:t xml:space="preserve"> (y la cruda realidad)</w:t>
      </w:r>
      <w:r>
        <w:rPr>
          <w:rFonts w:ascii="Times New Roman" w:hAnsi="Times New Roman"/>
          <w:iCs/>
          <w:sz w:val="24"/>
          <w:szCs w:val="24"/>
        </w:rPr>
        <w:t xml:space="preserve"> (El Español - </w:t>
      </w:r>
      <w:r w:rsidRPr="00B77C4F">
        <w:rPr>
          <w:rFonts w:ascii="Times New Roman" w:hAnsi="Times New Roman"/>
          <w:b/>
          <w:iCs/>
          <w:sz w:val="24"/>
          <w:szCs w:val="24"/>
        </w:rPr>
        <w:t>6/5/16</w:t>
      </w:r>
      <w:r>
        <w:rPr>
          <w:rFonts w:ascii="Times New Roman" w:hAnsi="Times New Roman"/>
          <w:iCs/>
          <w:sz w:val="24"/>
          <w:szCs w:val="24"/>
        </w:rPr>
        <w:t>)                                                                                               Lectura recomendada</w:t>
      </w:r>
    </w:p>
    <w:p w:rsidR="00D06FCF" w:rsidRPr="001771E6" w:rsidRDefault="00D06FCF" w:rsidP="00D06FCF">
      <w:pPr>
        <w:spacing w:line="240" w:lineRule="auto"/>
        <w:jc w:val="both"/>
        <w:rPr>
          <w:rFonts w:ascii="Times New Roman" w:hAnsi="Times New Roman"/>
          <w:iCs/>
          <w:sz w:val="24"/>
          <w:szCs w:val="24"/>
          <w:u w:val="single"/>
        </w:rPr>
      </w:pPr>
      <w:r w:rsidRPr="001771E6">
        <w:rPr>
          <w:rFonts w:ascii="Times New Roman" w:hAnsi="Times New Roman"/>
          <w:iCs/>
          <w:sz w:val="24"/>
          <w:szCs w:val="24"/>
          <w:u w:val="single"/>
        </w:rPr>
        <w:t>El BCE reconoce que lleva cuatro años anticipando una inflación salarial que no termina de llegar. El ritmo de avance de los sueldos de la eurozona está en su nivel histórico más bajo.</w:t>
      </w:r>
    </w:p>
    <w:p w:rsidR="00D06FCF" w:rsidRDefault="00D06FCF" w:rsidP="00D06FCF">
      <w:pPr>
        <w:spacing w:line="240" w:lineRule="auto"/>
        <w:jc w:val="both"/>
        <w:rPr>
          <w:rFonts w:ascii="Times New Roman" w:hAnsi="Times New Roman"/>
          <w:iCs/>
          <w:sz w:val="24"/>
          <w:szCs w:val="24"/>
        </w:rPr>
      </w:pPr>
      <w:r>
        <w:rPr>
          <w:rFonts w:ascii="Times New Roman" w:hAnsi="Times New Roman"/>
          <w:iCs/>
          <w:sz w:val="24"/>
          <w:szCs w:val="24"/>
        </w:rPr>
        <w:t>(Por Javier G. Jorrín)</w:t>
      </w:r>
    </w:p>
    <w:p w:rsidR="00D06FCF" w:rsidRPr="001771E6" w:rsidRDefault="00D06FCF" w:rsidP="00D06FCF">
      <w:pPr>
        <w:pStyle w:val="NormalWeb"/>
        <w:spacing w:before="0" w:beforeAutospacing="0" w:after="300" w:afterAutospacing="0"/>
        <w:jc w:val="both"/>
        <w:textAlignment w:val="baseline"/>
        <w:rPr>
          <w:color w:val="FF0000"/>
          <w:u w:val="single"/>
        </w:rPr>
      </w:pPr>
      <w:r w:rsidRPr="00B77C4F">
        <w:t xml:space="preserve">La subida de los salarios es, casi siempre, una buena noticia para todos los actores económicos (tanto trabajadores como empresas) ya que suele ser causa y consecuencia del buen ritmo de la economía. </w:t>
      </w:r>
      <w:r w:rsidRPr="001771E6">
        <w:rPr>
          <w:color w:val="FF0000"/>
          <w:u w:val="single"/>
        </w:rPr>
        <w:t>En la eurozona, los salarios llevan años languideciendo, consecuencia de una economía que no acaba de repuntar y de un mercado laboral que está viviendo una de las mayores transformaciones de toda la historia por los progresos tecnológicos y la globalización. Sin embargo, esto no era lo que esperaban los expertos, ni lo que prometían los políticos. Justo lo contrario.</w:t>
      </w:r>
    </w:p>
    <w:p w:rsidR="00D06FCF" w:rsidRPr="00B77C4F" w:rsidRDefault="00D06FCF" w:rsidP="00D06FCF">
      <w:pPr>
        <w:pStyle w:val="NormalWeb"/>
        <w:spacing w:before="0" w:beforeAutospacing="0" w:after="300" w:afterAutospacing="0"/>
        <w:jc w:val="both"/>
        <w:textAlignment w:val="baseline"/>
      </w:pPr>
      <w:r w:rsidRPr="001771E6">
        <w:rPr>
          <w:u w:val="single"/>
        </w:rPr>
        <w:t>El PIB ha vuelto a crecer en los últimos años, aunque todavía a tasas muy bajas, y los beneficios empresariales de muchos sectores han subido hasta marcar máximos históricos. Sin embargo, los salarios siguen sin repuntar</w:t>
      </w:r>
      <w:r w:rsidRPr="00B77C4F">
        <w:t>. Los expertos del Banco Central Europeo (BCE) llevan desde el año 2012 anticipando una aceleración inminente de los sueldos que, pese a todo, se sigue retrasando y nunca llega.</w:t>
      </w:r>
    </w:p>
    <w:p w:rsidR="00D06FCF" w:rsidRPr="001771E6" w:rsidRDefault="00D06FCF" w:rsidP="00D06FCF">
      <w:pPr>
        <w:pStyle w:val="NormalWeb"/>
        <w:spacing w:before="0" w:beforeAutospacing="0" w:after="0" w:afterAutospacing="0"/>
        <w:jc w:val="both"/>
        <w:textAlignment w:val="baseline"/>
        <w:rPr>
          <w:u w:val="single"/>
        </w:rPr>
      </w:pPr>
      <w:r w:rsidRPr="001771E6">
        <w:rPr>
          <w:u w:val="single"/>
        </w:rPr>
        <w:t>El siguiente gráfico publicado por</w:t>
      </w:r>
      <w:r w:rsidRPr="001771E6">
        <w:rPr>
          <w:rStyle w:val="apple-converted-space"/>
          <w:u w:val="single"/>
        </w:rPr>
        <w:t> </w:t>
      </w:r>
      <w:hyperlink r:id="rId134" w:tgtFrame="_blank" w:history="1">
        <w:r w:rsidRPr="006B00C5">
          <w:rPr>
            <w:rStyle w:val="Hipervnculo"/>
            <w:color w:val="auto"/>
            <w:bdr w:val="none" w:sz="0" w:space="0" w:color="auto" w:frame="1"/>
          </w:rPr>
          <w:t>el BCE en su último informe</w:t>
        </w:r>
      </w:hyperlink>
      <w:r w:rsidRPr="001771E6">
        <w:rPr>
          <w:u w:val="single"/>
        </w:rPr>
        <w:t> refleja a la perfección esta situación. Las línea negra muestra cómo el crecimiento de los salarios en la eurozona se ha ido frenando en los últimos años hasta marcar su nivel más bajo desde la creación de la</w:t>
      </w:r>
      <w:r w:rsidRPr="001771E6">
        <w:rPr>
          <w:rStyle w:val="apple-converted-space"/>
          <w:u w:val="single"/>
        </w:rPr>
        <w:t> </w:t>
      </w:r>
      <w:r w:rsidRPr="001771E6">
        <w:rPr>
          <w:rStyle w:val="nfasis"/>
          <w:rFonts w:eastAsiaTheme="majorEastAsia"/>
          <w:u w:val="single"/>
          <w:bdr w:val="none" w:sz="0" w:space="0" w:color="auto" w:frame="1"/>
        </w:rPr>
        <w:t>divisa común</w:t>
      </w:r>
      <w:r w:rsidRPr="001771E6">
        <w:rPr>
          <w:u w:val="single"/>
        </w:rPr>
        <w:t>. Al mismo tiempo que el ritmo de crecimiento de los salarios se frenaba, los expertos del BCE esperaban un rebote inminente, cuyas previsiones se representan con las líneas grises.</w:t>
      </w:r>
    </w:p>
    <w:p w:rsidR="00D06FCF" w:rsidRPr="001771E6" w:rsidRDefault="00D06FCF" w:rsidP="00D06FCF">
      <w:pPr>
        <w:pStyle w:val="NormalWeb"/>
        <w:spacing w:before="0" w:beforeAutospacing="0" w:after="0" w:afterAutospacing="0"/>
        <w:jc w:val="both"/>
        <w:textAlignment w:val="baseline"/>
        <w:rPr>
          <w:u w:val="single"/>
        </w:rPr>
      </w:pPr>
    </w:p>
    <w:p w:rsidR="00D06FCF" w:rsidRPr="00B77C4F" w:rsidRDefault="00D06FCF" w:rsidP="00D06FCF">
      <w:pPr>
        <w:spacing w:line="240" w:lineRule="auto"/>
        <w:jc w:val="both"/>
        <w:textAlignment w:val="baseline"/>
        <w:rPr>
          <w:rFonts w:ascii="Times New Roman" w:hAnsi="Times New Roman"/>
          <w:sz w:val="24"/>
          <w:szCs w:val="24"/>
        </w:rPr>
      </w:pPr>
      <w:r>
        <w:rPr>
          <w:rFonts w:ascii="Times New Roman" w:hAnsi="Times New Roman"/>
          <w:noProof/>
          <w:sz w:val="24"/>
          <w:szCs w:val="24"/>
          <w:bdr w:val="none" w:sz="0" w:space="0" w:color="auto" w:frame="1"/>
          <w:lang w:val="en-GB" w:eastAsia="en-GB"/>
        </w:rPr>
        <w:drawing>
          <wp:inline distT="0" distB="0" distL="0" distR="0">
            <wp:extent cx="5035550" cy="3289300"/>
            <wp:effectExtent l="0" t="0" r="0" b="6350"/>
            <wp:docPr id="272" name="Imagen 272" descr="http://s2.eestatic.com/2016/05/05/actualidad/crecimiento-remuneracion-asalariado_122498982_4509508_1706x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http://s2.eestatic.com/2016/05/05/actualidad/crecimiento-remuneracion-asalariado_122498982_4509508_1706x1280.jpg"/>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5550" cy="3289300"/>
                    </a:xfrm>
                    <a:prstGeom prst="rect">
                      <a:avLst/>
                    </a:prstGeom>
                    <a:noFill/>
                    <a:ln>
                      <a:noFill/>
                    </a:ln>
                  </pic:spPr>
                </pic:pic>
              </a:graphicData>
            </a:graphic>
          </wp:inline>
        </w:drawing>
      </w:r>
    </w:p>
    <w:p w:rsidR="00D06FCF" w:rsidRDefault="00D06FCF" w:rsidP="00D06FCF">
      <w:pPr>
        <w:pStyle w:val="NormalWeb"/>
        <w:spacing w:before="0" w:beforeAutospacing="0" w:after="300" w:afterAutospacing="0"/>
        <w:jc w:val="both"/>
        <w:textAlignment w:val="baseline"/>
      </w:pPr>
      <w:r w:rsidRPr="00B77C4F">
        <w:lastRenderedPageBreak/>
        <w:t xml:space="preserve">Actualmente, el BCE prevé que el crecimiento de los salarios se acelere de un día para otro hasta el punto de llegar a 2018 con las retribuciones de los trabajadores aumentando a ritmos superiores al 2% anual. La entidad reconoce que “el crecimiento de los salarios no solo ha sido reducido, sino que las proyecciones también han sobreestimado sistemáticamente su evolución”. La esperanza de que los salarios </w:t>
      </w:r>
      <w:r w:rsidR="005337CB" w:rsidRPr="00B77C4F">
        <w:t>vayan</w:t>
      </w:r>
      <w:r w:rsidRPr="00B77C4F">
        <w:t xml:space="preserve"> a volver a crecer de forma consistente sigue siendo sólo eso, una esperanza.</w:t>
      </w:r>
    </w:p>
    <w:p w:rsidR="00D06FCF" w:rsidRPr="00B77C4F" w:rsidRDefault="00D06FCF" w:rsidP="00D06FCF">
      <w:pPr>
        <w:pStyle w:val="NormalWeb"/>
        <w:spacing w:before="0" w:beforeAutospacing="0" w:after="300" w:afterAutospacing="0"/>
        <w:jc w:val="both"/>
        <w:textAlignment w:val="baseline"/>
      </w:pPr>
      <w:r>
        <w:t>¿Qué pasa con los salarios?</w:t>
      </w:r>
    </w:p>
    <w:p w:rsidR="00D06FCF" w:rsidRPr="00B77C4F" w:rsidRDefault="00D06FCF" w:rsidP="00D06FCF">
      <w:pPr>
        <w:pStyle w:val="NormalWeb"/>
        <w:spacing w:before="0" w:beforeAutospacing="0" w:after="300" w:afterAutospacing="0"/>
        <w:jc w:val="both"/>
        <w:textAlignment w:val="baseline"/>
      </w:pPr>
      <w:r w:rsidRPr="00B77C4F">
        <w:t>El BCE indica que “en el cuarto trimestre de 2015, la tasa de crecimiento interanual de la remuneración por asalariado se situó en el 1,3%, una de las tasas más bajas observadas desde el inicio de la unión monetaria”. La negociación colectiva tampoco ha servido para mejorar la evolución de la renta que consiguen los trabajadores. En palabras del BCE, “el avance de los salarios negociados es más vigoroso, pero también registró mínimos históricos en 2015”.</w:t>
      </w:r>
    </w:p>
    <w:p w:rsidR="00D06FCF" w:rsidRPr="001771E6" w:rsidRDefault="00D06FCF" w:rsidP="00D06FCF">
      <w:pPr>
        <w:pStyle w:val="NormalWeb"/>
        <w:spacing w:before="0" w:beforeAutospacing="0" w:after="300" w:afterAutospacing="0"/>
        <w:jc w:val="both"/>
        <w:textAlignment w:val="baseline"/>
        <w:rPr>
          <w:color w:val="FF0000"/>
          <w:u w:val="single"/>
        </w:rPr>
      </w:pPr>
      <w:r w:rsidRPr="001771E6">
        <w:rPr>
          <w:color w:val="FF0000"/>
          <w:u w:val="single"/>
        </w:rPr>
        <w:t>¿Por qué los salarios no mejoran a pesar de la recuperación de la economía y del mercado laboral? Para el BCE la respuesta está en el paro. “La persistencia de un alto grado de holgura (exceso de mano de obra) es un factor clave de la caída de la inflación salarial”, indica la entidad. El elevado nivel de desempleo significa que hay mucha oferta de trabajo en el mercado y, como ocurre en cualquier mercado, cuando hay exceso de oferta, los precios caen, en este caso, los salarios.</w:t>
      </w:r>
    </w:p>
    <w:p w:rsidR="00D06FCF" w:rsidRDefault="00D06FCF" w:rsidP="00D06FCF">
      <w:pPr>
        <w:pStyle w:val="NormalWeb"/>
        <w:spacing w:before="0" w:beforeAutospacing="0" w:after="0" w:afterAutospacing="0"/>
        <w:jc w:val="both"/>
        <w:textAlignment w:val="baseline"/>
      </w:pPr>
      <w:r w:rsidRPr="001771E6">
        <w:rPr>
          <w:u w:val="single"/>
        </w:rPr>
        <w:t>“Aunque el mercado de trabajo de la zona del euro esté mejorando, la alta tasa de paro sigue apuntando a la existencia de una amplia oferta de mano de obra disponible”, remarca el BCE</w:t>
      </w:r>
      <w:r w:rsidRPr="00B77C4F">
        <w:t>. Es importante tener en cuenta que la caída del número de parados en las listas del desempleo no es el único factor relevante para medir la corrección del exceso de oferta de trabajo en el mercado, ya que existe el subempleo. Las personas que están subempleadas son aquellas que trabajan menos horas de las que querrían porque no consiguen un contrato a tiempo completo y aquellos que tienen un trabajo de un rango inferior al que les correspondería por su formación. Estas personas no están en las listas del paro, pero sí buscan activamente otro empleo que esté acorde a lo que quieren, por lo que sí forman parte de la oferta de trabajo.</w:t>
      </w:r>
    </w:p>
    <w:p w:rsidR="00D06FCF" w:rsidRDefault="00D06FCF" w:rsidP="00D06FCF">
      <w:pPr>
        <w:pStyle w:val="NormalWeb"/>
        <w:spacing w:before="0" w:beforeAutospacing="0" w:after="0" w:afterAutospacing="0"/>
        <w:jc w:val="both"/>
        <w:textAlignment w:val="baseline"/>
      </w:pPr>
    </w:p>
    <w:p w:rsidR="00D06FCF" w:rsidRPr="00D06FCF" w:rsidRDefault="00D06FCF" w:rsidP="00D06FCF">
      <w:pPr>
        <w:shd w:val="clear" w:color="auto" w:fill="FFFFFF"/>
        <w:spacing w:line="240" w:lineRule="auto"/>
        <w:jc w:val="both"/>
        <w:rPr>
          <w:rFonts w:ascii="Times New Roman" w:hAnsi="Times New Roman"/>
          <w:i/>
          <w:sz w:val="24"/>
          <w:szCs w:val="24"/>
        </w:rPr>
      </w:pPr>
      <w:r>
        <w:rPr>
          <w:rFonts w:ascii="Times New Roman" w:hAnsi="Times New Roman"/>
          <w:i/>
          <w:sz w:val="24"/>
          <w:szCs w:val="24"/>
        </w:rPr>
        <w:t>“</w:t>
      </w:r>
      <w:r w:rsidRPr="00D06FCF">
        <w:rPr>
          <w:rFonts w:ascii="Times New Roman" w:hAnsi="Times New Roman"/>
          <w:i/>
          <w:sz w:val="24"/>
          <w:szCs w:val="24"/>
        </w:rPr>
        <w:t>Si las tendencias actuales persisten hasta finales de año, los hogares estadounidenses terminarán 2016 debiendo tanto como debían durante el cenit del crédito de 2008.</w:t>
      </w:r>
    </w:p>
    <w:p w:rsidR="00D06FCF" w:rsidRPr="00D06FCF" w:rsidRDefault="00D06FCF" w:rsidP="00D06FCF">
      <w:pPr>
        <w:pStyle w:val="NormalWeb"/>
        <w:shd w:val="clear" w:color="auto" w:fill="FFFFFF"/>
        <w:jc w:val="both"/>
        <w:rPr>
          <w:i/>
        </w:rPr>
      </w:pPr>
      <w:r w:rsidRPr="00D06FCF">
        <w:rPr>
          <w:i/>
        </w:rPr>
        <w:t>La deuda global ya ha superado los niveles de 2008 y sigue al alza. Es bastante asombroso que esto ocurra tan poco tiempo después de unas crisis impulsadas por la deuda en Estados Unidos y Europa y en medio de grandes preocupaciones por el exceso de endeudamiento en Japón, China y los mercados emergentes.</w:t>
      </w:r>
    </w:p>
    <w:p w:rsidR="00D06FCF" w:rsidRPr="00D06FCF" w:rsidRDefault="00D06FCF" w:rsidP="00D06FCF">
      <w:pPr>
        <w:pStyle w:val="NormalWeb"/>
        <w:shd w:val="clear" w:color="auto" w:fill="FFFFFF"/>
        <w:jc w:val="both"/>
        <w:rPr>
          <w:i/>
        </w:rPr>
      </w:pPr>
      <w:r w:rsidRPr="00D06FCF">
        <w:rPr>
          <w:i/>
        </w:rPr>
        <w:t>Pero a pesar de la ansiedad, la posibilidad de que estalle una crisis de deuda a corto plazo es baja. Tasas de interés más bajas implican pagos mucho más bajos de lo que eran antes de la última crisis. En EEUU, la deuda de los hogares es muy baja cuando se compara con la economía en general. Y en el resto del mundo, los préstamos pueden ser fácilmente refinanciados…</w:t>
      </w:r>
    </w:p>
    <w:p w:rsidR="00D06FCF" w:rsidRDefault="00D06FCF" w:rsidP="00D06FCF">
      <w:pPr>
        <w:pStyle w:val="NormalWeb"/>
        <w:jc w:val="both"/>
        <w:rPr>
          <w:i/>
        </w:rPr>
      </w:pPr>
      <w:r w:rsidRPr="00D06FCF">
        <w:rPr>
          <w:i/>
        </w:rPr>
        <w:t xml:space="preserve">A finales del primer trimestre de este año, los hogares estadounidenses debían US$ 12,25 billones de dólares (millones de millones), 1,1% más de lo que debían a finales </w:t>
      </w:r>
      <w:r w:rsidRPr="00D06FCF">
        <w:rPr>
          <w:i/>
        </w:rPr>
        <w:lastRenderedPageBreak/>
        <w:t>de 2015, según el informe trimestral sobre endeudamiento y crédito de los hogares del Banco de la Reserva Federal de Nueva York, publicado el martes pasado. Si el resultado del primer trimestre se repite a lo largo del año, la deuda de los hogares estadounidenses se acercará al récord de US$ 12,68 billones, que alcanzó en el tercer trimestre de 2008.Mucha gente recuerda ese trimestre porque fue cuando el sistema financiero global se cayó al precipicio</w:t>
      </w:r>
      <w:r>
        <w:rPr>
          <w:i/>
        </w:rPr>
        <w:t>..</w:t>
      </w:r>
      <w:r w:rsidRPr="00D06FCF">
        <w:rPr>
          <w:i/>
        </w:rPr>
        <w:t>.</w:t>
      </w:r>
    </w:p>
    <w:p w:rsidR="00D06FCF" w:rsidRPr="00D06FCF" w:rsidRDefault="00D06FCF" w:rsidP="00D06FCF">
      <w:pPr>
        <w:pStyle w:val="NormalWeb"/>
        <w:shd w:val="clear" w:color="auto" w:fill="FFFFFF"/>
        <w:spacing w:before="0" w:after="0"/>
        <w:jc w:val="both"/>
        <w:rPr>
          <w:i/>
        </w:rPr>
      </w:pPr>
      <w:r w:rsidRPr="00D06FCF">
        <w:rPr>
          <w:i/>
        </w:rPr>
        <w:t xml:space="preserve">Las bajas tasas de interés han tenido un impacto aún más dramático fuera de EEUU, donde las economías son más débiles o inestables. La deuda global, incluyendo la de hogares, empresas y gobiernos, ha aumentado del 221% del PIB global a finales de 2008 a 242% al final del primer trimestre de este año. Pero el costo del pago de intereses como porcentaje del PIB se ha reducido de un máximo de 11% a 7%, según </w:t>
      </w:r>
      <w:hyperlink r:id="rId136" w:history="1">
        <w:r w:rsidRPr="00D06FCF">
          <w:rPr>
            <w:rStyle w:val="Hipervnculo"/>
            <w:i/>
            <w:color w:val="auto"/>
            <w:u w:val="none"/>
          </w:rPr>
          <w:t>J.P. Morgan</w:t>
        </w:r>
      </w:hyperlink>
      <w:r w:rsidRPr="00D06FCF">
        <w:rPr>
          <w:rStyle w:val="company-name-type"/>
          <w:i/>
        </w:rPr>
        <w:t>.</w:t>
      </w:r>
    </w:p>
    <w:p w:rsidR="00D06FCF" w:rsidRDefault="00D06FCF" w:rsidP="00D06FCF">
      <w:pPr>
        <w:pStyle w:val="NormalWeb"/>
        <w:shd w:val="clear" w:color="auto" w:fill="FFFFFF"/>
        <w:jc w:val="both"/>
      </w:pPr>
      <w:r w:rsidRPr="00D06FCF">
        <w:rPr>
          <w:i/>
        </w:rPr>
        <w:t>Japón es el mejor ejemplo de cómo las tasas de interés bajas pueden cambiar las reglas del juego. El nivel de deuda de Japón (400% del PIB) es, por mucho, el más alto del mundo. Uno de los grandes misterios de las finanzas es por qué los inversionistas siguen prestando dinero al gobierno japonés para obtener rendimientos insignificantes o negativos, cuando parece imposible que ese país pague su deuda</w:t>
      </w:r>
      <w:r>
        <w:rPr>
          <w:i/>
        </w:rPr>
        <w:t>”..</w:t>
      </w:r>
      <w:r w:rsidRPr="00D06FCF">
        <w:rPr>
          <w:i/>
        </w:rPr>
        <w:t>.</w:t>
      </w:r>
      <w:r w:rsidRPr="00E2089F">
        <w:rPr>
          <w:u w:val="single"/>
        </w:rPr>
        <w:t>Billones en deuda, pero poca preocupación… por ahora</w:t>
      </w:r>
      <w:r>
        <w:t xml:space="preserve"> (The Wall Street Journal - </w:t>
      </w:r>
      <w:r>
        <w:rPr>
          <w:b/>
        </w:rPr>
        <w:t>30</w:t>
      </w:r>
      <w:r w:rsidRPr="00E2089F">
        <w:rPr>
          <w:b/>
        </w:rPr>
        <w:t>/5/16</w:t>
      </w:r>
      <w:r>
        <w:t>)</w:t>
      </w:r>
    </w:p>
    <w:p w:rsidR="00D06FCF" w:rsidRDefault="00D06FCF" w:rsidP="00D06FCF">
      <w:pPr>
        <w:pStyle w:val="NormalWeb"/>
        <w:shd w:val="clear" w:color="auto" w:fill="FFFFFF"/>
        <w:jc w:val="both"/>
        <w:rPr>
          <w:i/>
        </w:rPr>
      </w:pPr>
      <w:r>
        <w:rPr>
          <w:noProof/>
          <w:color w:val="333333"/>
          <w:lang w:val="en-GB" w:eastAsia="en-GB"/>
        </w:rPr>
        <w:drawing>
          <wp:inline distT="0" distB="0" distL="0" distR="0">
            <wp:extent cx="4870450" cy="5105400"/>
            <wp:effectExtent l="0" t="0" r="6350" b="0"/>
            <wp:docPr id="273" name="Imagen 273" descr="AO-AB050_wsjamd_NS_20160530190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O-AB050_wsjamd_NS_20160530190900"/>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70450" cy="5105400"/>
                    </a:xfrm>
                    <a:prstGeom prst="rect">
                      <a:avLst/>
                    </a:prstGeom>
                    <a:noFill/>
                    <a:ln>
                      <a:noFill/>
                    </a:ln>
                  </pic:spPr>
                </pic:pic>
              </a:graphicData>
            </a:graphic>
          </wp:inline>
        </w:drawing>
      </w:r>
    </w:p>
    <w:p w:rsidR="00D06FCF" w:rsidRPr="00D06FCF" w:rsidRDefault="00D06FCF" w:rsidP="00D06FCF">
      <w:pPr>
        <w:pStyle w:val="NormalWeb"/>
        <w:shd w:val="clear" w:color="auto" w:fill="FFFFFF"/>
        <w:spacing w:after="300"/>
        <w:jc w:val="both"/>
        <w:textAlignment w:val="baseline"/>
        <w:rPr>
          <w:i/>
        </w:rPr>
      </w:pPr>
      <w:r w:rsidRPr="00D06FCF">
        <w:rPr>
          <w:i/>
        </w:rPr>
        <w:lastRenderedPageBreak/>
        <w:t>“En Alemania se vive mejor que en muchos otros estados, puesto que las condiciones de vida en el país son más justas. Alemania se ocupa de los más débiles y le da a todo el mundo una oportunidad. Muchos creen que Alemania es así. Sin embargo, los hechos muestran otra realidad. Alemania es, en muchos aspectos, el país más desigual de Europa. Casi en ningún otro lugar de Europa los salarios, el patrimonio y las oportunidades están tan desigualmente repartidos”.</w:t>
      </w:r>
    </w:p>
    <w:p w:rsidR="00D06FCF" w:rsidRPr="00D06FCF" w:rsidRDefault="00D06FCF" w:rsidP="00D06FCF">
      <w:pPr>
        <w:pStyle w:val="NormalWeb"/>
        <w:shd w:val="clear" w:color="auto" w:fill="FFFFFF"/>
        <w:spacing w:after="300"/>
        <w:jc w:val="both"/>
        <w:textAlignment w:val="baseline"/>
        <w:rPr>
          <w:i/>
        </w:rPr>
      </w:pPr>
      <w:r w:rsidRPr="00D06FCF">
        <w:rPr>
          <w:i/>
        </w:rPr>
        <w:t xml:space="preserve">Este es uno de los primeros y provocativos párrafos de “Lucha por la distribución. Por qué Alemania es cada vez más desigual”, el último y reciente libro de Marcel Fratzscher, presidente del Instituto para la Investigación Económica (DIW), uno de los centros de análisis económico de referencia de la primera economía europea. En su obra, Fratzscher ofrece un análisis bastante más crítico y pesimista sobre la economía germana que la imagen de la que suele gozar la locomotora económica de la UE fuera de sus fronteras. </w:t>
      </w:r>
    </w:p>
    <w:p w:rsidR="00D06FCF" w:rsidRPr="00D06FCF" w:rsidRDefault="00D06FCF" w:rsidP="00D06FCF">
      <w:pPr>
        <w:pStyle w:val="NormalWeb"/>
        <w:shd w:val="clear" w:color="auto" w:fill="FFFFFF"/>
        <w:spacing w:after="300"/>
        <w:jc w:val="both"/>
        <w:textAlignment w:val="baseline"/>
        <w:rPr>
          <w:i/>
        </w:rPr>
      </w:pPr>
      <w:r w:rsidRPr="00D06FCF">
        <w:rPr>
          <w:i/>
        </w:rPr>
        <w:t>Alemania sigue siendo, sin duda, una potencia económica y exportadora, pero las crecientes desigualdades amenazan con acabar con lo que queda de la celebrada economía social de mercado, modelo nacido tras la Segunda Guerra Mundial y corresponsable del conocido como milagro económico germano de posguerra. Según el director del DIW, si Alemania no corrige su rumbo, la ya enorme brecha existente entre la parte más rica de la sociedad alemana y sus clases medias y pobres podría suponer en un futuro no muy lejano serios problemas para el crecimiento y la productividad del país.</w:t>
      </w:r>
    </w:p>
    <w:p w:rsidR="00D06FCF" w:rsidRPr="00D06FCF" w:rsidRDefault="00D06FCF" w:rsidP="00D06FCF">
      <w:pPr>
        <w:pStyle w:val="NormalWeb"/>
        <w:shd w:val="clear" w:color="auto" w:fill="FFFFFF"/>
        <w:spacing w:after="300"/>
        <w:jc w:val="both"/>
        <w:textAlignment w:val="baseline"/>
        <w:rPr>
          <w:i/>
        </w:rPr>
      </w:pPr>
      <w:r w:rsidRPr="00D06FCF">
        <w:rPr>
          <w:i/>
        </w:rPr>
        <w:t>Uno de los últimos informes sobre desigualdad de la Organización para la Cooperación y el Desarrollo Económicos (OCDE) acaba con las posibles sospechas de que un marcado posicionamiento ideológico izquierdista se esconde tras la tesis del libro de Fratzscher: según el informe, Alemania se encuentra en efecto en el grupo de estados miembro de la OCDE con una mayor concentración de la riqueza: el 10% más rico de la población posee el 60% del patrimonio privado del país, mientras que el 40% más pobre prácticamente no tiene nada. Cifras que colocan a Alemania más cerca del modelo económico estadounidense que del escandinavo, pese a la situación geográfica del país.</w:t>
      </w:r>
    </w:p>
    <w:p w:rsidR="00D06FCF" w:rsidRPr="00D06FCF" w:rsidRDefault="00D06FCF" w:rsidP="00D06FCF">
      <w:pPr>
        <w:pStyle w:val="NormalWeb"/>
        <w:shd w:val="clear" w:color="auto" w:fill="FFFFFF"/>
        <w:spacing w:after="300"/>
        <w:jc w:val="both"/>
        <w:textAlignment w:val="baseline"/>
        <w:rPr>
          <w:i/>
        </w:rPr>
      </w:pPr>
      <w:r w:rsidRPr="00D06FCF">
        <w:rPr>
          <w:i/>
        </w:rPr>
        <w:t>La OCDE viene advirtiendo desde hace tiempo de que la creciente desigualdad está teniendo un caro precio para el mundo industrializado: según los autores del mencionado informe, la desigualdad, en constante aumento desde 1985, ha provocado que 19 países de la OCDE dejasen de crecer casi un 5% entre 1990 y 2010. Como apunta el propio Marcel Fratzscher, al igual que ocurre con un excesivo igualitarismo, una excesiva desigualdad también tiene un impacto negativo en el crecimiento y en la productividad de las economías. Alemania tampoco escapa a esa espiral…</w:t>
      </w:r>
    </w:p>
    <w:p w:rsidR="00D06FCF" w:rsidRDefault="00D06FCF" w:rsidP="00D06FCF">
      <w:pPr>
        <w:pStyle w:val="NormalWeb"/>
        <w:shd w:val="clear" w:color="auto" w:fill="FFFFFF"/>
        <w:spacing w:after="300"/>
        <w:jc w:val="both"/>
        <w:textAlignment w:val="baseline"/>
      </w:pPr>
      <w:r w:rsidRPr="00D06FCF">
        <w:rPr>
          <w:i/>
        </w:rPr>
        <w:t xml:space="preserve">Como apuntan estadísticas recientes de la Oficina Federal de Empleo, oficialmente más de tres millones y medio de personas cuenta con un subempleo, un “minijob” o cualquier otro trabajo de pocas horas a la semana y, por tanto, poco o insuficientemente remunerado. Es lo que economistas alemanes califican de “ocupación atípica”; un eufemismo que parece querer evitar el concepto de “trabajo precario”. Fratzscher va incluso más allá y apunta que más de un tercio de todos los trabajos en Alemania son temporales o parciales, de forma que las cifras de ocupación atípica en la locomotora económica europea superan la media de los países </w:t>
      </w:r>
      <w:r w:rsidRPr="00D06FCF">
        <w:rPr>
          <w:i/>
        </w:rPr>
        <w:lastRenderedPageBreak/>
        <w:t>industrializados</w:t>
      </w:r>
      <w:r>
        <w:rPr>
          <w:i/>
        </w:rPr>
        <w:t>”..</w:t>
      </w:r>
      <w:r w:rsidRPr="00D06FCF">
        <w:rPr>
          <w:i/>
        </w:rPr>
        <w:t>.</w:t>
      </w:r>
      <w:r>
        <w:rPr>
          <w:u w:val="single"/>
        </w:rPr>
        <w:t>El “milagro alemán”</w:t>
      </w:r>
      <w:r w:rsidRPr="004A1A8C">
        <w:rPr>
          <w:u w:val="single"/>
        </w:rPr>
        <w:t xml:space="preserve"> pierde fuelle: la desigualdad se dispara en el país</w:t>
      </w:r>
      <w:r>
        <w:t xml:space="preserve">(El Confidencial - </w:t>
      </w:r>
      <w:r w:rsidRPr="004A1A8C">
        <w:rPr>
          <w:b/>
        </w:rPr>
        <w:t>30/5/16</w:t>
      </w:r>
      <w:r>
        <w:t>)</w:t>
      </w:r>
    </w:p>
    <w:p w:rsidR="0046536B" w:rsidRPr="0046536B" w:rsidRDefault="0046536B" w:rsidP="0046536B">
      <w:pPr>
        <w:pStyle w:val="NormalWeb"/>
        <w:shd w:val="clear" w:color="auto" w:fill="FFFFFF"/>
        <w:spacing w:before="0" w:beforeAutospacing="0" w:after="0" w:afterAutospacing="0"/>
        <w:jc w:val="both"/>
        <w:textAlignment w:val="baseline"/>
        <w:rPr>
          <w:i/>
          <w:color w:val="1A1A1A"/>
        </w:rPr>
      </w:pPr>
      <w:r>
        <w:rPr>
          <w:i/>
          <w:color w:val="1A1A1A"/>
        </w:rPr>
        <w:t>“</w:t>
      </w:r>
      <w:r w:rsidRPr="0046536B">
        <w:rPr>
          <w:i/>
          <w:color w:val="1A1A1A"/>
        </w:rPr>
        <w:t>Según los datos de Eurostat, el salario medio por hora trabajada en la UE de los Veintiocho se estimó en 25,03 euros en 2015, y en 29,50 euros en la zona euro (incluyendo cotizaciones). Sin embargo, este promedio oculta diferencias significativas entre los Estados miembros de la UE, con</w:t>
      </w:r>
      <w:r w:rsidRPr="0046536B">
        <w:rPr>
          <w:rStyle w:val="apple-converted-space"/>
          <w:rFonts w:eastAsiaTheme="majorEastAsia"/>
          <w:i/>
          <w:color w:val="1A1A1A"/>
        </w:rPr>
        <w:t> </w:t>
      </w:r>
      <w:r w:rsidRPr="0046536B">
        <w:rPr>
          <w:bCs/>
          <w:i/>
          <w:color w:val="1A1A1A"/>
          <w:bdr w:val="none" w:sz="0" w:space="0" w:color="auto" w:frame="1"/>
        </w:rPr>
        <w:t>costes laborales</w:t>
      </w:r>
      <w:r w:rsidRPr="0046536B">
        <w:rPr>
          <w:rStyle w:val="apple-converted-space"/>
          <w:rFonts w:eastAsiaTheme="majorEastAsia"/>
          <w:i/>
          <w:color w:val="1A1A1A"/>
        </w:rPr>
        <w:t> </w:t>
      </w:r>
      <w:r w:rsidRPr="0046536B">
        <w:rPr>
          <w:i/>
          <w:color w:val="1A1A1A"/>
        </w:rPr>
        <w:t>por hora que oscilan entre los 1,4 euros de</w:t>
      </w:r>
      <w:r w:rsidRPr="0046536B">
        <w:rPr>
          <w:rStyle w:val="apple-converted-space"/>
          <w:rFonts w:eastAsiaTheme="majorEastAsia"/>
          <w:i/>
          <w:color w:val="1A1A1A"/>
        </w:rPr>
        <w:t> </w:t>
      </w:r>
      <w:r w:rsidRPr="0046536B">
        <w:rPr>
          <w:bCs/>
          <w:i/>
          <w:color w:val="1A1A1A"/>
          <w:bdr w:val="none" w:sz="0" w:space="0" w:color="auto" w:frame="1"/>
        </w:rPr>
        <w:t>Lituania</w:t>
      </w:r>
      <w:r w:rsidRPr="0046536B">
        <w:rPr>
          <w:rStyle w:val="apple-converted-space"/>
          <w:rFonts w:eastAsiaTheme="majorEastAsia"/>
          <w:i/>
          <w:color w:val="1A1A1A"/>
        </w:rPr>
        <w:t> </w:t>
      </w:r>
      <w:r w:rsidRPr="0046536B">
        <w:rPr>
          <w:i/>
          <w:color w:val="1A1A1A"/>
        </w:rPr>
        <w:t>(el país con sueldos más bajos) a los 35,6 euros de</w:t>
      </w:r>
      <w:r w:rsidRPr="0046536B">
        <w:rPr>
          <w:rStyle w:val="apple-converted-space"/>
          <w:rFonts w:eastAsiaTheme="majorEastAsia"/>
          <w:i/>
          <w:color w:val="1A1A1A"/>
        </w:rPr>
        <w:t> </w:t>
      </w:r>
      <w:r w:rsidRPr="0046536B">
        <w:rPr>
          <w:bCs/>
          <w:i/>
          <w:color w:val="1A1A1A"/>
          <w:bdr w:val="none" w:sz="0" w:space="0" w:color="auto" w:frame="1"/>
        </w:rPr>
        <w:t>Dinamarca</w:t>
      </w:r>
      <w:r w:rsidRPr="0046536B">
        <w:rPr>
          <w:i/>
          <w:color w:val="1A1A1A"/>
        </w:rPr>
        <w:t>, el país de la UE que paga más alto a sus trabajadores.</w:t>
      </w:r>
    </w:p>
    <w:p w:rsidR="0046536B" w:rsidRPr="0046536B" w:rsidRDefault="0046536B" w:rsidP="0046536B">
      <w:pPr>
        <w:pStyle w:val="NormalWeb"/>
        <w:shd w:val="clear" w:color="auto" w:fill="FFFFFF"/>
        <w:spacing w:before="0" w:beforeAutospacing="0" w:after="0" w:afterAutospacing="0"/>
        <w:jc w:val="both"/>
        <w:textAlignment w:val="baseline"/>
        <w:rPr>
          <w:i/>
          <w:color w:val="1A1A1A"/>
        </w:rPr>
      </w:pPr>
    </w:p>
    <w:p w:rsidR="0046536B" w:rsidRPr="0046536B" w:rsidRDefault="0046536B" w:rsidP="0046536B">
      <w:pPr>
        <w:pStyle w:val="NormalWeb"/>
        <w:shd w:val="clear" w:color="auto" w:fill="FFFFFF"/>
        <w:spacing w:before="0" w:beforeAutospacing="0" w:after="0" w:afterAutospacing="0"/>
        <w:jc w:val="both"/>
        <w:textAlignment w:val="baseline"/>
        <w:rPr>
          <w:i/>
          <w:color w:val="1A1A1A"/>
        </w:rPr>
      </w:pPr>
      <w:r w:rsidRPr="0046536B">
        <w:rPr>
          <w:i/>
          <w:color w:val="1A1A1A"/>
        </w:rPr>
        <w:t>Si se incluyen todos los costes salariales, en particular las cuotas sociales, el país más caro (sin tener en cuenta los avances en</w:t>
      </w:r>
      <w:r w:rsidRPr="0046536B">
        <w:rPr>
          <w:rStyle w:val="apple-converted-space"/>
          <w:rFonts w:eastAsiaTheme="majorEastAsia"/>
          <w:i/>
          <w:color w:val="1A1A1A"/>
        </w:rPr>
        <w:t> </w:t>
      </w:r>
      <w:r w:rsidRPr="0046536B">
        <w:rPr>
          <w:bCs/>
          <w:i/>
          <w:color w:val="1A1A1A"/>
          <w:bdr w:val="none" w:sz="0" w:space="0" w:color="auto" w:frame="1"/>
        </w:rPr>
        <w:t>productividad</w:t>
      </w:r>
      <w:r w:rsidRPr="0046536B">
        <w:rPr>
          <w:i/>
          <w:color w:val="1A1A1A"/>
        </w:rPr>
        <w:t xml:space="preserve">) sigue siendo Dinamarca (41,3 euros a la hora), mientras que el más barato es </w:t>
      </w:r>
      <w:r w:rsidRPr="0046536B">
        <w:rPr>
          <w:bCs/>
          <w:i/>
          <w:color w:val="1A1A1A"/>
          <w:bdr w:val="none" w:sz="0" w:space="0" w:color="auto" w:frame="1"/>
        </w:rPr>
        <w:t>Bulgaria</w:t>
      </w:r>
      <w:r w:rsidRPr="0046536B">
        <w:rPr>
          <w:i/>
          <w:color w:val="1A1A1A"/>
        </w:rPr>
        <w:t>, apenas 4,1 euros por cada 60 minutos de trabajo.</w:t>
      </w:r>
    </w:p>
    <w:p w:rsidR="0046536B" w:rsidRPr="009326EB" w:rsidRDefault="0046536B" w:rsidP="0046536B">
      <w:pPr>
        <w:pStyle w:val="NormalWeb"/>
        <w:shd w:val="clear" w:color="auto" w:fill="FFFFFF"/>
        <w:spacing w:before="0" w:beforeAutospacing="0" w:after="0" w:afterAutospacing="0"/>
        <w:jc w:val="both"/>
        <w:textAlignment w:val="baseline"/>
        <w:rPr>
          <w:color w:val="1A1A1A"/>
          <w:u w:val="single"/>
        </w:rPr>
      </w:pPr>
    </w:p>
    <w:p w:rsidR="0046536B" w:rsidRPr="00252BE7" w:rsidRDefault="0046536B" w:rsidP="0046536B">
      <w:pPr>
        <w:shd w:val="clear" w:color="auto" w:fill="FFFFFF"/>
        <w:spacing w:line="240" w:lineRule="auto"/>
        <w:jc w:val="both"/>
        <w:textAlignment w:val="baseline"/>
        <w:rPr>
          <w:rFonts w:ascii="Times New Roman" w:hAnsi="Times New Roman"/>
          <w:color w:val="1A1A1A"/>
          <w:sz w:val="24"/>
          <w:szCs w:val="24"/>
        </w:rPr>
      </w:pPr>
      <w:r w:rsidRPr="00252BE7">
        <w:rPr>
          <w:rFonts w:ascii="Times New Roman" w:hAnsi="Times New Roman"/>
          <w:b/>
          <w:bCs/>
          <w:noProof/>
          <w:color w:val="A49909"/>
          <w:sz w:val="24"/>
          <w:szCs w:val="24"/>
          <w:lang w:val="en-GB" w:eastAsia="en-GB"/>
        </w:rPr>
        <w:drawing>
          <wp:inline distT="0" distB="0" distL="0" distR="0">
            <wp:extent cx="5403850" cy="3155950"/>
            <wp:effectExtent l="0" t="0" r="6350" b="6350"/>
            <wp:docPr id="274" name="Imagen 274" descr=" Pinche para ampliar el gráfico.">
              <a:hlinkClick xmlns:a="http://schemas.openxmlformats.org/drawingml/2006/main" r:id="rId1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Pinche para ampliar el gráfico.">
                      <a:hlinkClick r:id="rId138" tgtFrame="&quot;_blank&quot;"/>
                    </pic:cNvPr>
                    <pic:cNvPicPr>
                      <a:picLocks noChangeAspect="1" noChangeArrowheads="1"/>
                    </pic:cNvPicPr>
                  </pic:nvPicPr>
                  <pic:blipFill>
                    <a:blip r:embed="rId1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3850" cy="3155950"/>
                    </a:xfrm>
                    <a:prstGeom prst="rect">
                      <a:avLst/>
                    </a:prstGeom>
                    <a:noFill/>
                    <a:ln>
                      <a:noFill/>
                    </a:ln>
                  </pic:spPr>
                </pic:pic>
              </a:graphicData>
            </a:graphic>
          </wp:inline>
        </w:drawing>
      </w:r>
    </w:p>
    <w:p w:rsidR="0046536B" w:rsidRPr="00941D19" w:rsidRDefault="0046536B" w:rsidP="0046536B">
      <w:pPr>
        <w:pStyle w:val="Ttulo2"/>
        <w:shd w:val="clear" w:color="auto" w:fill="FFFFFF"/>
        <w:spacing w:before="0" w:line="240" w:lineRule="auto"/>
        <w:jc w:val="both"/>
        <w:textAlignment w:val="baseline"/>
        <w:rPr>
          <w:rFonts w:ascii="Times New Roman" w:hAnsi="Times New Roman" w:cs="Times New Roman"/>
          <w:b w:val="0"/>
          <w:color w:val="1A1A1A"/>
          <w:sz w:val="24"/>
          <w:szCs w:val="24"/>
        </w:rPr>
      </w:pPr>
    </w:p>
    <w:p w:rsidR="0046536B" w:rsidRPr="0046536B" w:rsidRDefault="0046536B" w:rsidP="0046536B">
      <w:pPr>
        <w:pStyle w:val="NormalWeb"/>
        <w:shd w:val="clear" w:color="auto" w:fill="FFFFFF"/>
        <w:spacing w:before="0" w:beforeAutospacing="0" w:after="0" w:afterAutospacing="0"/>
        <w:jc w:val="both"/>
        <w:textAlignment w:val="baseline"/>
        <w:rPr>
          <w:i/>
          <w:color w:val="1A1A1A"/>
        </w:rPr>
      </w:pPr>
      <w:r w:rsidRPr="0046536B">
        <w:rPr>
          <w:i/>
          <w:color w:val="1A1A1A"/>
        </w:rPr>
        <w:t>Los costes no salariales, en todo caso, siguen siendo muy determinantes en la</w:t>
      </w:r>
      <w:r w:rsidRPr="0046536B">
        <w:rPr>
          <w:rStyle w:val="apple-converted-space"/>
          <w:rFonts w:eastAsiaTheme="majorEastAsia"/>
          <w:i/>
          <w:color w:val="1A1A1A"/>
        </w:rPr>
        <w:t> </w:t>
      </w:r>
      <w:r w:rsidRPr="0046536B">
        <w:rPr>
          <w:bCs/>
          <w:i/>
          <w:color w:val="1A1A1A"/>
          <w:bdr w:val="none" w:sz="0" w:space="0" w:color="auto" w:frame="1"/>
        </w:rPr>
        <w:t>competitividad</w:t>
      </w:r>
      <w:r w:rsidRPr="0046536B">
        <w:rPr>
          <w:rStyle w:val="apple-converted-space"/>
          <w:rFonts w:eastAsiaTheme="majorEastAsia"/>
          <w:i/>
          <w:color w:val="1A1A1A"/>
          <w:bdr w:val="none" w:sz="0" w:space="0" w:color="auto" w:frame="1"/>
        </w:rPr>
        <w:t> </w:t>
      </w:r>
      <w:r w:rsidRPr="0046536B">
        <w:rPr>
          <w:i/>
          <w:color w:val="1A1A1A"/>
        </w:rPr>
        <w:t>de las empresas. La mayor proporción para el conjunto de la economía estaba en Francia en 2015 (un 33,2%), Suecia (32,1%), Italia (27,9%), Bélgica, Lituania (ambos 27,8%) y la República Checa (27,1%). Los porcentajes más bajos de los costes no salariales para toda la economía se registraron en Malta (6,6%), Luxemburgo (13,5%), Irlanda (13,7%), Dinamarca (13,9%) y Croacia (14,9%).</w:t>
      </w:r>
    </w:p>
    <w:p w:rsidR="0046536B" w:rsidRPr="0046536B" w:rsidRDefault="0046536B" w:rsidP="0046536B">
      <w:pPr>
        <w:pStyle w:val="NormalWeb"/>
        <w:shd w:val="clear" w:color="auto" w:fill="FFFFFF"/>
        <w:spacing w:before="0" w:beforeAutospacing="0" w:after="0" w:afterAutospacing="0"/>
        <w:jc w:val="both"/>
        <w:textAlignment w:val="baseline"/>
        <w:rPr>
          <w:i/>
          <w:color w:val="1A1A1A"/>
        </w:rPr>
      </w:pPr>
    </w:p>
    <w:p w:rsidR="0046536B" w:rsidRPr="0046536B" w:rsidRDefault="0046536B" w:rsidP="0046536B">
      <w:pPr>
        <w:pStyle w:val="NormalWeb"/>
        <w:shd w:val="clear" w:color="auto" w:fill="FFFFFF"/>
        <w:spacing w:before="0" w:beforeAutospacing="0" w:after="0" w:afterAutospacing="0"/>
        <w:jc w:val="both"/>
        <w:textAlignment w:val="baseline"/>
        <w:rPr>
          <w:i/>
          <w:color w:val="1A1A1A"/>
        </w:rPr>
      </w:pPr>
      <w:r w:rsidRPr="0046536B">
        <w:rPr>
          <w:i/>
          <w:color w:val="1A1A1A"/>
        </w:rPr>
        <w:t>Eurostat, igualmente, recoge información sobre la llamada</w:t>
      </w:r>
      <w:r w:rsidRPr="0046536B">
        <w:rPr>
          <w:rStyle w:val="apple-converted-space"/>
          <w:rFonts w:eastAsiaTheme="majorEastAsia"/>
          <w:i/>
          <w:color w:val="1A1A1A"/>
        </w:rPr>
        <w:t> </w:t>
      </w:r>
      <w:r w:rsidRPr="0046536B">
        <w:rPr>
          <w:bCs/>
          <w:i/>
          <w:color w:val="1A1A1A"/>
          <w:bdr w:val="none" w:sz="0" w:space="0" w:color="auto" w:frame="1"/>
        </w:rPr>
        <w:t>cuña fiscal</w:t>
      </w:r>
      <w:r w:rsidRPr="0046536B">
        <w:rPr>
          <w:i/>
          <w:color w:val="1A1A1A"/>
        </w:rPr>
        <w:t>, que mide la carga de las contribuciones fiscales y de seguridad social en relación con los costes laborales. La cuña fiscal de la Unión Europea fue del 34,9% en 2014. Las cargas fiscales más elevadas respecto de los salarios más bajos se registraron en Bélgica, Hungría, Alemania, Francia, Austria, Italia, Letonia, Rumania y Suecia (todos por encima del 40%). Por el contrario, las cargas tributarias más reducidas se registraron en Malta, Irlanda y el Reino Unido (por debajo del 30%).</w:t>
      </w:r>
    </w:p>
    <w:p w:rsidR="0046536B" w:rsidRPr="00252BE7" w:rsidRDefault="0046536B" w:rsidP="0046536B">
      <w:pPr>
        <w:shd w:val="clear" w:color="auto" w:fill="FFFFFF"/>
        <w:spacing w:line="240" w:lineRule="auto"/>
        <w:jc w:val="both"/>
        <w:textAlignment w:val="baseline"/>
        <w:rPr>
          <w:rFonts w:ascii="Times New Roman" w:hAnsi="Times New Roman"/>
          <w:color w:val="1A1A1A"/>
          <w:sz w:val="24"/>
          <w:szCs w:val="24"/>
        </w:rPr>
      </w:pPr>
      <w:r w:rsidRPr="00252BE7">
        <w:rPr>
          <w:rFonts w:ascii="Times New Roman" w:hAnsi="Times New Roman"/>
          <w:b/>
          <w:bCs/>
          <w:noProof/>
          <w:color w:val="A49909"/>
          <w:sz w:val="24"/>
          <w:szCs w:val="24"/>
          <w:lang w:val="en-GB" w:eastAsia="en-GB"/>
        </w:rPr>
        <w:lastRenderedPageBreak/>
        <w:drawing>
          <wp:inline distT="0" distB="0" distL="0" distR="0">
            <wp:extent cx="5499100" cy="4464050"/>
            <wp:effectExtent l="0" t="0" r="6350" b="0"/>
            <wp:docPr id="275" name="Imagen 275" descr="Pinche para ampliar el gráfico.">
              <a:hlinkClick xmlns:a="http://schemas.openxmlformats.org/drawingml/2006/main" r:id="rId1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nche para ampliar el gráfico.">
                      <a:hlinkClick r:id="rId140" tgtFrame="&quot;_blank&quot;"/>
                    </pic:cNvPr>
                    <pic:cNvPicPr>
                      <a:picLocks noChangeAspect="1" noChangeArrowheads="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9100" cy="4464050"/>
                    </a:xfrm>
                    <a:prstGeom prst="rect">
                      <a:avLst/>
                    </a:prstGeom>
                    <a:noFill/>
                    <a:ln>
                      <a:noFill/>
                    </a:ln>
                  </pic:spPr>
                </pic:pic>
              </a:graphicData>
            </a:graphic>
          </wp:inline>
        </w:drawing>
      </w:r>
    </w:p>
    <w:p w:rsidR="0046536B" w:rsidRPr="0046536B" w:rsidRDefault="0046536B" w:rsidP="0046536B">
      <w:pPr>
        <w:pStyle w:val="NormalWeb"/>
        <w:shd w:val="clear" w:color="auto" w:fill="FFFFFF"/>
        <w:spacing w:before="0" w:beforeAutospacing="0" w:after="0" w:afterAutospacing="0"/>
        <w:jc w:val="both"/>
        <w:textAlignment w:val="baseline"/>
        <w:rPr>
          <w:i/>
        </w:rPr>
      </w:pPr>
      <w:r w:rsidRPr="0046536B">
        <w:rPr>
          <w:i/>
        </w:rPr>
        <w:t>Eurostat destina uno de sus apartados a los</w:t>
      </w:r>
      <w:r w:rsidRPr="0046536B">
        <w:rPr>
          <w:rStyle w:val="apple-converted-space"/>
          <w:rFonts w:eastAsiaTheme="majorEastAsia"/>
          <w:i/>
        </w:rPr>
        <w:t> </w:t>
      </w:r>
      <w:r w:rsidRPr="0046536B">
        <w:rPr>
          <w:bCs/>
          <w:i/>
          <w:bdr w:val="none" w:sz="0" w:space="0" w:color="auto" w:frame="1"/>
        </w:rPr>
        <w:t>trabajadores de bajos salarios</w:t>
      </w:r>
      <w:r w:rsidRPr="0046536B">
        <w:rPr>
          <w:i/>
        </w:rPr>
        <w:t>, una realidad cada vez más frecuente tras la crisis. Las personas de bajos salarios se definen como aquellos empleados que ganan dos tercios o menos de los ingresos brutos por hora media nacional en un país determinado.</w:t>
      </w:r>
    </w:p>
    <w:p w:rsidR="0046536B" w:rsidRPr="0046536B" w:rsidRDefault="0046536B" w:rsidP="0046536B">
      <w:pPr>
        <w:pStyle w:val="NormalWeb"/>
        <w:shd w:val="clear" w:color="auto" w:fill="FFFFFF"/>
        <w:spacing w:before="0" w:beforeAutospacing="0" w:after="0" w:afterAutospacing="0"/>
        <w:jc w:val="both"/>
        <w:textAlignment w:val="baseline"/>
        <w:rPr>
          <w:i/>
        </w:rPr>
      </w:pPr>
    </w:p>
    <w:p w:rsidR="0046536B" w:rsidRPr="0046536B" w:rsidRDefault="0046536B" w:rsidP="0046536B">
      <w:pPr>
        <w:pStyle w:val="NormalWeb"/>
        <w:shd w:val="clear" w:color="auto" w:fill="FFFFFF"/>
        <w:spacing w:before="0" w:beforeAutospacing="0" w:after="0" w:afterAutospacing="0"/>
        <w:jc w:val="both"/>
        <w:textAlignment w:val="baseline"/>
        <w:rPr>
          <w:i/>
        </w:rPr>
      </w:pPr>
      <w:r w:rsidRPr="0046536B">
        <w:rPr>
          <w:i/>
        </w:rPr>
        <w:t>Pues bien, según la agencia estadística, en 2010 el 16,9% de los empleados eran trabajadores de salarios bajos en la UE a Veintisiete, mientras que la proporción era del 14,7% en la zona euro. Los Estados miembros con mayores proporciones de trabajadores con salarios bajos fueron Letonia (27,8%) y Lituania (27,2%), mientras que Suecia (2,5%), Finlandia (5,9%), Francia (6,1%), Bélgica (6,4%) y Dinamarca (7,7%) tuvieron los porcentajes más bajos.</w:t>
      </w:r>
    </w:p>
    <w:p w:rsidR="0046536B" w:rsidRPr="0046536B" w:rsidRDefault="0046536B" w:rsidP="0046536B">
      <w:pPr>
        <w:pStyle w:val="NormalWeb"/>
        <w:shd w:val="clear" w:color="auto" w:fill="FFFFFF"/>
        <w:spacing w:before="0" w:beforeAutospacing="0" w:after="0" w:afterAutospacing="0"/>
        <w:jc w:val="both"/>
        <w:textAlignment w:val="baseline"/>
        <w:rPr>
          <w:i/>
        </w:rPr>
      </w:pPr>
    </w:p>
    <w:p w:rsidR="0046536B" w:rsidRPr="0046536B" w:rsidRDefault="0046536B" w:rsidP="0046536B">
      <w:pPr>
        <w:pStyle w:val="NormalWeb"/>
        <w:shd w:val="clear" w:color="auto" w:fill="FFFFFF"/>
        <w:spacing w:before="0" w:beforeAutospacing="0" w:after="0" w:afterAutospacing="0"/>
        <w:jc w:val="both"/>
        <w:textAlignment w:val="baseline"/>
        <w:rPr>
          <w:i/>
        </w:rPr>
      </w:pPr>
      <w:r w:rsidRPr="0046536B">
        <w:rPr>
          <w:i/>
        </w:rPr>
        <w:t>Entre 2006 y 2010, la proporción de trabajadores con</w:t>
      </w:r>
      <w:r w:rsidRPr="0046536B">
        <w:rPr>
          <w:rStyle w:val="apple-converted-space"/>
          <w:rFonts w:eastAsiaTheme="majorEastAsia"/>
          <w:i/>
        </w:rPr>
        <w:t> </w:t>
      </w:r>
      <w:r w:rsidRPr="0046536B">
        <w:rPr>
          <w:bCs/>
          <w:i/>
          <w:bdr w:val="none" w:sz="0" w:space="0" w:color="auto" w:frame="1"/>
        </w:rPr>
        <w:t>salarios bajos</w:t>
      </w:r>
      <w:r w:rsidRPr="0046536B">
        <w:rPr>
          <w:rStyle w:val="apple-converted-space"/>
          <w:rFonts w:eastAsiaTheme="majorEastAsia"/>
          <w:i/>
        </w:rPr>
        <w:t> </w:t>
      </w:r>
      <w:r w:rsidRPr="0046536B">
        <w:rPr>
          <w:i/>
        </w:rPr>
        <w:t>se incrementó en mayor medida en Malta (3,9 puntos porcentuales) y Bulgaria (3,1 puntos porcentuales), mientras que los mayores descensos se registraron en Portugal (-4,6 puntos), Letonia (-3,1), Grecia (-2,9) y Hungría y Eslovenia (-2,1 puntos).</w:t>
      </w:r>
    </w:p>
    <w:p w:rsidR="0046536B" w:rsidRPr="0046536B" w:rsidRDefault="0046536B" w:rsidP="0046536B">
      <w:pPr>
        <w:pStyle w:val="NormalWeb"/>
        <w:shd w:val="clear" w:color="auto" w:fill="FFFFFF"/>
        <w:spacing w:before="0" w:beforeAutospacing="0" w:after="0" w:afterAutospacing="0"/>
        <w:jc w:val="both"/>
        <w:textAlignment w:val="baseline"/>
        <w:rPr>
          <w:i/>
        </w:rPr>
      </w:pPr>
    </w:p>
    <w:p w:rsidR="0046536B" w:rsidRDefault="0046536B" w:rsidP="0046536B">
      <w:pPr>
        <w:shd w:val="clear" w:color="auto" w:fill="FFFFFF"/>
        <w:spacing w:after="270" w:line="240" w:lineRule="auto"/>
        <w:jc w:val="both"/>
        <w:textAlignment w:val="baseline"/>
        <w:rPr>
          <w:rFonts w:ascii="Times New Roman" w:eastAsia="Times New Roman" w:hAnsi="Times New Roman"/>
          <w:sz w:val="24"/>
          <w:szCs w:val="24"/>
        </w:rPr>
      </w:pPr>
      <w:r w:rsidRPr="0046536B">
        <w:rPr>
          <w:rFonts w:ascii="Times New Roman" w:eastAsia="Times New Roman" w:hAnsi="Times New Roman"/>
          <w:i/>
          <w:sz w:val="24"/>
          <w:szCs w:val="24"/>
        </w:rPr>
        <w:t xml:space="preserve">De acuerdo con el estudio de McKinsey “Education to Employment”, en todo el mundo la gente joven tiene tres veces más posibilidades que sus padres de estar en el paro… </w:t>
      </w:r>
      <w:r w:rsidRPr="00252BE7">
        <w:rPr>
          <w:rFonts w:ascii="Times New Roman" w:eastAsia="Times New Roman" w:hAnsi="Times New Roman"/>
          <w:sz w:val="24"/>
          <w:szCs w:val="24"/>
          <w:u w:val="single"/>
        </w:rPr>
        <w:t>Los salarios españoles se alejan de Europa: ya son un 39% más bajos</w:t>
      </w:r>
      <w:r w:rsidRPr="00252BE7">
        <w:rPr>
          <w:rFonts w:ascii="Times New Roman" w:eastAsia="Times New Roman" w:hAnsi="Times New Roman"/>
          <w:sz w:val="24"/>
          <w:szCs w:val="24"/>
        </w:rPr>
        <w:t xml:space="preserve"> (El Confidencial - </w:t>
      </w:r>
      <w:r w:rsidRPr="00252BE7">
        <w:rPr>
          <w:rFonts w:ascii="Times New Roman" w:eastAsia="Times New Roman" w:hAnsi="Times New Roman"/>
          <w:b/>
          <w:sz w:val="24"/>
          <w:szCs w:val="24"/>
        </w:rPr>
        <w:t>7/6/16</w:t>
      </w:r>
      <w:r w:rsidRPr="00252BE7">
        <w:rPr>
          <w:rFonts w:ascii="Times New Roman" w:eastAsia="Times New Roman" w:hAnsi="Times New Roman"/>
          <w:sz w:val="24"/>
          <w:szCs w:val="24"/>
        </w:rPr>
        <w:t>)</w:t>
      </w:r>
    </w:p>
    <w:p w:rsidR="0046536B" w:rsidRDefault="0046536B" w:rsidP="0046536B">
      <w:pPr>
        <w:shd w:val="clear" w:color="auto" w:fill="FFFFFF"/>
        <w:spacing w:after="270" w:line="240" w:lineRule="auto"/>
        <w:jc w:val="both"/>
        <w:textAlignment w:val="baseline"/>
        <w:rPr>
          <w:rFonts w:ascii="Times New Roman" w:eastAsia="Times New Roman" w:hAnsi="Times New Roman"/>
          <w:sz w:val="24"/>
          <w:szCs w:val="24"/>
        </w:rPr>
      </w:pPr>
    </w:p>
    <w:p w:rsidR="0046536B" w:rsidRDefault="0046536B" w:rsidP="0046536B">
      <w:pPr>
        <w:pStyle w:val="NormalWeb"/>
        <w:spacing w:after="0"/>
        <w:jc w:val="both"/>
        <w:textAlignment w:val="baseline"/>
      </w:pPr>
      <w:r>
        <w:lastRenderedPageBreak/>
        <w:t xml:space="preserve">- </w:t>
      </w:r>
      <w:r>
        <w:rPr>
          <w:u w:val="single"/>
        </w:rPr>
        <w:t>El “</w:t>
      </w:r>
      <w:r w:rsidRPr="003A3399">
        <w:rPr>
          <w:u w:val="single"/>
        </w:rPr>
        <w:t>elefante de l</w:t>
      </w:r>
      <w:r>
        <w:rPr>
          <w:u w:val="single"/>
        </w:rPr>
        <w:t>os ingresos”</w:t>
      </w:r>
      <w:r w:rsidRPr="003A3399">
        <w:rPr>
          <w:u w:val="single"/>
        </w:rPr>
        <w:t>: ganan pobres y ricos y pierde la clase media</w:t>
      </w:r>
      <w:r>
        <w:t xml:space="preserve"> (El Economista - </w:t>
      </w:r>
      <w:r w:rsidRPr="003A3399">
        <w:rPr>
          <w:b/>
        </w:rPr>
        <w:t>29/6/16</w:t>
      </w:r>
      <w:r>
        <w:t>)                                                                       Lectura recomendada</w:t>
      </w:r>
    </w:p>
    <w:p w:rsidR="0046536B" w:rsidRDefault="0046536B" w:rsidP="0046536B">
      <w:pPr>
        <w:pStyle w:val="NormalWeb"/>
        <w:spacing w:after="0"/>
        <w:jc w:val="both"/>
        <w:textAlignment w:val="baseline"/>
      </w:pPr>
      <w:r>
        <w:t xml:space="preserve">(Por Vicente Nieves) </w:t>
      </w:r>
    </w:p>
    <w:p w:rsidR="0046536B" w:rsidRPr="009C248B" w:rsidRDefault="0046536B" w:rsidP="0046536B">
      <w:pPr>
        <w:pStyle w:val="selectionshareable"/>
        <w:shd w:val="clear" w:color="auto" w:fill="FFFFFF"/>
        <w:spacing w:before="0" w:beforeAutospacing="0" w:after="300" w:afterAutospacing="0"/>
        <w:jc w:val="both"/>
        <w:textAlignment w:val="baseline"/>
        <w:rPr>
          <w:color w:val="000000"/>
          <w:u w:val="single"/>
        </w:rPr>
      </w:pPr>
      <w:r w:rsidRPr="009C248B">
        <w:rPr>
          <w:color w:val="000000"/>
          <w:u w:val="single"/>
        </w:rPr>
        <w:t>Cada vez son más los políticos de Occidente que culpan a la globalización y al comercio internacional de los problemas internos que sufren sus países. Varios medios y expertos estudian el efecto de la globalización en los ingresos de los ciudadanos, lo que ha devuelto el protagonismo a un documento sobre desigualdad publicado en 2013 por Branko Milanovic, profesor de Economía y experto en desigualdad. En este trabajo muestra en un solo gráfico cómo han variado los ingresos de los ciudadanos desde 1988: los pobres son menos pobres, los ricos son más ricos, mientras que sólo pierde la clase media, que se queda totalmente estancada.</w:t>
      </w:r>
    </w:p>
    <w:p w:rsidR="0046536B" w:rsidRDefault="0046536B" w:rsidP="0046536B">
      <w:pPr>
        <w:pStyle w:val="selectionshareable"/>
        <w:shd w:val="clear" w:color="auto" w:fill="FFFFFF"/>
        <w:spacing w:before="0" w:beforeAutospacing="0" w:after="0" w:afterAutospacing="0"/>
        <w:jc w:val="both"/>
        <w:textAlignment w:val="baseline"/>
        <w:rPr>
          <w:color w:val="000000"/>
          <w:u w:val="single"/>
        </w:rPr>
      </w:pPr>
      <w:r w:rsidRPr="003A3399">
        <w:rPr>
          <w:color w:val="000000"/>
        </w:rPr>
        <w:t>En</w:t>
      </w:r>
      <w:hyperlink r:id="rId142" w:history="1">
        <w:r w:rsidRPr="00546DC4">
          <w:rPr>
            <w:rStyle w:val="apple-converted-space"/>
            <w:rFonts w:eastAsiaTheme="majorEastAsia"/>
            <w:u w:val="single"/>
            <w:bdr w:val="none" w:sz="0" w:space="0" w:color="auto" w:frame="1"/>
          </w:rPr>
          <w:t> </w:t>
        </w:r>
        <w:r w:rsidRPr="00546DC4">
          <w:rPr>
            <w:rStyle w:val="Hipervnculo"/>
            <w:color w:val="auto"/>
            <w:bdr w:val="none" w:sz="0" w:space="0" w:color="auto" w:frame="1"/>
          </w:rPr>
          <w:t>este</w:t>
        </w:r>
        <w:r w:rsidRPr="00546DC4">
          <w:rPr>
            <w:rStyle w:val="apple-converted-space"/>
            <w:rFonts w:eastAsiaTheme="majorEastAsia"/>
            <w:u w:val="single"/>
            <w:bdr w:val="none" w:sz="0" w:space="0" w:color="auto" w:frame="1"/>
          </w:rPr>
          <w:t> </w:t>
        </w:r>
        <w:r w:rsidRPr="00546DC4">
          <w:rPr>
            <w:rStyle w:val="Hipervnculo"/>
            <w:color w:val="auto"/>
            <w:bdr w:val="none" w:sz="0" w:space="0" w:color="auto" w:frame="1"/>
          </w:rPr>
          <w:t>paper</w:t>
        </w:r>
        <w:r w:rsidRPr="00546DC4">
          <w:rPr>
            <w:rStyle w:val="apple-converted-space"/>
            <w:rFonts w:eastAsiaTheme="majorEastAsia"/>
            <w:i/>
            <w:iCs/>
            <w:u w:val="single"/>
            <w:bdr w:val="none" w:sz="0" w:space="0" w:color="auto" w:frame="1"/>
          </w:rPr>
          <w:t> </w:t>
        </w:r>
        <w:r w:rsidRPr="00546DC4">
          <w:rPr>
            <w:rStyle w:val="Hipervnculo"/>
            <w:color w:val="auto"/>
            <w:bdr w:val="none" w:sz="0" w:space="0" w:color="auto" w:frame="1"/>
          </w:rPr>
          <w:t>de mayo de 2013</w:t>
        </w:r>
      </w:hyperlink>
      <w:r w:rsidRPr="003A3399">
        <w:rPr>
          <w:color w:val="000000"/>
        </w:rPr>
        <w:t xml:space="preserve">, </w:t>
      </w:r>
      <w:r>
        <w:rPr>
          <w:color w:val="000000"/>
          <w:u w:val="single"/>
        </w:rPr>
        <w:t>Milanovic explicaba que “</w:t>
      </w:r>
      <w:r w:rsidRPr="009C248B">
        <w:rPr>
          <w:color w:val="000000"/>
          <w:u w:val="single"/>
        </w:rPr>
        <w:t>en este periodo se ha producido la primera caída de la desigualdad de ingresos en los ciudadanos del mundo</w:t>
      </w:r>
      <w:r>
        <w:rPr>
          <w:color w:val="000000"/>
          <w:u w:val="single"/>
        </w:rPr>
        <w:t xml:space="preserve"> desde la revolución industrial”</w:t>
      </w:r>
      <w:r w:rsidRPr="009C248B">
        <w:rPr>
          <w:color w:val="000000"/>
          <w:u w:val="single"/>
        </w:rPr>
        <w:t>. Aunque dentro de los países desarrollados se ha visto un incremento de la desigualdad de ingresos, si el análisis se hace a nivel mundial, la globalización h</w:t>
      </w:r>
      <w:r>
        <w:rPr>
          <w:color w:val="000000"/>
          <w:u w:val="single"/>
        </w:rPr>
        <w:t>a reducido la desigualdad tras “sacar”</w:t>
      </w:r>
      <w:r w:rsidRPr="009C248B">
        <w:rPr>
          <w:color w:val="000000"/>
          <w:u w:val="single"/>
        </w:rPr>
        <w:t xml:space="preserve"> a cientos de millones de personas de la pobreza. </w:t>
      </w:r>
    </w:p>
    <w:p w:rsidR="0046536B" w:rsidRPr="009C248B" w:rsidRDefault="0046536B" w:rsidP="0046536B">
      <w:pPr>
        <w:pStyle w:val="selectionshareable"/>
        <w:shd w:val="clear" w:color="auto" w:fill="FFFFFF"/>
        <w:spacing w:before="0" w:beforeAutospacing="0" w:after="0" w:afterAutospacing="0"/>
        <w:jc w:val="both"/>
        <w:textAlignment w:val="baseline"/>
        <w:rPr>
          <w:color w:val="000000"/>
          <w:u w:val="single"/>
        </w:rPr>
      </w:pPr>
    </w:p>
    <w:p w:rsidR="0046536B" w:rsidRPr="009C248B" w:rsidRDefault="0046536B" w:rsidP="0046536B">
      <w:pPr>
        <w:pStyle w:val="selectionshareable"/>
        <w:shd w:val="clear" w:color="auto" w:fill="FFFFFF"/>
        <w:spacing w:before="0" w:beforeAutospacing="0" w:after="300" w:afterAutospacing="0"/>
        <w:jc w:val="both"/>
        <w:textAlignment w:val="baseline"/>
        <w:rPr>
          <w:color w:val="FF0000"/>
          <w:u w:val="single"/>
        </w:rPr>
      </w:pPr>
      <w:r w:rsidRPr="009C248B">
        <w:rPr>
          <w:color w:val="000000"/>
          <w:u w:val="single"/>
        </w:rPr>
        <w:t xml:space="preserve">Milanovic ha elaborado un gráfico en el que muestra la evolución de los ingresos reales entre 1988 y 2008 a través de los percentiles globales de renta. Es decir, se analiza </w:t>
      </w:r>
      <w:r w:rsidR="005337CB" w:rsidRPr="009C248B">
        <w:rPr>
          <w:color w:val="000000"/>
          <w:u w:val="single"/>
        </w:rPr>
        <w:t>cómo</w:t>
      </w:r>
      <w:r w:rsidRPr="009C248B">
        <w:rPr>
          <w:color w:val="000000"/>
          <w:u w:val="single"/>
        </w:rPr>
        <w:t xml:space="preserve"> han cambiado los ingresos de la población mundial tras dividirla en una serie de cien grupos diferenciados por el puesto que ocupan en la escala de distribución de la renta mundial. De ese modo, </w:t>
      </w:r>
      <w:r w:rsidRPr="009C248B">
        <w:rPr>
          <w:color w:val="FF0000"/>
          <w:u w:val="single"/>
        </w:rPr>
        <w:t xml:space="preserve">se ve </w:t>
      </w:r>
      <w:r w:rsidR="005337CB" w:rsidRPr="009C248B">
        <w:rPr>
          <w:color w:val="FF0000"/>
          <w:u w:val="single"/>
        </w:rPr>
        <w:t>cómo</w:t>
      </w:r>
      <w:r w:rsidRPr="009C248B">
        <w:rPr>
          <w:color w:val="FF0000"/>
          <w:u w:val="single"/>
        </w:rPr>
        <w:t xml:space="preserve"> ha evolucionado la renta de los percentiles más pobres hasta los más ricos, pasando por la clase media. </w:t>
      </w:r>
    </w:p>
    <w:p w:rsidR="0046536B" w:rsidRPr="003A3399" w:rsidRDefault="0046536B" w:rsidP="0046536B">
      <w:pPr>
        <w:pStyle w:val="selectionshareable"/>
        <w:shd w:val="clear" w:color="auto" w:fill="FFFFFF"/>
        <w:spacing w:before="0" w:beforeAutospacing="0" w:after="300" w:afterAutospacing="0"/>
        <w:jc w:val="both"/>
        <w:textAlignment w:val="baseline"/>
        <w:rPr>
          <w:color w:val="000000"/>
        </w:rPr>
      </w:pPr>
      <w:r w:rsidRPr="003A3399">
        <w:rPr>
          <w:noProof/>
          <w:color w:val="000000"/>
          <w:lang w:val="en-GB" w:eastAsia="en-GB"/>
        </w:rPr>
        <w:drawing>
          <wp:inline distT="0" distB="0" distL="0" distR="0">
            <wp:extent cx="5505450" cy="2654300"/>
            <wp:effectExtent l="0" t="0" r="0" b="0"/>
            <wp:docPr id="276" name="Imagen 276" descr="http://s03.s3c.es/imag/_v0/770x398/f/b/3/grafico-elefa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770x398/f/b/3/grafico-elefante.jpg"/>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5450" cy="2654300"/>
                    </a:xfrm>
                    <a:prstGeom prst="rect">
                      <a:avLst/>
                    </a:prstGeom>
                    <a:noFill/>
                    <a:ln>
                      <a:noFill/>
                    </a:ln>
                  </pic:spPr>
                </pic:pic>
              </a:graphicData>
            </a:graphic>
          </wp:inline>
        </w:drawing>
      </w:r>
    </w:p>
    <w:p w:rsidR="0046536B" w:rsidRPr="009C248B" w:rsidRDefault="0046536B" w:rsidP="0046536B">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Esta representac</w:t>
      </w:r>
      <w:r>
        <w:rPr>
          <w:color w:val="FF0000"/>
          <w:u w:val="single"/>
        </w:rPr>
        <w:t>ión ha sido denominada como el “gráfico del elefante”</w:t>
      </w:r>
      <w:r w:rsidRPr="009C248B">
        <w:rPr>
          <w:color w:val="FF0000"/>
          <w:u w:val="single"/>
        </w:rPr>
        <w:t xml:space="preserve"> porque al unir todos los puntos de los percentiles seleccionados aparece una silueta que se parece a la de este paquidermo. Como explicaba Milanovic en su trabajo</w:t>
      </w:r>
      <w:r>
        <w:rPr>
          <w:color w:val="FF0000"/>
          <w:u w:val="single"/>
        </w:rPr>
        <w:t xml:space="preserve"> se puede ver que “</w:t>
      </w:r>
      <w:r w:rsidRPr="009C248B">
        <w:rPr>
          <w:color w:val="FF0000"/>
          <w:u w:val="single"/>
        </w:rPr>
        <w:t xml:space="preserve">dos grupos se pueden considerar como los grandes ganadores de las últimas dos décadas de globalización: primero los muy ricos, aquellos que se encuentran en la cima de la distribución de la renta global; segundo, la media clases de las economías emergentes, </w:t>
      </w:r>
      <w:r w:rsidRPr="009C248B">
        <w:rPr>
          <w:color w:val="FF0000"/>
          <w:u w:val="single"/>
        </w:rPr>
        <w:lastRenderedPageBreak/>
        <w:t>particularmente C</w:t>
      </w:r>
      <w:r>
        <w:rPr>
          <w:color w:val="FF0000"/>
          <w:u w:val="single"/>
        </w:rPr>
        <w:t>hina, India, Indonesia y Brasil”</w:t>
      </w:r>
      <w:r w:rsidRPr="009C248B">
        <w:rPr>
          <w:color w:val="FF0000"/>
          <w:u w:val="single"/>
        </w:rPr>
        <w:t>, explica este economista del Banco Mundial. </w:t>
      </w:r>
    </w:p>
    <w:p w:rsidR="0046536B" w:rsidRPr="003A3399" w:rsidRDefault="0046536B" w:rsidP="0046536B">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3A3399">
        <w:rPr>
          <w:rFonts w:ascii="Times New Roman" w:hAnsi="Times New Roman" w:cs="Times New Roman"/>
          <w:b w:val="0"/>
          <w:bCs w:val="0"/>
          <w:color w:val="000000"/>
          <w:sz w:val="24"/>
          <w:szCs w:val="24"/>
        </w:rPr>
        <w:t>Los más ricos</w:t>
      </w:r>
    </w:p>
    <w:p w:rsidR="0046536B" w:rsidRPr="009C248B" w:rsidRDefault="0046536B" w:rsidP="0046536B">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Milanovic prosigue explican</w:t>
      </w:r>
      <w:r>
        <w:rPr>
          <w:color w:val="FF0000"/>
          <w:u w:val="single"/>
        </w:rPr>
        <w:t>do los resultados del gráfico: “</w:t>
      </w:r>
      <w:r w:rsidRPr="009C248B">
        <w:rPr>
          <w:color w:val="FF0000"/>
          <w:u w:val="single"/>
        </w:rPr>
        <w:t>El 1% (percentil 100) más rico ha visto crecer sus ingresos reales en más de un 60% en las dos últimas décadas. No obstante, el mayor incremento se ha registrado entre  los percentiles 50 y 60 de la escala global de la distribución de la renta, sus ingresos reales se han incrementado casi un 80%. En estos percentiles encontramos 200 millones de chinos, 90 millones de indios y unos 30 millones de habitantes que v</w:t>
      </w:r>
      <w:r>
        <w:rPr>
          <w:color w:val="FF0000"/>
          <w:u w:val="single"/>
        </w:rPr>
        <w:t>an desde Brasil hasta Indonesia”</w:t>
      </w:r>
      <w:r w:rsidRPr="009C248B">
        <w:rPr>
          <w:color w:val="FF0000"/>
          <w:u w:val="single"/>
        </w:rPr>
        <w:t>. Las clases medias de los países emergentes y los más ricos del mundo han sido los grandes ganadores de la globalización, sentencia este economista. </w:t>
      </w:r>
    </w:p>
    <w:p w:rsidR="0046536B" w:rsidRPr="009C248B" w:rsidRDefault="0046536B" w:rsidP="0046536B">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Por otro lado, el tercio más pobre de la población (más o menos entre percentil 10 y 40) también han tenido ganancias considerables, con un incremento de sus ingresos reales que va desde el 40% hasta el 60% más o menos. La única excepción es el 5% más pobre de la población, cuyos ingresos reales han crecido mucho menos que los anteriores grupos. </w:t>
      </w:r>
    </w:p>
    <w:p w:rsidR="0046536B" w:rsidRPr="003A3399" w:rsidRDefault="0046536B" w:rsidP="0046536B">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3A3399">
        <w:rPr>
          <w:rFonts w:ascii="Times New Roman" w:hAnsi="Times New Roman" w:cs="Times New Roman"/>
          <w:b w:val="0"/>
          <w:bCs w:val="0"/>
          <w:color w:val="000000"/>
          <w:sz w:val="24"/>
          <w:szCs w:val="24"/>
        </w:rPr>
        <w:t>Los grandes perdedores</w:t>
      </w:r>
    </w:p>
    <w:p w:rsidR="0046536B" w:rsidRPr="009C248B" w:rsidRDefault="0046536B" w:rsidP="0046536B">
      <w:pPr>
        <w:pStyle w:val="selectionshareable"/>
        <w:shd w:val="clear" w:color="auto" w:fill="FFFFFF"/>
        <w:spacing w:before="0" w:beforeAutospacing="0" w:after="300" w:afterAutospacing="0"/>
        <w:jc w:val="both"/>
        <w:textAlignment w:val="baseline"/>
        <w:rPr>
          <w:color w:val="FF0000"/>
          <w:u w:val="single"/>
        </w:rPr>
      </w:pPr>
      <w:r>
        <w:rPr>
          <w:color w:val="FF0000"/>
          <w:u w:val="single"/>
        </w:rPr>
        <w:t>Pero sin duda, “</w:t>
      </w:r>
      <w:r w:rsidRPr="009C248B">
        <w:rPr>
          <w:color w:val="FF0000"/>
          <w:u w:val="single"/>
        </w:rPr>
        <w:t>los mayores perdedores, o al menos los no ganadores, de la globalización ha sido los que se encontraban entre el percentil 75 y el 90 en la escala de la distribución global de los ingresos, las ganancias reales de ingresos de esas personas han sido nulas. Estas personas son consideradas como la clase media-alta del mundo incluye a varios países de América Latina con pasado comunista, así como aquellos ciudadanos de países ricos que ha</w:t>
      </w:r>
      <w:r>
        <w:rPr>
          <w:color w:val="FF0000"/>
          <w:u w:val="single"/>
        </w:rPr>
        <w:t>n visto sus ingresos estancados”</w:t>
      </w:r>
      <w:r w:rsidRPr="009C248B">
        <w:rPr>
          <w:color w:val="FF0000"/>
          <w:u w:val="single"/>
        </w:rPr>
        <w:t>, sostiene Branko Milanovic. </w:t>
      </w:r>
    </w:p>
    <w:p w:rsidR="0046536B" w:rsidRPr="009C248B" w:rsidRDefault="0046536B" w:rsidP="0046536B">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Entre los grandes ganadores está ese 1% más rico del mundo, que está compuesto por más de 60 millones de personas de EEUU, países de la Eurozona, del Reino Unido, Japón, Brasil, Rusia y Sudáfrica. </w:t>
      </w:r>
    </w:p>
    <w:p w:rsidR="0046536B" w:rsidRPr="009C248B" w:rsidRDefault="0046536B" w:rsidP="0046536B">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Los otros ganadores son aquellos ciudadanos de la clase m</w:t>
      </w:r>
      <w:r>
        <w:rPr>
          <w:color w:val="FF0000"/>
          <w:u w:val="single"/>
        </w:rPr>
        <w:t>edia de los países emergentes: “</w:t>
      </w:r>
      <w:r w:rsidRPr="009C248B">
        <w:rPr>
          <w:color w:val="FF0000"/>
          <w:u w:val="single"/>
        </w:rPr>
        <w:t>En 1988, una persona con el salario mediano en China sólo era más rico que el 10% de la población del mundo. Unos veinte años después, una persona en la misma posición dentro de la distribución de los ingresos en China es más rico que</w:t>
      </w:r>
      <w:r>
        <w:rPr>
          <w:color w:val="FF0000"/>
          <w:u w:val="single"/>
        </w:rPr>
        <w:t xml:space="preserve"> el 50% de la población mundial”</w:t>
      </w:r>
      <w:r w:rsidRPr="009C248B">
        <w:rPr>
          <w:color w:val="FF0000"/>
          <w:u w:val="single"/>
        </w:rPr>
        <w:t>, asegura este economista.</w:t>
      </w:r>
    </w:p>
    <w:p w:rsidR="0046536B" w:rsidRPr="009C248B" w:rsidRDefault="0046536B" w:rsidP="0046536B">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Aunque estos datos son reveladores, aún lo podrían ser mucho más si la serie alcanzase los años posteriores a la última crisis financiera. En los países desarrollados, la clase media ha sido castigada por mayores tasas de paro y unos ingresos reales estancados. Mientras que los países en desarrollo han seguido disfrutando hasta hace poco del súper ciclo de las materias primas y de un crecimiento económico muy superior al de occidente. Por lo que la desigualdad de ingresos entre los ciudadanos del mundo se podría haber reducido bastante más desde 2008</w:t>
      </w:r>
    </w:p>
    <w:p w:rsidR="0046536B" w:rsidRDefault="0046536B" w:rsidP="0046536B">
      <w:pPr>
        <w:pStyle w:val="selectionshareable"/>
        <w:shd w:val="clear" w:color="auto" w:fill="FFFFFF"/>
        <w:spacing w:before="0" w:beforeAutospacing="0" w:after="0" w:afterAutospacing="0"/>
        <w:jc w:val="both"/>
        <w:textAlignment w:val="baseline"/>
        <w:rPr>
          <w:b/>
          <w:color w:val="FF0000"/>
          <w:u w:val="single"/>
        </w:rPr>
      </w:pPr>
      <w:r w:rsidRPr="003A3399">
        <w:rPr>
          <w:color w:val="000000"/>
        </w:rPr>
        <w:t>Noah Smith, profesor de Finanzas en Stony Brook University, escribe en</w:t>
      </w:r>
      <w:r w:rsidRPr="003A3399">
        <w:rPr>
          <w:rStyle w:val="apple-converted-space"/>
          <w:rFonts w:eastAsiaTheme="majorEastAsia"/>
          <w:color w:val="000000"/>
        </w:rPr>
        <w:t> </w:t>
      </w:r>
      <w:r w:rsidRPr="003A3399">
        <w:rPr>
          <w:i/>
          <w:iCs/>
          <w:color w:val="000000"/>
          <w:bdr w:val="none" w:sz="0" w:space="0" w:color="auto" w:frame="1"/>
        </w:rPr>
        <w:t>Bloomberg,</w:t>
      </w:r>
      <w:r w:rsidRPr="003A3399">
        <w:rPr>
          <w:color w:val="000000"/>
        </w:rPr>
        <w:t xml:space="preserve"> que estos resultados cuestionan cuanto menos las teorías que se han considerado como verdades absolutas durante mucho tiempo: </w:t>
      </w:r>
      <w:r>
        <w:rPr>
          <w:b/>
          <w:color w:val="FF0000"/>
          <w:u w:val="single"/>
        </w:rPr>
        <w:t>“</w:t>
      </w:r>
      <w:r w:rsidRPr="009C248B">
        <w:rPr>
          <w:b/>
          <w:color w:val="FF0000"/>
          <w:u w:val="single"/>
        </w:rPr>
        <w:t xml:space="preserve">Observando la </w:t>
      </w:r>
      <w:r w:rsidRPr="009C248B">
        <w:rPr>
          <w:b/>
          <w:color w:val="FF0000"/>
          <w:u w:val="single"/>
        </w:rPr>
        <w:lastRenderedPageBreak/>
        <w:t>evolución de los ingresos de la clase media de los países desarrollados en el gráfico del elefante, se puede cuestionar los benefi</w:t>
      </w:r>
      <w:r>
        <w:rPr>
          <w:b/>
          <w:color w:val="FF0000"/>
          <w:u w:val="single"/>
        </w:rPr>
        <w:t>cios del comercio internacional”</w:t>
      </w:r>
      <w:r w:rsidRPr="009C248B">
        <w:rPr>
          <w:b/>
          <w:color w:val="FF0000"/>
          <w:u w:val="single"/>
        </w:rPr>
        <w:t>.</w:t>
      </w:r>
    </w:p>
    <w:p w:rsidR="0046536B" w:rsidRDefault="0046536B" w:rsidP="0046536B">
      <w:pPr>
        <w:pStyle w:val="selectionshareable"/>
        <w:shd w:val="clear" w:color="auto" w:fill="FFFFFF"/>
        <w:spacing w:before="0" w:beforeAutospacing="0" w:after="0" w:afterAutospacing="0"/>
        <w:jc w:val="both"/>
        <w:textAlignment w:val="baseline"/>
        <w:rPr>
          <w:b/>
          <w:color w:val="FF0000"/>
          <w:u w:val="single"/>
        </w:rPr>
      </w:pP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2751E4">
        <w:rPr>
          <w:rFonts w:ascii="Times New Roman" w:eastAsia="Times New Roman" w:hAnsi="Times New Roman"/>
          <w:sz w:val="24"/>
          <w:szCs w:val="24"/>
          <w:u w:val="single"/>
        </w:rPr>
        <w:t>Por qué cada vez más gente pasa hambre en Estados Unidos</w:t>
      </w:r>
      <w:r>
        <w:rPr>
          <w:rFonts w:ascii="Times New Roman" w:eastAsia="Times New Roman" w:hAnsi="Times New Roman"/>
          <w:sz w:val="24"/>
          <w:szCs w:val="24"/>
        </w:rPr>
        <w:t xml:space="preserve"> (BBCMundo - </w:t>
      </w:r>
      <w:r w:rsidRPr="002751E4">
        <w:rPr>
          <w:rFonts w:ascii="Times New Roman" w:eastAsia="Times New Roman" w:hAnsi="Times New Roman"/>
          <w:b/>
          <w:sz w:val="24"/>
          <w:szCs w:val="24"/>
        </w:rPr>
        <w:t>1/8/16</w:t>
      </w:r>
      <w:r>
        <w:rPr>
          <w:rFonts w:ascii="Times New Roman" w:eastAsia="Times New Roman" w:hAnsi="Times New Roman"/>
          <w:sz w:val="24"/>
          <w:szCs w:val="24"/>
        </w:rPr>
        <w:t>) Lectura recomendada</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2751E4">
        <w:rPr>
          <w:rFonts w:ascii="Times New Roman" w:eastAsia="Times New Roman" w:hAnsi="Times New Roman"/>
          <w:sz w:val="24"/>
          <w:szCs w:val="24"/>
        </w:rPr>
        <w:t>Para ser el país más rico del mundo, Estados Unidos tiene un porcentaje sorprendentemente alto de su población que experimenta problemas para conseguir la comida que necesita para alimentarse.</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color w:val="FF0000"/>
          <w:sz w:val="24"/>
          <w:szCs w:val="24"/>
          <w:u w:val="single"/>
        </w:rPr>
      </w:pPr>
      <w:r w:rsidRPr="008B4192">
        <w:rPr>
          <w:rFonts w:ascii="Times New Roman" w:eastAsia="Times New Roman" w:hAnsi="Times New Roman"/>
          <w:color w:val="FF0000"/>
          <w:sz w:val="24"/>
          <w:szCs w:val="24"/>
          <w:u w:val="single"/>
        </w:rPr>
        <w:t>Un estudio del Departamento de Agricultura de ese país estimaba que para finales de 2014, la fecha de la medición disponible más reciente, cerca de 14% de la población estadounidense enfrentaba lo que se conoce como inseguridad alimentaria: dificultades en algún momento del año para proveer la comida necesaria para todos los miembros de la familia, debido a problemas económicos.</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sz w:val="24"/>
          <w:szCs w:val="24"/>
          <w:u w:val="single"/>
        </w:rPr>
      </w:pPr>
      <w:r w:rsidRPr="008B4192">
        <w:rPr>
          <w:rFonts w:ascii="Times New Roman" w:eastAsia="Times New Roman" w:hAnsi="Times New Roman"/>
          <w:sz w:val="24"/>
          <w:szCs w:val="24"/>
          <w:u w:val="single"/>
        </w:rPr>
        <w:t>Dicho de otra manera: no les alcanzaba siempre el sueldo para alimentarse.</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color w:val="FF0000"/>
          <w:sz w:val="24"/>
          <w:szCs w:val="24"/>
          <w:u w:val="single"/>
        </w:rPr>
      </w:pPr>
      <w:r w:rsidRPr="008B4192">
        <w:rPr>
          <w:rFonts w:ascii="Times New Roman" w:eastAsia="Times New Roman" w:hAnsi="Times New Roman"/>
          <w:color w:val="FF0000"/>
          <w:sz w:val="24"/>
          <w:szCs w:val="24"/>
          <w:u w:val="single"/>
        </w:rPr>
        <w:t>Es significativo que 17 millones de hogares aseguran que no siempre tienen el dinero para poner la comida en su mesa.</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color w:val="FF0000"/>
          <w:sz w:val="24"/>
          <w:szCs w:val="24"/>
          <w:u w:val="single"/>
        </w:rPr>
      </w:pPr>
      <w:r w:rsidRPr="008B4192">
        <w:rPr>
          <w:rFonts w:ascii="Times New Roman" w:eastAsia="Times New Roman" w:hAnsi="Times New Roman"/>
          <w:color w:val="FF0000"/>
          <w:sz w:val="24"/>
          <w:szCs w:val="24"/>
          <w:u w:val="single"/>
        </w:rPr>
        <w:t>Más aun, agrega el reporte, 6,9 millones de hogares tenían muy baja seguridad alimentaria.</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Es decir, que “</w:t>
      </w:r>
      <w:r w:rsidRPr="002751E4">
        <w:rPr>
          <w:rFonts w:ascii="Times New Roman" w:eastAsia="Times New Roman" w:hAnsi="Times New Roman"/>
          <w:sz w:val="24"/>
          <w:szCs w:val="24"/>
        </w:rPr>
        <w:t xml:space="preserve">el consumo de comida de algunos miembros de la familia se redujo y los patrones normales de alimentación se vieron afectados durante el </w:t>
      </w:r>
      <w:r>
        <w:rPr>
          <w:rFonts w:ascii="Times New Roman" w:eastAsia="Times New Roman" w:hAnsi="Times New Roman"/>
          <w:sz w:val="24"/>
          <w:szCs w:val="24"/>
        </w:rPr>
        <w:t>año debido a recursos limitados”</w:t>
      </w:r>
      <w:r w:rsidRPr="002751E4">
        <w:rPr>
          <w:rFonts w:ascii="Times New Roman" w:eastAsia="Times New Roman" w:hAnsi="Times New Roman"/>
          <w:sz w:val="24"/>
          <w:szCs w:val="24"/>
        </w:rPr>
        <w:t>, según asegura el informe publicado en septiembre de 2015.</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2751E4">
        <w:rPr>
          <w:rFonts w:ascii="Times New Roman" w:eastAsia="Times New Roman" w:hAnsi="Times New Roman"/>
          <w:sz w:val="24"/>
          <w:szCs w:val="24"/>
        </w:rPr>
        <w:t>En otras palabras, experimentaron el hambre.</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2751E4">
        <w:rPr>
          <w:rFonts w:ascii="Times New Roman" w:eastAsia="Times New Roman" w:hAnsi="Times New Roman"/>
          <w:sz w:val="24"/>
          <w:szCs w:val="24"/>
        </w:rPr>
        <w:t>Los hispanos sufren más</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b/>
          <w:color w:val="FF0000"/>
          <w:sz w:val="24"/>
          <w:szCs w:val="24"/>
          <w:u w:val="single"/>
        </w:rPr>
        <w:t>El estudio titulado “</w:t>
      </w:r>
      <w:r w:rsidRPr="008B4192">
        <w:rPr>
          <w:rFonts w:ascii="Times New Roman" w:eastAsia="Times New Roman" w:hAnsi="Times New Roman"/>
          <w:b/>
          <w:color w:val="FF0000"/>
          <w:sz w:val="24"/>
          <w:szCs w:val="24"/>
          <w:u w:val="single"/>
        </w:rPr>
        <w:t xml:space="preserve">Seguridad alimentaria en los </w:t>
      </w:r>
      <w:r>
        <w:rPr>
          <w:rFonts w:ascii="Times New Roman" w:eastAsia="Times New Roman" w:hAnsi="Times New Roman"/>
          <w:b/>
          <w:color w:val="FF0000"/>
          <w:sz w:val="24"/>
          <w:szCs w:val="24"/>
          <w:u w:val="single"/>
        </w:rPr>
        <w:t>hogares estadounidenses en 2014”</w:t>
      </w:r>
      <w:r w:rsidRPr="008B4192">
        <w:rPr>
          <w:rFonts w:ascii="Times New Roman" w:eastAsia="Times New Roman" w:hAnsi="Times New Roman"/>
          <w:sz w:val="24"/>
          <w:szCs w:val="24"/>
          <w:u w:val="single"/>
        </w:rPr>
        <w:t>puntualiza que el 9,4% de los hogares con niños se vieron en dificultades financieras para alimentarlos bien.</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sz w:val="24"/>
          <w:szCs w:val="24"/>
          <w:u w:val="single"/>
        </w:rPr>
      </w:pPr>
      <w:r w:rsidRPr="002751E4">
        <w:rPr>
          <w:rFonts w:ascii="Times New Roman" w:eastAsia="Times New Roman" w:hAnsi="Times New Roman"/>
          <w:sz w:val="24"/>
          <w:szCs w:val="24"/>
        </w:rPr>
        <w:t xml:space="preserve">Y organizaciones no gubernamentales como Feeding America, especializadas en ayudar a estas comunidades vulnerables, advierten que </w:t>
      </w:r>
      <w:r w:rsidRPr="008B4192">
        <w:rPr>
          <w:rFonts w:ascii="Times New Roman" w:eastAsia="Times New Roman" w:hAnsi="Times New Roman"/>
          <w:sz w:val="24"/>
          <w:szCs w:val="24"/>
          <w:u w:val="single"/>
        </w:rPr>
        <w:t>grupos minoritarios, entre ellos los hispanos, sufren desproporcionadamente por esta situación.</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sz w:val="24"/>
          <w:szCs w:val="24"/>
          <w:u w:val="single"/>
        </w:rPr>
      </w:pPr>
      <w:r w:rsidRPr="008B4192">
        <w:rPr>
          <w:rFonts w:ascii="Times New Roman" w:eastAsia="Times New Roman" w:hAnsi="Times New Roman"/>
          <w:sz w:val="24"/>
          <w:szCs w:val="24"/>
          <w:u w:val="single"/>
        </w:rPr>
        <w:t>Según Feeding America, la incidencia de esta falta de seguridad en cuanto a la disponibilidad de alimentos es el doble de alta entre las familias hispanas que entre sus contrapartes anglosajones.</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w:t>
      </w:r>
      <w:r w:rsidRPr="008B4192">
        <w:rPr>
          <w:rFonts w:ascii="Times New Roman" w:eastAsia="Times New Roman" w:hAnsi="Times New Roman"/>
          <w:color w:val="FF0000"/>
          <w:sz w:val="24"/>
          <w:szCs w:val="24"/>
          <w:u w:val="single"/>
        </w:rPr>
        <w:t>Más de uno de cada cuatro niños latinos viven en hoga</w:t>
      </w:r>
      <w:r>
        <w:rPr>
          <w:rFonts w:ascii="Times New Roman" w:eastAsia="Times New Roman" w:hAnsi="Times New Roman"/>
          <w:color w:val="FF0000"/>
          <w:sz w:val="24"/>
          <w:szCs w:val="24"/>
          <w:u w:val="single"/>
        </w:rPr>
        <w:t>res con inseguridad alimentaria”</w:t>
      </w:r>
      <w:r w:rsidRPr="008B4192">
        <w:rPr>
          <w:rFonts w:ascii="Times New Roman" w:eastAsia="Times New Roman" w:hAnsi="Times New Roman"/>
          <w:color w:val="FF0000"/>
          <w:sz w:val="24"/>
          <w:szCs w:val="24"/>
          <w:u w:val="single"/>
        </w:rPr>
        <w:t>, asegura la entidad.</w:t>
      </w:r>
    </w:p>
    <w:p w:rsidR="0046536B" w:rsidRDefault="0046536B" w:rsidP="0046536B">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u w:val="single"/>
        </w:rPr>
        <w:t>“</w:t>
      </w:r>
      <w:r w:rsidRPr="008B4192">
        <w:rPr>
          <w:rFonts w:ascii="Times New Roman" w:eastAsia="Times New Roman" w:hAnsi="Times New Roman"/>
          <w:sz w:val="24"/>
          <w:szCs w:val="24"/>
          <w:u w:val="single"/>
        </w:rPr>
        <w:t xml:space="preserve">La demanda de nuestra asistencia alimentaria en Estados Unidos se disparó luego de </w:t>
      </w:r>
      <w:r>
        <w:rPr>
          <w:rFonts w:ascii="Times New Roman" w:eastAsia="Times New Roman" w:hAnsi="Times New Roman"/>
          <w:sz w:val="24"/>
          <w:szCs w:val="24"/>
          <w:u w:val="single"/>
        </w:rPr>
        <w:t>la gran recesión de 2008”</w:t>
      </w:r>
      <w:r w:rsidRPr="008B4192">
        <w:rPr>
          <w:rFonts w:ascii="Times New Roman" w:eastAsia="Times New Roman" w:hAnsi="Times New Roman"/>
          <w:sz w:val="24"/>
          <w:szCs w:val="24"/>
          <w:u w:val="single"/>
        </w:rPr>
        <w:t>,</w:t>
      </w:r>
      <w:r w:rsidRPr="002751E4">
        <w:rPr>
          <w:rFonts w:ascii="Times New Roman" w:eastAsia="Times New Roman" w:hAnsi="Times New Roman"/>
          <w:sz w:val="24"/>
          <w:szCs w:val="24"/>
        </w:rPr>
        <w:t xml:space="preserve"> le dice a BBC Mundo Ross Fraser, vocero de Feeding America.</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2751E4">
        <w:rPr>
          <w:rFonts w:ascii="Times New Roman" w:eastAsia="Times New Roman" w:hAnsi="Times New Roman"/>
          <w:sz w:val="24"/>
          <w:szCs w:val="24"/>
        </w:rPr>
        <w:t>5 millones a la semana</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sz w:val="24"/>
          <w:szCs w:val="24"/>
          <w:u w:val="single"/>
        </w:rPr>
      </w:pPr>
      <w:r w:rsidRPr="008B4192">
        <w:rPr>
          <w:rFonts w:ascii="Times New Roman" w:eastAsia="Times New Roman" w:hAnsi="Times New Roman"/>
          <w:sz w:val="24"/>
          <w:szCs w:val="24"/>
          <w:u w:val="single"/>
        </w:rPr>
        <w:t>El representante de la entidad indica que 5 millones de personas en todo el país acuden a su organización cada semana en busca de ayuda para alimentar a su familia.</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w:t>
      </w:r>
      <w:r w:rsidRPr="002751E4">
        <w:rPr>
          <w:rFonts w:ascii="Times New Roman" w:eastAsia="Times New Roman" w:hAnsi="Times New Roman"/>
          <w:sz w:val="24"/>
          <w:szCs w:val="24"/>
        </w:rPr>
        <w:t>Pero esa demanda no ha bajado desde entonces. Seguimos viendo números récord de personas acudie</w:t>
      </w:r>
      <w:r>
        <w:rPr>
          <w:rFonts w:ascii="Times New Roman" w:eastAsia="Times New Roman" w:hAnsi="Times New Roman"/>
          <w:sz w:val="24"/>
          <w:szCs w:val="24"/>
        </w:rPr>
        <w:t>ndo a nuestros bancos de comida”</w:t>
      </w:r>
      <w:r w:rsidRPr="002751E4">
        <w:rPr>
          <w:rFonts w:ascii="Times New Roman" w:eastAsia="Times New Roman" w:hAnsi="Times New Roman"/>
          <w:sz w:val="24"/>
          <w:szCs w:val="24"/>
        </w:rPr>
        <w:t>, indica Fraser.</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2751E4">
        <w:rPr>
          <w:rFonts w:ascii="Times New Roman" w:eastAsia="Times New Roman" w:hAnsi="Times New Roman"/>
          <w:sz w:val="24"/>
          <w:szCs w:val="24"/>
        </w:rPr>
        <w:t>Feeding America encuentra que los factores que predicen la existencia de estos problemas incluyen vivir en comunidades con mayores niveles de pobreza y desempleo. Una situación que empeora para familias con hijos.</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color w:val="FF0000"/>
          <w:sz w:val="24"/>
          <w:szCs w:val="24"/>
          <w:u w:val="single"/>
        </w:rPr>
      </w:pPr>
      <w:r w:rsidRPr="008B4192">
        <w:rPr>
          <w:rFonts w:ascii="Times New Roman" w:eastAsia="Times New Roman" w:hAnsi="Times New Roman"/>
          <w:color w:val="FF0000"/>
          <w:sz w:val="24"/>
          <w:szCs w:val="24"/>
          <w:u w:val="single"/>
        </w:rPr>
        <w:t>En general, el impacto de la crisis económica de 2008 no ha dejado de sentirse en este país, lo que encaja con otros análisis que señalan que aunque los negocios y el Producto Interno Bruto del país han mejorado desde entonces, muchas familias no han salido de la crisis y aún tienen que restringir el gasto más básico de todos, el de la comida.</w:t>
      </w:r>
    </w:p>
    <w:p w:rsidR="0046536B" w:rsidRDefault="0046536B" w:rsidP="0046536B">
      <w:pPr>
        <w:shd w:val="clear" w:color="auto" w:fill="FFFFFF"/>
        <w:spacing w:line="240" w:lineRule="auto"/>
        <w:jc w:val="both"/>
        <w:textAlignment w:val="baseline"/>
        <w:rPr>
          <w:rFonts w:ascii="Times New Roman" w:eastAsia="Times New Roman" w:hAnsi="Times New Roman"/>
          <w:color w:val="FF0000"/>
          <w:sz w:val="24"/>
          <w:szCs w:val="24"/>
          <w:u w:val="single"/>
        </w:rPr>
      </w:pPr>
      <w:r w:rsidRPr="008B4192">
        <w:rPr>
          <w:rFonts w:ascii="Times New Roman" w:eastAsia="Times New Roman" w:hAnsi="Times New Roman"/>
          <w:color w:val="FF0000"/>
          <w:sz w:val="24"/>
          <w:szCs w:val="24"/>
          <w:u w:val="single"/>
        </w:rPr>
        <w:t>El porcentaje de los estadounidenses que tiene dificultades para conseguir su comida se ha mantenido alto desde entonces comparado con lo que ocurría antes del colapso financiero. En 2006 apenas llegaba a 10% de su población.</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2751E4">
        <w:rPr>
          <w:rFonts w:ascii="Times New Roman" w:eastAsia="Times New Roman" w:hAnsi="Times New Roman"/>
          <w:sz w:val="24"/>
          <w:szCs w:val="24"/>
        </w:rPr>
        <w:t>De mal en peor</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sz w:val="24"/>
          <w:szCs w:val="24"/>
          <w:u w:val="single"/>
        </w:rPr>
      </w:pPr>
      <w:r w:rsidRPr="008B4192">
        <w:rPr>
          <w:rFonts w:ascii="Times New Roman" w:eastAsia="Times New Roman" w:hAnsi="Times New Roman"/>
          <w:sz w:val="24"/>
          <w:szCs w:val="24"/>
          <w:u w:val="single"/>
        </w:rPr>
        <w:t>Y si todas estas malas noticias no fueran suficientes, hay quienes advierten que la situación se puede poner peor.</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sz w:val="24"/>
          <w:szCs w:val="24"/>
          <w:u w:val="single"/>
        </w:rPr>
      </w:pPr>
      <w:r w:rsidRPr="008B4192">
        <w:rPr>
          <w:rFonts w:ascii="Times New Roman" w:eastAsia="Times New Roman" w:hAnsi="Times New Roman"/>
          <w:sz w:val="24"/>
          <w:szCs w:val="24"/>
          <w:u w:val="single"/>
        </w:rPr>
        <w:t>Según indica el medio estadounidense The Atlantic, nuevas restricciones a los programas de ayuda estatal a las personas de bajos ingresos podrían aumentar el número de personas que confrontan el riesgo de hambre en Estados Unidos.</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2751E4">
        <w:rPr>
          <w:rFonts w:ascii="Times New Roman" w:eastAsia="Times New Roman" w:hAnsi="Times New Roman"/>
          <w:sz w:val="24"/>
          <w:szCs w:val="24"/>
        </w:rPr>
        <w:t>En particular, asegura The Atlantic, varios gobiernos regionales están imponiendo nuevos requisitos para que las personas accedan a estos programas de asistenc</w:t>
      </w:r>
      <w:r>
        <w:rPr>
          <w:rFonts w:ascii="Times New Roman" w:eastAsia="Times New Roman" w:hAnsi="Times New Roman"/>
          <w:sz w:val="24"/>
          <w:szCs w:val="24"/>
        </w:rPr>
        <w:t>ia oficiales como los llamados “food stamps”</w:t>
      </w:r>
      <w:r w:rsidRPr="002751E4">
        <w:rPr>
          <w:rFonts w:ascii="Times New Roman" w:eastAsia="Times New Roman" w:hAnsi="Times New Roman"/>
          <w:sz w:val="24"/>
          <w:szCs w:val="24"/>
        </w:rPr>
        <w:t>, bonos que les permiten a los recipientes adquirir comida de manera gratuita.</w:t>
      </w:r>
    </w:p>
    <w:p w:rsidR="0046536B" w:rsidRPr="002751E4"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2751E4">
        <w:rPr>
          <w:rFonts w:ascii="Times New Roman" w:eastAsia="Times New Roman" w:hAnsi="Times New Roman"/>
          <w:sz w:val="24"/>
          <w:szCs w:val="24"/>
        </w:rPr>
        <w:t>La actual carrera presidencial estadounidense enfrenta a dos candidatos que aseguran que con ellos la situación económica mejorará para sus conciudadanos.</w:t>
      </w:r>
    </w:p>
    <w:p w:rsidR="0046536B"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2751E4">
        <w:rPr>
          <w:rFonts w:ascii="Times New Roman" w:eastAsia="Times New Roman" w:hAnsi="Times New Roman"/>
          <w:sz w:val="24"/>
          <w:szCs w:val="24"/>
        </w:rPr>
        <w:t>Una promesa que guardará particular resonancia para los millones de personas en ese país que, pese a la prosperidad que los rodea, se van a dormir con hambre en el estómago.</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b/>
          <w:color w:val="FF0000"/>
          <w:sz w:val="24"/>
          <w:szCs w:val="24"/>
          <w:u w:val="single"/>
        </w:rPr>
      </w:pPr>
      <w:r w:rsidRPr="008B4192">
        <w:rPr>
          <w:rFonts w:ascii="Times New Roman" w:eastAsia="Times New Roman" w:hAnsi="Times New Roman"/>
          <w:b/>
          <w:color w:val="FF0000"/>
          <w:sz w:val="24"/>
          <w:szCs w:val="24"/>
          <w:u w:val="single"/>
        </w:rPr>
        <w:t>Hambre en Estados Unidos</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b/>
          <w:color w:val="FF0000"/>
          <w:sz w:val="24"/>
          <w:szCs w:val="24"/>
          <w:u w:val="single"/>
        </w:rPr>
      </w:pPr>
      <w:r w:rsidRPr="008B4192">
        <w:rPr>
          <w:rFonts w:ascii="Times New Roman" w:eastAsia="Times New Roman" w:hAnsi="Times New Roman"/>
          <w:b/>
          <w:color w:val="FF0000"/>
          <w:sz w:val="24"/>
          <w:szCs w:val="24"/>
          <w:u w:val="single"/>
        </w:rPr>
        <w:t>14% Porcentaje de la población con problemas financieros para comprar la comida que necesitan.</w:t>
      </w:r>
    </w:p>
    <w:p w:rsidR="0046536B" w:rsidRPr="008B4192" w:rsidRDefault="0046536B" w:rsidP="0046536B">
      <w:pPr>
        <w:shd w:val="clear" w:color="auto" w:fill="FFFFFF"/>
        <w:spacing w:line="240" w:lineRule="auto"/>
        <w:jc w:val="both"/>
        <w:textAlignment w:val="baseline"/>
        <w:rPr>
          <w:rFonts w:ascii="Times New Roman" w:eastAsia="Times New Roman" w:hAnsi="Times New Roman"/>
          <w:b/>
          <w:color w:val="FF0000"/>
          <w:sz w:val="24"/>
          <w:szCs w:val="24"/>
          <w:u w:val="single"/>
        </w:rPr>
      </w:pPr>
      <w:r w:rsidRPr="008B4192">
        <w:rPr>
          <w:rFonts w:ascii="Times New Roman" w:eastAsia="Times New Roman" w:hAnsi="Times New Roman"/>
          <w:b/>
          <w:color w:val="FF0000"/>
          <w:sz w:val="24"/>
          <w:szCs w:val="24"/>
          <w:u w:val="single"/>
        </w:rPr>
        <w:t>6,9 millones Hogares que han cambiado sus hábitos alimenticios por falta de recursos.</w:t>
      </w:r>
    </w:p>
    <w:p w:rsidR="0046536B" w:rsidRDefault="0046536B" w:rsidP="0046536B">
      <w:pPr>
        <w:shd w:val="clear" w:color="auto" w:fill="FFFFFF"/>
        <w:spacing w:line="240" w:lineRule="auto"/>
        <w:jc w:val="both"/>
        <w:textAlignment w:val="baseline"/>
        <w:rPr>
          <w:rFonts w:ascii="Times New Roman" w:eastAsia="Times New Roman" w:hAnsi="Times New Roman"/>
          <w:sz w:val="24"/>
          <w:szCs w:val="24"/>
        </w:rPr>
      </w:pPr>
      <w:r w:rsidRPr="00E11B1B">
        <w:rPr>
          <w:rFonts w:ascii="Times New Roman" w:eastAsia="Times New Roman" w:hAnsi="Times New Roman"/>
          <w:sz w:val="24"/>
          <w:szCs w:val="24"/>
        </w:rPr>
        <w:t>Fuente: De</w:t>
      </w:r>
      <w:r>
        <w:rPr>
          <w:rFonts w:ascii="Times New Roman" w:eastAsia="Times New Roman" w:hAnsi="Times New Roman"/>
          <w:sz w:val="24"/>
          <w:szCs w:val="24"/>
        </w:rPr>
        <w:t>partamento de Agricultura de EEUU</w:t>
      </w:r>
    </w:p>
    <w:p w:rsidR="0046536B" w:rsidRPr="009E7D29" w:rsidRDefault="0046536B" w:rsidP="0046536B">
      <w:pPr>
        <w:pStyle w:val="NormalWeb"/>
        <w:shd w:val="clear" w:color="auto" w:fill="FFFFFF"/>
        <w:spacing w:after="0"/>
        <w:jc w:val="both"/>
        <w:textAlignment w:val="baseline"/>
        <w:rPr>
          <w:color w:val="1A1A1A"/>
        </w:rPr>
      </w:pPr>
      <w:r>
        <w:rPr>
          <w:color w:val="1A1A1A"/>
        </w:rPr>
        <w:t xml:space="preserve">- </w:t>
      </w:r>
      <w:r w:rsidRPr="009E7D29">
        <w:rPr>
          <w:color w:val="1A1A1A"/>
          <w:u w:val="single"/>
        </w:rPr>
        <w:t>Cuánta ayuda le da Estados Unidos a sus pobres en comparación con otros países ricos</w:t>
      </w:r>
      <w:r>
        <w:rPr>
          <w:color w:val="1A1A1A"/>
        </w:rPr>
        <w:t xml:space="preserve"> (BBCMundo - </w:t>
      </w:r>
      <w:r w:rsidRPr="009E7D29">
        <w:rPr>
          <w:b/>
          <w:color w:val="1A1A1A"/>
        </w:rPr>
        <w:t>29/8/16</w:t>
      </w:r>
      <w:r>
        <w:rPr>
          <w:color w:val="1A1A1A"/>
        </w:rPr>
        <w:t>)</w:t>
      </w:r>
      <w:r w:rsidR="00BE11FC">
        <w:rPr>
          <w:color w:val="1A1A1A"/>
        </w:rPr>
        <w:t xml:space="preserve">                                                                     Lectura recomendada</w:t>
      </w:r>
    </w:p>
    <w:p w:rsidR="0046536B" w:rsidRPr="009E7D29" w:rsidRDefault="0046536B" w:rsidP="0046536B">
      <w:pPr>
        <w:pStyle w:val="NormalWeb"/>
        <w:shd w:val="clear" w:color="auto" w:fill="FFFFFF"/>
        <w:spacing w:after="0"/>
        <w:jc w:val="both"/>
        <w:textAlignment w:val="baseline"/>
        <w:rPr>
          <w:color w:val="1A1A1A"/>
        </w:rPr>
      </w:pPr>
      <w:r>
        <w:rPr>
          <w:color w:val="1A1A1A"/>
        </w:rPr>
        <w:t xml:space="preserve">(Por </w:t>
      </w:r>
      <w:r w:rsidRPr="009E7D29">
        <w:rPr>
          <w:color w:val="1A1A1A"/>
        </w:rPr>
        <w:t>Taylor Kate Brown</w:t>
      </w:r>
      <w:r>
        <w:rPr>
          <w:color w:val="1A1A1A"/>
        </w:rPr>
        <w:t>)</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Una característica de muchas de las llamadas economías desarrolladas es la existencia de programas de apoyo a los ciudadanos más débiles.</w:t>
      </w:r>
    </w:p>
    <w:p w:rsidR="0046536B" w:rsidRDefault="0046536B" w:rsidP="0046536B">
      <w:pPr>
        <w:pStyle w:val="NormalWeb"/>
        <w:shd w:val="clear" w:color="auto" w:fill="FFFFFF"/>
        <w:spacing w:after="0"/>
        <w:jc w:val="both"/>
        <w:textAlignment w:val="baseline"/>
        <w:rPr>
          <w:color w:val="1A1A1A"/>
          <w:u w:val="single"/>
        </w:rPr>
      </w:pPr>
      <w:r w:rsidRPr="00E376E9">
        <w:rPr>
          <w:color w:val="1A1A1A"/>
          <w:u w:val="single"/>
        </w:rPr>
        <w:lastRenderedPageBreak/>
        <w:t>En Europa, estos planes de ayuda suelen se</w:t>
      </w:r>
      <w:r>
        <w:rPr>
          <w:color w:val="1A1A1A"/>
          <w:u w:val="single"/>
        </w:rPr>
        <w:t>r englobados bajo el nombre de “estado de bienestar”</w:t>
      </w:r>
      <w:r w:rsidRPr="00E376E9">
        <w:rPr>
          <w:color w:val="1A1A1A"/>
          <w:u w:val="single"/>
        </w:rPr>
        <w:t>. Sin embargo, en Estados Unidos esa expresión se usa para señalar exclusivamente un mecanismo para dar asistencia en efectivo a las familias pobres.</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Canalizada a través de la Asistencia Temporal para Familias Necesitadas (TANF, por sus siglas en inglés), esta forma de ayuda fue modificada sustancialmente hace 20 años, cuando el presidente demócrata Bill Clinton firmó una ley impulsada por el Partido Republicano sobre el tema.</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Desde entonces, cuando</w:t>
      </w:r>
      <w:r>
        <w:rPr>
          <w:color w:val="1A1A1A"/>
          <w:u w:val="single"/>
        </w:rPr>
        <w:t xml:space="preserve"> los estadounidenses hablan de “bienestar”</w:t>
      </w:r>
      <w:r w:rsidRPr="00E376E9">
        <w:rPr>
          <w:color w:val="1A1A1A"/>
          <w:u w:val="single"/>
        </w:rPr>
        <w:t xml:space="preserve"> se refieren de forma específica a este programa que ofrece ayuda económica a los padres solteros de bajos recursos.</w:t>
      </w:r>
    </w:p>
    <w:p w:rsidR="0046536B" w:rsidRPr="009E7D29" w:rsidRDefault="0046536B" w:rsidP="0046536B">
      <w:pPr>
        <w:pStyle w:val="NormalWeb"/>
        <w:shd w:val="clear" w:color="auto" w:fill="FFFFFF"/>
        <w:spacing w:after="0"/>
        <w:jc w:val="both"/>
        <w:textAlignment w:val="baseline"/>
        <w:rPr>
          <w:color w:val="1A1A1A"/>
        </w:rPr>
      </w:pPr>
      <w:r w:rsidRPr="009E7D29">
        <w:rPr>
          <w:color w:val="1A1A1A"/>
        </w:rPr>
        <w:t>Pero, ¿cómo se compara esta ayuda a la que otorgan otras economías avanzadas a sus ciudadanos?</w:t>
      </w:r>
    </w:p>
    <w:p w:rsidR="0046536B" w:rsidRPr="009E7D29" w:rsidRDefault="0046536B" w:rsidP="0046536B">
      <w:pPr>
        <w:pStyle w:val="NormalWeb"/>
        <w:shd w:val="clear" w:color="auto" w:fill="FFFFFF"/>
        <w:spacing w:after="0"/>
        <w:jc w:val="both"/>
        <w:textAlignment w:val="baseline"/>
        <w:rPr>
          <w:color w:val="1A1A1A"/>
        </w:rPr>
      </w:pPr>
      <w:r w:rsidRPr="009E7D29">
        <w:rPr>
          <w:color w:val="1A1A1A"/>
        </w:rPr>
        <w:t>Mismos fondos que en 1996</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Antes de la reforma aprobada por el gobierno de Clinton en 1996, los estados podían decidir a discreción cuánto dinero ofrecerían a los ciudadanos a través de este programa, pero los criterios para determinar quiénes podían beneficiarse y otras políticas relacionadas eran decididas por el gobierno federal.</w:t>
      </w:r>
    </w:p>
    <w:p w:rsidR="0046536B" w:rsidRPr="009E7D29" w:rsidRDefault="0046536B" w:rsidP="0046536B">
      <w:pPr>
        <w:pStyle w:val="NormalWeb"/>
        <w:shd w:val="clear" w:color="auto" w:fill="FFFFFF"/>
        <w:spacing w:after="0"/>
        <w:jc w:val="both"/>
        <w:textAlignment w:val="baseline"/>
        <w:rPr>
          <w:color w:val="1A1A1A"/>
        </w:rPr>
      </w:pPr>
      <w:r>
        <w:rPr>
          <w:color w:val="1A1A1A"/>
        </w:rPr>
        <w:t>“</w:t>
      </w:r>
      <w:r w:rsidRPr="009E7D29">
        <w:rPr>
          <w:color w:val="1A1A1A"/>
        </w:rPr>
        <w:t>La mayor parte del dinero iba directame</w:t>
      </w:r>
      <w:r>
        <w:rPr>
          <w:color w:val="1A1A1A"/>
        </w:rPr>
        <w:t>nte al bolsillo de las familias”</w:t>
      </w:r>
      <w:r w:rsidRPr="009E7D29">
        <w:rPr>
          <w:color w:val="1A1A1A"/>
        </w:rPr>
        <w:t>, dijo a la BBC Liz Schott, investigadora del Centro sobre Presupuestos y Prioridades de Políticas.</w:t>
      </w:r>
    </w:p>
    <w:p w:rsidR="0046536B" w:rsidRPr="009E7D29" w:rsidRDefault="0046536B" w:rsidP="0046536B">
      <w:pPr>
        <w:pStyle w:val="NormalWeb"/>
        <w:shd w:val="clear" w:color="auto" w:fill="FFFFFF"/>
        <w:spacing w:after="0"/>
        <w:jc w:val="both"/>
        <w:textAlignment w:val="baseline"/>
        <w:rPr>
          <w:color w:val="1A1A1A"/>
        </w:rPr>
      </w:pPr>
      <w:r>
        <w:rPr>
          <w:color w:val="1A1A1A"/>
        </w:rPr>
        <w:t>“</w:t>
      </w:r>
      <w:r w:rsidRPr="009E7D29">
        <w:rPr>
          <w:color w:val="1A1A1A"/>
        </w:rPr>
        <w:t>Ahora los estados pueden gastar lo</w:t>
      </w:r>
      <w:r>
        <w:rPr>
          <w:color w:val="1A1A1A"/>
        </w:rPr>
        <w:t>s fondos de formas muy diversas”</w:t>
      </w:r>
      <w:r w:rsidRPr="009E7D29">
        <w:rPr>
          <w:color w:val="1A1A1A"/>
        </w:rPr>
        <w:t>, agregó.</w:t>
      </w:r>
    </w:p>
    <w:p w:rsidR="0046536B" w:rsidRPr="009E7D29" w:rsidRDefault="0046536B" w:rsidP="0046536B">
      <w:pPr>
        <w:pStyle w:val="NormalWeb"/>
        <w:shd w:val="clear" w:color="auto" w:fill="FFFFFF"/>
        <w:spacing w:after="0"/>
        <w:jc w:val="both"/>
        <w:textAlignment w:val="baseline"/>
        <w:rPr>
          <w:color w:val="1A1A1A"/>
        </w:rPr>
      </w:pPr>
      <w:r w:rsidRPr="009E7D29">
        <w:rPr>
          <w:color w:val="1A1A1A"/>
        </w:rPr>
        <w:t>Esto incluye programas de capacitación laboral, de cuidado de hijos menores, pero también pueden enviar recursos a programas de acogida familiar y servicios de protección de menores.</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Los estados siguen recibiendo la misma cantidad de fondos que en 1996.</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Para 2015, en promedio 25% de los fondos iban destinados a asistencia económica, aunque esto -como muchos otros elementos del programa cuyas políticas son fijadas por cada estado- varía mucho.</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Además, ahora hay criterios más estrictos acerca de cuál es el porcentaje de los beneficiarios de la ayuda que deben estar involucrados en algún tipo de actividad laboral.</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Los estados que incumplen esos objetivos son penalizados, una situación que algunos gobiernos locales evitan limitando desde el principio el número de personas que pueden acogerse al programa de bienestar.</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 xml:space="preserve">Según Schott, el resultado de estas prácticas </w:t>
      </w:r>
      <w:r>
        <w:rPr>
          <w:color w:val="FF0000"/>
          <w:u w:val="single"/>
        </w:rPr>
        <w:t>es “</w:t>
      </w:r>
      <w:r w:rsidRPr="00E376E9">
        <w:rPr>
          <w:color w:val="FF0000"/>
          <w:u w:val="single"/>
        </w:rPr>
        <w:t>una tremenda di</w:t>
      </w:r>
      <w:r>
        <w:rPr>
          <w:color w:val="FF0000"/>
          <w:u w:val="single"/>
        </w:rPr>
        <w:t>sparidad en la red de seguridad”</w:t>
      </w:r>
      <w:r w:rsidRPr="00E376E9">
        <w:rPr>
          <w:color w:val="FF0000"/>
          <w:u w:val="single"/>
        </w:rPr>
        <w:t xml:space="preserve"> en el país.</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lastRenderedPageBreak/>
        <w:t>El monto promedio de la ayuda que recibe una familia beneficiada por el TANF -un padre o una madre soltera con dos niños- también es fijado por cada estado. En Mississippi, por ejemplo, recibirían unos US$153 mensuales; pero en Alaska, el monto alcanza hasta US$642 al mes.</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El promedio de la ayuda nacional se ubica en US$418 mensuales, pero sólo puede ser recibido durante un periodo máximo de 60 meses. Además, en muchos casos, se exige a los potenciales beneficiarios buscar trabajo.</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En Estados Unidos también existen otros programas de ayudas sociales, incluyendo la entrega de cupones para comprar alimentos, pagos para discapacitados y programas de atención sanitaria para los pobres.</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En los 20 años desde la creación del programa de TAFNF, la cantidad de gente que recibe cupones para comprar alimentos ha crecido significativamente, al tiempo que el pago de ayudas económicas directas ha caído.</w:t>
      </w:r>
    </w:p>
    <w:p w:rsidR="0046536B" w:rsidRPr="009E7D29" w:rsidRDefault="0046536B" w:rsidP="0046536B">
      <w:pPr>
        <w:pStyle w:val="NormalWeb"/>
        <w:shd w:val="clear" w:color="auto" w:fill="FFFFFF"/>
        <w:spacing w:after="0"/>
        <w:jc w:val="both"/>
        <w:textAlignment w:val="baseline"/>
        <w:rPr>
          <w:color w:val="1A1A1A"/>
        </w:rPr>
      </w:pPr>
      <w:r w:rsidRPr="009E7D29">
        <w:rPr>
          <w:color w:val="1A1A1A"/>
        </w:rPr>
        <w:t>Pero, ¿cómo entonces se compara el sistema de bienestar estadounidense con otras economías avanzadas?</w:t>
      </w:r>
    </w:p>
    <w:p w:rsidR="0046536B" w:rsidRPr="009E7D29" w:rsidRDefault="0046536B" w:rsidP="0046536B">
      <w:pPr>
        <w:pStyle w:val="NormalWeb"/>
        <w:shd w:val="clear" w:color="auto" w:fill="FFFFFF"/>
        <w:spacing w:after="0"/>
        <w:jc w:val="both"/>
        <w:textAlignment w:val="baseline"/>
        <w:rPr>
          <w:color w:val="1A1A1A"/>
        </w:rPr>
      </w:pPr>
      <w:r w:rsidRPr="009E7D29">
        <w:rPr>
          <w:color w:val="1A1A1A"/>
        </w:rPr>
        <w:t>Canadá</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La asistencia económica a los más pobres en Canadá varía según cada provincia y aumenta sus beneficios si la persona sufre de algún tipo de discapacidad o tiene más de un hijo.</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El programa de ayuda básico en efectivo es el más parecido al estadounidense, en comparación con el resto de países desarrollados, pero cambia mucho en los detalles.</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En la misma época en la que Estados Unidos aprobó el TANF, Canadá lidiaba con un problema de déficit presupuestario. Ante esa situación, el gobierno federal redujo el dinero que entregaba a las provincias para destinar a ayuda básica, pero también les dio mayor libertad para administrar los recursos.</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Los gobiernos regionales pidieron entonces que quienes iban a recibir la ayuda buscaran trabajo (si estaban en condiciones de hacerlo) e incluyeron como beneficiarios a las personas sin hijos.</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A diferencia de Estados Unidos, en Canadá casi todas las exigencias federales fueron eliminadas y no existe un tiempo máximo durante el cual se pueda recibir la ayuda.</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Aunque la cantidad de dinero que paga cada provincia es distinta, en general, los montos son superiores a los que se pagan en Estados Unidos, aunque sigue estando por debajo de los ingresos de una familia de bajos ingresos.</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Un padre soltero con un hijo en Ontario recibiría un beneficio de unos US$768. Pero si alguien sufre de una discapacidad o no puede trabajar el monto sube.</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lastRenderedPageBreak/>
        <w:t>Tanto en Estados Unidos como en Canadá el número de personas que reciben estos beneficios ha caído. Según los expertos, en el caso estadounidense la principal razón son las nuevas restricciones que se han aplicado.</w:t>
      </w:r>
    </w:p>
    <w:p w:rsidR="0046536B" w:rsidRPr="00E376E9" w:rsidRDefault="0046536B" w:rsidP="0046536B">
      <w:pPr>
        <w:pStyle w:val="NormalWeb"/>
        <w:shd w:val="clear" w:color="auto" w:fill="FFFFFF"/>
        <w:spacing w:after="0"/>
        <w:jc w:val="both"/>
        <w:textAlignment w:val="baseline"/>
        <w:rPr>
          <w:color w:val="1A1A1A"/>
          <w:u w:val="single"/>
        </w:rPr>
      </w:pPr>
      <w:r>
        <w:rPr>
          <w:color w:val="FF0000"/>
          <w:u w:val="single"/>
        </w:rPr>
        <w:t>“</w:t>
      </w:r>
      <w:r w:rsidRPr="00E376E9">
        <w:rPr>
          <w:color w:val="FF0000"/>
          <w:u w:val="single"/>
        </w:rPr>
        <w:t>Reducir el número de beneficiarios se convirtió en un objetivo en sí mismo en ambos países, en lugar de buscar acabar con la pobreza. Pero</w:t>
      </w:r>
      <w:r>
        <w:rPr>
          <w:color w:val="FF0000"/>
          <w:u w:val="single"/>
        </w:rPr>
        <w:t>, en Estados Unidos es peor”</w:t>
      </w:r>
      <w:r w:rsidRPr="00E376E9">
        <w:rPr>
          <w:color w:val="FF0000"/>
          <w:u w:val="single"/>
        </w:rPr>
        <w:t>,</w:t>
      </w:r>
      <w:r w:rsidRPr="00E376E9">
        <w:rPr>
          <w:color w:val="1A1A1A"/>
          <w:u w:val="single"/>
        </w:rPr>
        <w:t>comentó Daniel Beland, profesor de Políticas Públicas de la Universidad de Saskatchewan.</w:t>
      </w:r>
    </w:p>
    <w:p w:rsidR="0046536B" w:rsidRPr="009E7D29" w:rsidRDefault="0046536B" w:rsidP="0046536B">
      <w:pPr>
        <w:pStyle w:val="NormalWeb"/>
        <w:shd w:val="clear" w:color="auto" w:fill="FFFFFF"/>
        <w:spacing w:after="0"/>
        <w:jc w:val="both"/>
        <w:textAlignment w:val="baseline"/>
        <w:rPr>
          <w:color w:val="1A1A1A"/>
        </w:rPr>
      </w:pPr>
      <w:r w:rsidRPr="009E7D29">
        <w:rPr>
          <w:color w:val="1A1A1A"/>
        </w:rPr>
        <w:t>Francia</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Francia es conocida por su amplio sistema de bienestar social, que va mucho más allá de la entrega de ayuda económica a los pobres.</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El equivalente más próximo al TANF es la Renta de Solidaridad Activa (RFA, en francés). Un programa destinado a personas mayores de 25 años de edad o, al menos, de 18 años si se trata de padres solteros o si pueden probar que han trabajado durante algún tiempo previamente.</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El RFA no exige que el beneficiario tenga hijos, aunque si los tiene el beneficio de la ayuda es mayor.</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Un padre soltero con dos niños puede recibir hasta unos US$1.190 mensuales, pero el monto se verá reducido en caso de que la persona reciba algún ingreso u otros beneficios monetarios.</w:t>
      </w:r>
    </w:p>
    <w:p w:rsidR="0046536B" w:rsidRPr="009E7D29" w:rsidRDefault="0046536B" w:rsidP="0046536B">
      <w:pPr>
        <w:pStyle w:val="NormalWeb"/>
        <w:shd w:val="clear" w:color="auto" w:fill="FFFFFF"/>
        <w:spacing w:after="0"/>
        <w:jc w:val="both"/>
        <w:textAlignment w:val="baseline"/>
        <w:rPr>
          <w:color w:val="1A1A1A"/>
        </w:rPr>
      </w:pPr>
      <w:r w:rsidRPr="009E7D29">
        <w:rPr>
          <w:color w:val="1A1A1A"/>
        </w:rPr>
        <w:t>Reino Unido</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En Reino Unidos existe un programa de subsidio a las personas de bajos ingresos cuye edad oscile entre los 16 años y la edad de jubilación. Esto no incluye otros beneficios que pueden recibir.</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Se exige que la persona no tenga ingresos o bajos ingresos, que trabaje menos de 16 horas a la semana y ahorros inferiores a US$20.900.</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Un padre soltero con dos hijos puede recibir unos US$382 mensuales.</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Pero, el subsidio a las personas de bajos ingresos es sólo uno de seis beneficios en Reino Unido, que incluyen una ayuda para quienes buscan empleo y descuentos fiscales por tener hijos menores, los cuales han empezado a ser sustituidos por un crédito fiscal universal.</w:t>
      </w:r>
    </w:p>
    <w:p w:rsidR="0046536B" w:rsidRPr="009E7D29" w:rsidRDefault="0046536B" w:rsidP="0046536B">
      <w:pPr>
        <w:pStyle w:val="NormalWeb"/>
        <w:shd w:val="clear" w:color="auto" w:fill="FFFFFF"/>
        <w:spacing w:after="0"/>
        <w:jc w:val="both"/>
        <w:textAlignment w:val="baseline"/>
        <w:rPr>
          <w:color w:val="1A1A1A"/>
        </w:rPr>
      </w:pPr>
      <w:r w:rsidRPr="009E7D29">
        <w:rPr>
          <w:color w:val="1A1A1A"/>
        </w:rPr>
        <w:t>Japón</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A mediados de la década de 1990, Japón tenía apenas unos pocos residentes solicitando beneficios sociales, pero en la actualidad un 2% de los japoneses usa esa ayuda.</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La mayor parte de quienes reciben asistencia económica con fondos públicos son personas mayores con pocas probabilidades de hallar empleo.</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lastRenderedPageBreak/>
        <w:t>Aunque ha aumentado el número de personas de todas las edades que acceden a ayudas, el mayor incremento se ha visto en los mayores de 60 años.</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Se trata de un beneficio altamente personalizado, que se calcula sobre la base de la diferencia entre el ingreso real y el costo mínimo de la vida (que incluye gastos de vivienda, educación y salud, entre otros).</w:t>
      </w:r>
    </w:p>
    <w:p w:rsidR="0046536B" w:rsidRPr="00E376E9" w:rsidRDefault="0046536B" w:rsidP="0046536B">
      <w:pPr>
        <w:pStyle w:val="NormalWeb"/>
        <w:shd w:val="clear" w:color="auto" w:fill="FFFFFF"/>
        <w:spacing w:after="0"/>
        <w:jc w:val="both"/>
        <w:textAlignment w:val="baseline"/>
        <w:rPr>
          <w:color w:val="1A1A1A"/>
          <w:u w:val="single"/>
        </w:rPr>
      </w:pPr>
      <w:r w:rsidRPr="00E376E9">
        <w:rPr>
          <w:color w:val="1A1A1A"/>
          <w:u w:val="single"/>
        </w:rPr>
        <w:t>Pero, la asistencia pública también está limitada por cuánta ayuda pueda ofrecer la familia cercana, dado que el Código Civil del país exige a algunos familiares que intenten dar a apoyo a quienes no pueden mantenerse a sí mismos.</w:t>
      </w:r>
    </w:p>
    <w:p w:rsidR="0046536B" w:rsidRPr="009E7D29" w:rsidRDefault="0046536B" w:rsidP="0046536B">
      <w:pPr>
        <w:pStyle w:val="NormalWeb"/>
        <w:shd w:val="clear" w:color="auto" w:fill="FFFFFF"/>
        <w:spacing w:after="0"/>
        <w:jc w:val="both"/>
        <w:textAlignment w:val="baseline"/>
        <w:rPr>
          <w:color w:val="1A1A1A"/>
        </w:rPr>
      </w:pPr>
      <w:r w:rsidRPr="009E7D29">
        <w:rPr>
          <w:color w:val="1A1A1A"/>
        </w:rPr>
        <w:t>Una red menos segura</w:t>
      </w:r>
    </w:p>
    <w:p w:rsidR="0046536B" w:rsidRPr="00E376E9" w:rsidRDefault="0046536B" w:rsidP="0046536B">
      <w:pPr>
        <w:pStyle w:val="NormalWeb"/>
        <w:shd w:val="clear" w:color="auto" w:fill="FFFFFF"/>
        <w:spacing w:after="0"/>
        <w:jc w:val="both"/>
        <w:textAlignment w:val="baseline"/>
        <w:rPr>
          <w:color w:val="FF0000"/>
          <w:u w:val="single"/>
        </w:rPr>
      </w:pPr>
      <w:r w:rsidRPr="00E376E9">
        <w:rPr>
          <w:color w:val="FF0000"/>
          <w:u w:val="single"/>
        </w:rPr>
        <w:t>Una diferencia fundamental entre Estados Unidos y países como Canadá, Francia, Reino Unido y Japón radica en que estos ofrecen beneficios adicionales para apoyar a los niños, en algunos casos con independencia del ingreso.</w:t>
      </w:r>
    </w:p>
    <w:p w:rsidR="0046536B" w:rsidRDefault="0046536B" w:rsidP="0046536B">
      <w:pPr>
        <w:pStyle w:val="NormalWeb"/>
        <w:shd w:val="clear" w:color="auto" w:fill="FFFFFF"/>
        <w:spacing w:before="0" w:beforeAutospacing="0" w:after="0" w:afterAutospacing="0"/>
        <w:jc w:val="both"/>
        <w:textAlignment w:val="baseline"/>
        <w:rPr>
          <w:color w:val="1A1A1A"/>
        </w:rPr>
      </w:pPr>
      <w:r w:rsidRPr="009E7D29">
        <w:rPr>
          <w:color w:val="1A1A1A"/>
        </w:rPr>
        <w:t>Estados Unidos tiene un crédito fiscal por hijos, pero básicamente lo que hace es reducir el pago de impuestos a final de año.</w:t>
      </w:r>
    </w:p>
    <w:p w:rsidR="0046536B" w:rsidRPr="009E5DF4" w:rsidRDefault="0046536B" w:rsidP="0046536B">
      <w:pPr>
        <w:pStyle w:val="NormalWeb"/>
        <w:shd w:val="clear" w:color="auto" w:fill="FFFFFF"/>
        <w:spacing w:before="0" w:beforeAutospacing="0" w:after="0" w:afterAutospacing="0"/>
        <w:jc w:val="both"/>
        <w:textAlignment w:val="baseline"/>
        <w:rPr>
          <w:color w:val="1A1A1A"/>
        </w:rPr>
      </w:pPr>
    </w:p>
    <w:p w:rsidR="0046536B" w:rsidRPr="009E7D29" w:rsidRDefault="0046536B" w:rsidP="0046536B">
      <w:pPr>
        <w:spacing w:after="0" w:line="240" w:lineRule="auto"/>
        <w:jc w:val="both"/>
        <w:rPr>
          <w:rFonts w:ascii="Times New Roman" w:eastAsia="Times New Roman" w:hAnsi="Times New Roman"/>
          <w:sz w:val="24"/>
          <w:szCs w:val="24"/>
        </w:rPr>
      </w:pPr>
      <w:r w:rsidRPr="009E7D29">
        <w:rPr>
          <w:rFonts w:ascii="Times New Roman" w:eastAsia="Times New Roman" w:hAnsi="Times New Roman"/>
          <w:noProof/>
          <w:sz w:val="24"/>
          <w:szCs w:val="24"/>
          <w:bdr w:val="none" w:sz="0" w:space="0" w:color="auto" w:frame="1"/>
          <w:lang w:val="en-GB" w:eastAsia="en-GB"/>
        </w:rPr>
        <w:drawing>
          <wp:inline distT="0" distB="0" distL="0" distR="0">
            <wp:extent cx="5505450" cy="2305050"/>
            <wp:effectExtent l="0" t="0" r="0" b="0"/>
            <wp:docPr id="280" name="Imagen 280" descr="Gráfico de cómo estructuran las ayudas sociales algunos países r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áfico de cómo estructuran las ayudas sociales algunos países ricos."/>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5450" cy="2305050"/>
                    </a:xfrm>
                    <a:prstGeom prst="rect">
                      <a:avLst/>
                    </a:prstGeom>
                    <a:noFill/>
                    <a:ln>
                      <a:noFill/>
                    </a:ln>
                  </pic:spPr>
                </pic:pic>
              </a:graphicData>
            </a:graphic>
          </wp:inline>
        </w:drawing>
      </w:r>
    </w:p>
    <w:p w:rsidR="0046536B" w:rsidRPr="00E376E9" w:rsidRDefault="0046536B" w:rsidP="0046536B">
      <w:pPr>
        <w:shd w:val="clear" w:color="auto" w:fill="FFFFFF"/>
        <w:spacing w:before="270" w:after="0"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color w:val="FF0000"/>
          <w:sz w:val="24"/>
          <w:szCs w:val="24"/>
          <w:u w:val="single"/>
        </w:rPr>
        <w:t>“</w:t>
      </w:r>
      <w:r w:rsidRPr="00E376E9">
        <w:rPr>
          <w:rFonts w:ascii="Times New Roman" w:eastAsia="Times New Roman" w:hAnsi="Times New Roman"/>
          <w:color w:val="FF0000"/>
          <w:sz w:val="24"/>
          <w:szCs w:val="24"/>
          <w:u w:val="single"/>
        </w:rPr>
        <w:t>Todos ellos tiene sistemas de apoyo a la niñez, en algunos casos universales y ot</w:t>
      </w:r>
      <w:r>
        <w:rPr>
          <w:rFonts w:ascii="Times New Roman" w:eastAsia="Times New Roman" w:hAnsi="Times New Roman"/>
          <w:color w:val="FF0000"/>
          <w:sz w:val="24"/>
          <w:szCs w:val="24"/>
          <w:u w:val="single"/>
        </w:rPr>
        <w:t>ros dependiendo de los ingresos”</w:t>
      </w:r>
      <w:r w:rsidRPr="00E376E9">
        <w:rPr>
          <w:rFonts w:ascii="Times New Roman" w:eastAsia="Times New Roman" w:hAnsi="Times New Roman"/>
          <w:sz w:val="24"/>
          <w:szCs w:val="24"/>
          <w:u w:val="single"/>
        </w:rPr>
        <w:t>, señaló Jonathan Bradshaw, profesor emérito de Políticas Sociales y de Trabajo Social en la Universidad de York.</w:t>
      </w:r>
    </w:p>
    <w:p w:rsidR="00BE11FC" w:rsidRDefault="0046536B" w:rsidP="0046536B">
      <w:pPr>
        <w:shd w:val="clear" w:color="auto" w:fill="FFFFFF"/>
        <w:spacing w:before="270" w:after="0" w:line="240" w:lineRule="auto"/>
        <w:jc w:val="both"/>
        <w:textAlignment w:val="baseline"/>
        <w:rPr>
          <w:rFonts w:ascii="Times New Roman" w:eastAsia="Times New Roman" w:hAnsi="Times New Roman"/>
          <w:sz w:val="24"/>
          <w:szCs w:val="24"/>
        </w:rPr>
      </w:pPr>
      <w:r w:rsidRPr="00E376E9">
        <w:rPr>
          <w:rFonts w:ascii="Times New Roman" w:eastAsia="Times New Roman" w:hAnsi="Times New Roman"/>
          <w:color w:val="FF0000"/>
          <w:sz w:val="24"/>
          <w:szCs w:val="24"/>
          <w:u w:val="single"/>
        </w:rPr>
        <w:t>Los cambios en el sistema de bienest</w:t>
      </w:r>
      <w:r>
        <w:rPr>
          <w:rFonts w:ascii="Times New Roman" w:eastAsia="Times New Roman" w:hAnsi="Times New Roman"/>
          <w:color w:val="FF0000"/>
          <w:sz w:val="24"/>
          <w:szCs w:val="24"/>
          <w:u w:val="single"/>
        </w:rPr>
        <w:t>ar en Estados Unidos hacen que “</w:t>
      </w:r>
      <w:r w:rsidRPr="00E376E9">
        <w:rPr>
          <w:rFonts w:ascii="Times New Roman" w:eastAsia="Times New Roman" w:hAnsi="Times New Roman"/>
          <w:color w:val="FF0000"/>
          <w:sz w:val="24"/>
          <w:szCs w:val="24"/>
          <w:u w:val="single"/>
        </w:rPr>
        <w:t>en realidad,</w:t>
      </w:r>
      <w:r>
        <w:rPr>
          <w:rFonts w:ascii="Times New Roman" w:eastAsia="Times New Roman" w:hAnsi="Times New Roman"/>
          <w:color w:val="FF0000"/>
          <w:sz w:val="24"/>
          <w:szCs w:val="24"/>
          <w:u w:val="single"/>
        </w:rPr>
        <w:t xml:space="preserve"> sea menos una red de seguridad”</w:t>
      </w:r>
      <w:r w:rsidRPr="00E376E9">
        <w:rPr>
          <w:rFonts w:ascii="Times New Roman" w:eastAsia="Times New Roman" w:hAnsi="Times New Roman"/>
          <w:color w:val="FF0000"/>
          <w:sz w:val="24"/>
          <w:szCs w:val="24"/>
          <w:u w:val="single"/>
        </w:rPr>
        <w:t xml:space="preserve">, </w:t>
      </w:r>
      <w:r w:rsidRPr="009E7D29">
        <w:rPr>
          <w:rFonts w:ascii="Times New Roman" w:eastAsia="Times New Roman" w:hAnsi="Times New Roman"/>
          <w:sz w:val="24"/>
          <w:szCs w:val="24"/>
        </w:rPr>
        <w:t>según Bradshaw.</w:t>
      </w:r>
      <w:r>
        <w:rPr>
          <w:rFonts w:ascii="Times New Roman" w:eastAsia="Times New Roman" w:hAnsi="Times New Roman"/>
          <w:color w:val="FF0000"/>
          <w:sz w:val="24"/>
          <w:szCs w:val="24"/>
          <w:u w:val="single"/>
        </w:rPr>
        <w:t>“</w:t>
      </w:r>
      <w:r w:rsidRPr="00E376E9">
        <w:rPr>
          <w:rFonts w:ascii="Times New Roman" w:eastAsia="Times New Roman" w:hAnsi="Times New Roman"/>
          <w:color w:val="FF0000"/>
          <w:sz w:val="24"/>
          <w:szCs w:val="24"/>
          <w:u w:val="single"/>
        </w:rPr>
        <w:t>Ante la ausencia de beneficios de apoyo a la infancia, hay mucha más inseguridad d</w:t>
      </w:r>
      <w:r>
        <w:rPr>
          <w:rFonts w:ascii="Times New Roman" w:eastAsia="Times New Roman" w:hAnsi="Times New Roman"/>
          <w:color w:val="FF0000"/>
          <w:sz w:val="24"/>
          <w:szCs w:val="24"/>
          <w:u w:val="single"/>
        </w:rPr>
        <w:t>e la que existe en otros países”</w:t>
      </w:r>
      <w:r w:rsidRPr="009E7D29">
        <w:rPr>
          <w:rFonts w:ascii="Times New Roman" w:eastAsia="Times New Roman" w:hAnsi="Times New Roman"/>
          <w:sz w:val="24"/>
          <w:szCs w:val="24"/>
        </w:rPr>
        <w:t>, concluye.</w:t>
      </w:r>
    </w:p>
    <w:p w:rsidR="006466B6" w:rsidRDefault="006466B6" w:rsidP="0046536B">
      <w:pPr>
        <w:shd w:val="clear" w:color="auto" w:fill="FFFFFF"/>
        <w:spacing w:before="270" w:after="0" w:line="240" w:lineRule="auto"/>
        <w:jc w:val="both"/>
        <w:textAlignment w:val="baseline"/>
        <w:rPr>
          <w:rFonts w:ascii="Times New Roman" w:eastAsia="Times New Roman" w:hAnsi="Times New Roman"/>
          <w:sz w:val="24"/>
          <w:szCs w:val="24"/>
        </w:rPr>
      </w:pPr>
    </w:p>
    <w:p w:rsidR="0046536B" w:rsidRPr="00AE3305" w:rsidRDefault="0046536B" w:rsidP="0046536B">
      <w:pPr>
        <w:spacing w:line="240" w:lineRule="auto"/>
        <w:jc w:val="both"/>
        <w:rPr>
          <w:rFonts w:ascii="Times New Roman" w:hAnsi="Times New Roman"/>
          <w:sz w:val="24"/>
          <w:szCs w:val="24"/>
        </w:rPr>
      </w:pPr>
      <w:r>
        <w:rPr>
          <w:rFonts w:ascii="Times New Roman" w:hAnsi="Times New Roman"/>
          <w:sz w:val="24"/>
          <w:szCs w:val="24"/>
        </w:rPr>
        <w:t xml:space="preserve">- </w:t>
      </w:r>
      <w:r w:rsidRPr="006E36B6">
        <w:rPr>
          <w:rFonts w:ascii="Times New Roman" w:hAnsi="Times New Roman"/>
          <w:sz w:val="24"/>
          <w:szCs w:val="24"/>
          <w:u w:val="single"/>
        </w:rPr>
        <w:t>Cómo la instalación de lavadoras en unas escuelas de Estados Unidos ayudó a reducir el ausentismo un 90%</w:t>
      </w:r>
      <w:r>
        <w:rPr>
          <w:rFonts w:ascii="Times New Roman" w:hAnsi="Times New Roman"/>
          <w:sz w:val="24"/>
          <w:szCs w:val="24"/>
        </w:rPr>
        <w:t xml:space="preserve"> (BBCMundo - </w:t>
      </w:r>
      <w:r w:rsidRPr="00AE3305">
        <w:rPr>
          <w:rFonts w:ascii="Times New Roman" w:hAnsi="Times New Roman"/>
          <w:b/>
          <w:sz w:val="24"/>
          <w:szCs w:val="24"/>
        </w:rPr>
        <w:t>5/9/16</w:t>
      </w:r>
      <w:r>
        <w:rPr>
          <w:rFonts w:ascii="Times New Roman" w:hAnsi="Times New Roman"/>
          <w:sz w:val="24"/>
          <w:szCs w:val="24"/>
        </w:rPr>
        <w:t>)</w:t>
      </w:r>
      <w:r w:rsidR="00BE11FC">
        <w:rPr>
          <w:rFonts w:ascii="Times New Roman" w:hAnsi="Times New Roman"/>
          <w:sz w:val="24"/>
          <w:szCs w:val="24"/>
        </w:rPr>
        <w:t xml:space="preserve">                                   Lectura recomendada</w:t>
      </w:r>
    </w:p>
    <w:p w:rsidR="0046536B" w:rsidRDefault="0046536B" w:rsidP="0046536B">
      <w:pPr>
        <w:spacing w:line="240" w:lineRule="auto"/>
        <w:jc w:val="both"/>
        <w:rPr>
          <w:rFonts w:ascii="Times New Roman" w:hAnsi="Times New Roman"/>
          <w:sz w:val="24"/>
          <w:szCs w:val="24"/>
        </w:rPr>
      </w:pPr>
      <w:r>
        <w:rPr>
          <w:rFonts w:ascii="Times New Roman" w:hAnsi="Times New Roman"/>
          <w:sz w:val="24"/>
          <w:szCs w:val="24"/>
        </w:rPr>
        <w:t xml:space="preserve">(Por </w:t>
      </w:r>
      <w:r w:rsidRPr="00AE3305">
        <w:rPr>
          <w:rFonts w:ascii="Times New Roman" w:hAnsi="Times New Roman"/>
          <w:sz w:val="24"/>
          <w:szCs w:val="24"/>
        </w:rPr>
        <w:t>Beatriz Díez</w:t>
      </w:r>
      <w:r>
        <w:rPr>
          <w:rFonts w:ascii="Times New Roman" w:hAnsi="Times New Roman"/>
          <w:sz w:val="24"/>
          <w:szCs w:val="24"/>
        </w:rPr>
        <w:t>)</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¿Qué tendrá que ver un aparato tan cotidiano como una lavadora con un problema tan importante como la falta de asistencia de los menores a clase?</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lastRenderedPageBreak/>
        <w:t>Más de lo que se puede pensar en un principio.En el caso de una serie de escuelas de varios distritos humildes de Estados Unidos, el hecho de contar con un set de lavadora y secadora en el centro educativo hizo que se redujera drásticamente el ausentismo escolar.</w:t>
      </w:r>
    </w:p>
    <w:p w:rsidR="0046536B" w:rsidRPr="007E1902"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Y la conexión está en testimonios como el de Vanessa, una niña de 10 años.</w:t>
      </w:r>
      <w:r w:rsidRPr="004501DA">
        <w:rPr>
          <w:rFonts w:ascii="Times New Roman" w:hAnsi="Times New Roman"/>
          <w:color w:val="FF0000"/>
          <w:sz w:val="24"/>
          <w:szCs w:val="24"/>
          <w:u w:val="single"/>
        </w:rPr>
        <w:t xml:space="preserve">“Cuando me levanto por la mañana y veo que no tengo ropa limpia normalmente termino quedándome en casa”, </w:t>
      </w:r>
      <w:r w:rsidRPr="007E1902">
        <w:rPr>
          <w:rFonts w:ascii="Times New Roman" w:hAnsi="Times New Roman"/>
          <w:sz w:val="24"/>
          <w:szCs w:val="24"/>
          <w:u w:val="single"/>
        </w:rPr>
        <w:t>cuenta.</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Razón para quedarse en casa</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El ausentismo escolar se suele juzgar desde fuera como un síntoma de pereza o una consecuencia de falta de estructura en la familia del menor.Pero en algunos casos, la causa de ese ausentismo es algo tan sencillo y a la vez tan difícil de identificar desde fuera como la falta de ropa limpia.</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Ante este panorama, la empresa de electrodomésticos Whirlpool intervino a través del Whirlpool Care Counts Program con un original proyecto: donó 17 pares de lavadoras y secadoras a distritos escolares de San Luis, Misuri, y Fairfield, California.</w:t>
      </w:r>
    </w:p>
    <w:p w:rsidR="0046536B" w:rsidRPr="004501DA" w:rsidRDefault="0046536B" w:rsidP="0046536B">
      <w:pPr>
        <w:spacing w:line="240" w:lineRule="auto"/>
        <w:jc w:val="both"/>
        <w:rPr>
          <w:rFonts w:ascii="Times New Roman" w:hAnsi="Times New Roman"/>
          <w:color w:val="FF0000"/>
          <w:sz w:val="24"/>
          <w:szCs w:val="24"/>
          <w:u w:val="single"/>
        </w:rPr>
      </w:pPr>
      <w:r w:rsidRPr="004501DA">
        <w:rPr>
          <w:rFonts w:ascii="Times New Roman" w:hAnsi="Times New Roman"/>
          <w:color w:val="FF0000"/>
          <w:sz w:val="24"/>
          <w:szCs w:val="24"/>
          <w:u w:val="single"/>
        </w:rPr>
        <w:t>Las escuelas invitaron a niños con problemas de asistencia a traer su ropa para lavarla mientras están en clase y el resultado fue extraordinario: el ausentismo se redujo un 90%.“En cuanto empezamos a traer la ropa, la asistencia mejoró casi de inmediato”, le dice a BBC Mundo Alison Guernsey, profesora de 7º grado (alumnos de 12-13 años) en la escuela David Weir en Fairfield, California.</w:t>
      </w:r>
    </w:p>
    <w:p w:rsidR="0046536B" w:rsidRPr="00BE11FC"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La profesora californiana sintió que sus alumnos se podían ver particularmente beneficiados.</w:t>
      </w:r>
      <w:r w:rsidRPr="004501DA">
        <w:rPr>
          <w:rFonts w:ascii="Times New Roman" w:hAnsi="Times New Roman"/>
          <w:color w:val="FF0000"/>
          <w:sz w:val="24"/>
          <w:szCs w:val="24"/>
          <w:u w:val="single"/>
        </w:rPr>
        <w:t>“Frecuentemente estos estudiantes son responsables de levantarse por las mañanas y prepararse para venir a la escuela por su cuenta, m</w:t>
      </w:r>
      <w:r w:rsidR="006466B6">
        <w:rPr>
          <w:rFonts w:ascii="Times New Roman" w:hAnsi="Times New Roman"/>
          <w:color w:val="FF0000"/>
          <w:sz w:val="24"/>
          <w:szCs w:val="24"/>
          <w:u w:val="single"/>
        </w:rPr>
        <w:t xml:space="preserve">uchos de ellos vienen </w:t>
      </w:r>
      <w:r w:rsidR="005337CB">
        <w:rPr>
          <w:rFonts w:ascii="Times New Roman" w:hAnsi="Times New Roman"/>
          <w:color w:val="FF0000"/>
          <w:sz w:val="24"/>
          <w:szCs w:val="24"/>
          <w:u w:val="single"/>
        </w:rPr>
        <w:t>caminando</w:t>
      </w:r>
      <w:r w:rsidR="006466B6">
        <w:rPr>
          <w:rFonts w:ascii="Times New Roman" w:hAnsi="Times New Roman"/>
          <w:color w:val="FF0000"/>
          <w:sz w:val="24"/>
          <w:szCs w:val="24"/>
          <w:u w:val="single"/>
        </w:rPr>
        <w:t>”</w:t>
      </w:r>
      <w:r w:rsidRPr="004501DA">
        <w:rPr>
          <w:rFonts w:ascii="Times New Roman" w:hAnsi="Times New Roman"/>
          <w:color w:val="FF0000"/>
          <w:sz w:val="24"/>
          <w:szCs w:val="24"/>
          <w:u w:val="single"/>
        </w:rPr>
        <w:t>, explica.“Si no tienen las cosas que necesitan incluida ropa limpiasimplemente no vienen a clase, así que el hecho de poder lavar la ropa en la escuela tuvo un impacto muy fuerte”.</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Un asunto delicado</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Si se compara con factores como el desempleo, la falta de oportunidades económicas o el racismo institucional, la colada puede parecer algo insignificante en la lucha por mantener a los niños en clase.</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Pero aunque ese puede ser el caso para los padres, para un niño de 10 años que ya tiene otros problemas, no tener nada limpio que vestir puede ser el factor decisivo para no querer ver a sus compañeros, o que lo vean.</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Precisamente por ese componente de vergüenza que puede acompañar la falta de ropa limpia, en la escuela de Alison Guernsey trataron el tema con mucha discreción.</w:t>
      </w:r>
    </w:p>
    <w:p w:rsidR="0046536B" w:rsidRPr="006E36B6" w:rsidRDefault="0046536B" w:rsidP="0046536B">
      <w:pPr>
        <w:spacing w:line="240" w:lineRule="auto"/>
        <w:jc w:val="both"/>
        <w:rPr>
          <w:rFonts w:ascii="Times New Roman" w:hAnsi="Times New Roman"/>
          <w:sz w:val="24"/>
          <w:szCs w:val="24"/>
        </w:rPr>
      </w:pPr>
      <w:r>
        <w:rPr>
          <w:rFonts w:ascii="Times New Roman" w:hAnsi="Times New Roman"/>
          <w:sz w:val="24"/>
          <w:szCs w:val="24"/>
        </w:rPr>
        <w:t>“</w:t>
      </w:r>
      <w:r w:rsidRPr="006E36B6">
        <w:rPr>
          <w:rFonts w:ascii="Times New Roman" w:hAnsi="Times New Roman"/>
          <w:sz w:val="24"/>
          <w:szCs w:val="24"/>
        </w:rPr>
        <w:t>Nos acercamos personalmente a los niños que tenían más problemas de asistencia y les ofrecimos la posibilidad de participar en el programa.</w:t>
      </w:r>
      <w:r>
        <w:rPr>
          <w:rFonts w:ascii="Times New Roman" w:hAnsi="Times New Roman"/>
          <w:sz w:val="24"/>
          <w:szCs w:val="24"/>
        </w:rPr>
        <w:t>“</w:t>
      </w:r>
      <w:r w:rsidRPr="006E36B6">
        <w:rPr>
          <w:rFonts w:ascii="Times New Roman" w:hAnsi="Times New Roman"/>
          <w:sz w:val="24"/>
          <w:szCs w:val="24"/>
        </w:rPr>
        <w:t>Nos pareció la mejor manera de manejar la situación ya que creo, especialmente como madre, que a nadie le gusta ser juzg</w:t>
      </w:r>
      <w:r>
        <w:rPr>
          <w:rFonts w:ascii="Times New Roman" w:hAnsi="Times New Roman"/>
          <w:sz w:val="24"/>
          <w:szCs w:val="24"/>
        </w:rPr>
        <w:t>ado. Es delicado cómo se aborda”</w:t>
      </w:r>
      <w:r w:rsidRPr="006E36B6">
        <w:rPr>
          <w:rFonts w:ascii="Times New Roman" w:hAnsi="Times New Roman"/>
          <w:sz w:val="24"/>
          <w:szCs w:val="24"/>
        </w:rPr>
        <w:t>, sostiene.</w:t>
      </w:r>
    </w:p>
    <w:p w:rsidR="00BE11FC" w:rsidRDefault="0046536B" w:rsidP="0046536B">
      <w:pPr>
        <w:spacing w:line="240" w:lineRule="auto"/>
        <w:jc w:val="both"/>
        <w:rPr>
          <w:rFonts w:ascii="Times New Roman" w:hAnsi="Times New Roman"/>
          <w:sz w:val="24"/>
          <w:szCs w:val="24"/>
        </w:rPr>
      </w:pPr>
      <w:r>
        <w:rPr>
          <w:rFonts w:ascii="Times New Roman" w:hAnsi="Times New Roman"/>
          <w:sz w:val="24"/>
          <w:szCs w:val="24"/>
        </w:rPr>
        <w:t>“</w:t>
      </w:r>
      <w:r w:rsidRPr="006E36B6">
        <w:rPr>
          <w:rFonts w:ascii="Times New Roman" w:hAnsi="Times New Roman"/>
          <w:sz w:val="24"/>
          <w:szCs w:val="24"/>
        </w:rPr>
        <w:t>Algunas familias no tienen acceso a una lavadora y secadora, a lo mejor porque viven en un apartamento y tienen que pagar extra por usarla o a veces simplemente porque no funciona. Esto l</w:t>
      </w:r>
      <w:r>
        <w:rPr>
          <w:rFonts w:ascii="Times New Roman" w:hAnsi="Times New Roman"/>
          <w:sz w:val="24"/>
          <w:szCs w:val="24"/>
        </w:rPr>
        <w:t>es ayudó a eliminar una barrera”</w:t>
      </w:r>
      <w:r w:rsidRPr="006E36B6">
        <w:rPr>
          <w:rFonts w:ascii="Times New Roman" w:hAnsi="Times New Roman"/>
          <w:sz w:val="24"/>
          <w:szCs w:val="24"/>
        </w:rPr>
        <w:t>.</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lastRenderedPageBreak/>
        <w:t>Cómo funciona</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La ropa la puede llevar el propio niño al colegio o la pueden entregar sus padres una vez que han empezado las clases, lo que sea más adecuado a la necesidades de cada familia.</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El nivel de discreción se mantiene, según afirma Guernsey.</w:t>
      </w:r>
      <w:r>
        <w:rPr>
          <w:rFonts w:ascii="Times New Roman" w:hAnsi="Times New Roman"/>
          <w:sz w:val="24"/>
          <w:szCs w:val="24"/>
        </w:rPr>
        <w:t>“</w:t>
      </w:r>
      <w:r w:rsidRPr="006E36B6">
        <w:rPr>
          <w:rFonts w:ascii="Times New Roman" w:hAnsi="Times New Roman"/>
          <w:sz w:val="24"/>
          <w:szCs w:val="24"/>
        </w:rPr>
        <w:t>No tengo noticia de que otros chicos sepan lo que está pasando, lo manejamos con tanta dis</w:t>
      </w:r>
      <w:r>
        <w:rPr>
          <w:rFonts w:ascii="Times New Roman" w:hAnsi="Times New Roman"/>
          <w:sz w:val="24"/>
          <w:szCs w:val="24"/>
        </w:rPr>
        <w:t>creción que no es algo aparente”</w:t>
      </w:r>
      <w:r w:rsidRPr="006E36B6">
        <w:rPr>
          <w:rFonts w:ascii="Times New Roman" w:hAnsi="Times New Roman"/>
          <w:sz w:val="24"/>
          <w:szCs w:val="24"/>
        </w:rPr>
        <w:t>, cuenta.</w:t>
      </w:r>
      <w:r>
        <w:rPr>
          <w:rFonts w:ascii="Times New Roman" w:hAnsi="Times New Roman"/>
          <w:sz w:val="24"/>
          <w:szCs w:val="24"/>
        </w:rPr>
        <w:t>“</w:t>
      </w:r>
      <w:r w:rsidRPr="006E36B6">
        <w:rPr>
          <w:rFonts w:ascii="Times New Roman" w:hAnsi="Times New Roman"/>
          <w:sz w:val="24"/>
          <w:szCs w:val="24"/>
        </w:rPr>
        <w:t>Los niños no aparecen con una gran</w:t>
      </w:r>
      <w:r>
        <w:rPr>
          <w:rFonts w:ascii="Times New Roman" w:hAnsi="Times New Roman"/>
          <w:sz w:val="24"/>
          <w:szCs w:val="24"/>
        </w:rPr>
        <w:t xml:space="preserve"> bolsa llena de ropa para lavar”</w:t>
      </w:r>
      <w:r w:rsidRPr="006E36B6">
        <w:rPr>
          <w:rFonts w:ascii="Times New Roman" w:hAnsi="Times New Roman"/>
          <w:sz w:val="24"/>
          <w:szCs w:val="24"/>
        </w:rPr>
        <w:t>, aclara entre risas.</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Efecto inmediato</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El éxito de la iniciativa no se mide sólo por las cifras que constatan esa aguda caída del ausentismo escolar.Se refleja sobre todo en la sonrisa de los niños y en el notable cambio de actitud que notan los profesores.</w:t>
      </w:r>
    </w:p>
    <w:p w:rsidR="0046536B" w:rsidRPr="006E36B6" w:rsidRDefault="0046536B" w:rsidP="0046536B">
      <w:pPr>
        <w:spacing w:line="240" w:lineRule="auto"/>
        <w:jc w:val="both"/>
        <w:rPr>
          <w:rFonts w:ascii="Times New Roman" w:hAnsi="Times New Roman"/>
          <w:sz w:val="24"/>
          <w:szCs w:val="24"/>
        </w:rPr>
      </w:pPr>
      <w:r>
        <w:rPr>
          <w:rFonts w:ascii="Times New Roman" w:hAnsi="Times New Roman"/>
          <w:sz w:val="24"/>
          <w:szCs w:val="24"/>
        </w:rPr>
        <w:t>“</w:t>
      </w:r>
      <w:r w:rsidRPr="006E36B6">
        <w:rPr>
          <w:rFonts w:ascii="Times New Roman" w:hAnsi="Times New Roman"/>
          <w:sz w:val="24"/>
          <w:szCs w:val="24"/>
        </w:rPr>
        <w:t xml:space="preserve">Nos dimos cuenta de que los chicos eran mucho más felices, estaban en clase, mostraban una </w:t>
      </w:r>
      <w:r>
        <w:rPr>
          <w:rFonts w:ascii="Times New Roman" w:hAnsi="Times New Roman"/>
          <w:sz w:val="24"/>
          <w:szCs w:val="24"/>
        </w:rPr>
        <w:t>confianza que no siempre tenían”</w:t>
      </w:r>
      <w:r w:rsidRPr="006E36B6">
        <w:rPr>
          <w:rFonts w:ascii="Times New Roman" w:hAnsi="Times New Roman"/>
          <w:sz w:val="24"/>
          <w:szCs w:val="24"/>
        </w:rPr>
        <w:t>, señala Guernsey.</w:t>
      </w:r>
      <w:r>
        <w:rPr>
          <w:rFonts w:ascii="Times New Roman" w:hAnsi="Times New Roman"/>
          <w:sz w:val="24"/>
          <w:szCs w:val="24"/>
        </w:rPr>
        <w:t>“</w:t>
      </w:r>
      <w:r w:rsidRPr="006E36B6">
        <w:rPr>
          <w:rFonts w:ascii="Times New Roman" w:hAnsi="Times New Roman"/>
          <w:sz w:val="24"/>
          <w:szCs w:val="24"/>
        </w:rPr>
        <w:t>Estoy pensando en un par de estudiantes en particular que se veían diferentes de los otros chicos, realmente más tímidos en clase, muy poco participativos.Después de haber participado en el programa eran más abiertos, se notaba en las sonrisa</w:t>
      </w:r>
      <w:r>
        <w:rPr>
          <w:rFonts w:ascii="Times New Roman" w:hAnsi="Times New Roman"/>
          <w:sz w:val="24"/>
          <w:szCs w:val="24"/>
        </w:rPr>
        <w:t>s de sus caras, estaban felices”</w:t>
      </w:r>
      <w:r w:rsidRPr="006E36B6">
        <w:rPr>
          <w:rFonts w:ascii="Times New Roman" w:hAnsi="Times New Roman"/>
          <w:sz w:val="24"/>
          <w:szCs w:val="24"/>
        </w:rPr>
        <w:t>.</w:t>
      </w:r>
    </w:p>
    <w:p w:rsidR="0046536B" w:rsidRPr="006E36B6"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La pequeña Vanessa, que participó e</w:t>
      </w:r>
      <w:r>
        <w:rPr>
          <w:rFonts w:ascii="Times New Roman" w:hAnsi="Times New Roman"/>
          <w:sz w:val="24"/>
          <w:szCs w:val="24"/>
        </w:rPr>
        <w:t>n el programa, lo tiene claro: “</w:t>
      </w:r>
      <w:r w:rsidRPr="006E36B6">
        <w:rPr>
          <w:rFonts w:ascii="Times New Roman" w:hAnsi="Times New Roman"/>
          <w:sz w:val="24"/>
          <w:szCs w:val="24"/>
        </w:rPr>
        <w:t>Sentí que no tenía que preocuparme de nada más qu</w:t>
      </w:r>
      <w:r>
        <w:rPr>
          <w:rFonts w:ascii="Times New Roman" w:hAnsi="Times New Roman"/>
          <w:sz w:val="24"/>
          <w:szCs w:val="24"/>
        </w:rPr>
        <w:t>e de estar en clase aprendiendo”</w:t>
      </w:r>
      <w:r w:rsidRPr="006E36B6">
        <w:rPr>
          <w:rFonts w:ascii="Times New Roman" w:hAnsi="Times New Roman"/>
          <w:sz w:val="24"/>
          <w:szCs w:val="24"/>
        </w:rPr>
        <w:t>, cuenta.</w:t>
      </w:r>
      <w:r>
        <w:rPr>
          <w:rFonts w:ascii="Times New Roman" w:hAnsi="Times New Roman"/>
          <w:sz w:val="24"/>
          <w:szCs w:val="24"/>
        </w:rPr>
        <w:t>“</w:t>
      </w:r>
      <w:r w:rsidRPr="006E36B6">
        <w:rPr>
          <w:rFonts w:ascii="Times New Roman" w:hAnsi="Times New Roman"/>
          <w:sz w:val="24"/>
          <w:szCs w:val="24"/>
        </w:rPr>
        <w:t>Tener la lavadora y la secadora en la escuela significa que no tengo que preocuparme por la ropa sucia; me hace sentir má</w:t>
      </w:r>
      <w:r>
        <w:rPr>
          <w:rFonts w:ascii="Times New Roman" w:hAnsi="Times New Roman"/>
          <w:sz w:val="24"/>
          <w:szCs w:val="24"/>
        </w:rPr>
        <w:t>s ilusionada y que encajo mejor”</w:t>
      </w:r>
      <w:r w:rsidRPr="006E36B6">
        <w:rPr>
          <w:rFonts w:ascii="Times New Roman" w:hAnsi="Times New Roman"/>
          <w:sz w:val="24"/>
          <w:szCs w:val="24"/>
        </w:rPr>
        <w:t>.</w:t>
      </w:r>
    </w:p>
    <w:p w:rsidR="00BE11FC" w:rsidRDefault="0046536B" w:rsidP="0046536B">
      <w:pPr>
        <w:spacing w:line="240" w:lineRule="auto"/>
        <w:jc w:val="both"/>
        <w:rPr>
          <w:rFonts w:ascii="Times New Roman" w:hAnsi="Times New Roman"/>
          <w:sz w:val="24"/>
          <w:szCs w:val="24"/>
        </w:rPr>
      </w:pPr>
      <w:r w:rsidRPr="006E36B6">
        <w:rPr>
          <w:rFonts w:ascii="Times New Roman" w:hAnsi="Times New Roman"/>
          <w:sz w:val="24"/>
          <w:szCs w:val="24"/>
        </w:rPr>
        <w:t>Los padres son también bastante favorables al proyecto, están contentos de tener este recurso para ellos.Para muchos de ellos, que tienen que esforzarse día a día para alimentar a sus hijos y garantizar su salud, un viaje de dos horas a una lavandería puede ser un lujo prescindible del que ahora ya no tienen que preocuparse.</w:t>
      </w:r>
    </w:p>
    <w:p w:rsidR="0046536B" w:rsidRDefault="0046536B" w:rsidP="0046536B">
      <w:pPr>
        <w:spacing w:line="240" w:lineRule="auto"/>
        <w:jc w:val="both"/>
        <w:rPr>
          <w:rFonts w:ascii="Times New Roman" w:hAnsi="Times New Roman"/>
          <w:sz w:val="24"/>
          <w:szCs w:val="24"/>
        </w:rPr>
      </w:pPr>
      <w:r>
        <w:rPr>
          <w:rFonts w:ascii="Times New Roman" w:hAnsi="Times New Roman"/>
          <w:sz w:val="24"/>
          <w:szCs w:val="24"/>
        </w:rPr>
        <w:t xml:space="preserve">- </w:t>
      </w:r>
      <w:r w:rsidRPr="007106D3">
        <w:rPr>
          <w:rFonts w:ascii="Times New Roman" w:hAnsi="Times New Roman"/>
          <w:sz w:val="24"/>
          <w:szCs w:val="24"/>
          <w:u w:val="single"/>
        </w:rPr>
        <w:t>¿La tierra de las oportunidades? Cuáles son las ciudades más desiguales de Estados Unidos</w:t>
      </w:r>
      <w:r>
        <w:rPr>
          <w:rFonts w:ascii="Times New Roman" w:hAnsi="Times New Roman"/>
          <w:sz w:val="24"/>
          <w:szCs w:val="24"/>
        </w:rPr>
        <w:t xml:space="preserve"> (BBCMundo - </w:t>
      </w:r>
      <w:r w:rsidRPr="007106D3">
        <w:rPr>
          <w:rFonts w:ascii="Times New Roman" w:hAnsi="Times New Roman"/>
          <w:b/>
          <w:sz w:val="24"/>
          <w:szCs w:val="24"/>
        </w:rPr>
        <w:t>5/9/16</w:t>
      </w:r>
      <w:r>
        <w:rPr>
          <w:rFonts w:ascii="Times New Roman" w:hAnsi="Times New Roman"/>
          <w:sz w:val="24"/>
          <w:szCs w:val="24"/>
        </w:rPr>
        <w:t>)</w:t>
      </w:r>
      <w:r w:rsidR="00BE11FC">
        <w:rPr>
          <w:rFonts w:ascii="Times New Roman" w:hAnsi="Times New Roman"/>
          <w:sz w:val="24"/>
          <w:szCs w:val="24"/>
        </w:rPr>
        <w:t xml:space="preserve">                                                          Lectura recomendada</w:t>
      </w:r>
    </w:p>
    <w:p w:rsidR="0046536B" w:rsidRPr="003A28C9"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Estados Unidos está cambiando aceleradamente y una de las tendencias que más inquietud produce es que esa nación que siempre se ha autodefinido como la tierra de las oportunidades, es cada vez más desigual.</w:t>
      </w:r>
    </w:p>
    <w:p w:rsidR="0046536B" w:rsidRPr="003A28C9"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Dentro de ese extenso país, la desigualdad está afectando de manera p</w:t>
      </w:r>
      <w:r w:rsidR="00A611C0">
        <w:rPr>
          <w:rFonts w:ascii="Times New Roman" w:hAnsi="Times New Roman"/>
          <w:sz w:val="24"/>
          <w:szCs w:val="24"/>
        </w:rPr>
        <w:t xml:space="preserve">articular a distintas ciudades. </w:t>
      </w:r>
      <w:r w:rsidRPr="003A28C9">
        <w:rPr>
          <w:rFonts w:ascii="Times New Roman" w:hAnsi="Times New Roman"/>
          <w:sz w:val="24"/>
          <w:szCs w:val="24"/>
        </w:rPr>
        <w:t>Mientras en algunas se mantiene todavía hasta cierto punto el ideal de una sociedad sin tantos extremos, con una clase media sólida y abundante, en otras urbes estadounidenses se siente cada vez más la polarización entr</w:t>
      </w:r>
      <w:r w:rsidR="00A611C0">
        <w:rPr>
          <w:rFonts w:ascii="Times New Roman" w:hAnsi="Times New Roman"/>
          <w:sz w:val="24"/>
          <w:szCs w:val="24"/>
        </w:rPr>
        <w:t xml:space="preserve">e pobres y mega-ricos. </w:t>
      </w:r>
      <w:r w:rsidRPr="003A28C9">
        <w:rPr>
          <w:rFonts w:ascii="Times New Roman" w:hAnsi="Times New Roman"/>
          <w:sz w:val="24"/>
          <w:szCs w:val="24"/>
        </w:rPr>
        <w:t>Un problema que antes era más asociado con las naciones del llamado Tercer Mundo, pero que hoy es un mal crecientemente universal.</w:t>
      </w:r>
    </w:p>
    <w:p w:rsidR="00BE11FC" w:rsidRPr="00E11B1B" w:rsidRDefault="0046536B" w:rsidP="0046536B">
      <w:pPr>
        <w:spacing w:line="240" w:lineRule="auto"/>
        <w:jc w:val="both"/>
        <w:rPr>
          <w:rFonts w:ascii="Times New Roman" w:hAnsi="Times New Roman"/>
          <w:color w:val="FF0000"/>
          <w:sz w:val="24"/>
          <w:szCs w:val="24"/>
          <w:u w:val="single"/>
        </w:rPr>
      </w:pPr>
      <w:r w:rsidRPr="00E11B1B">
        <w:rPr>
          <w:rFonts w:ascii="Times New Roman" w:hAnsi="Times New Roman"/>
          <w:color w:val="FF0000"/>
          <w:sz w:val="24"/>
          <w:szCs w:val="24"/>
          <w:u w:val="single"/>
        </w:rPr>
        <w:t>Según datos calculados por la Encuesta de Comunidades del Buró del Censo de Estados Unidos y citados por la agencia Bloomberg, la ciudad más desigual en Estados Unidos es Nueva Orleans.</w:t>
      </w:r>
    </w:p>
    <w:p w:rsidR="0046536B" w:rsidRPr="003A28C9"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Como en Zambia</w:t>
      </w:r>
    </w:p>
    <w:p w:rsidR="0046536B" w:rsidRPr="003A28C9"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 xml:space="preserve">Para medir la desigualdad, el estudio del censo utiliza el llamado Coeficiente de Gini, en donde una comunidad con desigualdad absoluta, (es decir, donde una sola persona es </w:t>
      </w:r>
      <w:r w:rsidRPr="003A28C9">
        <w:rPr>
          <w:rFonts w:ascii="Times New Roman" w:hAnsi="Times New Roman"/>
          <w:sz w:val="24"/>
          <w:szCs w:val="24"/>
        </w:rPr>
        <w:lastRenderedPageBreak/>
        <w:t>dueña de toda la riqueza) tendría un puntaje de 1,0, mientras que la sociedad más igualitaria tendría un puntaje cercano a cero.</w:t>
      </w:r>
    </w:p>
    <w:p w:rsidR="0046536B" w:rsidRPr="00A611C0" w:rsidRDefault="0046536B" w:rsidP="0046536B">
      <w:pPr>
        <w:spacing w:line="240" w:lineRule="auto"/>
        <w:jc w:val="both"/>
        <w:rPr>
          <w:rFonts w:ascii="Times New Roman" w:hAnsi="Times New Roman"/>
          <w:color w:val="FF0000"/>
          <w:sz w:val="24"/>
          <w:szCs w:val="24"/>
          <w:u w:val="single"/>
        </w:rPr>
      </w:pPr>
      <w:r w:rsidRPr="00E11B1B">
        <w:rPr>
          <w:rFonts w:ascii="Times New Roman" w:hAnsi="Times New Roman"/>
          <w:color w:val="FF0000"/>
          <w:sz w:val="24"/>
          <w:szCs w:val="24"/>
          <w:u w:val="single"/>
        </w:rPr>
        <w:t>De acuerdo al Censo, Nueva Orleans obtiene un coeficiente de Gini de casi 0,58, ligeramente mejor que el de Haití y similar al nivel de desigualdad de Zambia, según</w:t>
      </w:r>
      <w:r w:rsidR="00A611C0">
        <w:rPr>
          <w:rFonts w:ascii="Times New Roman" w:hAnsi="Times New Roman"/>
          <w:color w:val="FF0000"/>
          <w:sz w:val="24"/>
          <w:szCs w:val="24"/>
          <w:u w:val="single"/>
        </w:rPr>
        <w:t xml:space="preserve"> datos del sitio web de la CIA. </w:t>
      </w:r>
      <w:r w:rsidRPr="003A28C9">
        <w:rPr>
          <w:rFonts w:ascii="Times New Roman" w:hAnsi="Times New Roman"/>
          <w:sz w:val="24"/>
          <w:szCs w:val="24"/>
        </w:rPr>
        <w:t>Honduras, la nación más desigual de América hispanoparlante, con 0,57 tiene un puntaje mejor que el de Nueva Orleans.</w:t>
      </w:r>
    </w:p>
    <w:p w:rsidR="00A611C0" w:rsidRDefault="0046536B" w:rsidP="0046536B">
      <w:pPr>
        <w:spacing w:line="240" w:lineRule="auto"/>
        <w:jc w:val="both"/>
        <w:rPr>
          <w:rFonts w:ascii="Times New Roman" w:hAnsi="Times New Roman"/>
          <w:sz w:val="24"/>
          <w:szCs w:val="24"/>
        </w:rPr>
      </w:pPr>
      <w:r w:rsidRPr="00E11B1B">
        <w:rPr>
          <w:rFonts w:ascii="Times New Roman" w:hAnsi="Times New Roman"/>
          <w:sz w:val="24"/>
          <w:szCs w:val="24"/>
          <w:u w:val="single"/>
        </w:rPr>
        <w:t>Que Nueva Orleans sea la campeona de la desigualdad en Estados Unidos no sorprendería a muchos dada la comple</w:t>
      </w:r>
      <w:r w:rsidR="00A611C0">
        <w:rPr>
          <w:rFonts w:ascii="Times New Roman" w:hAnsi="Times New Roman"/>
          <w:sz w:val="24"/>
          <w:szCs w:val="24"/>
          <w:u w:val="single"/>
        </w:rPr>
        <w:t xml:space="preserve">ja historia racial en esa urbe. </w:t>
      </w:r>
      <w:r w:rsidRPr="003A28C9">
        <w:rPr>
          <w:rFonts w:ascii="Times New Roman" w:hAnsi="Times New Roman"/>
          <w:sz w:val="24"/>
          <w:szCs w:val="24"/>
        </w:rPr>
        <w:t>En este país, las tensiones de clase muy frecuentemente se han expresado a trav</w:t>
      </w:r>
      <w:r w:rsidR="00A611C0">
        <w:rPr>
          <w:rFonts w:ascii="Times New Roman" w:hAnsi="Times New Roman"/>
          <w:sz w:val="24"/>
          <w:szCs w:val="24"/>
        </w:rPr>
        <w:t xml:space="preserve">és de las diferencias raciales. </w:t>
      </w:r>
    </w:p>
    <w:p w:rsidR="0046536B" w:rsidRPr="00A611C0" w:rsidRDefault="0046536B" w:rsidP="0046536B">
      <w:pPr>
        <w:spacing w:line="240" w:lineRule="auto"/>
        <w:jc w:val="both"/>
        <w:rPr>
          <w:rFonts w:ascii="Times New Roman" w:hAnsi="Times New Roman"/>
          <w:sz w:val="24"/>
          <w:szCs w:val="24"/>
          <w:u w:val="single"/>
        </w:rPr>
      </w:pPr>
      <w:r w:rsidRPr="00E11B1B">
        <w:rPr>
          <w:rFonts w:ascii="Times New Roman" w:hAnsi="Times New Roman"/>
          <w:sz w:val="24"/>
          <w:szCs w:val="24"/>
          <w:u w:val="single"/>
        </w:rPr>
        <w:t>Todos recuerdan las imágenes de hace una década del desastre del huracán Katrina en esa ciudad, que expresaron la desigualdad racial de una manera especialmente dramática.</w:t>
      </w:r>
      <w:r w:rsidRPr="003A28C9">
        <w:rPr>
          <w:rFonts w:ascii="Times New Roman" w:hAnsi="Times New Roman"/>
          <w:sz w:val="24"/>
          <w:szCs w:val="24"/>
        </w:rPr>
        <w:t>En muchos casos, los habitantes blancos de la ciudad pudieron huir del desastre, mientras que cientos de miles de afroestadounidenses tuvieron que quedarse en Nueva Orleans y lidiar con las consecuencias de la tormenta.</w:t>
      </w:r>
    </w:p>
    <w:p w:rsidR="0046536B" w:rsidRPr="003A28C9"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Prósperas pero desiguales</w:t>
      </w:r>
    </w:p>
    <w:p w:rsidR="0046536B" w:rsidRPr="00E11B1B" w:rsidRDefault="0046536B" w:rsidP="0046536B">
      <w:pPr>
        <w:spacing w:line="240" w:lineRule="auto"/>
        <w:jc w:val="both"/>
        <w:rPr>
          <w:rFonts w:ascii="Times New Roman" w:hAnsi="Times New Roman"/>
          <w:color w:val="FF0000"/>
          <w:sz w:val="24"/>
          <w:szCs w:val="24"/>
          <w:u w:val="single"/>
        </w:rPr>
      </w:pPr>
      <w:r w:rsidRPr="00E11B1B">
        <w:rPr>
          <w:rFonts w:ascii="Times New Roman" w:hAnsi="Times New Roman"/>
          <w:color w:val="FF0000"/>
          <w:sz w:val="24"/>
          <w:szCs w:val="24"/>
          <w:u w:val="single"/>
        </w:rPr>
        <w:t>El segundo lugar en la lista de desigualdad corresponde a Atlanta, otra ciudad del sur de Estados Unidos con una compleja historia de conflicto racial.</w:t>
      </w:r>
    </w:p>
    <w:p w:rsidR="0046536B" w:rsidRPr="00E11B1B" w:rsidRDefault="0046536B" w:rsidP="0046536B">
      <w:pPr>
        <w:spacing w:line="240" w:lineRule="auto"/>
        <w:jc w:val="both"/>
        <w:rPr>
          <w:rFonts w:ascii="Times New Roman" w:hAnsi="Times New Roman"/>
          <w:color w:val="FF0000"/>
          <w:sz w:val="24"/>
          <w:szCs w:val="24"/>
          <w:u w:val="single"/>
        </w:rPr>
      </w:pPr>
      <w:r w:rsidRPr="00E11B1B">
        <w:rPr>
          <w:rFonts w:ascii="Times New Roman" w:hAnsi="Times New Roman"/>
          <w:color w:val="FF0000"/>
          <w:sz w:val="24"/>
          <w:szCs w:val="24"/>
          <w:u w:val="single"/>
        </w:rPr>
        <w:t>Tras Cincinnati, el cuarto lugar es para Boston, la capital universitaria de la nación y cuna de pujantes industrias de alta tecnología.</w:t>
      </w:r>
    </w:p>
    <w:p w:rsidR="0046536B" w:rsidRPr="00E11B1B" w:rsidRDefault="0046536B" w:rsidP="0046536B">
      <w:pPr>
        <w:spacing w:line="240" w:lineRule="auto"/>
        <w:jc w:val="both"/>
        <w:rPr>
          <w:rFonts w:ascii="Times New Roman" w:hAnsi="Times New Roman"/>
          <w:color w:val="FF0000"/>
          <w:sz w:val="24"/>
          <w:szCs w:val="24"/>
          <w:u w:val="single"/>
        </w:rPr>
      </w:pPr>
      <w:r w:rsidRPr="00E11B1B">
        <w:rPr>
          <w:rFonts w:ascii="Times New Roman" w:hAnsi="Times New Roman"/>
          <w:color w:val="FF0000"/>
          <w:sz w:val="24"/>
          <w:szCs w:val="24"/>
          <w:u w:val="single"/>
        </w:rPr>
        <w:t>Dallas, pujante capital petrolera, precede a la sexta ciudad, Nueva York, el epicentro económico del país.</w:t>
      </w:r>
    </w:p>
    <w:p w:rsidR="0046536B" w:rsidRPr="00E11B1B" w:rsidRDefault="0046536B" w:rsidP="0046536B">
      <w:pPr>
        <w:spacing w:line="240" w:lineRule="auto"/>
        <w:jc w:val="both"/>
        <w:rPr>
          <w:rFonts w:ascii="Times New Roman" w:hAnsi="Times New Roman"/>
          <w:color w:val="FF0000"/>
          <w:sz w:val="24"/>
          <w:szCs w:val="24"/>
          <w:u w:val="single"/>
        </w:rPr>
      </w:pPr>
      <w:r w:rsidRPr="00E11B1B">
        <w:rPr>
          <w:rFonts w:ascii="Times New Roman" w:hAnsi="Times New Roman"/>
          <w:color w:val="FF0000"/>
          <w:sz w:val="24"/>
          <w:szCs w:val="24"/>
          <w:u w:val="single"/>
        </w:rPr>
        <w:t>Y el séptimo lugar es para Miami, una ciudad que busca proyectar al exterior una imagen de playas y diversión.</w:t>
      </w:r>
    </w:p>
    <w:p w:rsidR="0046536B" w:rsidRPr="00A611C0" w:rsidRDefault="0046536B" w:rsidP="0046536B">
      <w:pPr>
        <w:spacing w:line="240" w:lineRule="auto"/>
        <w:jc w:val="both"/>
        <w:rPr>
          <w:rFonts w:ascii="Times New Roman" w:hAnsi="Times New Roman"/>
          <w:color w:val="FF0000"/>
          <w:sz w:val="24"/>
          <w:szCs w:val="24"/>
          <w:u w:val="single"/>
        </w:rPr>
      </w:pPr>
      <w:r w:rsidRPr="00E11B1B">
        <w:rPr>
          <w:rFonts w:ascii="Times New Roman" w:hAnsi="Times New Roman"/>
          <w:color w:val="FF0000"/>
          <w:sz w:val="24"/>
          <w:szCs w:val="24"/>
          <w:u w:val="single"/>
        </w:rPr>
        <w:t>En muchas de estas ciudades, la desigualdad está asociada con un crecimient</w:t>
      </w:r>
      <w:r w:rsidR="00A611C0">
        <w:rPr>
          <w:rFonts w:ascii="Times New Roman" w:hAnsi="Times New Roman"/>
          <w:color w:val="FF0000"/>
          <w:sz w:val="24"/>
          <w:szCs w:val="24"/>
          <w:u w:val="single"/>
        </w:rPr>
        <w:t xml:space="preserve">o explosivo de los ultra ricos. </w:t>
      </w:r>
      <w:r w:rsidRPr="003A28C9">
        <w:rPr>
          <w:rFonts w:ascii="Times New Roman" w:hAnsi="Times New Roman"/>
          <w:sz w:val="24"/>
          <w:szCs w:val="24"/>
        </w:rPr>
        <w:t>Académicos como Richard Florida, experto en urbanismo de la Universidad de Toronto, han venido mostrando cómo una serie de ciudades se han</w:t>
      </w:r>
      <w:r>
        <w:rPr>
          <w:rFonts w:ascii="Times New Roman" w:hAnsi="Times New Roman"/>
          <w:sz w:val="24"/>
          <w:szCs w:val="24"/>
        </w:rPr>
        <w:t xml:space="preserve"> convertido en capitales de la “economía del conocimiento”</w:t>
      </w:r>
      <w:r w:rsidRPr="003A28C9">
        <w:rPr>
          <w:rFonts w:ascii="Times New Roman" w:hAnsi="Times New Roman"/>
          <w:sz w:val="24"/>
          <w:szCs w:val="24"/>
        </w:rPr>
        <w:t>. Atraen a los mejores profesionales en las industrias de mayor crecimiento, como las de alta tecnología.</w:t>
      </w:r>
    </w:p>
    <w:p w:rsidR="0046536B" w:rsidRPr="00E11B1B" w:rsidRDefault="0046536B" w:rsidP="0046536B">
      <w:pPr>
        <w:spacing w:line="240" w:lineRule="auto"/>
        <w:jc w:val="both"/>
        <w:rPr>
          <w:rFonts w:ascii="Times New Roman" w:hAnsi="Times New Roman"/>
          <w:color w:val="FF0000"/>
          <w:sz w:val="24"/>
          <w:szCs w:val="24"/>
          <w:u w:val="single"/>
        </w:rPr>
      </w:pPr>
      <w:r w:rsidRPr="00E11B1B">
        <w:rPr>
          <w:rFonts w:ascii="Times New Roman" w:hAnsi="Times New Roman"/>
          <w:color w:val="FF0000"/>
          <w:sz w:val="24"/>
          <w:szCs w:val="24"/>
          <w:u w:val="single"/>
        </w:rPr>
        <w:t>Boston, con su enorme concentración de universidades de alto prestigio, empezando por Harvard y MIT, es un ejemplo perfecto</w:t>
      </w:r>
      <w:r w:rsidR="00A611C0">
        <w:rPr>
          <w:rFonts w:ascii="Times New Roman" w:hAnsi="Times New Roman"/>
          <w:color w:val="FF0000"/>
          <w:sz w:val="24"/>
          <w:szCs w:val="24"/>
          <w:u w:val="single"/>
        </w:rPr>
        <w:t xml:space="preserve"> de estas ciudades “ganadoras”. </w:t>
      </w:r>
      <w:r w:rsidRPr="00E11B1B">
        <w:rPr>
          <w:rFonts w:ascii="Times New Roman" w:hAnsi="Times New Roman"/>
          <w:color w:val="FF0000"/>
          <w:sz w:val="24"/>
          <w:szCs w:val="24"/>
          <w:u w:val="single"/>
        </w:rPr>
        <w:t>Mientras que urbes como Nueva York y Miami se han convertido en destino preferido de megamillonarios internacionales.</w:t>
      </w:r>
    </w:p>
    <w:p w:rsidR="0046536B" w:rsidRPr="00E11B1B" w:rsidRDefault="0046536B" w:rsidP="0046536B">
      <w:pPr>
        <w:spacing w:line="240" w:lineRule="auto"/>
        <w:jc w:val="both"/>
        <w:rPr>
          <w:rFonts w:ascii="Times New Roman" w:hAnsi="Times New Roman"/>
          <w:sz w:val="24"/>
          <w:szCs w:val="24"/>
          <w:u w:val="single"/>
        </w:rPr>
      </w:pPr>
      <w:r w:rsidRPr="00E11B1B">
        <w:rPr>
          <w:rFonts w:ascii="Times New Roman" w:hAnsi="Times New Roman"/>
          <w:sz w:val="24"/>
          <w:szCs w:val="24"/>
          <w:u w:val="single"/>
        </w:rPr>
        <w:t xml:space="preserve">Son fenómenos que atraen enormes cantidades de dinero hacia estas ciudades, pero han creado problemas inesperados </w:t>
      </w:r>
      <w:r w:rsidR="00A611C0">
        <w:rPr>
          <w:rFonts w:ascii="Times New Roman" w:hAnsi="Times New Roman"/>
          <w:sz w:val="24"/>
          <w:szCs w:val="24"/>
          <w:u w:val="single"/>
        </w:rPr>
        <w:t xml:space="preserve">por la desigualdad que generan. </w:t>
      </w:r>
      <w:r w:rsidRPr="00E11B1B">
        <w:rPr>
          <w:rFonts w:ascii="Times New Roman" w:hAnsi="Times New Roman"/>
          <w:sz w:val="24"/>
          <w:szCs w:val="24"/>
          <w:u w:val="single"/>
        </w:rPr>
        <w:t>Se han vuelto urbes cada vez más distantes para la clase media, por el encarecimiento de la vivienda y otros servicios esenciales.</w:t>
      </w:r>
    </w:p>
    <w:p w:rsidR="0046536B" w:rsidRPr="003A28C9"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 xml:space="preserve">Por lo que, a menos que puedan diseñar alternativas para aminorar esta tendencia, algunos ven en estas ciudades un futuro poco atractivo compuesto por edificios de ricos protegidos por extremas medidas de seguridad, rodeados por barrios de pobres viviendo en condiciones cada vez más precarias.Precisamente el escenario que deseaban evitar </w:t>
      </w:r>
      <w:r w:rsidRPr="003A28C9">
        <w:rPr>
          <w:rFonts w:ascii="Times New Roman" w:hAnsi="Times New Roman"/>
          <w:sz w:val="24"/>
          <w:szCs w:val="24"/>
        </w:rPr>
        <w:lastRenderedPageBreak/>
        <w:t>muchos de los grandes potentados que llegaron a estas ciudades huyendo de las tensiones sociales en sus países de origen.</w:t>
      </w:r>
    </w:p>
    <w:p w:rsidR="0046536B" w:rsidRPr="003A28C9"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Realidades fragmentadas</w:t>
      </w:r>
    </w:p>
    <w:p w:rsidR="0046536B" w:rsidRPr="00E11B1B" w:rsidRDefault="0046536B" w:rsidP="0046536B">
      <w:pPr>
        <w:spacing w:line="240" w:lineRule="auto"/>
        <w:jc w:val="both"/>
        <w:rPr>
          <w:rFonts w:ascii="Times New Roman" w:hAnsi="Times New Roman"/>
          <w:color w:val="FF0000"/>
          <w:sz w:val="24"/>
          <w:szCs w:val="24"/>
          <w:u w:val="single"/>
        </w:rPr>
      </w:pPr>
      <w:r w:rsidRPr="00E11B1B">
        <w:rPr>
          <w:rFonts w:ascii="Times New Roman" w:hAnsi="Times New Roman"/>
          <w:color w:val="FF0000"/>
          <w:sz w:val="24"/>
          <w:szCs w:val="24"/>
          <w:u w:val="single"/>
        </w:rPr>
        <w:t>Los observadores también subrayan el impacto político y social que tienen estos cambios económicos que apunt</w:t>
      </w:r>
      <w:r w:rsidR="00A611C0">
        <w:rPr>
          <w:rFonts w:ascii="Times New Roman" w:hAnsi="Times New Roman"/>
          <w:color w:val="FF0000"/>
          <w:sz w:val="24"/>
          <w:szCs w:val="24"/>
          <w:u w:val="single"/>
        </w:rPr>
        <w:t xml:space="preserve">an hacia una mayor desigualdad. </w:t>
      </w:r>
      <w:r w:rsidRPr="00E11B1B">
        <w:rPr>
          <w:rFonts w:ascii="Times New Roman" w:hAnsi="Times New Roman"/>
          <w:color w:val="FF0000"/>
          <w:sz w:val="24"/>
          <w:szCs w:val="24"/>
          <w:u w:val="single"/>
        </w:rPr>
        <w:t>Se habla de un país cada vez más dividido, en donde distintos grupos económicos tienen experiencias sociales y culturales cada vez más apartadas las unas de las otras.</w:t>
      </w:r>
    </w:p>
    <w:p w:rsidR="0046536B" w:rsidRPr="003A28C9"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El escritor de tendencia conservadora Charl</w:t>
      </w:r>
      <w:r>
        <w:rPr>
          <w:rFonts w:ascii="Times New Roman" w:hAnsi="Times New Roman"/>
          <w:sz w:val="24"/>
          <w:szCs w:val="24"/>
        </w:rPr>
        <w:t>es Murray en su polémico libro “Coming apart” (“Desintegrándose”</w:t>
      </w:r>
      <w:r w:rsidRPr="003A28C9">
        <w:rPr>
          <w:rFonts w:ascii="Times New Roman" w:hAnsi="Times New Roman"/>
          <w:sz w:val="24"/>
          <w:szCs w:val="24"/>
        </w:rPr>
        <w:t>) habla de ese fenómeno y presenta, medio en chiste, medio en serio, un quiz para determinar si uno hacía parte de la cultura de esta elite cada vez más aislada en la sociedad estadounidense.</w:t>
      </w:r>
    </w:p>
    <w:p w:rsidR="0046536B" w:rsidRPr="003A28C9"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Y presenta una lista de ciudades en Estados Unidos donde una porción mayor de sus habitantes se circun</w:t>
      </w:r>
      <w:r w:rsidR="00A611C0">
        <w:rPr>
          <w:rFonts w:ascii="Times New Roman" w:hAnsi="Times New Roman"/>
          <w:sz w:val="24"/>
          <w:szCs w:val="24"/>
        </w:rPr>
        <w:t xml:space="preserve">scribe a esta cultura de elite. </w:t>
      </w:r>
      <w:r>
        <w:rPr>
          <w:rFonts w:ascii="Times New Roman" w:hAnsi="Times New Roman"/>
          <w:sz w:val="24"/>
          <w:szCs w:val="24"/>
        </w:rPr>
        <w:t>Nuevamente, las grandes “</w:t>
      </w:r>
      <w:r w:rsidRPr="003A28C9">
        <w:rPr>
          <w:rFonts w:ascii="Times New Roman" w:hAnsi="Times New Roman"/>
          <w:sz w:val="24"/>
          <w:szCs w:val="24"/>
        </w:rPr>
        <w:t xml:space="preserve">capitales </w:t>
      </w:r>
      <w:r>
        <w:rPr>
          <w:rFonts w:ascii="Times New Roman" w:hAnsi="Times New Roman"/>
          <w:sz w:val="24"/>
          <w:szCs w:val="24"/>
        </w:rPr>
        <w:t>de la economía del conocimiento”</w:t>
      </w:r>
      <w:r w:rsidRPr="003A28C9">
        <w:rPr>
          <w:rFonts w:ascii="Times New Roman" w:hAnsi="Times New Roman"/>
          <w:sz w:val="24"/>
          <w:szCs w:val="24"/>
        </w:rPr>
        <w:t xml:space="preserve"> como Nueva York y San Francisco aparecen prominentemente dentro de las zonas en las que sus habitantes tenían una cultura cada v</w:t>
      </w:r>
      <w:r>
        <w:rPr>
          <w:rFonts w:ascii="Times New Roman" w:hAnsi="Times New Roman"/>
          <w:sz w:val="24"/>
          <w:szCs w:val="24"/>
        </w:rPr>
        <w:t>ez más distinta a la del resto “pobre”</w:t>
      </w:r>
      <w:r w:rsidRPr="003A28C9">
        <w:rPr>
          <w:rFonts w:ascii="Times New Roman" w:hAnsi="Times New Roman"/>
          <w:sz w:val="24"/>
          <w:szCs w:val="24"/>
        </w:rPr>
        <w:t xml:space="preserve"> del país.</w:t>
      </w:r>
    </w:p>
    <w:p w:rsidR="0046536B" w:rsidRDefault="0046536B" w:rsidP="0046536B">
      <w:pPr>
        <w:spacing w:line="240" w:lineRule="auto"/>
        <w:jc w:val="both"/>
        <w:rPr>
          <w:rFonts w:ascii="Times New Roman" w:hAnsi="Times New Roman"/>
          <w:sz w:val="24"/>
          <w:szCs w:val="24"/>
        </w:rPr>
      </w:pPr>
      <w:r w:rsidRPr="003A28C9">
        <w:rPr>
          <w:rFonts w:ascii="Times New Roman" w:hAnsi="Times New Roman"/>
          <w:sz w:val="24"/>
          <w:szCs w:val="24"/>
        </w:rPr>
        <w:t>Las consecuencias de esta fragmentación económica y cultural del país son evidentes en la cada vez má</w:t>
      </w:r>
      <w:r w:rsidR="00A611C0">
        <w:rPr>
          <w:rFonts w:ascii="Times New Roman" w:hAnsi="Times New Roman"/>
          <w:sz w:val="24"/>
          <w:szCs w:val="24"/>
        </w:rPr>
        <w:t xml:space="preserve">s radicalizada escena política. </w:t>
      </w:r>
      <w:r w:rsidRPr="003A28C9">
        <w:rPr>
          <w:rFonts w:ascii="Times New Roman" w:hAnsi="Times New Roman"/>
          <w:sz w:val="24"/>
          <w:szCs w:val="24"/>
        </w:rPr>
        <w:t>En un país donde la gente habita en mundos tan distintos, es más complejo evitar que el discurso político sea cada vez más incendiario, alimentado por la desconfianza, la rabia o simplemente el desconocimiento de cómo es la vida de muchos de sus compatriotas.</w:t>
      </w:r>
    </w:p>
    <w:p w:rsidR="00A611C0" w:rsidRPr="007A0FBD" w:rsidRDefault="00A611C0" w:rsidP="00A611C0">
      <w:pPr>
        <w:spacing w:line="240" w:lineRule="auto"/>
        <w:jc w:val="both"/>
        <w:rPr>
          <w:rFonts w:ascii="Times New Roman" w:hAnsi="Times New Roman"/>
          <w:sz w:val="24"/>
          <w:szCs w:val="24"/>
        </w:rPr>
      </w:pPr>
      <w:r>
        <w:rPr>
          <w:rFonts w:ascii="Times New Roman" w:hAnsi="Times New Roman"/>
          <w:sz w:val="24"/>
          <w:szCs w:val="24"/>
        </w:rPr>
        <w:t xml:space="preserve">- </w:t>
      </w:r>
      <w:r w:rsidRPr="007A0FBD">
        <w:rPr>
          <w:rFonts w:ascii="Times New Roman" w:hAnsi="Times New Roman"/>
          <w:sz w:val="24"/>
          <w:szCs w:val="24"/>
          <w:u w:val="single"/>
        </w:rPr>
        <w:t>Cuánto ahorrar hasta la jubilación para mantener el nivel de vida</w:t>
      </w:r>
      <w:r>
        <w:rPr>
          <w:rFonts w:ascii="Times New Roman" w:hAnsi="Times New Roman"/>
          <w:sz w:val="24"/>
          <w:szCs w:val="24"/>
        </w:rPr>
        <w:t xml:space="preserve"> (Cinco Días - </w:t>
      </w:r>
      <w:r w:rsidRPr="007A0FBD">
        <w:rPr>
          <w:rFonts w:ascii="Times New Roman" w:hAnsi="Times New Roman"/>
          <w:b/>
          <w:sz w:val="24"/>
          <w:szCs w:val="24"/>
        </w:rPr>
        <w:t>9/9/16</w:t>
      </w:r>
      <w:r>
        <w:rPr>
          <w:rFonts w:ascii="Times New Roman" w:hAnsi="Times New Roman"/>
          <w:sz w:val="24"/>
          <w:szCs w:val="24"/>
        </w:rPr>
        <w:t>)</w:t>
      </w:r>
    </w:p>
    <w:p w:rsidR="00A611C0" w:rsidRDefault="00A611C0" w:rsidP="00A611C0">
      <w:pPr>
        <w:spacing w:line="240" w:lineRule="auto"/>
        <w:jc w:val="both"/>
        <w:rPr>
          <w:rFonts w:ascii="Times New Roman" w:hAnsi="Times New Roman"/>
          <w:sz w:val="24"/>
          <w:szCs w:val="24"/>
        </w:rPr>
      </w:pPr>
      <w:r>
        <w:rPr>
          <w:noProof/>
          <w:lang w:val="en-GB" w:eastAsia="en-GB"/>
        </w:rPr>
        <w:drawing>
          <wp:inline distT="0" distB="0" distL="0" distR="0">
            <wp:extent cx="5397074" cy="4044950"/>
            <wp:effectExtent l="0" t="0" r="0" b="0"/>
            <wp:docPr id="16" name="Imagen 16"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047173"/>
                    </a:xfrm>
                    <a:prstGeom prst="rect">
                      <a:avLst/>
                    </a:prstGeom>
                    <a:noFill/>
                    <a:ln>
                      <a:noFill/>
                    </a:ln>
                  </pic:spPr>
                </pic:pic>
              </a:graphicData>
            </a:graphic>
          </wp:inline>
        </w:drawing>
      </w:r>
    </w:p>
    <w:p w:rsidR="00BE11FC" w:rsidRDefault="001971A2" w:rsidP="00A611C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BE11FC">
        <w:rPr>
          <w:rFonts w:ascii="Times New Roman" w:hAnsi="Times New Roman" w:cs="Times New Roman"/>
          <w:b/>
          <w:sz w:val="24"/>
          <w:szCs w:val="24"/>
        </w:rPr>
        <w:t>Fracaso social: falta de perspectivas para los jóvenes, mayor conflictividad</w:t>
      </w:r>
    </w:p>
    <w:p w:rsidR="00D50C14" w:rsidRPr="003821FA" w:rsidRDefault="00D50C14" w:rsidP="00D50C1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3821FA">
        <w:rPr>
          <w:rFonts w:ascii="Times New Roman" w:hAnsi="Times New Roman" w:cs="Times New Roman"/>
          <w:i/>
          <w:sz w:val="24"/>
          <w:szCs w:val="24"/>
        </w:rPr>
        <w:t>La pobreza se hereda y el mayor riesgo de exclusión social se da en las familias con hijos, según el último informe de Cáritas, que revela que ocho de cada diez personas que vivieron graves dificultades económicas en su infancia y adolescencia las están reviviendo en la actualidad como adultos.</w:t>
      </w:r>
    </w:p>
    <w:p w:rsidR="00D50C14" w:rsidRPr="003821FA" w:rsidRDefault="00D50C14" w:rsidP="00D50C14">
      <w:pPr>
        <w:spacing w:line="240" w:lineRule="auto"/>
        <w:jc w:val="both"/>
        <w:rPr>
          <w:rFonts w:ascii="Times New Roman" w:hAnsi="Times New Roman" w:cs="Times New Roman"/>
          <w:i/>
          <w:sz w:val="24"/>
          <w:szCs w:val="24"/>
        </w:rPr>
      </w:pPr>
      <w:r w:rsidRPr="003821FA">
        <w:rPr>
          <w:rFonts w:ascii="Times New Roman" w:hAnsi="Times New Roman" w:cs="Times New Roman"/>
          <w:i/>
          <w:sz w:val="24"/>
          <w:szCs w:val="24"/>
        </w:rPr>
        <w:t>Estas son algunas de las aportaciones del estudio “La transmisión intergeneracional de la pobreza: factores, procesos y propuestas para la intervención”, de la Fundación de Fomento de Estudios Sociales y de Sociología Aplicada (Foessa), que se ha presentado hoy en Madrid.</w:t>
      </w:r>
    </w:p>
    <w:p w:rsidR="00D50C14" w:rsidRPr="003821FA" w:rsidRDefault="00D50C14" w:rsidP="00D50C14">
      <w:pPr>
        <w:spacing w:line="240" w:lineRule="auto"/>
        <w:jc w:val="both"/>
        <w:rPr>
          <w:rFonts w:ascii="Times New Roman" w:hAnsi="Times New Roman" w:cs="Times New Roman"/>
          <w:i/>
          <w:sz w:val="24"/>
          <w:szCs w:val="24"/>
        </w:rPr>
      </w:pPr>
      <w:r w:rsidRPr="003821FA">
        <w:rPr>
          <w:rFonts w:ascii="Times New Roman" w:hAnsi="Times New Roman" w:cs="Times New Roman"/>
          <w:i/>
          <w:sz w:val="24"/>
          <w:szCs w:val="24"/>
        </w:rPr>
        <w:t>La pobreza de los niños en el presente condiciona la pobreza en el futuro cuando sean adultos, ha señalado el secretario general de Cáritas Española, Sebastián Mora, quien ha hecho un llamamiento urgente a diseñar las políticas públicas adecuadas, con la participación de las ONG y de la sociedad civil, para revertir esta situación.</w:t>
      </w:r>
    </w:p>
    <w:p w:rsidR="00D50C14" w:rsidRPr="003821FA" w:rsidRDefault="00D50C14" w:rsidP="00D50C14">
      <w:pPr>
        <w:spacing w:line="240" w:lineRule="auto"/>
        <w:jc w:val="both"/>
        <w:rPr>
          <w:rFonts w:ascii="Times New Roman" w:hAnsi="Times New Roman" w:cs="Times New Roman"/>
          <w:i/>
          <w:sz w:val="24"/>
          <w:szCs w:val="24"/>
        </w:rPr>
      </w:pPr>
      <w:r w:rsidRPr="003821FA">
        <w:rPr>
          <w:rFonts w:ascii="Times New Roman" w:hAnsi="Times New Roman" w:cs="Times New Roman"/>
          <w:i/>
          <w:sz w:val="24"/>
          <w:szCs w:val="24"/>
        </w:rPr>
        <w:t>El coordinador del trabajo de investigación, Raúl Flores, ha explicado que hay una fuerte asociación entre las condiciones de vida de padres e hijos y que no es extraño que en los centros de servicios sociales y en los espacios de las entidades que trabajan en la acción social se esté atendiendo a los nietos de aquellos a los que acompañaron hace treinta años.</w:t>
      </w:r>
    </w:p>
    <w:p w:rsidR="00D50C14" w:rsidRDefault="00D50C14" w:rsidP="00D50C14">
      <w:pPr>
        <w:spacing w:line="240" w:lineRule="auto"/>
        <w:jc w:val="both"/>
        <w:rPr>
          <w:rFonts w:ascii="Times New Roman" w:hAnsi="Times New Roman" w:cs="Times New Roman"/>
          <w:sz w:val="24"/>
          <w:szCs w:val="24"/>
        </w:rPr>
      </w:pPr>
      <w:r w:rsidRPr="003821FA">
        <w:rPr>
          <w:rFonts w:ascii="Times New Roman" w:hAnsi="Times New Roman" w:cs="Times New Roman"/>
          <w:i/>
          <w:sz w:val="24"/>
          <w:szCs w:val="24"/>
        </w:rPr>
        <w:t>El nivel de estudios, la situación laboral, la ocupación y la renta son los principales factores que contribuyen a que la pobreza se herede de padres a hijos, ha detallado Flores</w:t>
      </w:r>
      <w:r>
        <w:rPr>
          <w:rFonts w:ascii="Times New Roman" w:hAnsi="Times New Roman" w:cs="Times New Roman"/>
          <w:i/>
          <w:sz w:val="24"/>
          <w:szCs w:val="24"/>
        </w:rPr>
        <w:t>..</w:t>
      </w:r>
      <w:r w:rsidRPr="003821FA">
        <w:rPr>
          <w:rFonts w:ascii="Times New Roman" w:hAnsi="Times New Roman" w:cs="Times New Roman"/>
          <w:i/>
          <w:sz w:val="24"/>
          <w:szCs w:val="24"/>
        </w:rPr>
        <w:t>.</w:t>
      </w:r>
    </w:p>
    <w:p w:rsidR="00D50C14" w:rsidRPr="003821FA" w:rsidRDefault="00D50C14" w:rsidP="00D50C14">
      <w:pPr>
        <w:spacing w:line="240" w:lineRule="auto"/>
        <w:jc w:val="both"/>
        <w:rPr>
          <w:rFonts w:ascii="Times New Roman" w:hAnsi="Times New Roman" w:cs="Times New Roman"/>
          <w:i/>
          <w:sz w:val="24"/>
          <w:szCs w:val="24"/>
        </w:rPr>
      </w:pPr>
      <w:r w:rsidRPr="003821FA">
        <w:rPr>
          <w:rFonts w:ascii="Times New Roman" w:hAnsi="Times New Roman" w:cs="Times New Roman"/>
          <w:i/>
          <w:sz w:val="24"/>
          <w:szCs w:val="24"/>
        </w:rPr>
        <w:t>La situación laboral y la ocupación de los progenitores son factores que, además de estar relacionados con el nivel educativo que permite desempeñar unas tareas u otras, también están estrechamente ligadas a la existencia o no de una fuente de ingresos y a la cuantía de la misma.</w:t>
      </w:r>
    </w:p>
    <w:p w:rsidR="00D50C14" w:rsidRPr="003821FA" w:rsidRDefault="00D50C14" w:rsidP="00D50C14">
      <w:pPr>
        <w:spacing w:line="240" w:lineRule="auto"/>
        <w:jc w:val="both"/>
        <w:rPr>
          <w:rFonts w:ascii="Times New Roman" w:hAnsi="Times New Roman" w:cs="Times New Roman"/>
          <w:i/>
          <w:sz w:val="24"/>
          <w:szCs w:val="24"/>
        </w:rPr>
      </w:pPr>
      <w:r w:rsidRPr="003821FA">
        <w:rPr>
          <w:rFonts w:ascii="Times New Roman" w:hAnsi="Times New Roman" w:cs="Times New Roman"/>
          <w:i/>
          <w:sz w:val="24"/>
          <w:szCs w:val="24"/>
        </w:rPr>
        <w:t>Los problemas económicos suponen un freno a la adquisición de niveles educativos más altos, ya que cuatro de cada diez adultos que vivió su adolescencia con problemas económicos muy frecuentes no consiguió terminar la educación secundaria.</w:t>
      </w:r>
    </w:p>
    <w:p w:rsidR="00D50C14" w:rsidRPr="00D50C14" w:rsidRDefault="00D50C14" w:rsidP="00A611C0">
      <w:pPr>
        <w:spacing w:line="240" w:lineRule="auto"/>
        <w:jc w:val="both"/>
        <w:rPr>
          <w:rFonts w:ascii="Times New Roman" w:hAnsi="Times New Roman" w:cs="Times New Roman"/>
          <w:sz w:val="24"/>
          <w:szCs w:val="24"/>
        </w:rPr>
      </w:pPr>
      <w:r w:rsidRPr="003821FA">
        <w:rPr>
          <w:rFonts w:ascii="Times New Roman" w:hAnsi="Times New Roman" w:cs="Times New Roman"/>
          <w:i/>
          <w:sz w:val="24"/>
          <w:szCs w:val="24"/>
        </w:rPr>
        <w:t>El análisis pone de manifiesto que “los hogares con menores a su cargo son más sensibles a padecer situaciones de pobreza”, ya que la incidencia de la pobreza es del 16 por ciento en los hogares sin menores, del 28 por ciento en los hogares con menores, del 42 por ciento en las familias monoparentales y del 44 por ciento en las familias numerosas</w:t>
      </w:r>
      <w:r>
        <w:rPr>
          <w:rFonts w:ascii="Times New Roman" w:hAnsi="Times New Roman" w:cs="Times New Roman"/>
          <w:i/>
          <w:sz w:val="24"/>
          <w:szCs w:val="24"/>
        </w:rPr>
        <w:t>”..</w:t>
      </w:r>
      <w:r w:rsidRPr="003821FA">
        <w:rPr>
          <w:rFonts w:ascii="Times New Roman" w:hAnsi="Times New Roman" w:cs="Times New Roman"/>
          <w:i/>
          <w:sz w:val="24"/>
          <w:szCs w:val="24"/>
        </w:rPr>
        <w:t>.</w:t>
      </w:r>
      <w:r w:rsidRPr="00E814BA">
        <w:rPr>
          <w:rFonts w:ascii="Times New Roman" w:hAnsi="Times New Roman" w:cs="Times New Roman"/>
          <w:sz w:val="24"/>
          <w:szCs w:val="24"/>
          <w:u w:val="single"/>
        </w:rPr>
        <w:t>La pobreza se hereda: ocho de cada diez niños pobres serán adultos pobres</w:t>
      </w:r>
      <w:r>
        <w:rPr>
          <w:rFonts w:ascii="Times New Roman" w:hAnsi="Times New Roman" w:cs="Times New Roman"/>
          <w:sz w:val="24"/>
          <w:szCs w:val="24"/>
        </w:rPr>
        <w:t xml:space="preserve"> (El Economista - </w:t>
      </w:r>
      <w:r w:rsidRPr="00E814BA">
        <w:rPr>
          <w:rFonts w:ascii="Times New Roman" w:hAnsi="Times New Roman" w:cs="Times New Roman"/>
          <w:b/>
          <w:sz w:val="24"/>
          <w:szCs w:val="24"/>
        </w:rPr>
        <w:t>8/4/16</w:t>
      </w:r>
      <w:r>
        <w:rPr>
          <w:rFonts w:ascii="Times New Roman" w:hAnsi="Times New Roman" w:cs="Times New Roman"/>
          <w:sz w:val="24"/>
          <w:szCs w:val="24"/>
        </w:rPr>
        <w:t>)</w:t>
      </w:r>
    </w:p>
    <w:p w:rsidR="00E30955" w:rsidRPr="00B22435" w:rsidRDefault="00E30955" w:rsidP="00E30955">
      <w:pPr>
        <w:pStyle w:val="selectionshareable"/>
        <w:spacing w:after="300"/>
        <w:jc w:val="both"/>
        <w:textAlignment w:val="baseline"/>
        <w:rPr>
          <w:color w:val="000000"/>
        </w:rPr>
      </w:pPr>
      <w:r>
        <w:rPr>
          <w:color w:val="000000"/>
        </w:rPr>
        <w:t xml:space="preserve">- </w:t>
      </w:r>
      <w:r w:rsidRPr="00B22435">
        <w:rPr>
          <w:color w:val="000000"/>
          <w:u w:val="single"/>
        </w:rPr>
        <w:t>España sufre el mayor aumento de jóvenes ni-nis sin formación de toda Europa</w:t>
      </w:r>
      <w:r>
        <w:rPr>
          <w:color w:val="000000"/>
        </w:rPr>
        <w:t xml:space="preserve"> (Libertad Digital - </w:t>
      </w:r>
      <w:r w:rsidRPr="00B22435">
        <w:rPr>
          <w:b/>
          <w:color w:val="000000"/>
        </w:rPr>
        <w:t>13/6/16</w:t>
      </w:r>
      <w:r>
        <w:rPr>
          <w:color w:val="000000"/>
        </w:rPr>
        <w:t>)                                                               Lectura recomendada</w:t>
      </w:r>
    </w:p>
    <w:p w:rsidR="00E30955" w:rsidRPr="00B22435" w:rsidRDefault="00E30955" w:rsidP="00E30955">
      <w:pPr>
        <w:pStyle w:val="selectionshareable"/>
        <w:spacing w:after="300"/>
        <w:jc w:val="both"/>
        <w:textAlignment w:val="baseline"/>
        <w:rPr>
          <w:color w:val="000000"/>
        </w:rPr>
      </w:pPr>
      <w:r w:rsidRPr="00B22435">
        <w:rPr>
          <w:color w:val="000000"/>
        </w:rPr>
        <w:t>España registra el mayor porcentaje de jóvenes poco cualificados que ni estudian ni trabajan de Europa, sólo superado por Turquía.</w:t>
      </w:r>
    </w:p>
    <w:p w:rsidR="00E30955" w:rsidRPr="00B22435" w:rsidRDefault="00E30955" w:rsidP="00E30955">
      <w:pPr>
        <w:pStyle w:val="selectionshareable"/>
        <w:spacing w:after="300"/>
        <w:jc w:val="both"/>
        <w:textAlignment w:val="baseline"/>
        <w:rPr>
          <w:color w:val="000000"/>
        </w:rPr>
      </w:pPr>
      <w:r>
        <w:rPr>
          <w:color w:val="000000"/>
        </w:rPr>
        <w:t xml:space="preserve">(Por </w:t>
      </w:r>
      <w:r w:rsidRPr="00B22435">
        <w:rPr>
          <w:color w:val="000000"/>
        </w:rPr>
        <w:t>Javier G. Echegaray</w:t>
      </w:r>
      <w:r>
        <w:rPr>
          <w:color w:val="000000"/>
        </w:rPr>
        <w:t>)</w:t>
      </w:r>
    </w:p>
    <w:p w:rsidR="00E30955" w:rsidRDefault="00E30955" w:rsidP="00E30955">
      <w:pPr>
        <w:pStyle w:val="NormalWeb"/>
        <w:shd w:val="clear" w:color="auto" w:fill="FFFFFF"/>
        <w:spacing w:before="0" w:beforeAutospacing="0" w:after="0" w:afterAutospacing="0"/>
        <w:jc w:val="both"/>
        <w:textAlignment w:val="baseline"/>
        <w:rPr>
          <w:color w:val="333333"/>
        </w:rPr>
      </w:pPr>
      <w:r w:rsidRPr="00155869">
        <w:rPr>
          <w:color w:val="333333"/>
          <w:u w:val="single"/>
        </w:rPr>
        <w:lastRenderedPageBreak/>
        <w:t>Uno de los efectos de la crisis ha sido el incremento de la proporción de</w:t>
      </w:r>
      <w:r w:rsidRPr="00155869">
        <w:rPr>
          <w:rStyle w:val="apple-converted-space"/>
          <w:rFonts w:eastAsiaTheme="majorEastAsia"/>
          <w:color w:val="333333"/>
          <w:u w:val="single"/>
        </w:rPr>
        <w:t> </w:t>
      </w:r>
      <w:r w:rsidRPr="00155869">
        <w:rPr>
          <w:rStyle w:val="Textoennegrita"/>
          <w:color w:val="333333"/>
          <w:u w:val="single"/>
          <w:bdr w:val="none" w:sz="0" w:space="0" w:color="auto" w:frame="1"/>
        </w:rPr>
        <w:t>población joven que ni trabaja ni estudia</w:t>
      </w:r>
      <w:r w:rsidRPr="00155869">
        <w:rPr>
          <w:color w:val="333333"/>
          <w:u w:val="single"/>
        </w:rPr>
        <w:t>, más conocidos como</w:t>
      </w:r>
      <w:r w:rsidRPr="00155869">
        <w:rPr>
          <w:rStyle w:val="apple-converted-space"/>
          <w:rFonts w:eastAsiaTheme="majorEastAsia"/>
          <w:color w:val="333333"/>
          <w:u w:val="single"/>
        </w:rPr>
        <w:t> </w:t>
      </w:r>
      <w:r w:rsidRPr="00155869">
        <w:rPr>
          <w:rStyle w:val="nfasis"/>
          <w:rFonts w:eastAsiaTheme="majorEastAsia"/>
          <w:color w:val="333333"/>
          <w:u w:val="single"/>
          <w:bdr w:val="none" w:sz="0" w:space="0" w:color="auto" w:frame="1"/>
        </w:rPr>
        <w:t>ni-nis.</w:t>
      </w:r>
      <w:r w:rsidRPr="00B22435">
        <w:rPr>
          <w:rStyle w:val="apple-converted-space"/>
          <w:rFonts w:eastAsiaTheme="majorEastAsia"/>
          <w:color w:val="333333"/>
        </w:rPr>
        <w:t> </w:t>
      </w:r>
      <w:r w:rsidRPr="00B22435">
        <w:rPr>
          <w:color w:val="333333"/>
        </w:rPr>
        <w:t>El hecho de que un joven en paro tampoco estudie compromete su empleabilidad en el futuro por el riesgo de carecer de experiencia profesional, con una formación que pudiera resultar insuficiente en un mercado laboral que, a su vez, demanda cada vez más perfiles especializados.</w:t>
      </w:r>
    </w:p>
    <w:p w:rsidR="00E30955" w:rsidRPr="00B22435" w:rsidRDefault="00E30955" w:rsidP="00E30955">
      <w:pPr>
        <w:pStyle w:val="NormalWeb"/>
        <w:shd w:val="clear" w:color="auto" w:fill="FFFFFF"/>
        <w:spacing w:before="0" w:beforeAutospacing="0" w:after="0" w:afterAutospacing="0"/>
        <w:jc w:val="both"/>
        <w:textAlignment w:val="baseline"/>
        <w:rPr>
          <w:color w:val="333333"/>
        </w:rPr>
      </w:pPr>
    </w:p>
    <w:p w:rsidR="00E30955" w:rsidRPr="00155869" w:rsidRDefault="00E30955" w:rsidP="00E30955">
      <w:pPr>
        <w:pStyle w:val="NormalWeb"/>
        <w:shd w:val="clear" w:color="auto" w:fill="FFFFFF"/>
        <w:spacing w:before="0" w:beforeAutospacing="0" w:after="360" w:afterAutospacing="0"/>
        <w:jc w:val="both"/>
        <w:textAlignment w:val="baseline"/>
        <w:rPr>
          <w:color w:val="333333"/>
          <w:u w:val="single"/>
        </w:rPr>
      </w:pPr>
      <w:r w:rsidRPr="00155869">
        <w:rPr>
          <w:color w:val="333333"/>
          <w:u w:val="single"/>
        </w:rPr>
        <w:t>Los datos de Eurostat muestran que entre 2007 y 2015 en cerca de tres de cada cuatro países europeos dicha tasa se ha incrementado y que el aumento asciende a casi dos puntos porcentuales en el conjunto de la UE, afectando a uno de cada seis jóvenes en total.</w:t>
      </w:r>
    </w:p>
    <w:p w:rsidR="00E30955" w:rsidRDefault="00E30955" w:rsidP="00E30955">
      <w:pPr>
        <w:pStyle w:val="NormalWeb"/>
        <w:shd w:val="clear" w:color="auto" w:fill="FFFFFF"/>
        <w:spacing w:before="0" w:beforeAutospacing="0" w:after="0" w:afterAutospacing="0"/>
        <w:jc w:val="both"/>
        <w:textAlignment w:val="baseline"/>
        <w:rPr>
          <w:color w:val="333333"/>
          <w:u w:val="single"/>
        </w:rPr>
      </w:pPr>
      <w:r w:rsidRPr="00155869">
        <w:rPr>
          <w:color w:val="333333"/>
          <w:u w:val="single"/>
        </w:rPr>
        <w:t>En el caso del mercado laboral español el problema es aún más grave pues se sitúa en la</w:t>
      </w:r>
      <w:r w:rsidRPr="00155869">
        <w:rPr>
          <w:rStyle w:val="apple-converted-space"/>
          <w:rFonts w:eastAsiaTheme="majorEastAsia"/>
          <w:color w:val="333333"/>
          <w:u w:val="single"/>
        </w:rPr>
        <w:t> </w:t>
      </w:r>
      <w:r w:rsidRPr="00155869">
        <w:rPr>
          <w:rStyle w:val="Textoennegrita"/>
          <w:color w:val="333333"/>
          <w:u w:val="single"/>
          <w:bdr w:val="none" w:sz="0" w:space="0" w:color="auto" w:frame="1"/>
        </w:rPr>
        <w:t>octava posición, tan sólo por detrás de países como Macedonia, Turquía, Grecia o Bulgaria</w:t>
      </w:r>
      <w:r w:rsidRPr="00155869">
        <w:rPr>
          <w:color w:val="333333"/>
          <w:u w:val="single"/>
        </w:rPr>
        <w:t>, con una</w:t>
      </w:r>
      <w:r w:rsidRPr="00155869">
        <w:rPr>
          <w:rStyle w:val="apple-converted-space"/>
          <w:rFonts w:eastAsiaTheme="majorEastAsia"/>
          <w:color w:val="333333"/>
          <w:u w:val="single"/>
        </w:rPr>
        <w:t> </w:t>
      </w:r>
      <w:r w:rsidRPr="00155869">
        <w:rPr>
          <w:rStyle w:val="Textoennegrita"/>
          <w:color w:val="333333"/>
          <w:u w:val="single"/>
          <w:bdr w:val="none" w:sz="0" w:space="0" w:color="auto" w:frame="1"/>
        </w:rPr>
        <w:t>tasa del 21%</w:t>
      </w:r>
      <w:r w:rsidRPr="00155869">
        <w:rPr>
          <w:rStyle w:val="apple-converted-space"/>
          <w:rFonts w:eastAsiaTheme="majorEastAsia"/>
          <w:color w:val="333333"/>
          <w:u w:val="single"/>
        </w:rPr>
        <w:t> </w:t>
      </w:r>
      <w:r w:rsidRPr="00155869">
        <w:rPr>
          <w:color w:val="333333"/>
          <w:u w:val="single"/>
        </w:rPr>
        <w:t>y, lo que es peor, se ha incrementado con la crisis en siete puntos porcentuales. Dicha tasa únicamente se supera en Grecia y Chipre.</w:t>
      </w:r>
    </w:p>
    <w:p w:rsidR="00D50C14" w:rsidRPr="00155869" w:rsidRDefault="00D50C14" w:rsidP="00E30955">
      <w:pPr>
        <w:pStyle w:val="NormalWeb"/>
        <w:shd w:val="clear" w:color="auto" w:fill="FFFFFF"/>
        <w:spacing w:before="0" w:beforeAutospacing="0" w:after="0" w:afterAutospacing="0"/>
        <w:jc w:val="both"/>
        <w:textAlignment w:val="baseline"/>
        <w:rPr>
          <w:color w:val="333333"/>
          <w:u w:val="single"/>
        </w:rPr>
      </w:pPr>
    </w:p>
    <w:p w:rsidR="00E30955" w:rsidRPr="00B22435" w:rsidRDefault="00E30955" w:rsidP="00E30955">
      <w:pPr>
        <w:shd w:val="clear" w:color="auto" w:fill="FFFFFF"/>
        <w:spacing w:line="240" w:lineRule="auto"/>
        <w:jc w:val="both"/>
        <w:textAlignment w:val="baseline"/>
        <w:rPr>
          <w:rFonts w:ascii="Times New Roman" w:hAnsi="Times New Roman"/>
          <w:color w:val="AAAAAA"/>
          <w:sz w:val="24"/>
          <w:szCs w:val="24"/>
        </w:rPr>
      </w:pPr>
    </w:p>
    <w:p w:rsidR="00E30955" w:rsidRPr="00B22435" w:rsidRDefault="00E30955" w:rsidP="00E30955">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416550" cy="2673350"/>
            <wp:effectExtent l="0" t="0" r="0" b="0"/>
            <wp:docPr id="247" name="Imagen 247" descr="http://s.libertaddigital.com/2016/06/10/ninisj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ibertaddigital.com/2016/06/10/ninisjg1.jpg"/>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6550" cy="2673350"/>
                    </a:xfrm>
                    <a:prstGeom prst="rect">
                      <a:avLst/>
                    </a:prstGeom>
                    <a:noFill/>
                    <a:ln>
                      <a:noFill/>
                    </a:ln>
                  </pic:spPr>
                </pic:pic>
              </a:graphicData>
            </a:graphic>
          </wp:inline>
        </w:drawing>
      </w:r>
    </w:p>
    <w:p w:rsidR="00E30955" w:rsidRPr="00B22435" w:rsidRDefault="00E30955" w:rsidP="00E30955">
      <w:pPr>
        <w:pStyle w:val="NormalWeb"/>
        <w:shd w:val="clear" w:color="auto" w:fill="FFFFFF"/>
        <w:spacing w:before="0" w:beforeAutospacing="0" w:after="360" w:afterAutospacing="0"/>
        <w:jc w:val="both"/>
        <w:textAlignment w:val="baseline"/>
        <w:rPr>
          <w:color w:val="333333"/>
        </w:rPr>
      </w:pPr>
      <w:r w:rsidRPr="00B22435">
        <w:rPr>
          <w:color w:val="333333"/>
        </w:rPr>
        <w:t xml:space="preserve">Si se compara al mercado español con el de las principales economía de la UE, hasta 2007 existía una clara convergencia, con la excepción de Italia que sufre tradicionalmente de una elevada inactividad entre sus jóvenes. Sin embargo, </w:t>
      </w:r>
      <w:r w:rsidRPr="00A16987">
        <w:rPr>
          <w:color w:val="333333"/>
          <w:u w:val="single"/>
        </w:rPr>
        <w:t>desde 2008, se ha abierto una brecha, disparándose la proporción de ni-nis en España</w:t>
      </w:r>
      <w:r w:rsidRPr="00B22435">
        <w:rPr>
          <w:color w:val="333333"/>
        </w:rPr>
        <w:t xml:space="preserve"> y sólo compensándose parcialmente durante los dos últimos años.</w:t>
      </w:r>
    </w:p>
    <w:p w:rsidR="00E30955" w:rsidRPr="00B22435" w:rsidRDefault="00E30955" w:rsidP="00E30955">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lastRenderedPageBreak/>
        <w:drawing>
          <wp:inline distT="0" distB="0" distL="0" distR="0">
            <wp:extent cx="5257800" cy="2565400"/>
            <wp:effectExtent l="0" t="0" r="0" b="6350"/>
            <wp:docPr id="248" name="Imagen 248" descr="http://s.libertaddigital.com/2016/06/10/ninisj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ibertaddigital.com/2016/06/10/ninisjg2.jpg"/>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7800" cy="2565400"/>
                    </a:xfrm>
                    <a:prstGeom prst="rect">
                      <a:avLst/>
                    </a:prstGeom>
                    <a:noFill/>
                    <a:ln>
                      <a:noFill/>
                    </a:ln>
                  </pic:spPr>
                </pic:pic>
              </a:graphicData>
            </a:graphic>
          </wp:inline>
        </w:drawing>
      </w:r>
    </w:p>
    <w:p w:rsidR="00E30955" w:rsidRPr="00B22435" w:rsidRDefault="00E30955" w:rsidP="00E30955">
      <w:pPr>
        <w:pStyle w:val="Ttulo3"/>
        <w:shd w:val="clear" w:color="auto" w:fill="FFFFFF"/>
        <w:spacing w:before="0" w:after="242" w:line="240" w:lineRule="auto"/>
        <w:jc w:val="both"/>
        <w:textAlignment w:val="baseline"/>
        <w:rPr>
          <w:rFonts w:ascii="Times New Roman" w:hAnsi="Times New Roman" w:cs="Times New Roman"/>
          <w:b w:val="0"/>
          <w:bCs w:val="0"/>
          <w:color w:val="333333"/>
          <w:sz w:val="24"/>
          <w:szCs w:val="24"/>
        </w:rPr>
      </w:pPr>
      <w:r w:rsidRPr="00B22435">
        <w:rPr>
          <w:rFonts w:ascii="Times New Roman" w:hAnsi="Times New Roman" w:cs="Times New Roman"/>
          <w:b w:val="0"/>
          <w:bCs w:val="0"/>
          <w:color w:val="333333"/>
          <w:sz w:val="24"/>
          <w:szCs w:val="24"/>
        </w:rPr>
        <w:t>Grave problema entre los menos cualificados</w:t>
      </w:r>
    </w:p>
    <w:p w:rsidR="00E30955" w:rsidRPr="00155869" w:rsidRDefault="00E30955" w:rsidP="00E30955">
      <w:pPr>
        <w:pStyle w:val="NormalWeb"/>
        <w:shd w:val="clear" w:color="auto" w:fill="FFFFFF"/>
        <w:spacing w:before="0" w:beforeAutospacing="0" w:after="0" w:afterAutospacing="0"/>
        <w:jc w:val="both"/>
        <w:textAlignment w:val="baseline"/>
        <w:rPr>
          <w:rStyle w:val="Textoennegrita"/>
          <w:color w:val="333333"/>
          <w:u w:val="single"/>
          <w:bdr w:val="none" w:sz="0" w:space="0" w:color="auto" w:frame="1"/>
        </w:rPr>
      </w:pPr>
      <w:r w:rsidRPr="00B22435">
        <w:rPr>
          <w:color w:val="333333"/>
        </w:rPr>
        <w:t xml:space="preserve">El detalle de los datos de Eurostat permite, entre otros análisis, comprobar la evolución por grado de formación alcanzado. </w:t>
      </w:r>
      <w:r w:rsidRPr="00155869">
        <w:rPr>
          <w:color w:val="333333"/>
          <w:u w:val="single"/>
        </w:rPr>
        <w:t>Mientras que la tasa se sitúa más cerca de la media de la UE entre los jóvenes con formación secundaria, es entre los de formación superior y especialmente</w:t>
      </w:r>
      <w:r w:rsidRPr="00155869">
        <w:rPr>
          <w:rStyle w:val="apple-converted-space"/>
          <w:rFonts w:eastAsiaTheme="majorEastAsia"/>
          <w:color w:val="333333"/>
          <w:u w:val="single"/>
        </w:rPr>
        <w:t> </w:t>
      </w:r>
      <w:r w:rsidRPr="00155869">
        <w:rPr>
          <w:rStyle w:val="Textoennegrita"/>
          <w:color w:val="333333"/>
          <w:u w:val="single"/>
          <w:bdr w:val="none" w:sz="0" w:space="0" w:color="auto" w:frame="1"/>
        </w:rPr>
        <w:t>entre los de menor formación</w:t>
      </w:r>
      <w:r w:rsidRPr="00155869">
        <w:rPr>
          <w:rStyle w:val="apple-converted-space"/>
          <w:rFonts w:eastAsiaTheme="majorEastAsia"/>
          <w:color w:val="333333"/>
          <w:u w:val="single"/>
        </w:rPr>
        <w:t> </w:t>
      </w:r>
      <w:r w:rsidRPr="00155869">
        <w:rPr>
          <w:color w:val="333333"/>
          <w:u w:val="single"/>
        </w:rPr>
        <w:t>donde la posición es peor. En este caso, se sitúa en el</w:t>
      </w:r>
      <w:r w:rsidRPr="00155869">
        <w:rPr>
          <w:rStyle w:val="apple-converted-space"/>
          <w:rFonts w:eastAsiaTheme="majorEastAsia"/>
          <w:color w:val="333333"/>
          <w:u w:val="single"/>
        </w:rPr>
        <w:t> </w:t>
      </w:r>
      <w:r w:rsidRPr="00155869">
        <w:rPr>
          <w:rStyle w:val="Textoennegrita"/>
          <w:color w:val="333333"/>
          <w:u w:val="single"/>
          <w:bdr w:val="none" w:sz="0" w:space="0" w:color="auto" w:frame="1"/>
        </w:rPr>
        <w:t>12% del total de población joven</w:t>
      </w:r>
      <w:r w:rsidRPr="00155869">
        <w:rPr>
          <w:color w:val="333333"/>
          <w:u w:val="single"/>
        </w:rPr>
        <w:t>, sólo Turquía tiene una tasa superior, mientras</w:t>
      </w:r>
      <w:r w:rsidRPr="00155869">
        <w:rPr>
          <w:rStyle w:val="apple-converted-space"/>
          <w:rFonts w:eastAsiaTheme="majorEastAsia"/>
          <w:color w:val="333333"/>
          <w:u w:val="single"/>
          <w:bdr w:val="none" w:sz="0" w:space="0" w:color="auto" w:frame="1"/>
        </w:rPr>
        <w:t> </w:t>
      </w:r>
      <w:r w:rsidRPr="00155869">
        <w:rPr>
          <w:rStyle w:val="Textoennegrita"/>
          <w:color w:val="333333"/>
          <w:u w:val="single"/>
          <w:bdr w:val="none" w:sz="0" w:space="0" w:color="auto" w:frame="1"/>
        </w:rPr>
        <w:t>en ningún país ha crecido tanto -casi cuatro puntos- con la crisis como en España.</w:t>
      </w:r>
    </w:p>
    <w:p w:rsidR="00E30955" w:rsidRPr="00155869" w:rsidRDefault="00E30955" w:rsidP="00E30955">
      <w:pPr>
        <w:pStyle w:val="NormalWeb"/>
        <w:shd w:val="clear" w:color="auto" w:fill="FFFFFF"/>
        <w:spacing w:before="0" w:beforeAutospacing="0" w:after="0" w:afterAutospacing="0"/>
        <w:jc w:val="both"/>
        <w:textAlignment w:val="baseline"/>
        <w:rPr>
          <w:color w:val="333333"/>
          <w:u w:val="single"/>
        </w:rPr>
      </w:pPr>
    </w:p>
    <w:p w:rsidR="00E30955" w:rsidRPr="00B22435" w:rsidRDefault="00E30955" w:rsidP="00E30955">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346700" cy="2635250"/>
            <wp:effectExtent l="0" t="0" r="6350" b="0"/>
            <wp:docPr id="249" name="Imagen 249" descr="http://s.libertaddigital.com/2016/06/10/ninisj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ibertaddigital.com/2016/06/10/ninisjg3.jpg"/>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6700" cy="2635250"/>
                    </a:xfrm>
                    <a:prstGeom prst="rect">
                      <a:avLst/>
                    </a:prstGeom>
                    <a:noFill/>
                    <a:ln>
                      <a:noFill/>
                    </a:ln>
                  </pic:spPr>
                </pic:pic>
              </a:graphicData>
            </a:graphic>
          </wp:inline>
        </w:drawing>
      </w:r>
    </w:p>
    <w:p w:rsidR="00E30955" w:rsidRPr="00155869" w:rsidRDefault="00E30955" w:rsidP="00E30955">
      <w:pPr>
        <w:pStyle w:val="NormalWeb"/>
        <w:shd w:val="clear" w:color="auto" w:fill="FFFFFF"/>
        <w:spacing w:before="0" w:beforeAutospacing="0" w:after="0" w:afterAutospacing="0"/>
        <w:jc w:val="both"/>
        <w:textAlignment w:val="baseline"/>
        <w:rPr>
          <w:color w:val="333333"/>
          <w:u w:val="single"/>
        </w:rPr>
      </w:pPr>
      <w:r w:rsidRPr="00B22435">
        <w:rPr>
          <w:color w:val="333333"/>
        </w:rPr>
        <w:t>Este hecho es especialmente preocupante, dado que se trata del segmento de jóvenes con menor cualificación y, por tanto, de menor empleabilidad. Como se puede observar en el siguiente gráfico</w:t>
      </w:r>
      <w:r w:rsidRPr="00155869">
        <w:rPr>
          <w:color w:val="333333"/>
          <w:u w:val="single"/>
        </w:rPr>
        <w:t>,</w:t>
      </w:r>
      <w:r w:rsidRPr="00155869">
        <w:rPr>
          <w:rStyle w:val="apple-converted-space"/>
          <w:rFonts w:eastAsiaTheme="majorEastAsia"/>
          <w:color w:val="333333"/>
          <w:u w:val="single"/>
        </w:rPr>
        <w:t> </w:t>
      </w:r>
      <w:r w:rsidRPr="00155869">
        <w:rPr>
          <w:rStyle w:val="Textoennegrita"/>
          <w:color w:val="333333"/>
          <w:u w:val="single"/>
          <w:bdr w:val="none" w:sz="0" w:space="0" w:color="auto" w:frame="1"/>
        </w:rPr>
        <w:t>a menor nivel de formación, menor tasa de empleo.</w:t>
      </w:r>
    </w:p>
    <w:p w:rsidR="00E30955" w:rsidRPr="00B22435" w:rsidRDefault="00E30955" w:rsidP="00E30955">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lastRenderedPageBreak/>
        <w:drawing>
          <wp:inline distT="0" distB="0" distL="0" distR="0">
            <wp:extent cx="5372100" cy="3016250"/>
            <wp:effectExtent l="0" t="0" r="0" b="0"/>
            <wp:docPr id="250" name="Imagen 250" descr="http://s.libertaddigital.com/2016/06/10/ninisj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ibertaddigital.com/2016/06/10/ninisjg4.jpg"/>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3016250"/>
                    </a:xfrm>
                    <a:prstGeom prst="rect">
                      <a:avLst/>
                    </a:prstGeom>
                    <a:noFill/>
                    <a:ln>
                      <a:noFill/>
                    </a:ln>
                  </pic:spPr>
                </pic:pic>
              </a:graphicData>
            </a:graphic>
          </wp:inline>
        </w:drawing>
      </w:r>
    </w:p>
    <w:p w:rsidR="00E30955" w:rsidRPr="00155869" w:rsidRDefault="00E30955" w:rsidP="00E30955">
      <w:pPr>
        <w:pStyle w:val="NormalWeb"/>
        <w:shd w:val="clear" w:color="auto" w:fill="FFFFFF"/>
        <w:spacing w:before="0" w:beforeAutospacing="0" w:after="0" w:afterAutospacing="0"/>
        <w:jc w:val="both"/>
        <w:textAlignment w:val="baseline"/>
        <w:rPr>
          <w:color w:val="333333"/>
          <w:u w:val="single"/>
        </w:rPr>
      </w:pPr>
      <w:r w:rsidRPr="00155869">
        <w:rPr>
          <w:color w:val="333333"/>
          <w:u w:val="single"/>
        </w:rPr>
        <w:t>Relacionado con lo anterior -vincular empleo o desempleo y nivel de formación-, una de las causas de que haya jóvenes que ni estudien ni trabajen es el</w:t>
      </w:r>
      <w:r w:rsidRPr="00155869">
        <w:rPr>
          <w:rStyle w:val="apple-converted-space"/>
          <w:rFonts w:eastAsiaTheme="majorEastAsia"/>
          <w:color w:val="333333"/>
          <w:u w:val="single"/>
        </w:rPr>
        <w:t> </w:t>
      </w:r>
      <w:r w:rsidRPr="00155869">
        <w:rPr>
          <w:rStyle w:val="Textoennegrita"/>
          <w:color w:val="333333"/>
          <w:u w:val="single"/>
          <w:bdr w:val="none" w:sz="0" w:space="0" w:color="auto" w:frame="1"/>
        </w:rPr>
        <w:t>abandono escolar</w:t>
      </w:r>
      <w:r w:rsidRPr="00B22435">
        <w:rPr>
          <w:color w:val="333333"/>
        </w:rPr>
        <w:t xml:space="preserve">. En este caso, el sistema educativo tampoco sale bien parado en relación con otros países de nuestro entorno, con </w:t>
      </w:r>
      <w:r w:rsidRPr="00155869">
        <w:rPr>
          <w:color w:val="333333"/>
          <w:u w:val="single"/>
        </w:rPr>
        <w:t>una de las mayores tasas de abandono, que afecta a</w:t>
      </w:r>
      <w:r w:rsidRPr="00155869">
        <w:rPr>
          <w:rStyle w:val="apple-converted-space"/>
          <w:rFonts w:eastAsiaTheme="majorEastAsia"/>
          <w:color w:val="333333"/>
          <w:u w:val="single"/>
        </w:rPr>
        <w:t> </w:t>
      </w:r>
      <w:r w:rsidRPr="00155869">
        <w:rPr>
          <w:rStyle w:val="Textoennegrita"/>
          <w:color w:val="333333"/>
          <w:u w:val="single"/>
          <w:bdr w:val="none" w:sz="0" w:space="0" w:color="auto" w:frame="1"/>
        </w:rPr>
        <w:t>uno de cada cinco jóvenes</w:t>
      </w:r>
      <w:r w:rsidRPr="00155869">
        <w:rPr>
          <w:rStyle w:val="apple-converted-space"/>
          <w:rFonts w:eastAsiaTheme="majorEastAsia"/>
          <w:color w:val="333333"/>
          <w:u w:val="single"/>
          <w:bdr w:val="none" w:sz="0" w:space="0" w:color="auto" w:frame="1"/>
        </w:rPr>
        <w:t> </w:t>
      </w:r>
      <w:r w:rsidRPr="00155869">
        <w:rPr>
          <w:color w:val="333333"/>
          <w:u w:val="single"/>
        </w:rPr>
        <w:t>y que se sitúa tan sólo por detrás de países como Turquía o Rumanía.</w:t>
      </w:r>
    </w:p>
    <w:p w:rsidR="00E30955" w:rsidRPr="00B22435" w:rsidRDefault="00E30955" w:rsidP="00E30955">
      <w:pPr>
        <w:pStyle w:val="NormalWeb"/>
        <w:shd w:val="clear" w:color="auto" w:fill="FFFFFF"/>
        <w:spacing w:before="0" w:beforeAutospacing="0" w:after="0" w:afterAutospacing="0"/>
        <w:jc w:val="both"/>
        <w:textAlignment w:val="baseline"/>
        <w:rPr>
          <w:color w:val="333333"/>
        </w:rPr>
      </w:pPr>
    </w:p>
    <w:p w:rsidR="00E30955" w:rsidRPr="00B22435" w:rsidRDefault="00E30955" w:rsidP="00E30955">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372100" cy="2705100"/>
            <wp:effectExtent l="0" t="0" r="0" b="0"/>
            <wp:docPr id="251" name="Imagen 251" descr="http://s.libertaddigital.com/2016/06/10/ninisj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ibertaddigital.com/2016/06/10/ninisjg5.jpg"/>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2705100"/>
                    </a:xfrm>
                    <a:prstGeom prst="rect">
                      <a:avLst/>
                    </a:prstGeom>
                    <a:noFill/>
                    <a:ln>
                      <a:noFill/>
                    </a:ln>
                  </pic:spPr>
                </pic:pic>
              </a:graphicData>
            </a:graphic>
          </wp:inline>
        </w:drawing>
      </w:r>
    </w:p>
    <w:p w:rsidR="00E30955" w:rsidRPr="00B22435" w:rsidRDefault="00E30955" w:rsidP="00E30955">
      <w:pPr>
        <w:pStyle w:val="NormalWeb"/>
        <w:shd w:val="clear" w:color="auto" w:fill="FFFFFF"/>
        <w:spacing w:before="0" w:beforeAutospacing="0" w:after="0" w:afterAutospacing="0"/>
        <w:jc w:val="both"/>
        <w:textAlignment w:val="baseline"/>
        <w:rPr>
          <w:color w:val="333333"/>
        </w:rPr>
      </w:pPr>
      <w:r w:rsidRPr="00155869">
        <w:rPr>
          <w:color w:val="333333"/>
          <w:u w:val="single"/>
        </w:rPr>
        <w:t>Por último, si se compara la población juvenil que no sólo ni estudia ni trabaja, sino que</w:t>
      </w:r>
      <w:r w:rsidRPr="00155869">
        <w:rPr>
          <w:rStyle w:val="apple-converted-space"/>
          <w:rFonts w:eastAsiaTheme="majorEastAsia"/>
          <w:color w:val="333333"/>
          <w:u w:val="single"/>
          <w:bdr w:val="none" w:sz="0" w:space="0" w:color="auto" w:frame="1"/>
        </w:rPr>
        <w:t> </w:t>
      </w:r>
      <w:r w:rsidRPr="00155869">
        <w:rPr>
          <w:rStyle w:val="Textoennegrita"/>
          <w:color w:val="333333"/>
          <w:u w:val="single"/>
          <w:bdr w:val="none" w:sz="0" w:space="0" w:color="auto" w:frame="1"/>
        </w:rPr>
        <w:t>no busca un empleo</w:t>
      </w:r>
      <w:r w:rsidRPr="00155869">
        <w:rPr>
          <w:color w:val="333333"/>
          <w:u w:val="single"/>
        </w:rPr>
        <w:t>, la foto, sin ser positiva, al menos no es tan desfavorable</w:t>
      </w:r>
      <w:r w:rsidRPr="00B22435">
        <w:rPr>
          <w:color w:val="333333"/>
        </w:rPr>
        <w:t xml:space="preserve">. </w:t>
      </w:r>
      <w:r w:rsidRPr="00155869">
        <w:rPr>
          <w:color w:val="333333"/>
          <w:u w:val="single"/>
        </w:rPr>
        <w:t>El porcentaje de jóvenes que tampoco busca empleo es del</w:t>
      </w:r>
      <w:r w:rsidRPr="00155869">
        <w:rPr>
          <w:rStyle w:val="apple-converted-space"/>
          <w:rFonts w:eastAsiaTheme="majorEastAsia"/>
          <w:color w:val="333333"/>
          <w:u w:val="single"/>
        </w:rPr>
        <w:t> </w:t>
      </w:r>
      <w:r w:rsidRPr="00155869">
        <w:rPr>
          <w:rStyle w:val="Textoennegrita"/>
          <w:color w:val="333333"/>
          <w:u w:val="single"/>
          <w:bdr w:val="none" w:sz="0" w:space="0" w:color="auto" w:frame="1"/>
        </w:rPr>
        <w:t>6%</w:t>
      </w:r>
      <w:r w:rsidRPr="00155869">
        <w:rPr>
          <w:rStyle w:val="apple-converted-space"/>
          <w:rFonts w:eastAsiaTheme="majorEastAsia"/>
          <w:color w:val="333333"/>
          <w:u w:val="single"/>
        </w:rPr>
        <w:t> </w:t>
      </w:r>
      <w:r w:rsidRPr="00155869">
        <w:rPr>
          <w:color w:val="333333"/>
          <w:u w:val="single"/>
        </w:rPr>
        <w:t>en 2015, por debajo eso sí del promedio de la UE que es del 8%.</w:t>
      </w:r>
      <w:r w:rsidRPr="00B22435">
        <w:rPr>
          <w:color w:val="333333"/>
        </w:rPr>
        <w:t xml:space="preserve"> Un porcentaje inferior puede indicar que el problema no es tanto que exista apatía entre los jóvenes, sino que simplemente no consiguen un empleo.</w:t>
      </w:r>
    </w:p>
    <w:p w:rsidR="00E30955" w:rsidRPr="00B22435" w:rsidRDefault="00E30955" w:rsidP="00E30955">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lastRenderedPageBreak/>
        <w:drawing>
          <wp:inline distT="0" distB="0" distL="0" distR="0">
            <wp:extent cx="5391150" cy="3022600"/>
            <wp:effectExtent l="0" t="0" r="0" b="6350"/>
            <wp:docPr id="252" name="Imagen 252" descr="http://s.libertaddigital.com/2016/06/10/ninisj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ibertaddigital.com/2016/06/10/ninisjg6.jpg"/>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022600"/>
                    </a:xfrm>
                    <a:prstGeom prst="rect">
                      <a:avLst/>
                    </a:prstGeom>
                    <a:noFill/>
                    <a:ln>
                      <a:noFill/>
                    </a:ln>
                  </pic:spPr>
                </pic:pic>
              </a:graphicData>
            </a:graphic>
          </wp:inline>
        </w:drawing>
      </w:r>
    </w:p>
    <w:p w:rsidR="00E30955" w:rsidRPr="00B22435" w:rsidRDefault="00E30955" w:rsidP="00E30955">
      <w:pPr>
        <w:pStyle w:val="NormalWeb"/>
        <w:shd w:val="clear" w:color="auto" w:fill="FFFFFF"/>
        <w:spacing w:before="0" w:beforeAutospacing="0" w:after="0" w:afterAutospacing="0"/>
        <w:jc w:val="both"/>
        <w:textAlignment w:val="baseline"/>
        <w:rPr>
          <w:color w:val="333333"/>
        </w:rPr>
      </w:pPr>
      <w:r w:rsidRPr="00B22435">
        <w:rPr>
          <w:color w:val="333333"/>
        </w:rPr>
        <w:t>Una estadística similar, pero más extrema, es la que mide la proporción de jóvenes que</w:t>
      </w:r>
      <w:r w:rsidRPr="00B22435">
        <w:rPr>
          <w:rStyle w:val="apple-converted-space"/>
          <w:rFonts w:eastAsiaTheme="majorEastAsia"/>
          <w:color w:val="333333"/>
          <w:bdr w:val="none" w:sz="0" w:space="0" w:color="auto" w:frame="1"/>
        </w:rPr>
        <w:t> </w:t>
      </w:r>
      <w:r w:rsidRPr="00A611C0">
        <w:rPr>
          <w:rStyle w:val="Textoennegrita"/>
          <w:color w:val="333333"/>
          <w:u w:val="single"/>
          <w:bdr w:val="none" w:sz="0" w:space="0" w:color="auto" w:frame="1"/>
        </w:rPr>
        <w:t>no desean trabajar</w:t>
      </w:r>
      <w:r w:rsidRPr="00B22435">
        <w:rPr>
          <w:color w:val="333333"/>
        </w:rPr>
        <w:t>: España, con un</w:t>
      </w:r>
      <w:r w:rsidRPr="00A611C0">
        <w:rPr>
          <w:rStyle w:val="Textoennegrita"/>
          <w:color w:val="333333"/>
          <w:u w:val="single"/>
          <w:bdr w:val="none" w:sz="0" w:space="0" w:color="auto" w:frame="1"/>
        </w:rPr>
        <w:t>4%</w:t>
      </w:r>
      <w:r w:rsidRPr="00B22435">
        <w:rPr>
          <w:color w:val="333333"/>
        </w:rPr>
        <w:t>, se sitúa igualmente en la parte baja en Europa.</w:t>
      </w:r>
    </w:p>
    <w:p w:rsidR="00E30955" w:rsidRPr="00B22435" w:rsidRDefault="00E30955" w:rsidP="00E30955">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334000" cy="2997200"/>
            <wp:effectExtent l="0" t="0" r="0" b="0"/>
            <wp:docPr id="253" name="Imagen 253" descr="http://s.libertaddigital.com/2016/06/10/ninisj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2016/06/10/ninisjg7.jpg"/>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2997200"/>
                    </a:xfrm>
                    <a:prstGeom prst="rect">
                      <a:avLst/>
                    </a:prstGeom>
                    <a:noFill/>
                    <a:ln>
                      <a:noFill/>
                    </a:ln>
                  </pic:spPr>
                </pic:pic>
              </a:graphicData>
            </a:graphic>
          </wp:inline>
        </w:drawing>
      </w:r>
    </w:p>
    <w:p w:rsidR="00E30955" w:rsidRDefault="00E30955" w:rsidP="00E30955">
      <w:pPr>
        <w:pStyle w:val="NormalWeb"/>
        <w:shd w:val="clear" w:color="auto" w:fill="FFFFFF"/>
        <w:spacing w:before="0" w:beforeAutospacing="0" w:after="0" w:afterAutospacing="0"/>
        <w:jc w:val="both"/>
        <w:textAlignment w:val="baseline"/>
        <w:rPr>
          <w:color w:val="333333"/>
        </w:rPr>
      </w:pPr>
      <w:r w:rsidRPr="00B22435">
        <w:rPr>
          <w:color w:val="333333"/>
        </w:rPr>
        <w:t>En resumen, el mercado laboral en España tiene un problema con los jóvenes que se sitúan fuera del ciclo formativo y del empleo. Más que una cuestión de</w:t>
      </w:r>
      <w:r w:rsidRPr="00B22435">
        <w:rPr>
          <w:rStyle w:val="apple-converted-space"/>
          <w:rFonts w:eastAsiaTheme="majorEastAsia"/>
          <w:color w:val="333333"/>
        </w:rPr>
        <w:t> </w:t>
      </w:r>
      <w:r w:rsidRPr="00B22435">
        <w:rPr>
          <w:rStyle w:val="nfasis"/>
          <w:rFonts w:eastAsiaTheme="majorEastAsia"/>
          <w:color w:val="333333"/>
          <w:bdr w:val="none" w:sz="0" w:space="0" w:color="auto" w:frame="1"/>
        </w:rPr>
        <w:t>pasotismo</w:t>
      </w:r>
      <w:r w:rsidRPr="00B22435">
        <w:rPr>
          <w:color w:val="333333"/>
        </w:rPr>
        <w:t>, el problema puede residir en una</w:t>
      </w:r>
      <w:r w:rsidRPr="00B22435">
        <w:rPr>
          <w:rStyle w:val="apple-converted-space"/>
          <w:rFonts w:eastAsiaTheme="majorEastAsia"/>
          <w:color w:val="333333"/>
        </w:rPr>
        <w:t> </w:t>
      </w:r>
      <w:r w:rsidRPr="00A611C0">
        <w:rPr>
          <w:rStyle w:val="Textoennegrita"/>
          <w:color w:val="333333"/>
          <w:u w:val="single"/>
          <w:bdr w:val="none" w:sz="0" w:space="0" w:color="auto" w:frame="1"/>
        </w:rPr>
        <w:t>insuficiente formación educativa</w:t>
      </w:r>
      <w:r w:rsidRPr="00B22435">
        <w:rPr>
          <w:color w:val="333333"/>
        </w:rPr>
        <w:t>. En este sentido, una elevada tasa de abandono escolar no hace sino empeorar aún más la situación.</w:t>
      </w:r>
    </w:p>
    <w:p w:rsidR="00E30955" w:rsidRDefault="00E30955" w:rsidP="00E30955">
      <w:pPr>
        <w:pStyle w:val="NormalWeb"/>
        <w:shd w:val="clear" w:color="auto" w:fill="FFFFFF"/>
        <w:spacing w:before="0" w:beforeAutospacing="0" w:after="0" w:afterAutospacing="0"/>
        <w:jc w:val="both"/>
        <w:textAlignment w:val="baseline"/>
        <w:rPr>
          <w:color w:val="333333"/>
        </w:rPr>
      </w:pPr>
    </w:p>
    <w:p w:rsidR="00E30955" w:rsidRPr="00E30955" w:rsidRDefault="00E30955" w:rsidP="00E30955">
      <w:pPr>
        <w:pStyle w:val="NormalWeb"/>
        <w:shd w:val="clear" w:color="auto" w:fill="FFFFFF"/>
        <w:spacing w:before="0" w:beforeAutospacing="0" w:after="0" w:afterAutospacing="0"/>
        <w:jc w:val="both"/>
        <w:textAlignment w:val="baseline"/>
        <w:rPr>
          <w:i/>
        </w:rPr>
      </w:pPr>
      <w:r>
        <w:rPr>
          <w:rStyle w:val="Textoennegrita"/>
          <w:b w:val="0"/>
          <w:i/>
          <w:bdr w:val="none" w:sz="0" w:space="0" w:color="auto" w:frame="1"/>
        </w:rPr>
        <w:t>“</w:t>
      </w:r>
      <w:r w:rsidRPr="00E30955">
        <w:rPr>
          <w:rStyle w:val="Textoennegrita"/>
          <w:b w:val="0"/>
          <w:i/>
          <w:bdr w:val="none" w:sz="0" w:space="0" w:color="auto" w:frame="1"/>
        </w:rPr>
        <w:t>2012 y 2015 el número de parados jóvenes en todo el mundo se redujo en tres millones</w:t>
      </w:r>
      <w:r w:rsidRPr="00E30955">
        <w:rPr>
          <w:i/>
        </w:rPr>
        <w:t>. Sin embargo, en 2016 han vuelto a cambiar las tornas y la Organización Internacional de Trabajo (OIT) prevé que el año se cierre con tres millones de jóvenes desempleados más. Con ello, la tasa de paro juvenil en el mundo se aupará al 13,1%, acercándose al máximo histórico del 13,2% registrado en 2013.</w:t>
      </w:r>
    </w:p>
    <w:p w:rsidR="00E30955" w:rsidRPr="00E30955" w:rsidRDefault="00E30955" w:rsidP="00E30955">
      <w:pPr>
        <w:pStyle w:val="NormalWeb"/>
        <w:shd w:val="clear" w:color="auto" w:fill="FFFFFF"/>
        <w:spacing w:before="0" w:beforeAutospacing="0" w:after="0" w:afterAutospacing="0"/>
        <w:jc w:val="both"/>
        <w:textAlignment w:val="baseline"/>
        <w:rPr>
          <w:i/>
        </w:rPr>
      </w:pPr>
    </w:p>
    <w:p w:rsidR="00E30955" w:rsidRPr="00E30955" w:rsidRDefault="00E30955" w:rsidP="00E30955">
      <w:pPr>
        <w:pStyle w:val="NormalWeb"/>
        <w:shd w:val="clear" w:color="auto" w:fill="FFFFFF"/>
        <w:spacing w:before="0" w:beforeAutospacing="0" w:after="0" w:afterAutospacing="0"/>
        <w:jc w:val="both"/>
        <w:textAlignment w:val="baseline"/>
        <w:rPr>
          <w:i/>
        </w:rPr>
      </w:pPr>
      <w:r w:rsidRPr="00E30955">
        <w:rPr>
          <w:i/>
        </w:rPr>
        <w:t>Según estas estimaciones incluidas en el último informe de</w:t>
      </w:r>
      <w:r w:rsidRPr="00E30955">
        <w:rPr>
          <w:rStyle w:val="apple-converted-space"/>
          <w:i/>
        </w:rPr>
        <w:t> </w:t>
      </w:r>
      <w:hyperlink r:id="rId153" w:tgtFrame="_blank" w:history="1">
        <w:r w:rsidRPr="00E30955">
          <w:rPr>
            <w:rStyle w:val="Hipervnculo"/>
            <w:i/>
            <w:color w:val="auto"/>
            <w:u w:val="none"/>
            <w:bdr w:val="none" w:sz="0" w:space="0" w:color="auto" w:frame="1"/>
          </w:rPr>
          <w:t>la OIT</w:t>
        </w:r>
      </w:hyperlink>
      <w:r w:rsidRPr="00E30955">
        <w:rPr>
          <w:rStyle w:val="apple-converted-space"/>
          <w:i/>
        </w:rPr>
        <w:t> </w:t>
      </w:r>
      <w:r w:rsidRPr="00E30955">
        <w:rPr>
          <w:i/>
        </w:rPr>
        <w:t>dedicado a las</w:t>
      </w:r>
      <w:r w:rsidRPr="00E30955">
        <w:rPr>
          <w:rStyle w:val="apple-converted-space"/>
          <w:i/>
        </w:rPr>
        <w:t> </w:t>
      </w:r>
      <w:r w:rsidRPr="00E30955">
        <w:rPr>
          <w:rStyle w:val="Textoennegrita"/>
          <w:b w:val="0"/>
          <w:i/>
          <w:bdr w:val="none" w:sz="0" w:space="0" w:color="auto" w:frame="1"/>
        </w:rPr>
        <w:t>Tendencias del empleo juvenil en 2016</w:t>
      </w:r>
      <w:r w:rsidRPr="00E30955">
        <w:rPr>
          <w:i/>
        </w:rPr>
        <w:t>, los países desarrollados serán los que mantengan una mayor tasa de paro juvenil (14,5%), con 9,8 millones de desempleados jóvenes; aunque “descenderá lentamente en 2017%”.</w:t>
      </w:r>
    </w:p>
    <w:p w:rsidR="00E30955" w:rsidRPr="00E30955" w:rsidRDefault="00E30955" w:rsidP="00E30955">
      <w:pPr>
        <w:pStyle w:val="NormalWeb"/>
        <w:shd w:val="clear" w:color="auto" w:fill="FFFFFF"/>
        <w:spacing w:before="0" w:beforeAutospacing="0" w:after="0" w:afterAutospacing="0"/>
        <w:jc w:val="both"/>
        <w:textAlignment w:val="baseline"/>
        <w:rPr>
          <w:i/>
        </w:rPr>
      </w:pPr>
    </w:p>
    <w:p w:rsidR="00E30955" w:rsidRDefault="00E30955" w:rsidP="00E30955">
      <w:pPr>
        <w:spacing w:line="240" w:lineRule="auto"/>
        <w:jc w:val="both"/>
        <w:rPr>
          <w:rFonts w:ascii="Times New Roman" w:hAnsi="Times New Roman"/>
          <w:sz w:val="24"/>
          <w:szCs w:val="24"/>
          <w:u w:val="single"/>
        </w:rPr>
      </w:pPr>
      <w:r w:rsidRPr="00E30955">
        <w:rPr>
          <w:rFonts w:ascii="Times New Roman" w:hAnsi="Times New Roman" w:cs="Times New Roman"/>
          <w:i/>
          <w:sz w:val="24"/>
          <w:szCs w:val="24"/>
        </w:rPr>
        <w:t>Solo en los 28 Estados de la UE, los expertos de este organismo prevén que la</w:t>
      </w:r>
      <w:r w:rsidRPr="00E30955">
        <w:rPr>
          <w:rStyle w:val="apple-converted-space"/>
          <w:rFonts w:ascii="Times New Roman" w:hAnsi="Times New Roman" w:cs="Times New Roman"/>
          <w:i/>
          <w:sz w:val="24"/>
          <w:szCs w:val="24"/>
        </w:rPr>
        <w:t> </w:t>
      </w:r>
      <w:hyperlink r:id="rId154" w:tgtFrame="_blank" w:history="1">
        <w:r w:rsidRPr="00E30955">
          <w:rPr>
            <w:rStyle w:val="Hipervnculo"/>
            <w:rFonts w:ascii="Times New Roman" w:hAnsi="Times New Roman" w:cs="Times New Roman"/>
            <w:i/>
            <w:color w:val="auto"/>
            <w:sz w:val="24"/>
            <w:szCs w:val="24"/>
            <w:u w:val="none"/>
            <w:bdr w:val="none" w:sz="0" w:space="0" w:color="auto" w:frame="1"/>
          </w:rPr>
          <w:t>tasa de paro juvenil</w:t>
        </w:r>
      </w:hyperlink>
      <w:r w:rsidRPr="00E30955">
        <w:rPr>
          <w:rStyle w:val="apple-converted-space"/>
          <w:rFonts w:ascii="Times New Roman" w:hAnsi="Times New Roman" w:cs="Times New Roman"/>
          <w:i/>
          <w:sz w:val="24"/>
          <w:szCs w:val="24"/>
        </w:rPr>
        <w:t> </w:t>
      </w:r>
      <w:r w:rsidRPr="00E30955">
        <w:rPr>
          <w:rFonts w:ascii="Times New Roman" w:hAnsi="Times New Roman" w:cs="Times New Roman"/>
          <w:i/>
          <w:sz w:val="24"/>
          <w:szCs w:val="24"/>
        </w:rPr>
        <w:t>caiga del 19,2% en 2016 al 18,4% en 2017, reduciéndose en medio millón de parados hasta los 4,2 millones...</w:t>
      </w:r>
    </w:p>
    <w:p w:rsidR="00E30955" w:rsidRPr="00E30955" w:rsidRDefault="00E30955" w:rsidP="00E30955">
      <w:pPr>
        <w:pStyle w:val="NormalWeb"/>
        <w:shd w:val="clear" w:color="auto" w:fill="FFFFFF"/>
        <w:spacing w:before="0" w:beforeAutospacing="0" w:after="0" w:afterAutospacing="0"/>
        <w:jc w:val="both"/>
        <w:textAlignment w:val="baseline"/>
        <w:rPr>
          <w:i/>
        </w:rPr>
      </w:pPr>
      <w:r w:rsidRPr="00E30955">
        <w:rPr>
          <w:i/>
        </w:rPr>
        <w:t>Para la OIT la principal causa de que los jóvenes de entre 20 y 29 años no busquen empleo es “la falta de oportunidades viables”. Y dado que las tasas de paro son altas y la transición de los estudios al empleo cada vez más compleja, la tasa de ninis va en aumento. El estudio cita una encuesta hecha en 28 países de todo el mundo que indica que casi el 25% de los jóvenes de entre 15 y 29 años entra en la categoría de nini.</w:t>
      </w:r>
    </w:p>
    <w:p w:rsidR="00E30955" w:rsidRPr="00E30955" w:rsidRDefault="00E30955" w:rsidP="00E30955">
      <w:pPr>
        <w:pStyle w:val="NormalWeb"/>
        <w:shd w:val="clear" w:color="auto" w:fill="FFFFFF"/>
        <w:spacing w:before="0" w:beforeAutospacing="0" w:after="0" w:afterAutospacing="0"/>
        <w:jc w:val="both"/>
        <w:textAlignment w:val="baseline"/>
        <w:rPr>
          <w:i/>
        </w:rPr>
      </w:pPr>
    </w:p>
    <w:p w:rsidR="00E30955" w:rsidRPr="00E30955" w:rsidRDefault="00E30955" w:rsidP="00E30955">
      <w:pPr>
        <w:pStyle w:val="NormalWeb"/>
        <w:shd w:val="clear" w:color="auto" w:fill="FFFFFF"/>
        <w:spacing w:before="0" w:beforeAutospacing="0" w:after="0" w:afterAutospacing="0"/>
        <w:jc w:val="both"/>
        <w:textAlignment w:val="baseline"/>
        <w:rPr>
          <w:i/>
        </w:rPr>
      </w:pPr>
      <w:r w:rsidRPr="00E30955">
        <w:rPr>
          <w:i/>
          <w:noProof/>
          <w:lang w:val="en-GB" w:eastAsia="en-GB"/>
        </w:rPr>
        <w:drawing>
          <wp:inline distT="0" distB="0" distL="0" distR="0">
            <wp:extent cx="5397500" cy="2622550"/>
            <wp:effectExtent l="0" t="0" r="0" b="6350"/>
            <wp:docPr id="13" name="Imagen 13"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pic:cNvPicPr>
                      <a:picLocks noChangeAspect="1" noChangeArrowheads="1"/>
                    </pic:cNvPicPr>
                  </pic:nvPicPr>
                  <pic:blipFill>
                    <a:blip r:embed="rId1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623784"/>
                    </a:xfrm>
                    <a:prstGeom prst="rect">
                      <a:avLst/>
                    </a:prstGeom>
                    <a:noFill/>
                    <a:ln>
                      <a:noFill/>
                    </a:ln>
                  </pic:spPr>
                </pic:pic>
              </a:graphicData>
            </a:graphic>
          </wp:inline>
        </w:drawing>
      </w:r>
    </w:p>
    <w:p w:rsidR="00E30955" w:rsidRPr="00E30955" w:rsidRDefault="00E30955" w:rsidP="00E30955">
      <w:pPr>
        <w:pStyle w:val="NormalWeb"/>
        <w:shd w:val="clear" w:color="auto" w:fill="FFFFFF"/>
        <w:spacing w:before="0" w:beforeAutospacing="0" w:after="0" w:afterAutospacing="0"/>
        <w:jc w:val="both"/>
        <w:textAlignment w:val="baseline"/>
        <w:rPr>
          <w:i/>
        </w:rPr>
      </w:pPr>
    </w:p>
    <w:p w:rsidR="00E30955" w:rsidRPr="00E30955" w:rsidRDefault="00E30955" w:rsidP="00E30955">
      <w:pPr>
        <w:pStyle w:val="NormalWeb"/>
        <w:shd w:val="clear" w:color="auto" w:fill="FFFFFF"/>
        <w:spacing w:before="0" w:beforeAutospacing="0" w:after="0" w:afterAutospacing="0"/>
        <w:jc w:val="both"/>
        <w:textAlignment w:val="baseline"/>
        <w:rPr>
          <w:i/>
        </w:rPr>
      </w:pPr>
      <w:r w:rsidRPr="00E30955">
        <w:rPr>
          <w:i/>
        </w:rPr>
        <w:t>Estas malas perspectivas han incrementado las</w:t>
      </w:r>
      <w:r w:rsidRPr="00E30955">
        <w:rPr>
          <w:rStyle w:val="apple-converted-space"/>
          <w:i/>
        </w:rPr>
        <w:t> </w:t>
      </w:r>
      <w:r w:rsidRPr="00E30955">
        <w:rPr>
          <w:rStyle w:val="Textoennegrita"/>
          <w:b w:val="0"/>
          <w:i/>
          <w:bdr w:val="none" w:sz="0" w:space="0" w:color="auto" w:frame="1"/>
        </w:rPr>
        <w:t>intenciones de los jóvenes de todo el mundo a emigrar</w:t>
      </w:r>
      <w:r w:rsidRPr="00E30955">
        <w:rPr>
          <w:i/>
        </w:rPr>
        <w:t>. En el norte de África se da la mayor tasa (el 35% de los jóvenes están dispuestos a marcharse de su país), mientras que en Norteamérica se registra la tasa más baja (15%).</w:t>
      </w:r>
    </w:p>
    <w:p w:rsidR="00E30955" w:rsidRPr="00E30955" w:rsidRDefault="00E30955" w:rsidP="00E30955">
      <w:pPr>
        <w:pStyle w:val="NormalWeb"/>
        <w:shd w:val="clear" w:color="auto" w:fill="FFFFFF"/>
        <w:spacing w:before="0" w:beforeAutospacing="0" w:after="0" w:afterAutospacing="0"/>
        <w:jc w:val="both"/>
        <w:textAlignment w:val="baseline"/>
        <w:rPr>
          <w:i/>
        </w:rPr>
      </w:pPr>
    </w:p>
    <w:p w:rsidR="00E30955" w:rsidRPr="00E30955" w:rsidRDefault="00E30955" w:rsidP="00E30955">
      <w:pPr>
        <w:pStyle w:val="NormalWeb"/>
        <w:shd w:val="clear" w:color="auto" w:fill="F2F2F2"/>
        <w:spacing w:before="0" w:beforeAutospacing="0" w:after="0" w:afterAutospacing="0"/>
        <w:jc w:val="both"/>
        <w:textAlignment w:val="baseline"/>
        <w:rPr>
          <w:i/>
        </w:rPr>
      </w:pPr>
      <w:r w:rsidRPr="00E30955">
        <w:rPr>
          <w:i/>
        </w:rPr>
        <w:t>En las últimas dos décadas los jóvenes han sustituido a los mayores como grupo poblacional con más posibilidades de caer en la pobreza, asegura la OIT. Las últimas cifras oficiales indican que en 2014 el 12,9% de lo</w:t>
      </w:r>
      <w:r>
        <w:rPr>
          <w:i/>
        </w:rPr>
        <w:t>s</w:t>
      </w:r>
      <w:r w:rsidRPr="00E30955">
        <w:rPr>
          <w:i/>
        </w:rPr>
        <w:t xml:space="preserve"> jóvenes de la UE28 vivía bajo el riesgo de pobreza (con ingresos inferiores al 60% de la media de ingresos), frente a un riesgo del 9,6% de los adultos europeos. El problema es aún mayor en países como España donde esta tasa alcanza el 22%.</w:t>
      </w:r>
    </w:p>
    <w:p w:rsidR="00E30955" w:rsidRPr="00E30955" w:rsidRDefault="00E30955" w:rsidP="00E30955">
      <w:pPr>
        <w:pStyle w:val="NormalWeb"/>
        <w:shd w:val="clear" w:color="auto" w:fill="F2F2F2"/>
        <w:spacing w:before="0" w:beforeAutospacing="0" w:after="0" w:afterAutospacing="0"/>
        <w:jc w:val="both"/>
        <w:textAlignment w:val="baseline"/>
        <w:rPr>
          <w:i/>
        </w:rPr>
      </w:pPr>
    </w:p>
    <w:p w:rsidR="00D50C14" w:rsidRDefault="00E30955" w:rsidP="00D50C14">
      <w:pPr>
        <w:pStyle w:val="NormalWeb"/>
        <w:shd w:val="clear" w:color="auto" w:fill="F2F2F2"/>
        <w:spacing w:before="0" w:beforeAutospacing="0" w:after="0" w:afterAutospacing="0"/>
        <w:jc w:val="both"/>
        <w:textAlignment w:val="baseline"/>
      </w:pPr>
      <w:r w:rsidRPr="00E30955">
        <w:rPr>
          <w:i/>
        </w:rPr>
        <w:t>Según la OIT, las elevadas tasas de pobreza entre los jóvenes de los países desarrollados podrían ser un reflejo de sus elevadas probabilidades de tener un empleo temporal o a tiempo parcial, mucho mayores que las de los trabajadores de más edad. La OIT explica que estos empleos “están asociados a bajos salarios, un muy limitado acceso a la formación, lentos avances en las carreras profesionales y bajos niveles de protección social” Y aunque existen países en los que estos empleos son la antesala de otros puestos fijos y mejor pagados, “h</w:t>
      </w:r>
      <w:r w:rsidR="00A611C0">
        <w:rPr>
          <w:i/>
        </w:rPr>
        <w:t>ay muchos países desarrollados -</w:t>
      </w:r>
      <w:r w:rsidRPr="00E30955">
        <w:rPr>
          <w:i/>
        </w:rPr>
        <w:t xml:space="preserve">continúa el </w:t>
      </w:r>
      <w:r w:rsidR="00A611C0">
        <w:rPr>
          <w:i/>
        </w:rPr>
        <w:lastRenderedPageBreak/>
        <w:t>informe de la OIT-</w:t>
      </w:r>
      <w:r w:rsidRPr="00E30955">
        <w:rPr>
          <w:i/>
        </w:rPr>
        <w:t xml:space="preserve"> en los que los jóvenes tienen contratos temporales y a tiempo parcial porque no se les ofrecen oportunidades mejores”</w:t>
      </w:r>
      <w:r>
        <w:rPr>
          <w:i/>
        </w:rPr>
        <w:t>”..</w:t>
      </w:r>
      <w:r w:rsidRPr="00E30955">
        <w:rPr>
          <w:i/>
        </w:rPr>
        <w:t>.</w:t>
      </w:r>
      <w:r w:rsidRPr="00CD6022">
        <w:rPr>
          <w:u w:val="single"/>
        </w:rPr>
        <w:t>La OIT prevé una fuerte caída del paro juvenil en España</w:t>
      </w:r>
      <w:r w:rsidRPr="00CD6022">
        <w:t xml:space="preserve"> (Cinco Días - </w:t>
      </w:r>
      <w:r w:rsidRPr="00CD6022">
        <w:rPr>
          <w:b/>
        </w:rPr>
        <w:t>24/8/16</w:t>
      </w:r>
      <w:r w:rsidRPr="00CD6022">
        <w:t>)</w:t>
      </w:r>
    </w:p>
    <w:p w:rsidR="00D50C14" w:rsidRDefault="00D50C14" w:rsidP="00D50C14">
      <w:pPr>
        <w:pStyle w:val="NormalWeb"/>
        <w:shd w:val="clear" w:color="auto" w:fill="F2F2F2"/>
        <w:spacing w:before="0" w:beforeAutospacing="0" w:after="0" w:afterAutospacing="0"/>
        <w:jc w:val="both"/>
        <w:textAlignment w:val="baseline"/>
      </w:pPr>
    </w:p>
    <w:p w:rsidR="00E30955" w:rsidRPr="00D50C14" w:rsidRDefault="00E30955" w:rsidP="00D50C14">
      <w:pPr>
        <w:pStyle w:val="NormalWeb"/>
        <w:shd w:val="clear" w:color="auto" w:fill="F2F2F2"/>
        <w:spacing w:before="0" w:beforeAutospacing="0" w:after="0" w:afterAutospacing="0"/>
        <w:jc w:val="both"/>
        <w:textAlignment w:val="baseline"/>
      </w:pPr>
      <w:r w:rsidRPr="000807D7">
        <w:t xml:space="preserve">- </w:t>
      </w:r>
      <w:r w:rsidRPr="000807D7">
        <w:rPr>
          <w:u w:val="single"/>
        </w:rPr>
        <w:t>El desempleo juvenil está aumentando de nuevo en el mundo</w:t>
      </w:r>
      <w:r w:rsidRPr="000807D7">
        <w:t xml:space="preserve"> (OIT - </w:t>
      </w:r>
      <w:r w:rsidRPr="00D50C14">
        <w:rPr>
          <w:b/>
        </w:rPr>
        <w:t>24/8/16</w:t>
      </w:r>
      <w:r w:rsidRPr="000807D7">
        <w:t>)</w:t>
      </w:r>
      <w:r>
        <w:t xml:space="preserve"> Lectura recomendada</w:t>
      </w:r>
    </w:p>
    <w:p w:rsidR="00E30955" w:rsidRPr="001A74A3" w:rsidRDefault="00E30955" w:rsidP="00E30955">
      <w:pPr>
        <w:pStyle w:val="intro"/>
        <w:spacing w:before="300" w:beforeAutospacing="0" w:after="203" w:afterAutospacing="0"/>
        <w:jc w:val="both"/>
        <w:rPr>
          <w:color w:val="FF0000"/>
        </w:rPr>
      </w:pPr>
      <w:r w:rsidRPr="001A74A3">
        <w:rPr>
          <w:color w:val="FF0000"/>
        </w:rPr>
        <w:t>Una investigación de la OIT muestra que tras varios años de mejoras, el desempleo juvenil aumentará en 2016 y que la pobreza laboral afecta de manera desproporcionada a los jóvenes.</w:t>
      </w:r>
    </w:p>
    <w:p w:rsidR="00E30955" w:rsidRPr="003C5CF3" w:rsidRDefault="007C16EA" w:rsidP="00E30955">
      <w:pPr>
        <w:shd w:val="clear" w:color="auto" w:fill="FFFFFF"/>
        <w:spacing w:line="240" w:lineRule="auto"/>
        <w:jc w:val="both"/>
        <w:rPr>
          <w:rFonts w:ascii="Times New Roman" w:hAnsi="Times New Roman"/>
          <w:sz w:val="24"/>
          <w:szCs w:val="24"/>
        </w:rPr>
      </w:pPr>
      <w:r>
        <w:rPr>
          <w:rFonts w:ascii="Times New Roman" w:hAnsi="Times New Roman"/>
          <w:sz w:val="24"/>
          <w:szCs w:val="24"/>
        </w:rPr>
        <w:t>Comunicado de prensa /</w:t>
      </w:r>
      <w:r w:rsidR="00E30955" w:rsidRPr="003C5CF3">
        <w:rPr>
          <w:rFonts w:ascii="Times New Roman" w:hAnsi="Times New Roman"/>
          <w:sz w:val="24"/>
          <w:szCs w:val="24"/>
        </w:rPr>
        <w:t xml:space="preserve"> 24 de agosto de 2016</w:t>
      </w:r>
    </w:p>
    <w:p w:rsidR="00E30955" w:rsidRPr="001A74A3" w:rsidRDefault="00E30955" w:rsidP="00E30955">
      <w:pPr>
        <w:shd w:val="clear" w:color="auto" w:fill="FFFFFF"/>
        <w:spacing w:line="240" w:lineRule="auto"/>
        <w:jc w:val="both"/>
        <w:rPr>
          <w:rStyle w:val="apple-converted-space"/>
          <w:rFonts w:ascii="Times New Roman" w:hAnsi="Times New Roman"/>
          <w:color w:val="FF0000"/>
          <w:sz w:val="24"/>
          <w:szCs w:val="24"/>
          <w:u w:val="single"/>
        </w:rPr>
      </w:pPr>
      <w:r w:rsidRPr="003C5CF3">
        <w:rPr>
          <w:rFonts w:ascii="Times New Roman" w:hAnsi="Times New Roman"/>
          <w:sz w:val="24"/>
          <w:szCs w:val="24"/>
        </w:rPr>
        <w:t>G</w:t>
      </w:r>
      <w:r>
        <w:rPr>
          <w:rFonts w:ascii="Times New Roman" w:hAnsi="Times New Roman"/>
          <w:sz w:val="24"/>
          <w:szCs w:val="24"/>
        </w:rPr>
        <w:t>inebra (OIT Noticias).-</w:t>
      </w:r>
      <w:r w:rsidRPr="001A74A3">
        <w:rPr>
          <w:rFonts w:ascii="Times New Roman" w:hAnsi="Times New Roman"/>
          <w:color w:val="FF0000"/>
          <w:sz w:val="24"/>
          <w:szCs w:val="24"/>
          <w:u w:val="single"/>
        </w:rPr>
        <w:t>La Organización Internacional del Trabajo (OIT) estima que la tasa mundial de desempleo juvenil alcance el 13,1 por ciento en 2016 y permanecerá en ese nivel durante 2017 (frente a 12, 9 por ciento en 2015).</w:t>
      </w:r>
      <w:r w:rsidRPr="001A74A3">
        <w:rPr>
          <w:rStyle w:val="apple-converted-space"/>
          <w:rFonts w:ascii="Times New Roman" w:hAnsi="Times New Roman"/>
          <w:color w:val="FF0000"/>
          <w:sz w:val="24"/>
          <w:szCs w:val="24"/>
          <w:u w:val="single"/>
        </w:rPr>
        <w:t> </w:t>
      </w:r>
    </w:p>
    <w:p w:rsidR="00E30955" w:rsidRPr="001A74A3" w:rsidRDefault="00E30955" w:rsidP="00E30955">
      <w:pPr>
        <w:shd w:val="clear" w:color="auto" w:fill="FFFFFF"/>
        <w:spacing w:line="240" w:lineRule="auto"/>
        <w:jc w:val="both"/>
        <w:rPr>
          <w:rStyle w:val="apple-converted-space"/>
          <w:rFonts w:ascii="Times New Roman" w:hAnsi="Times New Roman"/>
          <w:color w:val="FF0000"/>
          <w:sz w:val="24"/>
          <w:szCs w:val="24"/>
          <w:u w:val="single"/>
        </w:rPr>
      </w:pPr>
      <w:r w:rsidRPr="001A74A3">
        <w:rPr>
          <w:rFonts w:ascii="Times New Roman" w:hAnsi="Times New Roman"/>
          <w:color w:val="FF0000"/>
          <w:sz w:val="24"/>
          <w:szCs w:val="24"/>
          <w:u w:val="single"/>
        </w:rPr>
        <w:t>El informe de la OIT</w:t>
      </w:r>
      <w:r w:rsidRPr="001A74A3">
        <w:rPr>
          <w:rStyle w:val="apple-converted-space"/>
          <w:rFonts w:ascii="Times New Roman" w:hAnsi="Times New Roman"/>
          <w:color w:val="FF0000"/>
          <w:sz w:val="24"/>
          <w:szCs w:val="24"/>
          <w:u w:val="single"/>
        </w:rPr>
        <w:t> </w:t>
      </w:r>
      <w:hyperlink r:id="rId156" w:history="1">
        <w:r w:rsidRPr="001A74A3">
          <w:rPr>
            <w:rStyle w:val="nfasis"/>
            <w:rFonts w:ascii="Times New Roman" w:hAnsi="Times New Roman"/>
            <w:color w:val="FF0000"/>
            <w:sz w:val="24"/>
            <w:szCs w:val="24"/>
            <w:u w:val="single"/>
          </w:rPr>
          <w:t>Perspectivas sociales y del empleo en el mundo 2016: Tendencias del empleo juvenil</w:t>
        </w:r>
        <w:r w:rsidRPr="001A74A3">
          <w:rPr>
            <w:rStyle w:val="Hipervnculo"/>
            <w:rFonts w:ascii="Times New Roman" w:hAnsi="Times New Roman"/>
            <w:color w:val="FF0000"/>
            <w:sz w:val="24"/>
            <w:szCs w:val="24"/>
          </w:rPr>
          <w:t> </w:t>
        </w:r>
      </w:hyperlink>
      <w:r w:rsidRPr="001A74A3">
        <w:rPr>
          <w:rStyle w:val="apple-converted-space"/>
          <w:rFonts w:ascii="Times New Roman" w:hAnsi="Times New Roman"/>
          <w:color w:val="FF0000"/>
          <w:sz w:val="24"/>
          <w:szCs w:val="24"/>
          <w:u w:val="single"/>
        </w:rPr>
        <w:t> </w:t>
      </w:r>
      <w:r w:rsidRPr="001A74A3">
        <w:rPr>
          <w:rFonts w:ascii="Times New Roman" w:hAnsi="Times New Roman"/>
          <w:color w:val="FF0000"/>
          <w:sz w:val="24"/>
          <w:szCs w:val="24"/>
          <w:u w:val="single"/>
        </w:rPr>
        <w:t>muestra que el número de jóvenes desempleados aumentará este año de medio millón hasta alcanzar los 71 millones (cuadro 1), el primer incremento de este tipo en tres años.</w:t>
      </w:r>
      <w:r w:rsidRPr="001A74A3">
        <w:rPr>
          <w:rStyle w:val="apple-converted-space"/>
          <w:rFonts w:ascii="Times New Roman" w:hAnsi="Times New Roman"/>
          <w:color w:val="FF0000"/>
          <w:sz w:val="24"/>
          <w:szCs w:val="24"/>
          <w:u w:val="single"/>
        </w:rPr>
        <w:t> </w:t>
      </w:r>
    </w:p>
    <w:p w:rsidR="00E30955" w:rsidRPr="001A74A3" w:rsidRDefault="00E30955" w:rsidP="00E30955">
      <w:pPr>
        <w:shd w:val="clear" w:color="auto" w:fill="FFFFFF"/>
        <w:spacing w:line="240" w:lineRule="auto"/>
        <w:jc w:val="both"/>
        <w:rPr>
          <w:rFonts w:ascii="Times New Roman" w:hAnsi="Times New Roman"/>
          <w:sz w:val="24"/>
          <w:szCs w:val="24"/>
          <w:u w:val="single"/>
        </w:rPr>
      </w:pPr>
      <w:r w:rsidRPr="001A74A3">
        <w:rPr>
          <w:rFonts w:ascii="Times New Roman" w:hAnsi="Times New Roman"/>
          <w:sz w:val="24"/>
          <w:szCs w:val="24"/>
          <w:u w:val="single"/>
        </w:rPr>
        <w:t>Despierta aún mayor preocupación la proporción y el número de jóvenes, con frecuencia en los países emergentes y en desarrollo, que viven en pobreza extrema o moderada a pesar de tener un trabajo</w:t>
      </w:r>
      <w:r w:rsidRPr="003C5CF3">
        <w:rPr>
          <w:rFonts w:ascii="Times New Roman" w:hAnsi="Times New Roman"/>
          <w:sz w:val="24"/>
          <w:szCs w:val="24"/>
        </w:rPr>
        <w:t xml:space="preserve">. </w:t>
      </w:r>
      <w:r w:rsidRPr="001A74A3">
        <w:rPr>
          <w:rFonts w:ascii="Times New Roman" w:hAnsi="Times New Roman"/>
          <w:sz w:val="24"/>
          <w:szCs w:val="24"/>
          <w:u w:val="single"/>
        </w:rPr>
        <w:t>De hecho, 156 millones o el 37,7 por ciento de los trabajadores jóvenes se encuentran en una situación de pobreza extrema o moderada (frente a 26 por ciento de los trabajadores adultos).</w:t>
      </w:r>
    </w:p>
    <w:p w:rsidR="00E30955" w:rsidRDefault="00E30955" w:rsidP="00E30955">
      <w:pPr>
        <w:shd w:val="clear" w:color="auto" w:fill="FFFFFF"/>
        <w:spacing w:line="240" w:lineRule="auto"/>
        <w:jc w:val="both"/>
        <w:rPr>
          <w:rStyle w:val="Textoennegrita"/>
          <w:rFonts w:ascii="Times New Roman" w:hAnsi="Times New Roman"/>
          <w:b w:val="0"/>
          <w:bCs w:val="0"/>
          <w:sz w:val="24"/>
          <w:szCs w:val="24"/>
        </w:rPr>
      </w:pPr>
      <w:r w:rsidRPr="003C5CF3">
        <w:rPr>
          <w:rStyle w:val="Textoennegrita"/>
          <w:rFonts w:ascii="Times New Roman" w:hAnsi="Times New Roman"/>
          <w:sz w:val="24"/>
          <w:szCs w:val="24"/>
        </w:rPr>
        <w:t>Cuadro 1. Tendencias y proyecciones del desempleo y de la pobreza laboral de los jóvenes hasta 2017</w:t>
      </w:r>
    </w:p>
    <w:p w:rsidR="00E30955" w:rsidRDefault="00E30955" w:rsidP="00E30955">
      <w:pPr>
        <w:shd w:val="clear" w:color="auto" w:fill="FFFFFF"/>
        <w:spacing w:line="240" w:lineRule="auto"/>
        <w:jc w:val="both"/>
        <w:rPr>
          <w:rStyle w:val="nfasis"/>
          <w:rFonts w:ascii="Times New Roman" w:hAnsi="Times New Roman"/>
          <w:sz w:val="24"/>
          <w:szCs w:val="24"/>
        </w:rPr>
      </w:pPr>
      <w:r w:rsidRPr="003C5CF3">
        <w:rPr>
          <w:rFonts w:ascii="Times New Roman" w:hAnsi="Times New Roman"/>
          <w:noProof/>
          <w:sz w:val="24"/>
          <w:szCs w:val="24"/>
          <w:lang w:val="en-GB" w:eastAsia="en-GB"/>
        </w:rPr>
        <w:drawing>
          <wp:inline distT="0" distB="0" distL="0" distR="0">
            <wp:extent cx="5651500" cy="2413000"/>
            <wp:effectExtent l="0" t="0" r="6350" b="6350"/>
            <wp:docPr id="257" name="Imagen 257" descr="http://www.ilo.org/wcmsp5/groups/public/---dgreports/---dcomm/documents/image/wcms_514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lo.org/wcmsp5/groups/public/---dgreports/---dcomm/documents/image/wcms_514121.jpg"/>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1500" cy="2413000"/>
                    </a:xfrm>
                    <a:prstGeom prst="rect">
                      <a:avLst/>
                    </a:prstGeom>
                    <a:noFill/>
                    <a:ln>
                      <a:noFill/>
                    </a:ln>
                  </pic:spPr>
                </pic:pic>
              </a:graphicData>
            </a:graphic>
          </wp:inline>
        </w:drawing>
      </w:r>
    </w:p>
    <w:p w:rsidR="007C16EA" w:rsidRDefault="007C16EA" w:rsidP="00E30955">
      <w:pPr>
        <w:shd w:val="clear" w:color="auto" w:fill="FFFFFF"/>
        <w:spacing w:line="240" w:lineRule="auto"/>
        <w:jc w:val="both"/>
        <w:rPr>
          <w:rStyle w:val="nfasis"/>
          <w:rFonts w:ascii="Times New Roman" w:hAnsi="Times New Roman"/>
          <w:sz w:val="24"/>
          <w:szCs w:val="24"/>
        </w:rPr>
      </w:pPr>
    </w:p>
    <w:p w:rsidR="00E30955" w:rsidRPr="007C16EA" w:rsidRDefault="00E30955" w:rsidP="00E30955">
      <w:pPr>
        <w:shd w:val="clear" w:color="auto" w:fill="FFFFFF"/>
        <w:spacing w:line="240" w:lineRule="auto"/>
        <w:jc w:val="both"/>
        <w:rPr>
          <w:rStyle w:val="nfasis"/>
          <w:rFonts w:ascii="Times New Roman" w:hAnsi="Times New Roman"/>
          <w:sz w:val="24"/>
          <w:szCs w:val="24"/>
        </w:rPr>
      </w:pPr>
      <w:r w:rsidRPr="003C5CF3">
        <w:rPr>
          <w:rStyle w:val="nfasis"/>
          <w:rFonts w:ascii="Times New Roman" w:hAnsi="Times New Roman"/>
          <w:sz w:val="24"/>
          <w:szCs w:val="24"/>
        </w:rPr>
        <w:t>Nota: La tasa de trabajadores pobres es definida como la proporción de empleados en situación de pobreza moderada o extrema, es decir con un ingreso per cápita o de consumo inferior a 3,10 dólares diarios. Los jóvenes se definen como aquellos de edades comprendidas entre 15 y 24 años. Fuente:</w:t>
      </w:r>
      <w:r w:rsidRPr="003C5CF3">
        <w:rPr>
          <w:rStyle w:val="apple-converted-space"/>
          <w:rFonts w:ascii="Times New Roman" w:hAnsi="Times New Roman"/>
          <w:i/>
          <w:iCs/>
          <w:sz w:val="24"/>
          <w:szCs w:val="24"/>
        </w:rPr>
        <w:t> </w:t>
      </w:r>
      <w:hyperlink r:id="rId158" w:history="1">
        <w:r w:rsidRPr="007C16EA">
          <w:rPr>
            <w:rStyle w:val="Hipervnculo"/>
            <w:rFonts w:ascii="Times New Roman" w:hAnsi="Times New Roman"/>
            <w:color w:val="auto"/>
            <w:sz w:val="24"/>
            <w:szCs w:val="24"/>
            <w:u w:val="none"/>
          </w:rPr>
          <w:t xml:space="preserve">World Employment and Social Outlook 2016: Trends for </w:t>
        </w:r>
        <w:r w:rsidR="005337CB" w:rsidRPr="007C16EA">
          <w:rPr>
            <w:rStyle w:val="Hipervnculo"/>
            <w:rFonts w:ascii="Times New Roman" w:hAnsi="Times New Roman"/>
            <w:color w:val="auto"/>
            <w:sz w:val="24"/>
            <w:szCs w:val="24"/>
            <w:u w:val="none"/>
          </w:rPr>
          <w:t>Youth</w:t>
        </w:r>
      </w:hyperlink>
      <w:r w:rsidRPr="007C16EA">
        <w:rPr>
          <w:rStyle w:val="nfasis"/>
          <w:rFonts w:ascii="Times New Roman" w:hAnsi="Times New Roman"/>
          <w:sz w:val="24"/>
          <w:szCs w:val="24"/>
        </w:rPr>
        <w:t>.</w:t>
      </w:r>
    </w:p>
    <w:p w:rsidR="00E30955" w:rsidRDefault="00E30955" w:rsidP="00E30955">
      <w:pPr>
        <w:shd w:val="clear" w:color="auto" w:fill="FFFFFF"/>
        <w:spacing w:line="240" w:lineRule="auto"/>
        <w:jc w:val="both"/>
        <w:rPr>
          <w:rStyle w:val="apple-converted-space"/>
          <w:rFonts w:ascii="Times New Roman" w:hAnsi="Times New Roman"/>
          <w:sz w:val="24"/>
          <w:szCs w:val="24"/>
        </w:rPr>
      </w:pPr>
      <w:r w:rsidRPr="001A74A3">
        <w:rPr>
          <w:rFonts w:ascii="Times New Roman" w:hAnsi="Times New Roman"/>
          <w:color w:val="FF0000"/>
          <w:sz w:val="24"/>
          <w:szCs w:val="24"/>
          <w:u w:val="single"/>
        </w:rPr>
        <w:lastRenderedPageBreak/>
        <w:t>“El alarmante incremento del desempleo juvenil y los altos niveles, igualmente preocupantes, de jóvenes que trabajan pero siguen viviendo en la pobreza muestran lo difícil que será lograr el objetivo mundial de poner fin a la pobreza de aquí a 2030 si no redoblamos nuestros esfuerzos para alcanzar un crecimiento económico sostenible y el trabajo decente.</w:t>
      </w:r>
      <w:r w:rsidRPr="003C5CF3">
        <w:rPr>
          <w:rFonts w:ascii="Times New Roman" w:hAnsi="Times New Roman"/>
          <w:sz w:val="24"/>
          <w:szCs w:val="24"/>
        </w:rPr>
        <w:t>Esta investigación además pone de manifiesto las grandes disparidades entre las mujeres jóvenes y los hombres jóvenes en el mercado laboral que los Estados miembros de la OIT y los interlocutores sociales deben abordar con urgencia”, declaró Deborah Greenfield, Directora General Adjunta de Políticas de la OIT.</w:t>
      </w:r>
      <w:r w:rsidRPr="003C5CF3">
        <w:rPr>
          <w:rStyle w:val="apple-converted-space"/>
          <w:rFonts w:ascii="Times New Roman" w:hAnsi="Times New Roman"/>
          <w:sz w:val="24"/>
          <w:szCs w:val="24"/>
        </w:rPr>
        <w:t> </w:t>
      </w:r>
    </w:p>
    <w:p w:rsidR="00E30955" w:rsidRPr="00E30955" w:rsidRDefault="00E30955" w:rsidP="00E30955">
      <w:pPr>
        <w:shd w:val="clear" w:color="auto" w:fill="FFFFFF"/>
        <w:spacing w:line="240" w:lineRule="auto"/>
        <w:jc w:val="both"/>
        <w:rPr>
          <w:rFonts w:ascii="Times New Roman" w:hAnsi="Times New Roman"/>
          <w:sz w:val="24"/>
          <w:szCs w:val="24"/>
        </w:rPr>
      </w:pPr>
      <w:r w:rsidRPr="003C5CF3">
        <w:rPr>
          <w:rFonts w:ascii="Times New Roman" w:hAnsi="Times New Roman" w:cs="Times New Roman"/>
          <w:sz w:val="24"/>
          <w:szCs w:val="24"/>
        </w:rPr>
        <w:t>Desigualdad de oportunidades</w:t>
      </w:r>
    </w:p>
    <w:p w:rsidR="00E30955" w:rsidRDefault="00E30955" w:rsidP="00E30955">
      <w:pPr>
        <w:shd w:val="clear" w:color="auto" w:fill="FFFFFF"/>
        <w:spacing w:line="240" w:lineRule="auto"/>
        <w:jc w:val="both"/>
        <w:rPr>
          <w:rStyle w:val="apple-converted-space"/>
          <w:rFonts w:ascii="Times New Roman" w:hAnsi="Times New Roman"/>
          <w:sz w:val="24"/>
          <w:szCs w:val="24"/>
        </w:rPr>
      </w:pPr>
      <w:r w:rsidRPr="003C5CF3">
        <w:rPr>
          <w:rFonts w:ascii="Times New Roman" w:hAnsi="Times New Roman"/>
          <w:sz w:val="24"/>
          <w:szCs w:val="24"/>
        </w:rPr>
        <w:t>A través de la mayoría de los indicadores del mercado laboral, se constataron grandes disparidades entre las mujeres y los hombres jóvenes, que refuerzan y alimentan un incremento de las desigualdades durante la transición hacia la edad adulta. En 2016, por ejemplo, la tasa de participación en la fuerza de trabajo para los hombres jóvenes se sitúa en un 53,9 por ciento, frente al 37,3 por ciento para las mujeres jóvenes, lo cual representa una disparidad de 16,6 puntos porcentuales.</w:t>
      </w:r>
      <w:r w:rsidRPr="003C5CF3">
        <w:rPr>
          <w:rStyle w:val="apple-converted-space"/>
          <w:rFonts w:ascii="Times New Roman" w:hAnsi="Times New Roman"/>
          <w:sz w:val="24"/>
          <w:szCs w:val="24"/>
        </w:rPr>
        <w:t> </w:t>
      </w:r>
    </w:p>
    <w:p w:rsidR="00E30955" w:rsidRDefault="00E30955" w:rsidP="00E30955">
      <w:pPr>
        <w:shd w:val="clear" w:color="auto" w:fill="FFFFFF"/>
        <w:spacing w:line="240" w:lineRule="auto"/>
        <w:jc w:val="both"/>
        <w:rPr>
          <w:rStyle w:val="apple-converted-space"/>
          <w:rFonts w:ascii="Times New Roman" w:hAnsi="Times New Roman"/>
          <w:sz w:val="24"/>
          <w:szCs w:val="24"/>
        </w:rPr>
      </w:pPr>
      <w:r w:rsidRPr="003C5CF3">
        <w:rPr>
          <w:rFonts w:ascii="Times New Roman" w:hAnsi="Times New Roman"/>
          <w:sz w:val="24"/>
          <w:szCs w:val="24"/>
        </w:rPr>
        <w:t>El problema es particularmente grave en Asia Meridional, en los Estados Árabes y en África del Norte donde las tasas de participación de las mujeres jóvenes son, respectivamente de 32,9, 32,3 y 30,2 puntos porcentuales inferiores a las de los hombres jóvenes en 2016.</w:t>
      </w:r>
      <w:r w:rsidRPr="003C5CF3">
        <w:rPr>
          <w:rStyle w:val="apple-converted-space"/>
          <w:rFonts w:ascii="Times New Roman" w:hAnsi="Times New Roman"/>
          <w:sz w:val="24"/>
          <w:szCs w:val="24"/>
        </w:rPr>
        <w:t> </w:t>
      </w:r>
    </w:p>
    <w:p w:rsidR="00E30955" w:rsidRPr="00E30955" w:rsidRDefault="00E30955" w:rsidP="00E30955">
      <w:pPr>
        <w:shd w:val="clear" w:color="auto" w:fill="FFFFFF"/>
        <w:spacing w:line="240" w:lineRule="auto"/>
        <w:jc w:val="both"/>
        <w:rPr>
          <w:rFonts w:ascii="Times New Roman" w:hAnsi="Times New Roman"/>
          <w:sz w:val="24"/>
          <w:szCs w:val="24"/>
        </w:rPr>
      </w:pPr>
      <w:r w:rsidRPr="003C5CF3">
        <w:rPr>
          <w:rFonts w:ascii="Times New Roman" w:hAnsi="Times New Roman" w:cs="Times New Roman"/>
          <w:sz w:val="24"/>
          <w:szCs w:val="24"/>
        </w:rPr>
        <w:t>El aumento del desempleo es provocado por la desaceleración de las economías emergentes</w:t>
      </w:r>
    </w:p>
    <w:p w:rsidR="00E30955" w:rsidRPr="001A74A3" w:rsidRDefault="00E30955" w:rsidP="00E30955">
      <w:pPr>
        <w:shd w:val="clear" w:color="auto" w:fill="FFFFFF"/>
        <w:spacing w:line="240" w:lineRule="auto"/>
        <w:jc w:val="both"/>
        <w:rPr>
          <w:rStyle w:val="apple-converted-space"/>
          <w:rFonts w:ascii="Times New Roman" w:hAnsi="Times New Roman"/>
          <w:sz w:val="24"/>
          <w:szCs w:val="24"/>
          <w:u w:val="single"/>
        </w:rPr>
      </w:pPr>
      <w:r w:rsidRPr="001A74A3">
        <w:rPr>
          <w:rFonts w:ascii="Times New Roman" w:hAnsi="Times New Roman"/>
          <w:sz w:val="24"/>
          <w:szCs w:val="24"/>
          <w:u w:val="single"/>
        </w:rPr>
        <w:t>Para 2016, el crecimiento económico mundial se estima en 3,2 por ciento, 0,4 puntos porcentuales por debajo de la cifra prevista a finales de 2015.</w:t>
      </w:r>
      <w:r w:rsidRPr="001A74A3">
        <w:rPr>
          <w:rStyle w:val="apple-converted-space"/>
          <w:rFonts w:ascii="Times New Roman" w:hAnsi="Times New Roman"/>
          <w:sz w:val="24"/>
          <w:szCs w:val="24"/>
          <w:u w:val="single"/>
        </w:rPr>
        <w:t> </w:t>
      </w:r>
    </w:p>
    <w:p w:rsidR="00E30955" w:rsidRDefault="00E30955" w:rsidP="00E30955">
      <w:pPr>
        <w:shd w:val="clear" w:color="auto" w:fill="FFFFFF"/>
        <w:spacing w:line="240" w:lineRule="auto"/>
        <w:jc w:val="both"/>
        <w:rPr>
          <w:rStyle w:val="apple-converted-space"/>
          <w:rFonts w:ascii="Times New Roman" w:hAnsi="Times New Roman"/>
          <w:sz w:val="24"/>
          <w:szCs w:val="24"/>
        </w:rPr>
      </w:pPr>
      <w:r w:rsidRPr="001A74A3">
        <w:rPr>
          <w:rFonts w:ascii="Times New Roman" w:hAnsi="Times New Roman"/>
          <w:sz w:val="24"/>
          <w:szCs w:val="24"/>
          <w:u w:val="single"/>
        </w:rPr>
        <w:t>“Esto se explica por una recesión más profunda de la esperada en algunos de los más importantes países emergentes exportadores de materias primas y por el estancamiento del crecimiento en algunos países desarrollados”,</w:t>
      </w:r>
      <w:r w:rsidRPr="003C5CF3">
        <w:rPr>
          <w:rFonts w:ascii="Times New Roman" w:hAnsi="Times New Roman"/>
          <w:sz w:val="24"/>
          <w:szCs w:val="24"/>
        </w:rPr>
        <w:t xml:space="preserve"> declaró Steven Tobin, economista principal de la OIT y principal autor del informe. “El incremento de las tasas de desempleo juvenil es particularmente pronunciado en algunos países emergentes.”</w:t>
      </w:r>
      <w:r w:rsidRPr="003C5CF3">
        <w:rPr>
          <w:rStyle w:val="apple-converted-space"/>
          <w:rFonts w:ascii="Times New Roman" w:hAnsi="Times New Roman"/>
          <w:sz w:val="24"/>
          <w:szCs w:val="24"/>
        </w:rPr>
        <w:t> </w:t>
      </w:r>
      <w:r w:rsidRPr="003C5CF3">
        <w:rPr>
          <w:rFonts w:ascii="Times New Roman" w:hAnsi="Times New Roman"/>
          <w:sz w:val="24"/>
          <w:szCs w:val="24"/>
        </w:rPr>
        <w:br/>
      </w:r>
      <w:r w:rsidRPr="003C5CF3">
        <w:rPr>
          <w:rFonts w:ascii="Times New Roman" w:hAnsi="Times New Roman"/>
          <w:sz w:val="24"/>
          <w:szCs w:val="24"/>
        </w:rPr>
        <w:br/>
        <w:t>En los países emergentes, se espera que la tasa de desempleo aumente del 13,3 por ciento en 2015 al 13,7 por ciento en 2017 (una cifra que corresponde a 53,5 millones de desempleados en 2017 frente a 52,9 millones en 2015). En América Latina y el Caribe, por ejemplo, se prevé que la tasa de desempleo pase de 15,7 por ciento en 2015 a 17,1 por ciento en 2017; de 16,6 a 17,5 por ciento en Asia Central y Occidental; de 12,4 a 13,6 por ciento en Asia Sudoriental y el Pacífico (cuadro 2).</w:t>
      </w:r>
      <w:r w:rsidRPr="003C5CF3">
        <w:rPr>
          <w:rStyle w:val="apple-converted-space"/>
          <w:rFonts w:ascii="Times New Roman" w:hAnsi="Times New Roman"/>
          <w:sz w:val="24"/>
          <w:szCs w:val="24"/>
        </w:rPr>
        <w:t> </w:t>
      </w:r>
    </w:p>
    <w:p w:rsidR="00E30955" w:rsidRDefault="00E30955" w:rsidP="00E30955">
      <w:pPr>
        <w:shd w:val="clear" w:color="auto" w:fill="FFFFFF"/>
        <w:spacing w:line="240" w:lineRule="auto"/>
        <w:jc w:val="both"/>
        <w:rPr>
          <w:rStyle w:val="apple-converted-space"/>
          <w:rFonts w:ascii="Times New Roman" w:hAnsi="Times New Roman"/>
          <w:sz w:val="24"/>
          <w:szCs w:val="24"/>
        </w:rPr>
      </w:pPr>
    </w:p>
    <w:p w:rsidR="00E30955" w:rsidRDefault="00E30955" w:rsidP="00E30955">
      <w:pPr>
        <w:shd w:val="clear" w:color="auto" w:fill="FFFFFF"/>
        <w:spacing w:line="240" w:lineRule="auto"/>
        <w:jc w:val="both"/>
        <w:rPr>
          <w:rStyle w:val="apple-converted-space"/>
          <w:rFonts w:ascii="Times New Roman" w:hAnsi="Times New Roman"/>
          <w:sz w:val="24"/>
          <w:szCs w:val="24"/>
        </w:rPr>
      </w:pPr>
    </w:p>
    <w:p w:rsidR="00E30955" w:rsidRDefault="00E30955" w:rsidP="00E30955">
      <w:pPr>
        <w:shd w:val="clear" w:color="auto" w:fill="FFFFFF"/>
        <w:spacing w:line="240" w:lineRule="auto"/>
        <w:jc w:val="both"/>
        <w:rPr>
          <w:rStyle w:val="apple-converted-space"/>
          <w:rFonts w:ascii="Times New Roman" w:hAnsi="Times New Roman"/>
          <w:sz w:val="24"/>
          <w:szCs w:val="24"/>
        </w:rPr>
      </w:pPr>
    </w:p>
    <w:p w:rsidR="00E30955" w:rsidRDefault="00E30955" w:rsidP="00E30955">
      <w:pPr>
        <w:shd w:val="clear" w:color="auto" w:fill="FFFFFF"/>
        <w:spacing w:line="240" w:lineRule="auto"/>
        <w:jc w:val="both"/>
        <w:rPr>
          <w:rStyle w:val="apple-converted-space"/>
          <w:rFonts w:ascii="Times New Roman" w:hAnsi="Times New Roman"/>
          <w:sz w:val="24"/>
          <w:szCs w:val="24"/>
        </w:rPr>
      </w:pPr>
    </w:p>
    <w:p w:rsidR="00E30955" w:rsidRDefault="00E30955" w:rsidP="00E30955">
      <w:pPr>
        <w:shd w:val="clear" w:color="auto" w:fill="FFFFFF"/>
        <w:spacing w:line="240" w:lineRule="auto"/>
        <w:jc w:val="both"/>
        <w:rPr>
          <w:rStyle w:val="apple-converted-space"/>
          <w:rFonts w:ascii="Times New Roman" w:hAnsi="Times New Roman"/>
          <w:sz w:val="24"/>
          <w:szCs w:val="24"/>
        </w:rPr>
      </w:pPr>
    </w:p>
    <w:p w:rsidR="00E30955" w:rsidRDefault="00E30955" w:rsidP="00E30955">
      <w:pPr>
        <w:shd w:val="clear" w:color="auto" w:fill="FFFFFF"/>
        <w:spacing w:line="240" w:lineRule="auto"/>
        <w:jc w:val="both"/>
        <w:rPr>
          <w:rStyle w:val="apple-converted-space"/>
          <w:rFonts w:ascii="Times New Roman" w:hAnsi="Times New Roman"/>
          <w:sz w:val="24"/>
          <w:szCs w:val="24"/>
        </w:rPr>
      </w:pPr>
    </w:p>
    <w:p w:rsidR="00E30955" w:rsidRPr="00E54856" w:rsidRDefault="00E30955" w:rsidP="00E30955">
      <w:pPr>
        <w:shd w:val="clear" w:color="auto" w:fill="FFFFFF"/>
        <w:spacing w:line="240" w:lineRule="auto"/>
        <w:jc w:val="both"/>
        <w:rPr>
          <w:rStyle w:val="Textoennegrita"/>
          <w:rFonts w:ascii="Times New Roman" w:hAnsi="Times New Roman"/>
          <w:sz w:val="24"/>
          <w:szCs w:val="24"/>
        </w:rPr>
      </w:pPr>
      <w:r w:rsidRPr="003C5CF3">
        <w:rPr>
          <w:rStyle w:val="Textoennegrita"/>
          <w:rFonts w:ascii="Times New Roman" w:hAnsi="Times New Roman"/>
          <w:sz w:val="24"/>
          <w:szCs w:val="24"/>
        </w:rPr>
        <w:lastRenderedPageBreak/>
        <w:t>Cuadro 2. Tendencias y proyecciones para 2017, por región</w:t>
      </w:r>
    </w:p>
    <w:p w:rsidR="007C16EA" w:rsidRDefault="00E30955" w:rsidP="00E30955">
      <w:pPr>
        <w:shd w:val="clear" w:color="auto" w:fill="FFFFFF"/>
        <w:spacing w:line="240" w:lineRule="auto"/>
        <w:jc w:val="both"/>
        <w:rPr>
          <w:rStyle w:val="nfasis"/>
          <w:rFonts w:ascii="Times New Roman" w:hAnsi="Times New Roman"/>
          <w:sz w:val="24"/>
          <w:szCs w:val="24"/>
        </w:rPr>
      </w:pPr>
      <w:r w:rsidRPr="003C5CF3">
        <w:rPr>
          <w:rFonts w:ascii="Times New Roman" w:hAnsi="Times New Roman"/>
          <w:noProof/>
          <w:sz w:val="24"/>
          <w:szCs w:val="24"/>
          <w:lang w:val="en-GB" w:eastAsia="en-GB"/>
        </w:rPr>
        <w:drawing>
          <wp:inline distT="0" distB="0" distL="0" distR="0">
            <wp:extent cx="5492750" cy="2889250"/>
            <wp:effectExtent l="0" t="0" r="0" b="6350"/>
            <wp:docPr id="258" name="Imagen 258" descr="http://www.ilo.org/wcmsp5/groups/public/---dgreports/---dcomm/documents/image/wcms_514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lo.org/wcmsp5/groups/public/---dgreports/---dcomm/documents/image/wcms_514120.jpg"/>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2750" cy="2889250"/>
                    </a:xfrm>
                    <a:prstGeom prst="rect">
                      <a:avLst/>
                    </a:prstGeom>
                    <a:noFill/>
                    <a:ln>
                      <a:noFill/>
                    </a:ln>
                  </pic:spPr>
                </pic:pic>
              </a:graphicData>
            </a:graphic>
          </wp:inline>
        </w:drawing>
      </w:r>
    </w:p>
    <w:p w:rsidR="00E30955" w:rsidRPr="00E27BFB" w:rsidRDefault="00E30955" w:rsidP="00E30955">
      <w:pPr>
        <w:shd w:val="clear" w:color="auto" w:fill="FFFFFF"/>
        <w:spacing w:line="240" w:lineRule="auto"/>
        <w:jc w:val="both"/>
        <w:rPr>
          <w:rStyle w:val="nfasis"/>
          <w:rFonts w:ascii="Times New Roman" w:hAnsi="Times New Roman"/>
          <w:sz w:val="24"/>
          <w:szCs w:val="24"/>
          <w:lang w:val="en-GB"/>
        </w:rPr>
      </w:pPr>
      <w:proofErr w:type="spellStart"/>
      <w:r w:rsidRPr="00E27BFB">
        <w:rPr>
          <w:rStyle w:val="nfasis"/>
          <w:rFonts w:ascii="Times New Roman" w:hAnsi="Times New Roman"/>
          <w:sz w:val="24"/>
          <w:szCs w:val="24"/>
          <w:lang w:val="en-GB"/>
        </w:rPr>
        <w:t>Fuente</w:t>
      </w:r>
      <w:proofErr w:type="spellEnd"/>
      <w:r w:rsidRPr="00E27BFB">
        <w:rPr>
          <w:rStyle w:val="nfasis"/>
          <w:rFonts w:ascii="Times New Roman" w:hAnsi="Times New Roman"/>
          <w:sz w:val="24"/>
          <w:szCs w:val="24"/>
          <w:lang w:val="en-GB"/>
        </w:rPr>
        <w:t>:</w:t>
      </w:r>
      <w:r w:rsidRPr="00E27BFB">
        <w:rPr>
          <w:rStyle w:val="apple-converted-space"/>
          <w:rFonts w:ascii="Times New Roman" w:hAnsi="Times New Roman"/>
          <w:i/>
          <w:iCs/>
          <w:sz w:val="24"/>
          <w:szCs w:val="24"/>
          <w:lang w:val="en-GB"/>
        </w:rPr>
        <w:t> </w:t>
      </w:r>
      <w:hyperlink r:id="rId160" w:history="1">
        <w:r w:rsidRPr="00E27BFB">
          <w:rPr>
            <w:rStyle w:val="Hipervnculo"/>
            <w:rFonts w:ascii="Times New Roman" w:hAnsi="Times New Roman"/>
            <w:color w:val="auto"/>
            <w:sz w:val="24"/>
            <w:szCs w:val="24"/>
            <w:u w:val="none"/>
            <w:lang w:val="en-GB"/>
          </w:rPr>
          <w:t xml:space="preserve">World Employment and Social Outlook 2016: Trends for </w:t>
        </w:r>
        <w:r w:rsidR="005337CB" w:rsidRPr="00E27BFB">
          <w:rPr>
            <w:rStyle w:val="Hipervnculo"/>
            <w:rFonts w:ascii="Times New Roman" w:hAnsi="Times New Roman"/>
            <w:color w:val="auto"/>
            <w:sz w:val="24"/>
            <w:szCs w:val="24"/>
            <w:u w:val="none"/>
            <w:lang w:val="en-GB"/>
          </w:rPr>
          <w:t>Youth</w:t>
        </w:r>
      </w:hyperlink>
      <w:r w:rsidRPr="00E27BFB">
        <w:rPr>
          <w:rStyle w:val="nfasis"/>
          <w:rFonts w:ascii="Times New Roman" w:hAnsi="Times New Roman"/>
          <w:sz w:val="24"/>
          <w:szCs w:val="24"/>
          <w:lang w:val="en-GB"/>
        </w:rPr>
        <w:t>.</w:t>
      </w:r>
    </w:p>
    <w:p w:rsidR="00E30955" w:rsidRPr="00E30955" w:rsidRDefault="00E30955" w:rsidP="00E30955">
      <w:pPr>
        <w:shd w:val="clear" w:color="auto" w:fill="FFFFFF"/>
        <w:spacing w:line="240" w:lineRule="auto"/>
        <w:jc w:val="both"/>
        <w:rPr>
          <w:rFonts w:ascii="Times New Roman" w:hAnsi="Times New Roman"/>
          <w:sz w:val="24"/>
          <w:szCs w:val="24"/>
        </w:rPr>
      </w:pPr>
      <w:r w:rsidRPr="003C5CF3">
        <w:rPr>
          <w:rFonts w:ascii="Times New Roman" w:hAnsi="Times New Roman" w:cs="Times New Roman"/>
          <w:sz w:val="24"/>
          <w:szCs w:val="24"/>
        </w:rPr>
        <w:t>Los trabajadores pobres</w:t>
      </w:r>
    </w:p>
    <w:p w:rsidR="00E30955" w:rsidRDefault="00E30955" w:rsidP="00E30955">
      <w:pPr>
        <w:shd w:val="clear" w:color="auto" w:fill="FFFFFF"/>
        <w:spacing w:line="240" w:lineRule="auto"/>
        <w:jc w:val="both"/>
        <w:rPr>
          <w:rStyle w:val="apple-converted-space"/>
          <w:rFonts w:ascii="Times New Roman" w:hAnsi="Times New Roman"/>
          <w:sz w:val="24"/>
          <w:szCs w:val="24"/>
        </w:rPr>
      </w:pPr>
      <w:r w:rsidRPr="001A74A3">
        <w:rPr>
          <w:rFonts w:ascii="Times New Roman" w:hAnsi="Times New Roman"/>
          <w:sz w:val="24"/>
          <w:szCs w:val="24"/>
          <w:u w:val="single"/>
        </w:rPr>
        <w:t>La mala calidad del empleo sigue afectando a los jóvenes de manera desproporcionada, si bien con diferencias regionales considerables</w:t>
      </w:r>
      <w:r w:rsidRPr="003C5CF3">
        <w:rPr>
          <w:rFonts w:ascii="Times New Roman" w:hAnsi="Times New Roman"/>
          <w:sz w:val="24"/>
          <w:szCs w:val="24"/>
        </w:rPr>
        <w:t>. Por ejemplo, África Subsahariana sigue registrando las tasas más altas del mundo de trabajadores pobres entre los jóvenes, en casi 70 por ciento. Las tasas de trabajadores pobres entre los jóvenes también son elevadas en los Estados Árabes (39 por ciento) y Asia Meridional (49 por ciento).</w:t>
      </w:r>
      <w:r w:rsidRPr="003C5CF3">
        <w:rPr>
          <w:rStyle w:val="apple-converted-space"/>
          <w:rFonts w:ascii="Times New Roman" w:hAnsi="Times New Roman"/>
          <w:sz w:val="24"/>
          <w:szCs w:val="24"/>
        </w:rPr>
        <w:t> </w:t>
      </w:r>
    </w:p>
    <w:p w:rsidR="00E30955" w:rsidRDefault="00E30955" w:rsidP="00E30955">
      <w:pPr>
        <w:shd w:val="clear" w:color="auto" w:fill="FFFFFF"/>
        <w:spacing w:line="240" w:lineRule="auto"/>
        <w:jc w:val="both"/>
        <w:rPr>
          <w:rStyle w:val="apple-converted-space"/>
          <w:rFonts w:ascii="Times New Roman" w:hAnsi="Times New Roman"/>
          <w:color w:val="FF0000"/>
          <w:sz w:val="24"/>
          <w:szCs w:val="24"/>
          <w:u w:val="single"/>
        </w:rPr>
      </w:pPr>
      <w:r>
        <w:rPr>
          <w:rFonts w:ascii="Times New Roman" w:hAnsi="Times New Roman"/>
          <w:sz w:val="24"/>
          <w:szCs w:val="24"/>
        </w:rPr>
        <w:br/>
      </w:r>
      <w:r w:rsidRPr="001A74A3">
        <w:rPr>
          <w:rFonts w:ascii="Times New Roman" w:hAnsi="Times New Roman"/>
          <w:sz w:val="24"/>
          <w:szCs w:val="24"/>
          <w:u w:val="single"/>
        </w:rPr>
        <w:t xml:space="preserve">En las economías desarrolladas, son cada vez más numerosos los indicios de un cambio </w:t>
      </w:r>
      <w:r w:rsidRPr="001A74A3">
        <w:rPr>
          <w:rFonts w:ascii="Times New Roman" w:hAnsi="Times New Roman"/>
          <w:color w:val="FF0000"/>
          <w:sz w:val="24"/>
          <w:szCs w:val="24"/>
          <w:u w:val="single"/>
        </w:rPr>
        <w:t>en la distribución por edad de la pobreza, los jóvenes toman el lugar de los ancianos como el grupo que corre el mayor riesgo de pobreza (definida para las economías desarrolladas como ingresos inferiores al 60 por ciento del ingreso mediano). Por ejemplo, en 2014, la proporción de trabajadores jóvenes en la UE-28 calificados como expuestos a un mayor riesgo de pobreza era de 12,9 por ciento frente a 9,6 por ciento de los trabajadores adultos (entre 25-54 años). El problema es particularmente grave en algunos países donde el riesgo de pobreza para los trabajadores jóvenes supera el 20 por ciento.</w:t>
      </w:r>
      <w:r w:rsidRPr="001A74A3">
        <w:rPr>
          <w:rStyle w:val="apple-converted-space"/>
          <w:rFonts w:ascii="Times New Roman" w:hAnsi="Times New Roman"/>
          <w:color w:val="FF0000"/>
          <w:sz w:val="24"/>
          <w:szCs w:val="24"/>
          <w:u w:val="single"/>
        </w:rPr>
        <w:t> </w:t>
      </w:r>
    </w:p>
    <w:p w:rsidR="00E30955" w:rsidRDefault="00E30955" w:rsidP="00E30955">
      <w:pPr>
        <w:shd w:val="clear" w:color="auto" w:fill="FFFFFF"/>
        <w:spacing w:line="240" w:lineRule="auto"/>
        <w:jc w:val="both"/>
        <w:rPr>
          <w:rFonts w:ascii="Times New Roman" w:hAnsi="Times New Roman"/>
          <w:sz w:val="24"/>
          <w:szCs w:val="24"/>
        </w:rPr>
      </w:pPr>
      <w:r w:rsidRPr="003C5CF3">
        <w:rPr>
          <w:rFonts w:ascii="Times New Roman" w:hAnsi="Times New Roman" w:cs="Times New Roman"/>
          <w:sz w:val="24"/>
          <w:szCs w:val="24"/>
        </w:rPr>
        <w:t>Deseos de migrar</w:t>
      </w:r>
    </w:p>
    <w:p w:rsidR="00E30955" w:rsidRPr="00E30955" w:rsidRDefault="00E30955" w:rsidP="00E30955">
      <w:pPr>
        <w:shd w:val="clear" w:color="auto" w:fill="FFFFFF"/>
        <w:spacing w:line="240" w:lineRule="auto"/>
        <w:jc w:val="both"/>
        <w:rPr>
          <w:rStyle w:val="apple-converted-space"/>
          <w:rFonts w:ascii="Times New Roman" w:hAnsi="Times New Roman"/>
          <w:sz w:val="24"/>
          <w:szCs w:val="24"/>
        </w:rPr>
      </w:pPr>
      <w:r w:rsidRPr="001A74A3">
        <w:rPr>
          <w:rFonts w:ascii="Times New Roman" w:hAnsi="Times New Roman"/>
          <w:color w:val="FF0000"/>
          <w:sz w:val="24"/>
          <w:szCs w:val="24"/>
          <w:u w:val="single"/>
        </w:rPr>
        <w:t>Entre los numerosos motivos para migrar (conflictos armados, catástrofes naturales, etc.), una tasa elevada de desempleo, una mayor propensión a la pobreza laboral y una carencia de oportunidades de empleos de calidad son factores clave que conducen a la decisión de migrar al exterior de manera definitiva.</w:t>
      </w:r>
      <w:r w:rsidRPr="001A74A3">
        <w:rPr>
          <w:rStyle w:val="apple-converted-space"/>
          <w:rFonts w:ascii="Times New Roman" w:hAnsi="Times New Roman"/>
          <w:color w:val="FF0000"/>
          <w:sz w:val="24"/>
          <w:szCs w:val="24"/>
          <w:u w:val="single"/>
        </w:rPr>
        <w:t> </w:t>
      </w:r>
    </w:p>
    <w:p w:rsidR="00E30955" w:rsidRDefault="00E30955" w:rsidP="00E30955">
      <w:pPr>
        <w:shd w:val="clear" w:color="auto" w:fill="FFFFFF"/>
        <w:spacing w:line="240" w:lineRule="auto"/>
        <w:jc w:val="both"/>
        <w:rPr>
          <w:rFonts w:ascii="Times New Roman" w:hAnsi="Times New Roman"/>
          <w:sz w:val="24"/>
          <w:szCs w:val="24"/>
        </w:rPr>
      </w:pPr>
      <w:r w:rsidRPr="003C5CF3">
        <w:rPr>
          <w:rFonts w:ascii="Times New Roman" w:hAnsi="Times New Roman"/>
          <w:sz w:val="24"/>
          <w:szCs w:val="24"/>
        </w:rPr>
        <w:t>A nivel mundial, la proporción de jóvenes entre 15 y 29 años que desean migrar a otro país de manera permanente se situó en un 20 por ciento en 2015. La mayor propensión a migrar al exterior, en un 38 por ciento, se registró en África Subsahariana y en América Latina y el Caribe, seguidas de cerca por Europa Oriental (en un 37 por ciento).</w:t>
      </w:r>
    </w:p>
    <w:p w:rsidR="003821FA" w:rsidRDefault="001971A2" w:rsidP="003821FA">
      <w:pPr>
        <w:spacing w:before="150" w:after="15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3821FA">
        <w:rPr>
          <w:rFonts w:ascii="Times New Roman" w:hAnsi="Times New Roman" w:cs="Times New Roman"/>
          <w:b/>
          <w:sz w:val="24"/>
          <w:szCs w:val="24"/>
        </w:rPr>
        <w:t>Fracaso medio amb</w:t>
      </w:r>
      <w:r w:rsidR="00193BD2">
        <w:rPr>
          <w:rFonts w:ascii="Times New Roman" w:hAnsi="Times New Roman" w:cs="Times New Roman"/>
          <w:b/>
          <w:sz w:val="24"/>
          <w:szCs w:val="24"/>
        </w:rPr>
        <w:t>iental: contaminación</w:t>
      </w:r>
      <w:r w:rsidR="003821FA">
        <w:rPr>
          <w:rFonts w:ascii="Times New Roman" w:hAnsi="Times New Roman" w:cs="Times New Roman"/>
          <w:b/>
          <w:sz w:val="24"/>
          <w:szCs w:val="24"/>
        </w:rPr>
        <w:t>, calentamiento global y huella ecológica</w:t>
      </w:r>
    </w:p>
    <w:p w:rsidR="003821FA" w:rsidRPr="008F1A05" w:rsidRDefault="003821FA" w:rsidP="003821FA">
      <w:pPr>
        <w:spacing w:line="240" w:lineRule="auto"/>
        <w:jc w:val="both"/>
        <w:rPr>
          <w:rFonts w:ascii="Times New Roman" w:hAnsi="Times New Roman"/>
          <w:sz w:val="24"/>
          <w:szCs w:val="24"/>
        </w:rPr>
      </w:pPr>
      <w:r>
        <w:rPr>
          <w:rFonts w:ascii="Times New Roman" w:hAnsi="Times New Roman"/>
          <w:sz w:val="24"/>
          <w:szCs w:val="24"/>
        </w:rPr>
        <w:t xml:space="preserve">- </w:t>
      </w:r>
      <w:r w:rsidRPr="008F1A05">
        <w:rPr>
          <w:rFonts w:ascii="Times New Roman" w:hAnsi="Times New Roman"/>
          <w:sz w:val="24"/>
          <w:szCs w:val="24"/>
          <w:u w:val="single"/>
        </w:rPr>
        <w:t>La Tierra entra en números rojos: ya hemos consumido lo que producimos en un año</w:t>
      </w:r>
      <w:r>
        <w:rPr>
          <w:rFonts w:ascii="Times New Roman" w:hAnsi="Times New Roman"/>
          <w:sz w:val="24"/>
          <w:szCs w:val="24"/>
        </w:rPr>
        <w:t xml:space="preserve"> (El Confidencial - </w:t>
      </w:r>
      <w:r w:rsidRPr="008F1A05">
        <w:rPr>
          <w:rFonts w:ascii="Times New Roman" w:hAnsi="Times New Roman"/>
          <w:b/>
          <w:sz w:val="24"/>
          <w:szCs w:val="24"/>
        </w:rPr>
        <w:t>8/8/16</w:t>
      </w:r>
      <w:r>
        <w:rPr>
          <w:rFonts w:ascii="Times New Roman" w:hAnsi="Times New Roman"/>
          <w:sz w:val="24"/>
          <w:szCs w:val="24"/>
        </w:rPr>
        <w:t>)                                                                 Lectura recomendada</w:t>
      </w:r>
    </w:p>
    <w:p w:rsidR="003821FA" w:rsidRPr="00F04EB3" w:rsidRDefault="003821FA" w:rsidP="003821FA">
      <w:pPr>
        <w:spacing w:line="240" w:lineRule="auto"/>
        <w:jc w:val="both"/>
        <w:rPr>
          <w:rFonts w:ascii="Times New Roman" w:hAnsi="Times New Roman"/>
          <w:color w:val="FF0000"/>
          <w:sz w:val="24"/>
          <w:szCs w:val="24"/>
        </w:rPr>
      </w:pPr>
      <w:r>
        <w:rPr>
          <w:rFonts w:ascii="Times New Roman" w:hAnsi="Times New Roman"/>
          <w:color w:val="FF0000"/>
          <w:sz w:val="24"/>
          <w:szCs w:val="24"/>
        </w:rPr>
        <w:t>Según WWF, el consumo “desmedido”</w:t>
      </w:r>
      <w:r w:rsidRPr="00F04EB3">
        <w:rPr>
          <w:rFonts w:ascii="Times New Roman" w:hAnsi="Times New Roman"/>
          <w:color w:val="FF0000"/>
          <w:sz w:val="24"/>
          <w:szCs w:val="24"/>
        </w:rPr>
        <w:t xml:space="preserve"> de la humanidad obligaría a disponer de 1,6 planetas para satisfacer la demanda a nivel global</w:t>
      </w:r>
    </w:p>
    <w:p w:rsidR="003821FA" w:rsidRPr="00AA5747" w:rsidRDefault="003821FA" w:rsidP="003821FA">
      <w:pPr>
        <w:spacing w:line="240" w:lineRule="auto"/>
        <w:jc w:val="both"/>
        <w:rPr>
          <w:rFonts w:ascii="Times New Roman" w:hAnsi="Times New Roman"/>
          <w:b/>
          <w:color w:val="FF0000"/>
          <w:sz w:val="24"/>
          <w:szCs w:val="24"/>
          <w:u w:val="single"/>
        </w:rPr>
      </w:pPr>
      <w:r w:rsidRPr="00AA5747">
        <w:rPr>
          <w:rFonts w:ascii="Times New Roman" w:hAnsi="Times New Roman"/>
          <w:b/>
          <w:color w:val="FF0000"/>
          <w:sz w:val="24"/>
          <w:szCs w:val="24"/>
          <w:u w:val="single"/>
        </w:rPr>
        <w:t>El Fondo Mundial para la Naturaleza (WWF España) ha denunciado hoy que la Tierra ha entrado este lunes en “déficit ecológico”, el punto de inflexión entre los recursos que consumimos y los que el planeta es capaz de generar.</w:t>
      </w:r>
    </w:p>
    <w:p w:rsidR="003821FA" w:rsidRPr="00F04EB3" w:rsidRDefault="003821FA" w:rsidP="003821FA">
      <w:pPr>
        <w:spacing w:line="240" w:lineRule="auto"/>
        <w:jc w:val="both"/>
        <w:rPr>
          <w:rFonts w:ascii="Times New Roman" w:hAnsi="Times New Roman"/>
          <w:color w:val="FF0000"/>
          <w:sz w:val="24"/>
          <w:szCs w:val="24"/>
          <w:u w:val="single"/>
        </w:rPr>
      </w:pPr>
      <w:r w:rsidRPr="00F04EB3">
        <w:rPr>
          <w:rFonts w:ascii="Times New Roman" w:hAnsi="Times New Roman"/>
          <w:color w:val="FF0000"/>
          <w:sz w:val="24"/>
          <w:szCs w:val="24"/>
          <w:u w:val="single"/>
        </w:rPr>
        <w:t xml:space="preserve">Esta fecha, conocida como el </w:t>
      </w:r>
      <w:r w:rsidRPr="00AA5747">
        <w:rPr>
          <w:rFonts w:ascii="Times New Roman" w:hAnsi="Times New Roman"/>
          <w:b/>
          <w:color w:val="FF0000"/>
          <w:sz w:val="24"/>
          <w:szCs w:val="24"/>
          <w:u w:val="single"/>
        </w:rPr>
        <w:t>Día de Sobrecapacidad de la Tierra</w:t>
      </w:r>
      <w:r w:rsidRPr="00F04EB3">
        <w:rPr>
          <w:rFonts w:ascii="Times New Roman" w:hAnsi="Times New Roman"/>
          <w:color w:val="FF0000"/>
          <w:sz w:val="24"/>
          <w:szCs w:val="24"/>
          <w:u w:val="single"/>
        </w:rPr>
        <w:t>, varía cada año y se deduce a partir del análisis de datos de Global Footprint Network (GNF), organización socia de WWF, que compara la demanda anual de recursos naturales de la población mundial con los que realmente puede producir la Tierra a lo largo del año.</w:t>
      </w:r>
    </w:p>
    <w:p w:rsidR="003821FA" w:rsidRDefault="003821FA" w:rsidP="003821FA">
      <w:pPr>
        <w:spacing w:line="240" w:lineRule="auto"/>
        <w:jc w:val="both"/>
        <w:rPr>
          <w:rFonts w:ascii="Times New Roman" w:hAnsi="Times New Roman"/>
          <w:color w:val="FF0000"/>
          <w:sz w:val="24"/>
          <w:szCs w:val="24"/>
          <w:u w:val="single"/>
        </w:rPr>
      </w:pPr>
      <w:r w:rsidRPr="00F04EB3">
        <w:rPr>
          <w:rFonts w:ascii="Times New Roman" w:hAnsi="Times New Roman"/>
          <w:color w:val="FF0000"/>
          <w:sz w:val="24"/>
          <w:szCs w:val="24"/>
          <w:u w:val="single"/>
        </w:rPr>
        <w:t>El consumo “desmedido” de la humanidad obligaría a disponer de 1,6 planetas para satisfacer la demanda a nivel global, según ha explicado la organización ecologista en un comunicado.</w:t>
      </w:r>
    </w:p>
    <w:p w:rsidR="003821FA" w:rsidRPr="008F1A05" w:rsidRDefault="003821FA" w:rsidP="003821FA">
      <w:pPr>
        <w:spacing w:line="240" w:lineRule="auto"/>
        <w:jc w:val="both"/>
        <w:rPr>
          <w:rFonts w:ascii="Times New Roman" w:hAnsi="Times New Roman"/>
          <w:sz w:val="24"/>
          <w:szCs w:val="24"/>
        </w:rPr>
      </w:pPr>
      <w:r w:rsidRPr="008F1A05">
        <w:rPr>
          <w:rFonts w:ascii="Times New Roman" w:hAnsi="Times New Roman"/>
          <w:sz w:val="24"/>
          <w:szCs w:val="24"/>
        </w:rPr>
        <w:t>Principales causas</w:t>
      </w:r>
    </w:p>
    <w:p w:rsidR="003821FA" w:rsidRPr="00F04EB3" w:rsidRDefault="003821FA" w:rsidP="003821FA">
      <w:pPr>
        <w:spacing w:line="240" w:lineRule="auto"/>
        <w:jc w:val="both"/>
        <w:rPr>
          <w:rFonts w:ascii="Times New Roman" w:hAnsi="Times New Roman"/>
          <w:sz w:val="24"/>
          <w:szCs w:val="24"/>
          <w:u w:val="single"/>
        </w:rPr>
      </w:pPr>
      <w:r w:rsidRPr="00F04EB3">
        <w:rPr>
          <w:rFonts w:ascii="Times New Roman" w:hAnsi="Times New Roman"/>
          <w:sz w:val="24"/>
          <w:szCs w:val="24"/>
          <w:u w:val="single"/>
        </w:rPr>
        <w:t>WWF considera que las principales causas del déficit ecológico son la emisión de más dióxido de carbono de lo que los océanos y bosques pueden absorber, el agotamiento de pesquerías y la tala excesiva de árboles que no llegan a ser regenerados.</w:t>
      </w:r>
    </w:p>
    <w:p w:rsidR="003821FA" w:rsidRPr="00AA5747" w:rsidRDefault="003821FA" w:rsidP="003821FA">
      <w:pPr>
        <w:spacing w:line="240" w:lineRule="auto"/>
        <w:jc w:val="both"/>
        <w:rPr>
          <w:rFonts w:ascii="Times New Roman" w:hAnsi="Times New Roman"/>
          <w:sz w:val="24"/>
          <w:szCs w:val="24"/>
          <w:u w:val="single"/>
        </w:rPr>
      </w:pPr>
      <w:r w:rsidRPr="00AA5747">
        <w:rPr>
          <w:rFonts w:ascii="Times New Roman" w:hAnsi="Times New Roman"/>
          <w:sz w:val="24"/>
          <w:szCs w:val="24"/>
          <w:u w:val="single"/>
        </w:rPr>
        <w:t>El incremento de CO2 es el problema “más importante del exceso ecológico” ya que su huella de carbono representa el 60 % de la demanda mundial sobre la naturaleza.</w:t>
      </w:r>
    </w:p>
    <w:p w:rsidR="003821FA" w:rsidRPr="008F1A05" w:rsidRDefault="003821FA" w:rsidP="003821FA">
      <w:pPr>
        <w:spacing w:line="240" w:lineRule="auto"/>
        <w:jc w:val="both"/>
        <w:rPr>
          <w:rFonts w:ascii="Times New Roman" w:hAnsi="Times New Roman"/>
          <w:sz w:val="24"/>
          <w:szCs w:val="24"/>
        </w:rPr>
      </w:pPr>
      <w:r w:rsidRPr="008F1A05">
        <w:rPr>
          <w:rFonts w:ascii="Times New Roman" w:hAnsi="Times New Roman"/>
          <w:sz w:val="24"/>
          <w:szCs w:val="24"/>
        </w:rPr>
        <w:t>En consecuencia, “si queremos cumplir con los objetivos establecidos por el Acuerdo de París adoptado por casi 200 países en diciembre de 2015, la huella de carbono tendrá que reducirse hasta cero en 2050“, ha señalado Mar Asunción, responsable del Programa de Clima y Energía de WWF.</w:t>
      </w:r>
    </w:p>
    <w:p w:rsidR="003821FA" w:rsidRPr="008F1A05" w:rsidRDefault="003821FA" w:rsidP="003821FA">
      <w:pPr>
        <w:spacing w:line="240" w:lineRule="auto"/>
        <w:jc w:val="both"/>
        <w:rPr>
          <w:rFonts w:ascii="Times New Roman" w:hAnsi="Times New Roman"/>
          <w:sz w:val="24"/>
          <w:szCs w:val="24"/>
        </w:rPr>
      </w:pPr>
      <w:r w:rsidRPr="008F1A05">
        <w:rPr>
          <w:rFonts w:ascii="Times New Roman" w:hAnsi="Times New Roman"/>
          <w:sz w:val="24"/>
          <w:szCs w:val="24"/>
        </w:rPr>
        <w:t>La mejor manera de comprender la situación es “pensar en una tarta: si nos hemos atracado y a estas alturas hemos comido todas las porciones, ya no nos queda nada para el resto del año“, ha añadido.</w:t>
      </w:r>
    </w:p>
    <w:p w:rsidR="003821FA" w:rsidRPr="008F1A05" w:rsidRDefault="003821FA" w:rsidP="003821FA">
      <w:pPr>
        <w:spacing w:line="240" w:lineRule="auto"/>
        <w:jc w:val="both"/>
        <w:rPr>
          <w:rFonts w:ascii="Times New Roman" w:hAnsi="Times New Roman"/>
          <w:sz w:val="24"/>
          <w:szCs w:val="24"/>
        </w:rPr>
      </w:pPr>
      <w:r w:rsidRPr="008F1A05">
        <w:rPr>
          <w:rFonts w:ascii="Times New Roman" w:hAnsi="Times New Roman"/>
          <w:sz w:val="24"/>
          <w:szCs w:val="24"/>
        </w:rPr>
        <w:t>Adelanto de la fecha</w:t>
      </w:r>
    </w:p>
    <w:p w:rsidR="003821FA" w:rsidRPr="00F04EB3" w:rsidRDefault="003821FA" w:rsidP="003821FA">
      <w:pPr>
        <w:spacing w:line="240" w:lineRule="auto"/>
        <w:jc w:val="both"/>
        <w:rPr>
          <w:rFonts w:ascii="Times New Roman" w:hAnsi="Times New Roman"/>
          <w:color w:val="FF0000"/>
          <w:sz w:val="24"/>
          <w:szCs w:val="24"/>
          <w:u w:val="single"/>
        </w:rPr>
      </w:pPr>
      <w:r w:rsidRPr="00F04EB3">
        <w:rPr>
          <w:rFonts w:ascii="Times New Roman" w:hAnsi="Times New Roman"/>
          <w:color w:val="FF0000"/>
          <w:sz w:val="24"/>
          <w:szCs w:val="24"/>
          <w:u w:val="single"/>
        </w:rPr>
        <w:t>A medida que aumenta la población mundial y se incrementa el consumo, el Día de Sobrecapacidad de la Tierra también se ha ido adelantando.</w:t>
      </w:r>
    </w:p>
    <w:p w:rsidR="003821FA" w:rsidRPr="00F04EB3" w:rsidRDefault="003821FA" w:rsidP="003821FA">
      <w:pPr>
        <w:spacing w:line="240" w:lineRule="auto"/>
        <w:jc w:val="both"/>
        <w:rPr>
          <w:rFonts w:ascii="Times New Roman" w:hAnsi="Times New Roman"/>
          <w:color w:val="FF0000"/>
          <w:sz w:val="24"/>
          <w:szCs w:val="24"/>
          <w:u w:val="single"/>
        </w:rPr>
      </w:pPr>
      <w:r w:rsidRPr="00F04EB3">
        <w:rPr>
          <w:rFonts w:ascii="Times New Roman" w:hAnsi="Times New Roman"/>
          <w:color w:val="FF0000"/>
          <w:sz w:val="24"/>
          <w:szCs w:val="24"/>
          <w:u w:val="single"/>
        </w:rPr>
        <w:t>En 2000, esta fecha se alcanzaba a finales de septiembre y el año pasado llegó el 13 de agosto; en 2016 el plazo se ha recortado casi una semana.</w:t>
      </w:r>
    </w:p>
    <w:p w:rsidR="003821FA" w:rsidRPr="008F1A05" w:rsidRDefault="003821FA" w:rsidP="003821FA">
      <w:pPr>
        <w:spacing w:line="240" w:lineRule="auto"/>
        <w:jc w:val="both"/>
        <w:rPr>
          <w:rFonts w:ascii="Times New Roman" w:hAnsi="Times New Roman"/>
          <w:sz w:val="24"/>
          <w:szCs w:val="24"/>
        </w:rPr>
      </w:pPr>
      <w:r w:rsidRPr="008F1A05">
        <w:rPr>
          <w:rFonts w:ascii="Times New Roman" w:hAnsi="Times New Roman"/>
          <w:sz w:val="24"/>
          <w:szCs w:val="24"/>
        </w:rPr>
        <w:t>No obstante, también hay algunos signos esperanzadores, como el incremento del uso de las renovables en países como Portugal, Alemania y Gran Bretaña ya que, según recuerda el comunicado, en el caso de Portugal fue posible cubrir durante varios días el 100 % de su demanda eléctrica sólo con energías limpias.</w:t>
      </w:r>
    </w:p>
    <w:p w:rsidR="003821FA" w:rsidRPr="008F1A05" w:rsidRDefault="003821FA" w:rsidP="003821FA">
      <w:pPr>
        <w:spacing w:line="240" w:lineRule="auto"/>
        <w:jc w:val="both"/>
        <w:rPr>
          <w:rFonts w:ascii="Times New Roman" w:hAnsi="Times New Roman"/>
          <w:sz w:val="24"/>
          <w:szCs w:val="24"/>
        </w:rPr>
      </w:pPr>
      <w:r w:rsidRPr="008F1A05">
        <w:rPr>
          <w:rFonts w:ascii="Times New Roman" w:hAnsi="Times New Roman"/>
          <w:sz w:val="24"/>
          <w:szCs w:val="24"/>
        </w:rPr>
        <w:t>Según el cofundador y director de GFN, Mathis Wackernagel, la tendencia es positiva en este caso gracias a la actual tecnología que “tiene más beneficios que costes”, si bien advierte de que es preciso potenciar “la voluntad política” para avanzar en este camino.</w:t>
      </w:r>
    </w:p>
    <w:p w:rsidR="003821FA" w:rsidRPr="00F04EB3" w:rsidRDefault="003821FA" w:rsidP="003821FA">
      <w:pPr>
        <w:spacing w:line="240" w:lineRule="auto"/>
        <w:jc w:val="both"/>
        <w:rPr>
          <w:rFonts w:ascii="Times New Roman" w:hAnsi="Times New Roman"/>
          <w:sz w:val="24"/>
          <w:szCs w:val="24"/>
          <w:u w:val="single"/>
        </w:rPr>
      </w:pPr>
      <w:r w:rsidRPr="00F04EB3">
        <w:rPr>
          <w:rFonts w:ascii="Times New Roman" w:hAnsi="Times New Roman"/>
          <w:sz w:val="24"/>
          <w:szCs w:val="24"/>
          <w:u w:val="single"/>
        </w:rPr>
        <w:lastRenderedPageBreak/>
        <w:t>Utilizar los recursos de manera consciente y fomentar un cambio de modelo energético que “deje de apoyar los combustibles fósiles”, junto con un cambio de dieta que disminuya el consumo cárnico “sobre todo en los países industrializados” son, para Asunción, algunas de las principales recomendaciones para reducir el consumo energético excesivo.</w:t>
      </w:r>
    </w:p>
    <w:p w:rsidR="003821FA" w:rsidRPr="003821FA" w:rsidRDefault="003821FA" w:rsidP="003821FA">
      <w:pPr>
        <w:pStyle w:val="Ttulo1"/>
        <w:shd w:val="clear" w:color="auto" w:fill="FFFFFF"/>
        <w:spacing w:before="0"/>
        <w:jc w:val="both"/>
        <w:textAlignment w:val="baseline"/>
        <w:rPr>
          <w:rStyle w:val="bylinetitle"/>
          <w:rFonts w:ascii="Times New Roman" w:hAnsi="Times New Roman" w:cs="Times New Roman"/>
          <w:b w:val="0"/>
          <w:color w:val="auto"/>
          <w:sz w:val="24"/>
          <w:szCs w:val="24"/>
          <w:bdr w:val="none" w:sz="0" w:space="0" w:color="auto" w:frame="1"/>
        </w:rPr>
      </w:pPr>
      <w:r w:rsidRPr="00AA5747">
        <w:rPr>
          <w:rFonts w:ascii="Times New Roman" w:hAnsi="Times New Roman" w:cs="Times New Roman"/>
          <w:b w:val="0"/>
          <w:color w:val="auto"/>
          <w:sz w:val="24"/>
          <w:szCs w:val="24"/>
        </w:rPr>
        <w:t xml:space="preserve">- </w:t>
      </w:r>
      <w:r w:rsidRPr="00AA5747">
        <w:rPr>
          <w:rFonts w:ascii="Times New Roman" w:hAnsi="Times New Roman" w:cs="Times New Roman"/>
          <w:b w:val="0"/>
          <w:color w:val="auto"/>
          <w:sz w:val="24"/>
          <w:szCs w:val="24"/>
          <w:u w:val="single"/>
        </w:rPr>
        <w:t>Lo sentimos, pero ya nos terminamos todos los recursos del planeta para este año</w:t>
      </w:r>
      <w:r w:rsidRPr="00AA5747">
        <w:rPr>
          <w:rFonts w:ascii="Times New Roman" w:hAnsi="Times New Roman" w:cs="Times New Roman"/>
          <w:b w:val="0"/>
          <w:color w:val="auto"/>
          <w:sz w:val="24"/>
          <w:szCs w:val="24"/>
        </w:rPr>
        <w:t xml:space="preserve"> (</w:t>
      </w:r>
      <w:r w:rsidRPr="00AA5747">
        <w:rPr>
          <w:rStyle w:val="bylinetitle"/>
          <w:rFonts w:ascii="Times New Roman" w:hAnsi="Times New Roman" w:cs="Times New Roman"/>
          <w:b w:val="0"/>
          <w:color w:val="auto"/>
          <w:sz w:val="24"/>
          <w:szCs w:val="24"/>
          <w:bdr w:val="none" w:sz="0" w:space="0" w:color="auto" w:frame="1"/>
        </w:rPr>
        <w:t xml:space="preserve">BBCMundo </w:t>
      </w:r>
      <w:r w:rsidRPr="00AA5747">
        <w:rPr>
          <w:rStyle w:val="bylinetitle"/>
          <w:rFonts w:ascii="Times New Roman" w:hAnsi="Times New Roman" w:cs="Times New Roman"/>
          <w:color w:val="auto"/>
          <w:sz w:val="24"/>
          <w:szCs w:val="24"/>
          <w:bdr w:val="none" w:sz="0" w:space="0" w:color="auto" w:frame="1"/>
        </w:rPr>
        <w:t>- 9/8/16)</w:t>
      </w:r>
      <w:r>
        <w:rPr>
          <w:rStyle w:val="bylinetitle"/>
          <w:rFonts w:ascii="Times New Roman" w:hAnsi="Times New Roman" w:cs="Times New Roman"/>
          <w:b w:val="0"/>
          <w:color w:val="auto"/>
          <w:sz w:val="24"/>
          <w:szCs w:val="24"/>
          <w:bdr w:val="none" w:sz="0" w:space="0" w:color="auto" w:frame="1"/>
        </w:rPr>
        <w:t>Lectura recomendada</w:t>
      </w:r>
    </w:p>
    <w:p w:rsidR="003821FA" w:rsidRDefault="003821FA" w:rsidP="003821FA">
      <w:pPr>
        <w:pStyle w:val="Ttulo1"/>
        <w:shd w:val="clear" w:color="auto" w:fill="FFFFFF"/>
        <w:spacing w:before="0"/>
        <w:jc w:val="both"/>
        <w:textAlignment w:val="baseline"/>
        <w:rPr>
          <w:rStyle w:val="bylinetitle"/>
          <w:sz w:val="24"/>
          <w:szCs w:val="24"/>
          <w:bdr w:val="none" w:sz="0" w:space="0" w:color="auto" w:frame="1"/>
        </w:rPr>
      </w:pPr>
    </w:p>
    <w:p w:rsidR="003821FA" w:rsidRPr="00AA5747" w:rsidRDefault="003821FA" w:rsidP="003821FA">
      <w:pPr>
        <w:shd w:val="clear" w:color="auto" w:fill="FFFFFF"/>
        <w:spacing w:line="240" w:lineRule="auto"/>
        <w:jc w:val="both"/>
        <w:textAlignment w:val="baseline"/>
        <w:rPr>
          <w:rFonts w:ascii="Times New Roman" w:hAnsi="Times New Roman"/>
          <w:b/>
          <w:bCs/>
          <w:color w:val="FF0000"/>
          <w:sz w:val="24"/>
          <w:szCs w:val="24"/>
          <w:u w:val="single"/>
        </w:rPr>
      </w:pPr>
      <w:r w:rsidRPr="00AA5747">
        <w:rPr>
          <w:rFonts w:ascii="Times New Roman" w:hAnsi="Times New Roman"/>
          <w:b/>
          <w:bCs/>
          <w:color w:val="FF0000"/>
          <w:sz w:val="24"/>
          <w:szCs w:val="24"/>
          <w:u w:val="single"/>
        </w:rPr>
        <w:t>A partir de este martes, todo el dióxido de carbono que produzcamos, los peces que consumamos o los árboles que talemos, la atmósfera, los océanos y los bosques no los podrán reponer.</w:t>
      </w:r>
    </w:p>
    <w:p w:rsidR="003821FA" w:rsidRPr="00377B5B" w:rsidRDefault="003821FA" w:rsidP="003821FA">
      <w:pPr>
        <w:pStyle w:val="NormalWeb"/>
        <w:shd w:val="clear" w:color="auto" w:fill="FFFFFF"/>
        <w:spacing w:before="270" w:beforeAutospacing="0" w:after="0" w:afterAutospacing="0"/>
        <w:jc w:val="both"/>
        <w:textAlignment w:val="baseline"/>
      </w:pPr>
      <w:r w:rsidRPr="00377B5B">
        <w:t>En otras palabras, estamos consumiendo y contaminando más rápido de lo que la naturaleza puede volver a crear y limpiar en un año.</w:t>
      </w:r>
    </w:p>
    <w:p w:rsidR="003821FA" w:rsidRDefault="003821FA" w:rsidP="003821FA">
      <w:pPr>
        <w:pStyle w:val="NormalWeb"/>
        <w:shd w:val="clear" w:color="auto" w:fill="FFFFFF"/>
        <w:spacing w:before="0" w:beforeAutospacing="0" w:after="0" w:afterAutospacing="0"/>
        <w:jc w:val="both"/>
        <w:textAlignment w:val="baseline"/>
      </w:pPr>
    </w:p>
    <w:p w:rsidR="003821FA" w:rsidRPr="00AA5747" w:rsidRDefault="003821FA" w:rsidP="003821FA">
      <w:pPr>
        <w:pStyle w:val="NormalWeb"/>
        <w:shd w:val="clear" w:color="auto" w:fill="FFFFFF"/>
        <w:spacing w:before="0" w:beforeAutospacing="0" w:after="0" w:afterAutospacing="0"/>
        <w:jc w:val="both"/>
        <w:textAlignment w:val="baseline"/>
        <w:rPr>
          <w:color w:val="FF0000"/>
          <w:u w:val="single"/>
        </w:rPr>
      </w:pPr>
      <w:r w:rsidRPr="00377B5B">
        <w:t>Y es que este lunes nos terminamos todos los recursos de la Tierra para para este año, algo que cada vez llega más temprano y es conocido como el</w:t>
      </w:r>
      <w:r w:rsidRPr="00377B5B">
        <w:rPr>
          <w:rStyle w:val="apple-converted-space"/>
        </w:rPr>
        <w:t> </w:t>
      </w:r>
      <w:r w:rsidRPr="00AA5747">
        <w:rPr>
          <w:rStyle w:val="Textoennegrita"/>
          <w:color w:val="FF0000"/>
          <w:u w:val="single"/>
          <w:bdr w:val="none" w:sz="0" w:space="0" w:color="auto" w:frame="1"/>
        </w:rPr>
        <w:t>Día del Exceso de la Tierra</w:t>
      </w:r>
      <w:r w:rsidRPr="00AA5747">
        <w:rPr>
          <w:color w:val="FF0000"/>
          <w:u w:val="single"/>
        </w:rPr>
        <w:t>.</w:t>
      </w:r>
    </w:p>
    <w:p w:rsidR="003821FA" w:rsidRPr="00377B5B" w:rsidRDefault="003821FA" w:rsidP="003821FA">
      <w:pPr>
        <w:shd w:val="clear" w:color="auto" w:fill="FFFFFF"/>
        <w:spacing w:after="0" w:line="240" w:lineRule="auto"/>
        <w:jc w:val="both"/>
        <w:textAlignment w:val="baseline"/>
        <w:rPr>
          <w:rFonts w:ascii="Times New Roman" w:hAnsi="Times New Roman"/>
          <w:sz w:val="24"/>
          <w:szCs w:val="24"/>
        </w:rPr>
      </w:pPr>
    </w:p>
    <w:p w:rsidR="003821FA" w:rsidRPr="007E1902" w:rsidRDefault="003821FA" w:rsidP="003821FA">
      <w:pPr>
        <w:shd w:val="clear" w:color="auto" w:fill="FFFFFF"/>
        <w:spacing w:line="240" w:lineRule="auto"/>
        <w:jc w:val="both"/>
        <w:textAlignment w:val="baseline"/>
        <w:rPr>
          <w:rFonts w:ascii="Times New Roman" w:hAnsi="Times New Roman" w:cs="Times New Roman"/>
          <w:sz w:val="24"/>
          <w:szCs w:val="24"/>
          <w:u w:val="single"/>
          <w:bdr w:val="none" w:sz="0" w:space="0" w:color="auto" w:frame="1"/>
        </w:rPr>
      </w:pPr>
      <w:r w:rsidRPr="007E1902">
        <w:rPr>
          <w:rFonts w:ascii="Times New Roman" w:hAnsi="Times New Roman" w:cs="Times New Roman"/>
          <w:sz w:val="24"/>
          <w:szCs w:val="24"/>
          <w:u w:val="single"/>
        </w:rPr>
        <w:t>Esta vez cayó el 08 de agosto;</w:t>
      </w:r>
      <w:r w:rsidRPr="007E1902">
        <w:rPr>
          <w:rStyle w:val="apple-converted-space"/>
          <w:rFonts w:ascii="Times New Roman" w:hAnsi="Times New Roman" w:cs="Times New Roman"/>
          <w:sz w:val="24"/>
          <w:szCs w:val="24"/>
          <w:u w:val="single"/>
        </w:rPr>
        <w:t> </w:t>
      </w:r>
      <w:r w:rsidRPr="007E1902">
        <w:rPr>
          <w:rStyle w:val="Textoennegrita"/>
          <w:rFonts w:ascii="Times New Roman" w:hAnsi="Times New Roman" w:cs="Times New Roman"/>
          <w:sz w:val="24"/>
          <w:szCs w:val="24"/>
          <w:u w:val="single"/>
          <w:bdr w:val="none" w:sz="0" w:space="0" w:color="auto" w:frame="1"/>
        </w:rPr>
        <w:t>hace una década era a finales de septiembre</w:t>
      </w:r>
      <w:r w:rsidRPr="007E1902">
        <w:rPr>
          <w:rFonts w:ascii="Times New Roman" w:hAnsi="Times New Roman" w:cs="Times New Roman"/>
          <w:sz w:val="24"/>
          <w:szCs w:val="24"/>
          <w:u w:val="single"/>
        </w:rPr>
        <w:t>.</w:t>
      </w:r>
    </w:p>
    <w:p w:rsidR="003821FA" w:rsidRPr="00AA5747" w:rsidRDefault="003821FA" w:rsidP="003821FA">
      <w:pPr>
        <w:pStyle w:val="NormalWeb"/>
        <w:shd w:val="clear" w:color="auto" w:fill="FFFFFF"/>
        <w:spacing w:before="0" w:beforeAutospacing="0" w:after="0" w:afterAutospacing="0"/>
        <w:jc w:val="both"/>
        <w:textAlignment w:val="baseline"/>
        <w:rPr>
          <w:color w:val="FF0000"/>
          <w:u w:val="single"/>
        </w:rPr>
      </w:pPr>
      <w:r w:rsidRPr="00AA5747">
        <w:rPr>
          <w:color w:val="FF0000"/>
          <w:u w:val="single"/>
        </w:rPr>
        <w:t>Según los expertos, si a nivel global seguimos consumiendo al ritmo que lo hacemos ahora,</w:t>
      </w:r>
      <w:r w:rsidRPr="00AA5747">
        <w:rPr>
          <w:rStyle w:val="apple-converted-space"/>
          <w:color w:val="FF0000"/>
          <w:u w:val="single"/>
        </w:rPr>
        <w:t> </w:t>
      </w:r>
      <w:r w:rsidRPr="00AA5747">
        <w:rPr>
          <w:rStyle w:val="Textoennegrita"/>
          <w:color w:val="FF0000"/>
          <w:u w:val="single"/>
          <w:bdr w:val="none" w:sz="0" w:space="0" w:color="auto" w:frame="1"/>
        </w:rPr>
        <w:t>necesitaremos 1,6 planetas como la Tierra para satisfacer nuestras demandas</w:t>
      </w:r>
      <w:r w:rsidRPr="00AA5747">
        <w:rPr>
          <w:color w:val="FF0000"/>
          <w:u w:val="single"/>
        </w:rPr>
        <w:t>.</w:t>
      </w:r>
    </w:p>
    <w:p w:rsidR="003821FA" w:rsidRDefault="003821FA" w:rsidP="003821FA">
      <w:pPr>
        <w:pStyle w:val="NormalWeb"/>
        <w:shd w:val="clear" w:color="auto" w:fill="FFFFFF"/>
        <w:spacing w:before="0" w:beforeAutospacing="0" w:after="0" w:afterAutospacing="0"/>
        <w:jc w:val="both"/>
        <w:textAlignment w:val="baseline"/>
      </w:pPr>
    </w:p>
    <w:p w:rsidR="003821FA" w:rsidRPr="00AA5747" w:rsidRDefault="003821FA" w:rsidP="003821FA">
      <w:pPr>
        <w:pStyle w:val="NormalWeb"/>
        <w:shd w:val="clear" w:color="auto" w:fill="FFFFFF"/>
        <w:spacing w:before="0" w:beforeAutospacing="0" w:after="0" w:afterAutospacing="0"/>
        <w:jc w:val="both"/>
        <w:textAlignment w:val="baseline"/>
        <w:rPr>
          <w:u w:val="single"/>
        </w:rPr>
      </w:pPr>
      <w:r w:rsidRPr="00AA5747">
        <w:rPr>
          <w:u w:val="single"/>
        </w:rPr>
        <w:t>El estudio, que cada año elabora la organización Global Footprint Network,</w:t>
      </w:r>
      <w:r w:rsidRPr="00AA5747">
        <w:rPr>
          <w:rStyle w:val="apple-converted-space"/>
          <w:u w:val="single"/>
        </w:rPr>
        <w:t> </w:t>
      </w:r>
      <w:r w:rsidRPr="00AA5747">
        <w:rPr>
          <w:rStyle w:val="Textoennegrita"/>
          <w:u w:val="single"/>
          <w:bdr w:val="none" w:sz="0" w:space="0" w:color="auto" w:frame="1"/>
        </w:rPr>
        <w:t>calcula la cantidad de tierra y océanos necesarios para aportar los recursos que requiere una persona, ya sea comida, cobijo o transporte, y toma en cuenta las emisiones de dióxido de carbono que esto conlleva</w:t>
      </w:r>
      <w:r w:rsidRPr="00AA5747">
        <w:rPr>
          <w:u w:val="single"/>
        </w:rPr>
        <w:t>.</w:t>
      </w:r>
    </w:p>
    <w:p w:rsidR="003821FA" w:rsidRPr="00AA5747" w:rsidRDefault="003821FA" w:rsidP="003821FA">
      <w:pPr>
        <w:pStyle w:val="NormalWeb"/>
        <w:shd w:val="clear" w:color="auto" w:fill="FFFFFF"/>
        <w:spacing w:before="270" w:beforeAutospacing="0" w:after="0" w:afterAutospacing="0"/>
        <w:jc w:val="both"/>
        <w:textAlignment w:val="baseline"/>
        <w:rPr>
          <w:color w:val="FF0000"/>
          <w:u w:val="single"/>
        </w:rPr>
      </w:pPr>
      <w:r w:rsidRPr="00AA5747">
        <w:rPr>
          <w:color w:val="FF0000"/>
          <w:u w:val="single"/>
        </w:rPr>
        <w:t>El resultado es lo que se conoce como la “</w:t>
      </w:r>
      <w:r w:rsidRPr="00AA5747">
        <w:rPr>
          <w:b/>
          <w:color w:val="FF0000"/>
          <w:u w:val="single"/>
        </w:rPr>
        <w:t>huella ecológica</w:t>
      </w:r>
      <w:r w:rsidRPr="00AA5747">
        <w:rPr>
          <w:color w:val="FF0000"/>
          <w:u w:val="single"/>
        </w:rPr>
        <w:t>” que cada uno de nosotros dejamos día a día.</w:t>
      </w:r>
    </w:p>
    <w:p w:rsidR="003821FA" w:rsidRPr="00AA5747" w:rsidRDefault="003821FA" w:rsidP="003821FA">
      <w:pPr>
        <w:pStyle w:val="Ttulo2"/>
        <w:shd w:val="clear" w:color="auto" w:fill="FFFFFF"/>
        <w:spacing w:before="270" w:line="240" w:lineRule="auto"/>
        <w:jc w:val="both"/>
        <w:textAlignment w:val="baseline"/>
        <w:rPr>
          <w:rFonts w:ascii="Times New Roman" w:hAnsi="Times New Roman" w:cs="Times New Roman"/>
          <w:b w:val="0"/>
          <w:color w:val="auto"/>
          <w:sz w:val="24"/>
          <w:szCs w:val="24"/>
        </w:rPr>
      </w:pPr>
      <w:r w:rsidRPr="00AA5747">
        <w:rPr>
          <w:rFonts w:ascii="Times New Roman" w:hAnsi="Times New Roman" w:cs="Times New Roman"/>
          <w:b w:val="0"/>
          <w:color w:val="auto"/>
          <w:sz w:val="24"/>
          <w:szCs w:val="24"/>
        </w:rPr>
        <w:t>Luxemburgo y Aruba</w:t>
      </w:r>
    </w:p>
    <w:p w:rsidR="003821FA" w:rsidRPr="00377B5B" w:rsidRDefault="003821FA" w:rsidP="003821FA">
      <w:pPr>
        <w:pStyle w:val="NormalWeb"/>
        <w:shd w:val="clear" w:color="auto" w:fill="FFFFFF"/>
        <w:spacing w:before="270" w:beforeAutospacing="0" w:after="0" w:afterAutospacing="0"/>
        <w:jc w:val="both"/>
        <w:textAlignment w:val="baseline"/>
      </w:pPr>
      <w:r w:rsidRPr="00377B5B">
        <w:t>Por ejemplo, si lo dividimos por países, Luxemburgo es el país que más rápido gasta los recursos, pues de acuerdo con el estudio, si todos fuéramos como ellos, cada año necesitaríamos el equivalente a 9,1 planetas.</w:t>
      </w:r>
    </w:p>
    <w:p w:rsidR="003821FA" w:rsidRDefault="003821FA" w:rsidP="003821FA">
      <w:pPr>
        <w:pStyle w:val="NormalWeb"/>
        <w:shd w:val="clear" w:color="auto" w:fill="FFFFFF"/>
        <w:spacing w:before="270" w:beforeAutospacing="0" w:after="0" w:afterAutospacing="0"/>
        <w:jc w:val="both"/>
        <w:textAlignment w:val="baseline"/>
      </w:pPr>
      <w:r w:rsidRPr="00377B5B">
        <w:t>Si fuéramos como Australia, serían 5,4; y en</w:t>
      </w:r>
      <w:r>
        <w:t xml:space="preserve"> el caso de Estados Unidos 4,8.</w:t>
      </w:r>
    </w:p>
    <w:p w:rsidR="003821FA" w:rsidRPr="00377B5B" w:rsidRDefault="003821FA" w:rsidP="003821FA">
      <w:pPr>
        <w:pStyle w:val="NormalWeb"/>
        <w:shd w:val="clear" w:color="auto" w:fill="FFFFFF"/>
        <w:spacing w:before="270" w:beforeAutospacing="0" w:after="0" w:afterAutospacing="0"/>
        <w:jc w:val="both"/>
        <w:textAlignment w:val="baseline"/>
      </w:pPr>
      <w:r w:rsidRPr="00377B5B">
        <w:t>Y si nos vamos a América Latina, la región necesita de 1,6 planetas para cumplir con sus necesidades.</w:t>
      </w:r>
    </w:p>
    <w:p w:rsidR="003821FA" w:rsidRDefault="003821FA" w:rsidP="003821FA">
      <w:pPr>
        <w:pStyle w:val="NormalWeb"/>
        <w:shd w:val="clear" w:color="auto" w:fill="FFFFFF"/>
        <w:spacing w:before="0" w:beforeAutospacing="0" w:after="0" w:afterAutospacing="0"/>
        <w:jc w:val="both"/>
        <w:textAlignment w:val="baseline"/>
      </w:pPr>
    </w:p>
    <w:p w:rsidR="003821FA" w:rsidRPr="00AA5747" w:rsidRDefault="003821FA" w:rsidP="003821FA">
      <w:pPr>
        <w:pStyle w:val="NormalWeb"/>
        <w:shd w:val="clear" w:color="auto" w:fill="FFFFFF"/>
        <w:spacing w:before="0" w:beforeAutospacing="0" w:after="0" w:afterAutospacing="0"/>
        <w:jc w:val="both"/>
        <w:textAlignment w:val="baseline"/>
        <w:rPr>
          <w:u w:val="single"/>
        </w:rPr>
      </w:pPr>
      <w:r w:rsidRPr="00AA5747">
        <w:rPr>
          <w:u w:val="single"/>
        </w:rPr>
        <w:t>Sin embargo,</w:t>
      </w:r>
      <w:r w:rsidRPr="00AA5747">
        <w:rPr>
          <w:rStyle w:val="apple-converted-space"/>
          <w:u w:val="single"/>
        </w:rPr>
        <w:t> </w:t>
      </w:r>
      <w:r w:rsidRPr="00AA5747">
        <w:rPr>
          <w:rStyle w:val="Textoennegrita"/>
          <w:u w:val="single"/>
          <w:bdr w:val="none" w:sz="0" w:space="0" w:color="auto" w:frame="1"/>
        </w:rPr>
        <w:t>si todos consumiéramos</w:t>
      </w:r>
      <w:r w:rsidRPr="00AA5747">
        <w:rPr>
          <w:rStyle w:val="apple-converted-space"/>
          <w:u w:val="single"/>
          <w:bdr w:val="none" w:sz="0" w:space="0" w:color="auto" w:frame="1"/>
        </w:rPr>
        <w:t> </w:t>
      </w:r>
      <w:r w:rsidRPr="00AA5747">
        <w:rPr>
          <w:rStyle w:val="Textoennegrita"/>
          <w:u w:val="single"/>
          <w:bdr w:val="none" w:sz="0" w:space="0" w:color="auto" w:frame="1"/>
        </w:rPr>
        <w:t>al mismo ritmo que lo hace la pequeña isla de Aruba, entonces el mundo necesitaría de 6,9 Tierras</w:t>
      </w:r>
      <w:r w:rsidRPr="00AA5747">
        <w:rPr>
          <w:u w:val="single"/>
        </w:rPr>
        <w:t>.</w:t>
      </w:r>
    </w:p>
    <w:p w:rsidR="003821FA" w:rsidRPr="00AA5747" w:rsidRDefault="003821FA" w:rsidP="003821FA">
      <w:pPr>
        <w:pStyle w:val="NormalWeb"/>
        <w:shd w:val="clear" w:color="auto" w:fill="FFFFFF"/>
        <w:spacing w:before="0" w:beforeAutospacing="0" w:after="0" w:afterAutospacing="0"/>
        <w:jc w:val="both"/>
        <w:textAlignment w:val="baseline"/>
        <w:rPr>
          <w:u w:val="single"/>
        </w:rPr>
      </w:pPr>
    </w:p>
    <w:p w:rsidR="003821FA" w:rsidRDefault="003821FA" w:rsidP="003821FA">
      <w:pPr>
        <w:pStyle w:val="NormalWeb"/>
        <w:shd w:val="clear" w:color="auto" w:fill="FFFFFF"/>
        <w:spacing w:before="0" w:beforeAutospacing="0" w:after="0" w:afterAutospacing="0"/>
        <w:jc w:val="both"/>
        <w:textAlignment w:val="baseline"/>
      </w:pPr>
      <w:r w:rsidRPr="00AA5747">
        <w:rPr>
          <w:u w:val="single"/>
        </w:rPr>
        <w:lastRenderedPageBreak/>
        <w:t>En el continente latinoamericano,</w:t>
      </w:r>
      <w:r w:rsidRPr="00AA5747">
        <w:rPr>
          <w:rStyle w:val="apple-converted-space"/>
          <w:u w:val="single"/>
        </w:rPr>
        <w:t> </w:t>
      </w:r>
      <w:r w:rsidRPr="00AA5747">
        <w:rPr>
          <w:rStyle w:val="Textoennegrita"/>
          <w:u w:val="single"/>
          <w:bdr w:val="none" w:sz="0" w:space="0" w:color="auto" w:frame="1"/>
        </w:rPr>
        <w:t>Chile es el que más demanda tiene de recursos naturales</w:t>
      </w:r>
      <w:r w:rsidRPr="00AA5747">
        <w:rPr>
          <w:u w:val="single"/>
        </w:rPr>
        <w:t>. Si todos consumimos como ellos, entonces necesitaríamos de 2,5 planetas.</w:t>
      </w:r>
      <w:r w:rsidRPr="00377B5B">
        <w:t>Paraguay lo sigue de cerca con 2,4 planetas.</w:t>
      </w:r>
    </w:p>
    <w:p w:rsidR="003821FA" w:rsidRPr="0079598A" w:rsidRDefault="003821FA" w:rsidP="003821FA">
      <w:pPr>
        <w:pStyle w:val="NormalWeb"/>
        <w:shd w:val="clear" w:color="auto" w:fill="FFFFFF"/>
        <w:spacing w:before="0" w:beforeAutospacing="0" w:after="0" w:afterAutospacing="0"/>
        <w:jc w:val="both"/>
        <w:textAlignment w:val="baseline"/>
        <w:rPr>
          <w:u w:val="single"/>
        </w:rPr>
      </w:pPr>
    </w:p>
    <w:p w:rsidR="003821FA" w:rsidRPr="00377B5B" w:rsidRDefault="003821FA" w:rsidP="003821FA">
      <w:pPr>
        <w:pStyle w:val="Ttulo2"/>
        <w:shd w:val="clear" w:color="auto" w:fill="FFFFFF"/>
        <w:spacing w:before="0" w:line="240" w:lineRule="auto"/>
        <w:jc w:val="both"/>
        <w:textAlignment w:val="baseline"/>
        <w:rPr>
          <w:rFonts w:ascii="Times New Roman" w:hAnsi="Times New Roman" w:cs="Times New Roman"/>
          <w:color w:val="auto"/>
          <w:sz w:val="24"/>
          <w:szCs w:val="24"/>
        </w:rPr>
      </w:pPr>
      <w:r w:rsidRPr="00377B5B">
        <w:rPr>
          <w:rFonts w:ascii="Times New Roman" w:hAnsi="Times New Roman" w:cs="Times New Roman"/>
          <w:color w:val="auto"/>
          <w:sz w:val="24"/>
          <w:szCs w:val="24"/>
        </w:rPr>
        <w:t>Cuántos planetas Tierra necesitamos si todos viviéramos como...</w:t>
      </w:r>
    </w:p>
    <w:p w:rsidR="003821FA" w:rsidRDefault="003821FA" w:rsidP="003821FA">
      <w:pPr>
        <w:pStyle w:val="nssuperimpactfig"/>
        <w:shd w:val="clear" w:color="auto" w:fill="FFFFFF"/>
        <w:spacing w:before="0" w:beforeAutospacing="0" w:after="0" w:afterAutospacing="0"/>
        <w:jc w:val="both"/>
        <w:textAlignment w:val="baseline"/>
        <w:rPr>
          <w:rFonts w:ascii="Calibri" w:eastAsia="Calibri" w:hAnsi="Calibri"/>
          <w:sz w:val="22"/>
          <w:szCs w:val="22"/>
        </w:rPr>
      </w:pPr>
    </w:p>
    <w:p w:rsidR="003821FA" w:rsidRPr="00377B5B" w:rsidRDefault="003821FA" w:rsidP="003821FA">
      <w:pPr>
        <w:pStyle w:val="nssuperimpactfig"/>
        <w:shd w:val="clear" w:color="auto" w:fill="FFFFFF"/>
        <w:spacing w:before="0" w:beforeAutospacing="0" w:after="0" w:afterAutospacing="0"/>
        <w:jc w:val="both"/>
        <w:textAlignment w:val="baseline"/>
        <w:rPr>
          <w:b/>
          <w:bCs/>
        </w:rPr>
      </w:pPr>
      <w:r w:rsidRPr="00377B5B">
        <w:rPr>
          <w:b/>
          <w:bCs/>
        </w:rPr>
        <w:t>América del Norte 4,7</w:t>
      </w:r>
    </w:p>
    <w:p w:rsidR="003821FA" w:rsidRPr="00377B5B" w:rsidRDefault="003821FA" w:rsidP="003821FA">
      <w:pPr>
        <w:pStyle w:val="NormalWeb"/>
        <w:shd w:val="clear" w:color="auto" w:fill="FFFFFF"/>
        <w:spacing w:before="0" w:beforeAutospacing="0" w:after="0" w:afterAutospacing="0"/>
        <w:jc w:val="both"/>
        <w:textAlignment w:val="baseline"/>
      </w:pPr>
      <w:r w:rsidRPr="00377B5B">
        <w:rPr>
          <w:rStyle w:val="nsimpactfig"/>
          <w:rFonts w:eastAsiaTheme="majorEastAsia"/>
          <w:bdr w:val="none" w:sz="0" w:space="0" w:color="auto" w:frame="1"/>
        </w:rPr>
        <w:t>Europa</w:t>
      </w:r>
      <w:r w:rsidRPr="00377B5B">
        <w:rPr>
          <w:rStyle w:val="apple-converted-space"/>
        </w:rPr>
        <w:t> </w:t>
      </w:r>
      <w:r w:rsidRPr="00377B5B">
        <w:t>2,8</w:t>
      </w:r>
    </w:p>
    <w:p w:rsidR="003821FA" w:rsidRPr="00377B5B" w:rsidRDefault="003821FA" w:rsidP="003821FA">
      <w:pPr>
        <w:pStyle w:val="NormalWeb"/>
        <w:shd w:val="clear" w:color="auto" w:fill="FFFFFF"/>
        <w:spacing w:before="0" w:beforeAutospacing="0" w:after="0" w:afterAutospacing="0"/>
        <w:jc w:val="both"/>
        <w:textAlignment w:val="baseline"/>
      </w:pPr>
      <w:r w:rsidRPr="00377B5B">
        <w:rPr>
          <w:rStyle w:val="nsimpactfig"/>
          <w:rFonts w:eastAsiaTheme="majorEastAsia"/>
          <w:bdr w:val="none" w:sz="0" w:space="0" w:color="auto" w:frame="1"/>
        </w:rPr>
        <w:t>Medio Oriente</w:t>
      </w:r>
      <w:r w:rsidRPr="00377B5B">
        <w:rPr>
          <w:rStyle w:val="apple-converted-space"/>
        </w:rPr>
        <w:t> </w:t>
      </w:r>
      <w:r w:rsidRPr="00377B5B">
        <w:t>1,7</w:t>
      </w:r>
    </w:p>
    <w:p w:rsidR="003821FA" w:rsidRPr="00377B5B" w:rsidRDefault="003821FA" w:rsidP="003821FA">
      <w:pPr>
        <w:pStyle w:val="NormalWeb"/>
        <w:shd w:val="clear" w:color="auto" w:fill="FFFFFF"/>
        <w:spacing w:before="0" w:beforeAutospacing="0" w:after="0" w:afterAutospacing="0"/>
        <w:jc w:val="both"/>
        <w:textAlignment w:val="baseline"/>
      </w:pPr>
      <w:r w:rsidRPr="00377B5B">
        <w:rPr>
          <w:rStyle w:val="nsimpactfig"/>
          <w:rFonts w:eastAsiaTheme="majorEastAsia"/>
          <w:bdr w:val="none" w:sz="0" w:space="0" w:color="auto" w:frame="1"/>
        </w:rPr>
        <w:t>América Latina</w:t>
      </w:r>
      <w:r w:rsidRPr="00377B5B">
        <w:rPr>
          <w:rStyle w:val="apple-converted-space"/>
        </w:rPr>
        <w:t> </w:t>
      </w:r>
      <w:r w:rsidRPr="00377B5B">
        <w:t>1,6</w:t>
      </w:r>
    </w:p>
    <w:p w:rsidR="003821FA" w:rsidRPr="00377B5B" w:rsidRDefault="003821FA" w:rsidP="003821FA">
      <w:pPr>
        <w:pStyle w:val="NormalWeb"/>
        <w:shd w:val="clear" w:color="auto" w:fill="FFFFFF"/>
        <w:spacing w:before="0" w:beforeAutospacing="0" w:after="0" w:afterAutospacing="0"/>
        <w:jc w:val="both"/>
        <w:textAlignment w:val="baseline"/>
      </w:pPr>
      <w:r w:rsidRPr="00377B5B">
        <w:rPr>
          <w:rStyle w:val="nsimpactfig"/>
          <w:rFonts w:eastAsiaTheme="majorEastAsia"/>
          <w:bdr w:val="none" w:sz="0" w:space="0" w:color="auto" w:frame="1"/>
        </w:rPr>
        <w:t>Asia</w:t>
      </w:r>
      <w:r w:rsidRPr="00377B5B">
        <w:rPr>
          <w:rStyle w:val="apple-converted-space"/>
        </w:rPr>
        <w:t> </w:t>
      </w:r>
      <w:r w:rsidRPr="00377B5B">
        <w:t>1,3</w:t>
      </w:r>
    </w:p>
    <w:p w:rsidR="003821FA" w:rsidRPr="00377B5B" w:rsidRDefault="003821FA" w:rsidP="003821FA">
      <w:pPr>
        <w:shd w:val="clear" w:color="auto" w:fill="FFFFFF"/>
        <w:spacing w:line="240" w:lineRule="auto"/>
        <w:jc w:val="both"/>
        <w:textAlignment w:val="baseline"/>
        <w:rPr>
          <w:rFonts w:ascii="Times New Roman" w:hAnsi="Times New Roman"/>
          <w:sz w:val="24"/>
          <w:szCs w:val="24"/>
        </w:rPr>
      </w:pPr>
      <w:r w:rsidRPr="00377B5B">
        <w:rPr>
          <w:rFonts w:ascii="Times New Roman" w:hAnsi="Times New Roman"/>
          <w:sz w:val="24"/>
          <w:szCs w:val="24"/>
        </w:rPr>
        <w:t>Fuente: Global Footprint Network 2016</w:t>
      </w:r>
    </w:p>
    <w:p w:rsidR="003821FA" w:rsidRPr="00377B5B" w:rsidRDefault="003821FA" w:rsidP="003821FA">
      <w:pPr>
        <w:pStyle w:val="Ttulo2"/>
        <w:shd w:val="clear" w:color="auto" w:fill="FFFFFF"/>
        <w:spacing w:before="0" w:line="240" w:lineRule="auto"/>
        <w:jc w:val="both"/>
        <w:textAlignment w:val="baseline"/>
        <w:rPr>
          <w:rFonts w:ascii="Times New Roman" w:hAnsi="Times New Roman" w:cs="Times New Roman"/>
          <w:color w:val="auto"/>
          <w:sz w:val="24"/>
          <w:szCs w:val="24"/>
        </w:rPr>
      </w:pPr>
      <w:r w:rsidRPr="00377B5B">
        <w:rPr>
          <w:rFonts w:ascii="Times New Roman" w:hAnsi="Times New Roman" w:cs="Times New Roman"/>
          <w:color w:val="auto"/>
          <w:sz w:val="24"/>
          <w:szCs w:val="24"/>
        </w:rPr>
        <w:t>Cuántos planetas Tierra necesitamos si todos viviéramos como...</w:t>
      </w:r>
    </w:p>
    <w:p w:rsidR="003821FA" w:rsidRPr="00377B5B" w:rsidRDefault="003821FA" w:rsidP="003821FA">
      <w:pPr>
        <w:pStyle w:val="nssuperimpactfig"/>
        <w:shd w:val="clear" w:color="auto" w:fill="FFFFFF"/>
        <w:spacing w:before="0" w:beforeAutospacing="0" w:after="0" w:afterAutospacing="0"/>
        <w:jc w:val="both"/>
        <w:textAlignment w:val="baseline"/>
        <w:rPr>
          <w:rFonts w:ascii="Calibri" w:eastAsia="Calibri" w:hAnsi="Calibri"/>
          <w:sz w:val="22"/>
          <w:szCs w:val="22"/>
        </w:rPr>
      </w:pPr>
    </w:p>
    <w:p w:rsidR="003821FA" w:rsidRPr="00377B5B" w:rsidRDefault="003821FA" w:rsidP="003821FA">
      <w:pPr>
        <w:pStyle w:val="nssuperimpactfig"/>
        <w:shd w:val="clear" w:color="auto" w:fill="FFFFFF"/>
        <w:spacing w:before="0" w:beforeAutospacing="0" w:after="0" w:afterAutospacing="0"/>
        <w:jc w:val="both"/>
        <w:textAlignment w:val="baseline"/>
        <w:rPr>
          <w:b/>
          <w:bCs/>
        </w:rPr>
      </w:pPr>
      <w:r w:rsidRPr="00377B5B">
        <w:rPr>
          <w:b/>
          <w:bCs/>
        </w:rPr>
        <w:t>Aruba</w:t>
      </w:r>
      <w:r w:rsidRPr="007C16EA">
        <w:rPr>
          <w:b/>
          <w:bCs/>
        </w:rPr>
        <w:t>6,9</w:t>
      </w:r>
    </w:p>
    <w:p w:rsidR="003821FA" w:rsidRPr="00377B5B" w:rsidRDefault="003821FA" w:rsidP="003821FA">
      <w:pPr>
        <w:pStyle w:val="NormalWeb"/>
        <w:shd w:val="clear" w:color="auto" w:fill="FFFFFF"/>
        <w:spacing w:before="0" w:beforeAutospacing="0" w:after="0" w:afterAutospacing="0"/>
        <w:jc w:val="both"/>
        <w:textAlignment w:val="baseline"/>
      </w:pPr>
      <w:r w:rsidRPr="00377B5B">
        <w:rPr>
          <w:rStyle w:val="nsimpactfig"/>
          <w:rFonts w:eastAsiaTheme="majorEastAsia"/>
          <w:bdr w:val="none" w:sz="0" w:space="0" w:color="auto" w:frame="1"/>
        </w:rPr>
        <w:t>Chile</w:t>
      </w:r>
      <w:r w:rsidRPr="00377B5B">
        <w:rPr>
          <w:rStyle w:val="apple-converted-space"/>
        </w:rPr>
        <w:t> </w:t>
      </w:r>
      <w:r w:rsidRPr="00377B5B">
        <w:t>2,5</w:t>
      </w:r>
    </w:p>
    <w:p w:rsidR="003821FA" w:rsidRPr="00377B5B" w:rsidRDefault="003821FA" w:rsidP="003821FA">
      <w:pPr>
        <w:pStyle w:val="NormalWeb"/>
        <w:shd w:val="clear" w:color="auto" w:fill="FFFFFF"/>
        <w:spacing w:before="0" w:beforeAutospacing="0" w:after="0" w:afterAutospacing="0"/>
        <w:jc w:val="both"/>
        <w:textAlignment w:val="baseline"/>
      </w:pPr>
      <w:r w:rsidRPr="00377B5B">
        <w:rPr>
          <w:rStyle w:val="nsimpactfig"/>
          <w:rFonts w:eastAsiaTheme="majorEastAsia"/>
          <w:bdr w:val="none" w:sz="0" w:space="0" w:color="auto" w:frame="1"/>
        </w:rPr>
        <w:t>Paraguay</w:t>
      </w:r>
      <w:r w:rsidRPr="00377B5B">
        <w:rPr>
          <w:rStyle w:val="apple-converted-space"/>
        </w:rPr>
        <w:t> </w:t>
      </w:r>
      <w:r w:rsidRPr="00377B5B">
        <w:t>2,4</w:t>
      </w:r>
    </w:p>
    <w:p w:rsidR="003821FA" w:rsidRPr="00377B5B" w:rsidRDefault="003821FA" w:rsidP="003821FA">
      <w:pPr>
        <w:pStyle w:val="NormalWeb"/>
        <w:shd w:val="clear" w:color="auto" w:fill="FFFFFF"/>
        <w:spacing w:before="0" w:beforeAutospacing="0" w:after="0" w:afterAutospacing="0"/>
        <w:jc w:val="both"/>
        <w:textAlignment w:val="baseline"/>
      </w:pPr>
      <w:r w:rsidRPr="00377B5B">
        <w:rPr>
          <w:rStyle w:val="nsimpactfig"/>
          <w:rFonts w:eastAsiaTheme="majorEastAsia"/>
          <w:bdr w:val="none" w:sz="0" w:space="0" w:color="auto" w:frame="1"/>
        </w:rPr>
        <w:t>Venezuela</w:t>
      </w:r>
      <w:r w:rsidRPr="00377B5B">
        <w:rPr>
          <w:rStyle w:val="apple-converted-space"/>
        </w:rPr>
        <w:t> </w:t>
      </w:r>
      <w:r w:rsidRPr="00377B5B">
        <w:t>2,1</w:t>
      </w:r>
    </w:p>
    <w:p w:rsidR="003821FA" w:rsidRPr="00377B5B" w:rsidRDefault="003821FA" w:rsidP="003821FA">
      <w:pPr>
        <w:pStyle w:val="NormalWeb"/>
        <w:shd w:val="clear" w:color="auto" w:fill="FFFFFF"/>
        <w:spacing w:before="0" w:beforeAutospacing="0" w:after="0" w:afterAutospacing="0"/>
        <w:jc w:val="both"/>
        <w:textAlignment w:val="baseline"/>
      </w:pPr>
      <w:r w:rsidRPr="00377B5B">
        <w:rPr>
          <w:rStyle w:val="nsimpactfig"/>
          <w:rFonts w:eastAsiaTheme="majorEastAsia"/>
          <w:bdr w:val="none" w:sz="0" w:space="0" w:color="auto" w:frame="1"/>
        </w:rPr>
        <w:t>Argentina</w:t>
      </w:r>
      <w:r w:rsidRPr="00377B5B">
        <w:rPr>
          <w:rStyle w:val="apple-converted-space"/>
          <w:bdr w:val="none" w:sz="0" w:space="0" w:color="auto" w:frame="1"/>
        </w:rPr>
        <w:t> </w:t>
      </w:r>
      <w:r w:rsidRPr="00377B5B">
        <w:t>1,8</w:t>
      </w:r>
    </w:p>
    <w:p w:rsidR="003821FA" w:rsidRPr="00377B5B" w:rsidRDefault="003821FA" w:rsidP="003821FA">
      <w:pPr>
        <w:shd w:val="clear" w:color="auto" w:fill="FFFFFF"/>
        <w:spacing w:line="240" w:lineRule="auto"/>
        <w:jc w:val="both"/>
        <w:textAlignment w:val="baseline"/>
        <w:rPr>
          <w:rFonts w:ascii="Times New Roman" w:hAnsi="Times New Roman"/>
          <w:sz w:val="24"/>
          <w:szCs w:val="24"/>
        </w:rPr>
      </w:pPr>
      <w:r w:rsidRPr="00377B5B">
        <w:rPr>
          <w:rFonts w:ascii="Times New Roman" w:hAnsi="Times New Roman"/>
          <w:sz w:val="24"/>
          <w:szCs w:val="24"/>
        </w:rPr>
        <w:t>Fuente: Global Footprint Network 2016</w:t>
      </w:r>
    </w:p>
    <w:p w:rsidR="003821FA" w:rsidRPr="00377B5B" w:rsidRDefault="003821FA" w:rsidP="003821FA">
      <w:pPr>
        <w:pStyle w:val="NormalWeb"/>
        <w:shd w:val="clear" w:color="auto" w:fill="FFFFFF"/>
        <w:spacing w:before="270" w:beforeAutospacing="0" w:after="0" w:afterAutospacing="0"/>
        <w:jc w:val="both"/>
        <w:textAlignment w:val="baseline"/>
      </w:pPr>
      <w:r w:rsidRPr="00377B5B">
        <w:t>Para llegar a estas cifras, la organización utiliza datos que Naciones Unidas tiene de miles de sectores económicos como la pesca, el transporte, el manejo de los bosques y la producción de energía y cómo esto se traduce en emisiones de carbono.</w:t>
      </w:r>
    </w:p>
    <w:p w:rsidR="003821FA" w:rsidRDefault="003821FA" w:rsidP="003821FA">
      <w:pPr>
        <w:pStyle w:val="NormalWeb"/>
        <w:shd w:val="clear" w:color="auto" w:fill="FFFFFF"/>
        <w:spacing w:before="0" w:beforeAutospacing="0" w:after="0" w:afterAutospacing="0"/>
        <w:jc w:val="both"/>
        <w:textAlignment w:val="baseline"/>
      </w:pPr>
    </w:p>
    <w:p w:rsidR="003821FA" w:rsidRPr="00AA5747" w:rsidRDefault="003821FA" w:rsidP="003821FA">
      <w:pPr>
        <w:pStyle w:val="NormalWeb"/>
        <w:shd w:val="clear" w:color="auto" w:fill="FFFFFF"/>
        <w:spacing w:before="0" w:beforeAutospacing="0" w:after="0" w:afterAutospacing="0"/>
        <w:jc w:val="both"/>
        <w:textAlignment w:val="baseline"/>
        <w:rPr>
          <w:color w:val="FF0000"/>
          <w:u w:val="single"/>
        </w:rPr>
      </w:pPr>
      <w:r w:rsidRPr="00AA5747">
        <w:rPr>
          <w:rStyle w:val="Textoennegrita"/>
          <w:color w:val="FF0000"/>
          <w:u w:val="single"/>
          <w:bdr w:val="none" w:sz="0" w:space="0" w:color="auto" w:frame="1"/>
        </w:rPr>
        <w:t>“Hoy en día las emisiones de carbono representan el 60% de la demanda de la humanidad a la naturaleza”,</w:t>
      </w:r>
      <w:r w:rsidRPr="00AA5747">
        <w:rPr>
          <w:rStyle w:val="apple-converted-space"/>
          <w:color w:val="FF0000"/>
          <w:u w:val="single"/>
        </w:rPr>
        <w:t> </w:t>
      </w:r>
      <w:r w:rsidRPr="00AA5747">
        <w:rPr>
          <w:color w:val="FF0000"/>
          <w:u w:val="single"/>
        </w:rPr>
        <w:t>se lee en el comunicado de la organización.</w:t>
      </w:r>
    </w:p>
    <w:p w:rsidR="003821FA" w:rsidRPr="00AA5747" w:rsidRDefault="003821FA" w:rsidP="003821FA">
      <w:pPr>
        <w:pStyle w:val="NormalWeb"/>
        <w:shd w:val="clear" w:color="auto" w:fill="FFFFFF"/>
        <w:spacing w:before="270" w:beforeAutospacing="0" w:after="0" w:afterAutospacing="0"/>
        <w:jc w:val="both"/>
        <w:textAlignment w:val="baseline"/>
        <w:rPr>
          <w:color w:val="FF0000"/>
          <w:u w:val="single"/>
        </w:rPr>
      </w:pPr>
      <w:r w:rsidRPr="00AA5747">
        <w:rPr>
          <w:color w:val="FF0000"/>
          <w:u w:val="single"/>
        </w:rPr>
        <w:t>Esto significa que hemos llegado a un punto en que estamos emitiendo más CO2 a la atmósfera de lo que los bosques y océanos pueden reabsorber.</w:t>
      </w:r>
    </w:p>
    <w:p w:rsidR="003821FA" w:rsidRPr="003821FA" w:rsidRDefault="003821FA" w:rsidP="003821FA">
      <w:pPr>
        <w:pStyle w:val="NormalWeb"/>
        <w:shd w:val="clear" w:color="auto" w:fill="FFFFFF"/>
        <w:spacing w:before="270" w:after="0"/>
        <w:jc w:val="both"/>
        <w:textAlignment w:val="baseline"/>
      </w:pPr>
      <w:r>
        <w:t xml:space="preserve">- </w:t>
      </w:r>
      <w:r w:rsidRPr="003D7A1F">
        <w:rPr>
          <w:u w:val="single"/>
        </w:rPr>
        <w:t>Este año el Día del Sobregiro de la Tierra será el 8 de agosto</w:t>
      </w:r>
      <w:r w:rsidRPr="003821FA">
        <w:t>Lectura</w:t>
      </w:r>
      <w:r>
        <w:t xml:space="preserve"> recomendada</w:t>
      </w:r>
    </w:p>
    <w:p w:rsidR="003821FA" w:rsidRDefault="003821FA" w:rsidP="003821FA">
      <w:pPr>
        <w:pStyle w:val="NormalWeb"/>
        <w:shd w:val="clear" w:color="auto" w:fill="FFFFFF"/>
        <w:spacing w:before="270" w:after="0"/>
        <w:jc w:val="both"/>
        <w:textAlignment w:val="baseline"/>
      </w:pPr>
      <w:r>
        <w:t>Campaña global #compromisoporelplaneta llama a todos a enfrentar el cambio climático.</w:t>
      </w:r>
    </w:p>
    <w:p w:rsidR="003821FA" w:rsidRDefault="003821FA" w:rsidP="003821FA">
      <w:pPr>
        <w:pStyle w:val="NormalWeb"/>
        <w:shd w:val="clear" w:color="auto" w:fill="FFFFFF"/>
        <w:spacing w:before="270" w:after="0"/>
        <w:jc w:val="both"/>
        <w:textAlignment w:val="baseline"/>
      </w:pPr>
      <w:r>
        <w:t>Oakland, CA, USA - Julio 12, 2016.- Al 8 de agosto, la humanidad habrá consumido el presupuesto de la naturaleza para el año completo, según los datos de la Red Global de la Huella Ecológica (Global Footprint Network, en inglés), centro internacional de investigación que está cambiando el modo en que el mundo gestiona sus recursos naturales y responde al cambio climático.</w:t>
      </w:r>
    </w:p>
    <w:p w:rsidR="003821FA" w:rsidRDefault="003821FA" w:rsidP="003821FA">
      <w:pPr>
        <w:pStyle w:val="NormalWeb"/>
        <w:shd w:val="clear" w:color="auto" w:fill="FFFFFF"/>
        <w:spacing w:before="270" w:after="0"/>
        <w:jc w:val="both"/>
        <w:textAlignment w:val="baseline"/>
      </w:pPr>
      <w:r>
        <w:t>El Día del Sobregiro de la Tierra marca la fecha en que la demanda anual de la humanidad sobre la naturaleza excede lo que la Tierra puede regenerar durante ese año. El 8 de agosto, habremos usado más de nuestro planeta que lo que la Tierra puede regenerar. Esto ocurre porque hemos emitido más dióxido de carbono a la atmósfera de lo que nuestros océanos y bosques pueden absorber, y hemos agotado pesquerías y talado bosques más rápidamente de lo que pueden reproducirse y volver a crecer.</w:t>
      </w:r>
    </w:p>
    <w:p w:rsidR="003821FA" w:rsidRDefault="003821FA" w:rsidP="003821FA">
      <w:pPr>
        <w:pStyle w:val="NormalWeb"/>
        <w:shd w:val="clear" w:color="auto" w:fill="FFFFFF"/>
        <w:spacing w:before="270" w:after="0"/>
        <w:jc w:val="both"/>
        <w:textAlignment w:val="baseline"/>
      </w:pPr>
      <w:r>
        <w:lastRenderedPageBreak/>
        <w:t>Las emisiones de carbono son uno de los mayores contribuidores al sobregiro ecológico, con la huella de carbono alcanzando el 60% de la demanda de la humanidad sobre la naturaleza, lo cual llamamos su Huella Ecológica. Si adherimos a las metas establecidas por el acuerdo climático de París adoptado por cerca de 200 países en diciembre pasado, la huella de carbono necesitará disminuir gradualmente hasta llegar a cero en 2050.</w:t>
      </w:r>
    </w:p>
    <w:p w:rsidR="003821FA" w:rsidRDefault="003821FA" w:rsidP="003821FA">
      <w:pPr>
        <w:pStyle w:val="NormalWeb"/>
        <w:shd w:val="clear" w:color="auto" w:fill="FFFFFF"/>
        <w:spacing w:before="270" w:after="0"/>
        <w:jc w:val="both"/>
        <w:textAlignment w:val="baseline"/>
      </w:pPr>
      <w:r>
        <w:t>“Una nueva forma  de vivir traerá muchas ventajas, pero hacer que suceda requiere esfuerzos”, dice Mathis Wackernagel, cofundador y CEO de la Red Global de la Huella Ecológica. “La buena noticia es que esto es posible con la tecnología actual y financieramente conveniente con beneficios que superan los costos. Esto estimulará sectores emergentes como el de la energía renovable, a la vez que reducirá los riesgos y costos asociados con el impacto del cambio climático sobre infraestructura deficiente. El único recurso que seguimos necesitando es más voluntad política”.</w:t>
      </w:r>
    </w:p>
    <w:p w:rsidR="003821FA" w:rsidRDefault="003821FA" w:rsidP="003821FA">
      <w:pPr>
        <w:pStyle w:val="NormalWeb"/>
        <w:shd w:val="clear" w:color="auto" w:fill="FFFFFF"/>
        <w:spacing w:before="270" w:after="0"/>
        <w:jc w:val="both"/>
        <w:textAlignment w:val="baseline"/>
      </w:pPr>
      <w:r>
        <w:t>Afortunadamente, algunos países están asumiendo el desafío. Por ejemplo, Costa Rica generó el 97% de su electricidad a partir de fuentes renovables durante los primeros tres meses de 2016. Portugal, Alemania e Inglaterra también demostraron niveles revolucionarios de potencial de energía renovable este año, cuando el 100% de su demanda eléctrica fue cubierta por renovables durante varios minutos o, en el caso de Portugal, por varios días. En China, mientras tanto, el gobierno ha definido un plan para reducir el consumo de carne de sus ciudadanos en un 50%, el cual se calcula reducirá las emisiones de dióxido de carbono de la industria ganadera china por un millón de toneladas al 2030.</w:t>
      </w:r>
    </w:p>
    <w:p w:rsidR="003821FA" w:rsidRDefault="003821FA" w:rsidP="003821FA">
      <w:pPr>
        <w:pStyle w:val="NormalWeb"/>
        <w:shd w:val="clear" w:color="auto" w:fill="FFFFFF"/>
        <w:spacing w:before="270" w:after="0"/>
        <w:jc w:val="both"/>
        <w:textAlignment w:val="baseline"/>
      </w:pPr>
      <w:r>
        <w:t>Simultáneamente, cada uno de nosotros tiene el poder para actuar por el cambio en nuestras vidas diarias. Aprovechando el impulso dado por el histórico Acuerdo de París, la Red Global de la Huella Ecológica junto a los 25 socios del Día del Sobregiro de la Tierra lanzaron una campaña de participación pública con miras a poner de relieve la importancia de la seguridad de los recursos en un mundo sustentable, donde la gente y el planeta prosperen.</w:t>
      </w:r>
    </w:p>
    <w:p w:rsidR="003821FA" w:rsidRDefault="003821FA" w:rsidP="003821FA">
      <w:pPr>
        <w:pStyle w:val="NormalWeb"/>
        <w:shd w:val="clear" w:color="auto" w:fill="FFFFFF"/>
        <w:spacing w:before="270" w:after="0"/>
        <w:jc w:val="both"/>
        <w:textAlignment w:val="baseline"/>
      </w:pPr>
      <w:r>
        <w:t>#compromisoporelplaneta fue lanzada durante el Día de la Tierra, el pasado 22 de abril. Las personas están invitadas a hacer un #compromisoporelplaneta en www.overshootday.org y compartir selfies a través de las redes sociales. (Cámaras GoPro serán entregadas como premio a las tres fotos favoritas).</w:t>
      </w:r>
    </w:p>
    <w:p w:rsidR="003821FA" w:rsidRDefault="003821FA" w:rsidP="003821FA">
      <w:pPr>
        <w:pStyle w:val="NormalWeb"/>
        <w:shd w:val="clear" w:color="auto" w:fill="FFFFFF"/>
        <w:spacing w:before="270" w:after="0"/>
        <w:jc w:val="both"/>
        <w:textAlignment w:val="baseline"/>
      </w:pPr>
      <w:r>
        <w:t xml:space="preserve">Como la población global ha crecido y </w:t>
      </w:r>
      <w:r w:rsidR="003D7A1F">
        <w:t>el consumo se ha incrementado -</w:t>
      </w:r>
      <w:r>
        <w:t>particularmente respecto a las emisiones de carbono- el Día del Sobregiro de la Tierra se ha movido desde fines de septiembre el 2000 hasta el 8 de agosto este año. Un aspecto positivo es que la tasa en que el Día del Sobregiro de la Tierra se adelanta en el calendario se ha desacelerado a menos de un día al año en promedio en los últimos cinco años, comparado con el promedio de tres días al año desde que el sobregiro comenzó, a principios de los años 70’s.</w:t>
      </w:r>
    </w:p>
    <w:p w:rsidR="003821FA" w:rsidRDefault="003821FA" w:rsidP="003821FA">
      <w:pPr>
        <w:pStyle w:val="NormalWeb"/>
        <w:shd w:val="clear" w:color="auto" w:fill="FFFFFF"/>
        <w:spacing w:before="270" w:after="0"/>
        <w:jc w:val="both"/>
        <w:textAlignment w:val="baseline"/>
      </w:pPr>
      <w:r>
        <w:t>“El acuerdo climático de París es la declaración más fuerte hasta ahora respecto a la necesidad de reducir drásticamente la huella de carbono. En definitiva, colapso o equilibrio es una elección”, dice Wackernagel. “Enérgicamente proponemos a las naciones, ciudades e individuos tomar medidas y acciones audaces para que las metas de Par</w:t>
      </w:r>
      <w:r w:rsidR="001971A2">
        <w:t>ís sean una realidad alcanzable</w:t>
      </w:r>
      <w:r>
        <w:t>”</w:t>
      </w:r>
      <w:r w:rsidR="001971A2">
        <w:t>.</w:t>
      </w:r>
    </w:p>
    <w:p w:rsidR="003821FA" w:rsidRDefault="003821FA" w:rsidP="003821FA">
      <w:pPr>
        <w:pStyle w:val="NormalWeb"/>
        <w:shd w:val="clear" w:color="auto" w:fill="FFFFFF"/>
        <w:spacing w:before="270" w:after="0"/>
        <w:jc w:val="both"/>
        <w:textAlignment w:val="baseline"/>
      </w:pPr>
      <w:r>
        <w:lastRenderedPageBreak/>
        <w:t>Sobre la Red Global de la Huella Ecológica:</w:t>
      </w:r>
    </w:p>
    <w:p w:rsidR="003821FA" w:rsidRDefault="003821FA" w:rsidP="003821FA">
      <w:pPr>
        <w:pStyle w:val="NormalWeb"/>
        <w:shd w:val="clear" w:color="auto" w:fill="FFFFFF"/>
        <w:spacing w:before="270" w:after="0"/>
        <w:jc w:val="both"/>
        <w:textAlignment w:val="baseline"/>
      </w:pPr>
      <w:r>
        <w:t xml:space="preserve">Red Global de la Huella Ecológica es un centro de investigación que está cambiando la forma en que el mundo gestiona sus recursos naturales y responde al cambio climático.  Desde 2003 nos hemos comprometido con más de 50 naciones, 30 ciudades y 70 socios globales para entregar conocimientos científicos que han empujado decisiones políticas y de </w:t>
      </w:r>
      <w:r w:rsidR="005337CB">
        <w:t>inversión</w:t>
      </w:r>
      <w:r>
        <w:t xml:space="preserve"> de alto impacto.  Juntos estamos creando un futuro donde todos podamos desarrollarnos dentro de los límites del planeta.</w:t>
      </w:r>
    </w:p>
    <w:p w:rsidR="003821FA" w:rsidRDefault="003821FA" w:rsidP="003821FA">
      <w:pPr>
        <w:pStyle w:val="NormalWeb"/>
        <w:shd w:val="clear" w:color="auto" w:fill="FFFFFF"/>
        <w:spacing w:before="270" w:after="0"/>
        <w:jc w:val="both"/>
        <w:textAlignment w:val="baseline"/>
      </w:pPr>
      <w:r>
        <w:t>www.footprintnetwork.org</w:t>
      </w:r>
    </w:p>
    <w:p w:rsidR="003821FA" w:rsidRDefault="003821FA" w:rsidP="003821FA">
      <w:pPr>
        <w:pStyle w:val="NormalWeb"/>
        <w:shd w:val="clear" w:color="auto" w:fill="FFFFFF"/>
        <w:spacing w:before="270" w:after="0"/>
        <w:jc w:val="both"/>
        <w:textAlignment w:val="baseline"/>
      </w:pPr>
      <w:r>
        <w:t>Recursos adicionales:</w:t>
      </w:r>
    </w:p>
    <w:p w:rsidR="003821FA" w:rsidRDefault="003821FA" w:rsidP="003821FA">
      <w:pPr>
        <w:pStyle w:val="NormalWeb"/>
        <w:shd w:val="clear" w:color="auto" w:fill="FFFFFF"/>
        <w:spacing w:before="270" w:after="0"/>
        <w:jc w:val="both"/>
        <w:textAlignment w:val="baseline"/>
      </w:pPr>
      <w:r>
        <w:t>Más sobre el Día del Sobregiro de la Tierra: www.overshootday.org</w:t>
      </w:r>
    </w:p>
    <w:p w:rsidR="003821FA" w:rsidRDefault="003821FA" w:rsidP="003821FA">
      <w:pPr>
        <w:pStyle w:val="NormalWeb"/>
        <w:shd w:val="clear" w:color="auto" w:fill="FFFFFF"/>
        <w:spacing w:before="270" w:after="0"/>
        <w:jc w:val="both"/>
        <w:textAlignment w:val="baseline"/>
      </w:pPr>
      <w:r>
        <w:t>Sigue en redes sociales: #pledgefortheplanet, #overshoot</w:t>
      </w:r>
    </w:p>
    <w:p w:rsidR="003821FA" w:rsidRDefault="003821FA" w:rsidP="003821FA">
      <w:pPr>
        <w:pStyle w:val="NormalWeb"/>
        <w:shd w:val="clear" w:color="auto" w:fill="FFFFFF"/>
        <w:spacing w:before="270" w:after="0"/>
        <w:jc w:val="both"/>
        <w:textAlignment w:val="baseline"/>
      </w:pPr>
      <w:r>
        <w:t>Para calcular tu huella ecológica personal y aprender cómo reducirla, ve a: www.footprintcalculator.org</w:t>
      </w:r>
    </w:p>
    <w:p w:rsidR="003821FA" w:rsidRDefault="003821FA" w:rsidP="003821FA">
      <w:pPr>
        <w:pStyle w:val="NormalWeb"/>
        <w:shd w:val="clear" w:color="auto" w:fill="FFFFFF"/>
        <w:spacing w:before="270" w:after="0"/>
        <w:jc w:val="both"/>
        <w:textAlignment w:val="baseline"/>
      </w:pPr>
      <w:r>
        <w:t>Aprende sobre la huella ecológica de tu país en nuestro Public Data Package gratuito (Datos de huella ecológica de 182 países): www.footprintnetwork.org/public</w:t>
      </w:r>
    </w:p>
    <w:p w:rsidR="003821FA" w:rsidRDefault="003821FA" w:rsidP="003821FA">
      <w:pPr>
        <w:pStyle w:val="NormalWeb"/>
        <w:shd w:val="clear" w:color="auto" w:fill="FFFFFF"/>
        <w:spacing w:before="270" w:after="0"/>
        <w:jc w:val="both"/>
        <w:textAlignment w:val="baseline"/>
      </w:pPr>
      <w:r>
        <w:t>Explora mapas interactivos: www.footprintnetwork.org/maps</w:t>
      </w:r>
    </w:p>
    <w:p w:rsidR="003821FA" w:rsidRPr="0079598A" w:rsidRDefault="003821FA" w:rsidP="003821FA">
      <w:pPr>
        <w:pStyle w:val="NormalWeb"/>
        <w:shd w:val="clear" w:color="auto" w:fill="FFFFFF"/>
        <w:spacing w:before="270" w:after="0"/>
        <w:jc w:val="both"/>
        <w:textAlignment w:val="baseline"/>
      </w:pPr>
      <w:r>
        <w:t>Video sobre las cuentas de la huella nacional: https://youtu.be/_T5M3MiPfW4</w:t>
      </w:r>
    </w:p>
    <w:p w:rsidR="003821FA" w:rsidRPr="00AA5747" w:rsidRDefault="003821FA" w:rsidP="003821FA">
      <w:pPr>
        <w:pStyle w:val="Ttulo1"/>
        <w:shd w:val="clear" w:color="auto" w:fill="FFFFFF"/>
        <w:spacing w:before="0" w:after="150"/>
        <w:textAlignment w:val="baseline"/>
        <w:rPr>
          <w:rFonts w:ascii="Times New Roman" w:hAnsi="Times New Roman" w:cs="Times New Roman"/>
          <w:bCs w:val="0"/>
          <w:color w:val="auto"/>
          <w:spacing w:val="6"/>
          <w:sz w:val="24"/>
          <w:szCs w:val="24"/>
        </w:rPr>
      </w:pPr>
      <w:r w:rsidRPr="00AA5747">
        <w:rPr>
          <w:rFonts w:ascii="Times New Roman" w:hAnsi="Times New Roman" w:cs="Times New Roman"/>
          <w:bCs w:val="0"/>
          <w:color w:val="auto"/>
          <w:spacing w:val="6"/>
          <w:sz w:val="24"/>
          <w:szCs w:val="24"/>
        </w:rPr>
        <w:t>Huella Mundial</w:t>
      </w:r>
    </w:p>
    <w:p w:rsidR="003821FA" w:rsidRPr="005C3FB1" w:rsidRDefault="003821FA" w:rsidP="003821FA">
      <w:pPr>
        <w:pStyle w:val="Ttulo2"/>
        <w:shd w:val="clear" w:color="auto" w:fill="FFFFFF"/>
        <w:spacing w:before="0" w:after="300" w:line="240" w:lineRule="auto"/>
        <w:jc w:val="both"/>
        <w:textAlignment w:val="baseline"/>
        <w:rPr>
          <w:rFonts w:ascii="Times New Roman" w:hAnsi="Times New Roman" w:cs="Times New Roman"/>
          <w:b w:val="0"/>
          <w:bCs w:val="0"/>
          <w:color w:val="auto"/>
          <w:spacing w:val="12"/>
          <w:sz w:val="24"/>
          <w:szCs w:val="24"/>
        </w:rPr>
      </w:pPr>
      <w:r w:rsidRPr="005C3FB1">
        <w:rPr>
          <w:rFonts w:ascii="Times New Roman" w:hAnsi="Times New Roman" w:cs="Times New Roman"/>
          <w:b w:val="0"/>
          <w:bCs w:val="0"/>
          <w:color w:val="auto"/>
          <w:spacing w:val="12"/>
          <w:sz w:val="24"/>
          <w:szCs w:val="24"/>
        </w:rPr>
        <w:t>¿Cabemos en el planeta?</w:t>
      </w:r>
    </w:p>
    <w:p w:rsidR="003821FA" w:rsidRPr="007E1902" w:rsidRDefault="003821FA" w:rsidP="003821FA">
      <w:pPr>
        <w:pStyle w:val="NormalWeb"/>
        <w:shd w:val="clear" w:color="auto" w:fill="FFFFFF"/>
        <w:spacing w:before="0" w:beforeAutospacing="0" w:after="240" w:afterAutospacing="0"/>
        <w:jc w:val="both"/>
        <w:textAlignment w:val="baseline"/>
        <w:rPr>
          <w:b/>
          <w:color w:val="FF0000"/>
          <w:u w:val="single"/>
        </w:rPr>
      </w:pPr>
      <w:r w:rsidRPr="007E1902">
        <w:rPr>
          <w:b/>
          <w:color w:val="FF0000"/>
          <w:u w:val="single"/>
        </w:rPr>
        <w:t>Hoy la humanidad utiliza el equivalente de 1.4 planetas cada año. Esto significa que ahora le tarda a la tierra un año y cinco meses para regenerar lo que utilizamos en un año.</w:t>
      </w:r>
    </w:p>
    <w:p w:rsidR="003821FA" w:rsidRPr="005C3FB1" w:rsidRDefault="003821FA" w:rsidP="003821FA">
      <w:pPr>
        <w:pStyle w:val="NormalWeb"/>
        <w:shd w:val="clear" w:color="auto" w:fill="FFFFFF"/>
        <w:spacing w:before="0" w:beforeAutospacing="0" w:after="240" w:afterAutospacing="0"/>
        <w:jc w:val="both"/>
        <w:textAlignment w:val="baseline"/>
      </w:pPr>
      <w:r w:rsidRPr="005C3FB1">
        <w:t>Los panoramas moderados de la ONU sugieren que si las tendencias actuales de la población y de la consumición continúan, por el medio de la próxima década necesitemos el equivalente de dos tierras para suportarnos. Y por supuesto, tenemos solamente una.</w:t>
      </w:r>
    </w:p>
    <w:p w:rsidR="003821FA" w:rsidRDefault="003821FA" w:rsidP="003821FA">
      <w:pPr>
        <w:pStyle w:val="NormalWeb"/>
        <w:shd w:val="clear" w:color="auto" w:fill="FFFFFF"/>
        <w:spacing w:before="0" w:beforeAutospacing="0" w:after="0" w:afterAutospacing="0"/>
        <w:jc w:val="both"/>
        <w:textAlignment w:val="baseline"/>
      </w:pPr>
      <w:r w:rsidRPr="005C3FB1">
        <w:t>Convirtiendo los recursos a deshechos más rápidamente que los desechos se convierten en recursos nos pone en el</w:t>
      </w:r>
      <w:r w:rsidRPr="005C3FB1">
        <w:rPr>
          <w:rStyle w:val="apple-converted-space"/>
        </w:rPr>
        <w:t> </w:t>
      </w:r>
      <w:hyperlink r:id="rId161" w:anchor="overshoot" w:tooltip="overshoot" w:history="1">
        <w:r w:rsidRPr="0079598A">
          <w:rPr>
            <w:rStyle w:val="Hipervnculo"/>
            <w:b/>
            <w:color w:val="auto"/>
            <w:bdr w:val="none" w:sz="0" w:space="0" w:color="auto" w:frame="1"/>
          </w:rPr>
          <w:t>sobregiro</w:t>
        </w:r>
      </w:hyperlink>
      <w:r w:rsidRPr="0079598A">
        <w:rPr>
          <w:rStyle w:val="apple-converted-space"/>
          <w:b/>
          <w:u w:val="single"/>
        </w:rPr>
        <w:t> </w:t>
      </w:r>
      <w:r w:rsidRPr="0079598A">
        <w:rPr>
          <w:b/>
          <w:u w:val="single"/>
        </w:rPr>
        <w:t>ecológico global</w:t>
      </w:r>
      <w:r w:rsidRPr="005C3FB1">
        <w:t>, agotando los mismos recursos de los cuales dependen la vida humana y la biodiversidad.</w:t>
      </w:r>
    </w:p>
    <w:p w:rsidR="003821FA" w:rsidRDefault="003821FA" w:rsidP="003821FA">
      <w:pPr>
        <w:pStyle w:val="NormalWeb"/>
        <w:shd w:val="clear" w:color="auto" w:fill="FFFFFF"/>
        <w:spacing w:before="0" w:beforeAutospacing="0" w:after="0" w:afterAutospacing="0"/>
        <w:jc w:val="both"/>
        <w:textAlignment w:val="baseline"/>
      </w:pPr>
    </w:p>
    <w:p w:rsidR="003821FA" w:rsidRPr="005C3FB1" w:rsidRDefault="003821FA" w:rsidP="003821FA">
      <w:pPr>
        <w:pStyle w:val="NormalWeb"/>
        <w:shd w:val="clear" w:color="auto" w:fill="FFFFFF"/>
        <w:spacing w:before="0" w:beforeAutospacing="0" w:after="240" w:afterAutospacing="0"/>
        <w:jc w:val="both"/>
        <w:textAlignment w:val="baseline"/>
      </w:pPr>
      <w:r w:rsidRPr="005C3FB1">
        <w:t>El resultado es el colapso de las industrias pesqueras, disminución de la cubierta forestal, agotamiento de los sistemas de agua fresca, y la acumulación de contaminación y, que crea problemas como cambio del clima global. Éstos son apenas algunos de los efectos más notables del sobregiro.</w:t>
      </w:r>
    </w:p>
    <w:p w:rsidR="003821FA" w:rsidRPr="005C3FB1" w:rsidRDefault="000C79B0" w:rsidP="003821FA">
      <w:pPr>
        <w:pStyle w:val="NormalWeb"/>
        <w:shd w:val="clear" w:color="auto" w:fill="FFFFFF"/>
        <w:spacing w:before="0" w:beforeAutospacing="0" w:after="0" w:afterAutospacing="0"/>
        <w:jc w:val="both"/>
        <w:textAlignment w:val="baseline"/>
      </w:pPr>
      <w:r>
        <w:pict>
          <v:rect id="_x0000_i1025" style="width:0;height:1.5pt" o:hrstd="t" o:hrnoshade="t" o:hr="t" stroked="f"/>
        </w:pict>
      </w:r>
    </w:p>
    <w:p w:rsidR="003821FA" w:rsidRPr="00AF422E" w:rsidRDefault="003821FA" w:rsidP="003821FA">
      <w:pPr>
        <w:pStyle w:val="NormalWeb"/>
        <w:shd w:val="clear" w:color="auto" w:fill="FFFFFF"/>
        <w:spacing w:before="0" w:beforeAutospacing="0" w:after="240" w:afterAutospacing="0"/>
        <w:jc w:val="both"/>
        <w:textAlignment w:val="baseline"/>
        <w:rPr>
          <w:lang w:val="en-US"/>
        </w:rPr>
      </w:pPr>
      <w:r w:rsidRPr="005C3FB1">
        <w:rPr>
          <w:noProof/>
          <w:lang w:val="en-GB" w:eastAsia="en-GB"/>
        </w:rPr>
        <w:lastRenderedPageBreak/>
        <w:drawing>
          <wp:inline distT="0" distB="0" distL="0" distR="0">
            <wp:extent cx="4997450" cy="2908300"/>
            <wp:effectExtent l="0" t="0" r="0" b="6350"/>
            <wp:docPr id="313" name="Imagen 313" descr="world footprint scena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orld footprint scenarios"/>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7450" cy="2908300"/>
                    </a:xfrm>
                    <a:prstGeom prst="rect">
                      <a:avLst/>
                    </a:prstGeom>
                    <a:noFill/>
                    <a:ln>
                      <a:noFill/>
                    </a:ln>
                  </pic:spPr>
                </pic:pic>
              </a:graphicData>
            </a:graphic>
          </wp:inline>
        </w:drawing>
      </w:r>
      <w:r w:rsidRPr="00AF422E">
        <w:rPr>
          <w:lang w:val="en-US"/>
        </w:rPr>
        <w:t>&lt;="" p="" style="margin: 0px; padding: 0px; border: 0px; outline: 0px; font-size: 11px; vertical-align: baseline; background: transparent;"&gt;</w:t>
      </w:r>
    </w:p>
    <w:p w:rsidR="003821FA" w:rsidRDefault="003821FA" w:rsidP="003821FA">
      <w:pPr>
        <w:pStyle w:val="NormalWeb"/>
        <w:shd w:val="clear" w:color="auto" w:fill="FFFFFF"/>
        <w:spacing w:before="0" w:beforeAutospacing="0" w:after="0" w:afterAutospacing="0"/>
        <w:jc w:val="both"/>
        <w:textAlignment w:val="baseline"/>
      </w:pPr>
      <w:r w:rsidRPr="005C3FB1">
        <w:t>El sobregiro también contribuye a los conflictos y guerras sobre los recursos, las migraciones masivas, el hambre, la enferm</w:t>
      </w:r>
      <w:r>
        <w:t>edad y otras tragedias humanas -</w:t>
      </w:r>
      <w:r w:rsidRPr="005C3FB1">
        <w:t xml:space="preserve"> además tiende a tener un</w:t>
      </w:r>
      <w:hyperlink r:id="rId163" w:tooltip="disproportionate impact on the poor" w:history="1">
        <w:r w:rsidRPr="0079598A">
          <w:rPr>
            <w:rStyle w:val="Hipervnculo"/>
            <w:b/>
            <w:color w:val="auto"/>
            <w:bdr w:val="none" w:sz="0" w:space="0" w:color="auto" w:frame="1"/>
          </w:rPr>
          <w:t>impacto desproporcionado en los pobres</w:t>
        </w:r>
      </w:hyperlink>
      <w:r w:rsidRPr="005C3FB1">
        <w:t>, quienes no pueden comprar su salida del problema al conseguir recursos de otras regiones.</w:t>
      </w:r>
    </w:p>
    <w:p w:rsidR="003821FA" w:rsidRPr="005C3FB1" w:rsidRDefault="003821FA" w:rsidP="003821FA">
      <w:pPr>
        <w:pStyle w:val="NormalWeb"/>
        <w:shd w:val="clear" w:color="auto" w:fill="FFFFFF"/>
        <w:spacing w:before="0" w:beforeAutospacing="0" w:after="0" w:afterAutospacing="0"/>
        <w:jc w:val="both"/>
        <w:textAlignment w:val="baseline"/>
      </w:pPr>
    </w:p>
    <w:p w:rsidR="003821FA" w:rsidRPr="007C16EA" w:rsidRDefault="001971A2" w:rsidP="003821FA">
      <w:pPr>
        <w:pStyle w:val="Ttulo2"/>
        <w:shd w:val="clear" w:color="auto" w:fill="FFFFFF"/>
        <w:spacing w:before="0" w:after="300" w:line="240" w:lineRule="auto"/>
        <w:jc w:val="both"/>
        <w:textAlignment w:val="baseline"/>
        <w:rPr>
          <w:rFonts w:ascii="Times New Roman" w:hAnsi="Times New Roman" w:cs="Times New Roman"/>
          <w:b w:val="0"/>
          <w:bCs w:val="0"/>
          <w:color w:val="auto"/>
          <w:spacing w:val="12"/>
          <w:sz w:val="24"/>
          <w:szCs w:val="24"/>
        </w:rPr>
      </w:pPr>
      <w:r>
        <w:rPr>
          <w:rFonts w:ascii="Times New Roman" w:hAnsi="Times New Roman" w:cs="Times New Roman"/>
          <w:b w:val="0"/>
          <w:bCs w:val="0"/>
          <w:color w:val="auto"/>
          <w:spacing w:val="12"/>
          <w:sz w:val="24"/>
          <w:szCs w:val="24"/>
        </w:rPr>
        <w:t>Terminar con el s</w:t>
      </w:r>
      <w:r w:rsidR="003821FA" w:rsidRPr="007C16EA">
        <w:rPr>
          <w:rFonts w:ascii="Times New Roman" w:hAnsi="Times New Roman" w:cs="Times New Roman"/>
          <w:b w:val="0"/>
          <w:bCs w:val="0"/>
          <w:color w:val="auto"/>
          <w:spacing w:val="12"/>
          <w:sz w:val="24"/>
          <w:szCs w:val="24"/>
        </w:rPr>
        <w:t>obregiro</w:t>
      </w:r>
    </w:p>
    <w:p w:rsidR="003821FA" w:rsidRPr="005C3FB1" w:rsidRDefault="003821FA" w:rsidP="003821FA">
      <w:pPr>
        <w:pStyle w:val="NormalWeb"/>
        <w:shd w:val="clear" w:color="auto" w:fill="FFFFFF"/>
        <w:spacing w:before="0" w:beforeAutospacing="0" w:after="240" w:afterAutospacing="0"/>
        <w:jc w:val="both"/>
        <w:textAlignment w:val="baseline"/>
      </w:pPr>
      <w:r w:rsidRPr="005C3FB1">
        <w:t>La tierra nos proporciona a todos lo que necesitemos para vivir y para prosperar. Entonces ¿qué se requiere para que la humanidad viva dentro de los medios del planeta-único?</w:t>
      </w:r>
    </w:p>
    <w:p w:rsidR="003821FA" w:rsidRPr="005C3FB1" w:rsidRDefault="003821FA" w:rsidP="003821FA">
      <w:pPr>
        <w:pStyle w:val="NormalWeb"/>
        <w:shd w:val="clear" w:color="auto" w:fill="FFFFFF"/>
        <w:spacing w:before="0" w:beforeAutospacing="0" w:after="240" w:afterAutospacing="0"/>
        <w:jc w:val="both"/>
        <w:textAlignment w:val="baseline"/>
      </w:pPr>
      <w:r w:rsidRPr="005C3FB1">
        <w:t>Los individuos y las instituciones por todo el mundo deben comenzar a reconocer los límites ecológicos. Debemos comenzar a hacer que los límites ecológicos sean centrales en nuestra toma de decisiones y a utilizar la ingeniosidad humana para encontrar nuevas maneras de vivir dentro de los límites de la tierra.</w:t>
      </w:r>
    </w:p>
    <w:p w:rsidR="003821FA" w:rsidRDefault="003821FA" w:rsidP="003821FA">
      <w:pPr>
        <w:pStyle w:val="NormalWeb"/>
        <w:shd w:val="clear" w:color="auto" w:fill="FFFFFF"/>
        <w:spacing w:before="0" w:beforeAutospacing="0" w:after="0" w:afterAutospacing="0"/>
        <w:jc w:val="both"/>
        <w:textAlignment w:val="baseline"/>
      </w:pPr>
      <w:r w:rsidRPr="005C3FB1">
        <w:t>Esto significa una inversión en tecnología e infraestructura que permitirán que funcionemos en un mundo limitado en recursos. Significa tomar medidas individuales, y crear la demanda pública para que participen los</w:t>
      </w:r>
      <w:r w:rsidRPr="005C3FB1">
        <w:rPr>
          <w:rStyle w:val="apple-converted-space"/>
        </w:rPr>
        <w:t> </w:t>
      </w:r>
      <w:hyperlink r:id="rId164" w:tooltip="businesses" w:history="1">
        <w:r w:rsidRPr="0079598A">
          <w:rPr>
            <w:rStyle w:val="Hipervnculo"/>
            <w:color w:val="auto"/>
            <w:u w:val="none"/>
            <w:bdr w:val="none" w:sz="0" w:space="0" w:color="auto" w:frame="1"/>
          </w:rPr>
          <w:t>negocios</w:t>
        </w:r>
      </w:hyperlink>
      <w:r w:rsidRPr="0079598A">
        <w:rPr>
          <w:rStyle w:val="apple-converted-space"/>
        </w:rPr>
        <w:t> </w:t>
      </w:r>
      <w:r w:rsidRPr="005C3FB1">
        <w:t>y los políticos.</w:t>
      </w:r>
    </w:p>
    <w:p w:rsidR="003821FA" w:rsidRPr="005C3FB1" w:rsidRDefault="003821FA" w:rsidP="003821FA">
      <w:pPr>
        <w:pStyle w:val="NormalWeb"/>
        <w:shd w:val="clear" w:color="auto" w:fill="FFFFFF"/>
        <w:spacing w:before="0" w:beforeAutospacing="0" w:after="0" w:afterAutospacing="0"/>
        <w:jc w:val="both"/>
        <w:textAlignment w:val="baseline"/>
      </w:pPr>
    </w:p>
    <w:p w:rsidR="003821FA" w:rsidRPr="0079598A" w:rsidRDefault="003821FA" w:rsidP="003821FA">
      <w:pPr>
        <w:pStyle w:val="NormalWeb"/>
        <w:shd w:val="clear" w:color="auto" w:fill="FFFFFF"/>
        <w:spacing w:before="0" w:beforeAutospacing="0" w:after="0" w:afterAutospacing="0"/>
        <w:jc w:val="both"/>
        <w:textAlignment w:val="baseline"/>
        <w:rPr>
          <w:color w:val="FF0000"/>
          <w:u w:val="single"/>
        </w:rPr>
      </w:pPr>
      <w:r w:rsidRPr="0079598A">
        <w:rPr>
          <w:color w:val="FF0000"/>
          <w:u w:val="single"/>
        </w:rPr>
        <w:t>Utilizar herramientas como la</w:t>
      </w:r>
      <w:r w:rsidRPr="0079598A">
        <w:rPr>
          <w:rStyle w:val="apple-converted-space"/>
          <w:color w:val="FF0000"/>
          <w:u w:val="single"/>
        </w:rPr>
        <w:t> </w:t>
      </w:r>
      <w:hyperlink r:id="rId165" w:tooltip="Ecological Footprint" w:history="1">
        <w:r w:rsidRPr="0079598A">
          <w:rPr>
            <w:rStyle w:val="Hipervnculo"/>
            <w:color w:val="FF0000"/>
            <w:bdr w:val="none" w:sz="0" w:space="0" w:color="auto" w:frame="1"/>
          </w:rPr>
          <w:t>Huella Ecológica</w:t>
        </w:r>
      </w:hyperlink>
      <w:r w:rsidRPr="0079598A">
        <w:rPr>
          <w:rStyle w:val="apple-converted-space"/>
          <w:color w:val="FF0000"/>
          <w:u w:val="single"/>
        </w:rPr>
        <w:t> </w:t>
      </w:r>
      <w:r w:rsidRPr="0079598A">
        <w:rPr>
          <w:color w:val="FF0000"/>
          <w:u w:val="single"/>
        </w:rPr>
        <w:t>para manejar nuestros bienes ecológicos es esencial para la supervivencia y éxito de la humanidad. Conocer cuánta naturaleza tenemos, cuánta utilizamos, y quién lo utiliza es el primer paso, y permitirá vigilar nuestro progreso mientras trabajamos hacia nuestra meta de vivir en un planeta sustentable.</w:t>
      </w:r>
    </w:p>
    <w:p w:rsidR="003821FA" w:rsidRDefault="003821FA" w:rsidP="003821FA">
      <w:pPr>
        <w:spacing w:line="240" w:lineRule="auto"/>
      </w:pPr>
      <w:r w:rsidRPr="005C3FB1">
        <w:rPr>
          <w:noProof/>
          <w:lang w:val="en-GB" w:eastAsia="en-GB"/>
        </w:rPr>
        <w:lastRenderedPageBreak/>
        <w:drawing>
          <wp:inline distT="0" distB="0" distL="0" distR="0">
            <wp:extent cx="5530850" cy="1981200"/>
            <wp:effectExtent l="0" t="0" r="0"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cstate="print"/>
                    <a:stretch>
                      <a:fillRect/>
                    </a:stretch>
                  </pic:blipFill>
                  <pic:spPr>
                    <a:xfrm>
                      <a:off x="0" y="0"/>
                      <a:ext cx="5540077" cy="1984505"/>
                    </a:xfrm>
                    <a:prstGeom prst="rect">
                      <a:avLst/>
                    </a:prstGeom>
                  </pic:spPr>
                </pic:pic>
              </a:graphicData>
            </a:graphic>
          </wp:inline>
        </w:drawing>
      </w:r>
    </w:p>
    <w:p w:rsidR="003821FA" w:rsidRPr="0079598A" w:rsidRDefault="003821FA" w:rsidP="003821FA">
      <w:pPr>
        <w:spacing w:line="240" w:lineRule="auto"/>
      </w:pPr>
      <w:r w:rsidRPr="005C3FB1">
        <w:rPr>
          <w:rFonts w:ascii="Times New Roman" w:hAnsi="Times New Roman"/>
          <w:noProof/>
          <w:sz w:val="24"/>
          <w:szCs w:val="24"/>
          <w:lang w:val="en-GB" w:eastAsia="en-GB"/>
        </w:rPr>
        <w:drawing>
          <wp:inline distT="0" distB="0" distL="0" distR="0">
            <wp:extent cx="5391150" cy="28956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cstate="print"/>
                    <a:stretch>
                      <a:fillRect/>
                    </a:stretch>
                  </pic:blipFill>
                  <pic:spPr>
                    <a:xfrm>
                      <a:off x="0" y="0"/>
                      <a:ext cx="5400040" cy="2900375"/>
                    </a:xfrm>
                    <a:prstGeom prst="rect">
                      <a:avLst/>
                    </a:prstGeom>
                  </pic:spPr>
                </pic:pic>
              </a:graphicData>
            </a:graphic>
          </wp:inline>
        </w:drawing>
      </w:r>
    </w:p>
    <w:p w:rsidR="003821FA" w:rsidRDefault="003821FA" w:rsidP="003821FA">
      <w:pPr>
        <w:spacing w:line="240" w:lineRule="auto"/>
        <w:jc w:val="both"/>
        <w:rPr>
          <w:rFonts w:ascii="Times New Roman" w:hAnsi="Times New Roman"/>
          <w:sz w:val="24"/>
          <w:szCs w:val="24"/>
        </w:rPr>
      </w:pPr>
      <w:r>
        <w:rPr>
          <w:noProof/>
          <w:lang w:val="en-GB" w:eastAsia="en-GB"/>
        </w:rPr>
        <w:drawing>
          <wp:inline distT="0" distB="0" distL="0" distR="0">
            <wp:extent cx="5111750" cy="3721100"/>
            <wp:effectExtent l="0" t="0" r="0" b="0"/>
            <wp:docPr id="316" name="Imagen 316" descr="http://www.overshootday.org/wp/wp-content/uploads/2016/06/How-many-countries-v3-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overshootday.org/wp/wp-content/uploads/2016/06/How-many-countries-v3-900.jpg"/>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4316" cy="3722968"/>
                    </a:xfrm>
                    <a:prstGeom prst="rect">
                      <a:avLst/>
                    </a:prstGeom>
                    <a:noFill/>
                    <a:ln>
                      <a:noFill/>
                    </a:ln>
                  </pic:spPr>
                </pic:pic>
              </a:graphicData>
            </a:graphic>
          </wp:inline>
        </w:drawing>
      </w:r>
    </w:p>
    <w:p w:rsidR="003821FA" w:rsidRDefault="003821FA" w:rsidP="003821FA">
      <w:pPr>
        <w:spacing w:line="240" w:lineRule="auto"/>
        <w:jc w:val="both"/>
        <w:rPr>
          <w:rFonts w:ascii="Times New Roman" w:hAnsi="Times New Roman"/>
          <w:sz w:val="24"/>
          <w:szCs w:val="24"/>
        </w:rPr>
      </w:pPr>
      <w:r>
        <w:rPr>
          <w:noProof/>
          <w:lang w:val="en-GB" w:eastAsia="en-GB"/>
        </w:rPr>
        <w:lastRenderedPageBreak/>
        <w:drawing>
          <wp:inline distT="0" distB="0" distL="0" distR="0">
            <wp:extent cx="4826000" cy="4222750"/>
            <wp:effectExtent l="0" t="0" r="0" b="6350"/>
            <wp:docPr id="317" name="Imagen 317" descr="http://www.overshootday.org/wp/wp-content/uploads/2016/06/How-many-planets-v3-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overshootday.org/wp/wp-content/uploads/2016/06/How-many-planets-v3-900.jpg"/>
                    <pic:cNvPicPr>
                      <a:picLocks noChangeAspect="1" noChangeArrowheads="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28272" cy="4224738"/>
                    </a:xfrm>
                    <a:prstGeom prst="rect">
                      <a:avLst/>
                    </a:prstGeom>
                    <a:noFill/>
                    <a:ln>
                      <a:noFill/>
                    </a:ln>
                  </pic:spPr>
                </pic:pic>
              </a:graphicData>
            </a:graphic>
          </wp:inline>
        </w:drawing>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G</w:t>
      </w:r>
      <w:r>
        <w:rPr>
          <w:rFonts w:ascii="Times New Roman" w:hAnsi="Times New Roman"/>
          <w:sz w:val="24"/>
          <w:szCs w:val="24"/>
          <w:lang w:val="en-US"/>
        </w:rPr>
        <w:t>ood News Flash:</w:t>
      </w:r>
      <w:r w:rsidRPr="00AF422E">
        <w:rPr>
          <w:rFonts w:ascii="Times New Roman" w:hAnsi="Times New Roman"/>
          <w:sz w:val="24"/>
          <w:szCs w:val="24"/>
          <w:lang w:val="en-US"/>
        </w:rPr>
        <w:t xml:space="preserve"> The world is on the cusp of positive change. In the wake of the Paris Climate Agreement and the U.N. Sustainable Development Goals, now is the time to move into action! Join our campaign #pledgefortheplanet. Help create a future where planet and people thrive… and win a GoPro camera or Ticket to the Moon hammock in the process!</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Pledge 1: Host a vegetarian dinner party</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It takes 14 times as much biologically productive land to produce 1 ton, or 907 kilograms, of beef as it takes to produce 1 ton of grain. It takes 1.9 times as much biologically productive land to produce 1 ton of pork than it takes to produce 1 ton of grain.</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Furthermore, global livestock is responsible for 9% of all anthropogenic carbon emissions, according to the Food and Agriculture Organization of the UN. To put it bluntly, reducing meat consumption is a great way to reduce our Ecological Footprint.</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Look at your diet. How often can you choose a vegetarian alternative to that steak, burger or roast?</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Pledge 2: Lower your household energy consumption</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Household power consumption makes up 36% of the total electricity use in the United States, 33% in Europe and 20% in Asia. Because electricity is still mostly generated from non-renewable sources, it is responsible for 38% of the global carbon Footprint.</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lastRenderedPageBreak/>
        <w:t>What can you do to lower your electricity use? How about that thermostat? Depending on where you live, space heating or cooling can make up a significant portion of the average household energy consumption.</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I pledge to invite the season into my home for a day by turning my thermostat up or down several degrees to save energy, to dress appropriately for the season outside and share a selfie.</w:t>
      </w:r>
    </w:p>
    <w:p w:rsidR="003821FA" w:rsidRPr="006F6055"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 xml:space="preserve">Pledge 3: Is your country an ecological creditor or debtor? </w:t>
      </w:r>
      <w:r w:rsidRPr="006F6055">
        <w:rPr>
          <w:rFonts w:ascii="Times New Roman" w:hAnsi="Times New Roman"/>
          <w:sz w:val="24"/>
          <w:szCs w:val="24"/>
          <w:lang w:val="en-US"/>
        </w:rPr>
        <w:t>Become a natural resource expert</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How many Earths would we need if everyone in the world lived the average lifestyle in your country? Does your country have an ecological deficit or reserve? Which country has the largest carbon Footprint?</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Become a natural resource expert and find the answers to these questions and more! Download Global Footprint Network’s Public Data Package now to learn how many resources your country has and how much citizens use.</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I pledge to learn about my country’s Ecological Footprint and share the number of Earths we would need if everyone in the world lived the typical lifestyle of my country, or any other data that piques my interest.</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Pledge 4: Pick a day to telecommute or take alternative transportation</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Cars are responsible for 19.7% o</w:t>
      </w:r>
      <w:r w:rsidR="005337CB">
        <w:rPr>
          <w:rFonts w:ascii="Times New Roman" w:hAnsi="Times New Roman"/>
          <w:sz w:val="24"/>
          <w:szCs w:val="24"/>
          <w:lang w:val="en-US"/>
        </w:rPr>
        <w:t xml:space="preserve">f the global carbon Footprint. </w:t>
      </w:r>
      <w:r w:rsidRPr="00AF422E">
        <w:rPr>
          <w:rFonts w:ascii="Times New Roman" w:hAnsi="Times New Roman"/>
          <w:sz w:val="24"/>
          <w:szCs w:val="24"/>
          <w:lang w:val="en-US"/>
        </w:rPr>
        <w:t>Nuff said.</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How do you commute to work? Do your specific circumstances afford you alternatives to driving?</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Pledge 5: Illustrate your commitment to tread lightly on the Earth</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We (the global population) use 1.6 times the natural resources that our planet can renew. That’s right, we’re depleting our natural capital… thereby shrinking the ability of nature to regenerate what we need to feed ourselves, clothe our bodies and put a roof over our head.</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In reality, many of us consume way more resources than we need for food, clothing and shelter</w:t>
      </w:r>
      <w:r w:rsidR="007C16EA">
        <w:rPr>
          <w:rFonts w:ascii="Times New Roman" w:hAnsi="Times New Roman"/>
          <w:sz w:val="24"/>
          <w:szCs w:val="24"/>
          <w:lang w:val="en-US"/>
        </w:rPr>
        <w:t xml:space="preserve"> -</w:t>
      </w:r>
      <w:r w:rsidRPr="00AF422E">
        <w:rPr>
          <w:rFonts w:ascii="Times New Roman" w:hAnsi="Times New Roman"/>
          <w:sz w:val="24"/>
          <w:szCs w:val="24"/>
          <w:lang w:val="en-US"/>
        </w:rPr>
        <w:t>in large part because of the type of economy we live in. How can we live simpler, more fulfilling lives?</w:t>
      </w:r>
    </w:p>
    <w:p w:rsidR="003821FA" w:rsidRPr="00AF422E" w:rsidRDefault="003821FA" w:rsidP="003821FA">
      <w:pPr>
        <w:spacing w:line="240" w:lineRule="auto"/>
        <w:jc w:val="both"/>
        <w:rPr>
          <w:rFonts w:ascii="Times New Roman" w:hAnsi="Times New Roman"/>
          <w:sz w:val="24"/>
          <w:szCs w:val="24"/>
          <w:lang w:val="en-US"/>
        </w:rPr>
      </w:pPr>
      <w:r>
        <w:rPr>
          <w:rFonts w:ascii="Times New Roman" w:hAnsi="Times New Roman"/>
          <w:sz w:val="24"/>
          <w:szCs w:val="24"/>
          <w:lang w:val="en-US"/>
        </w:rPr>
        <w:t>P</w:t>
      </w:r>
      <w:r w:rsidRPr="00AF422E">
        <w:rPr>
          <w:rFonts w:ascii="Times New Roman" w:hAnsi="Times New Roman"/>
          <w:sz w:val="24"/>
          <w:szCs w:val="24"/>
          <w:lang w:val="en-US"/>
        </w:rPr>
        <w:t>ledge 6: Reduce your paper waste</w:t>
      </w:r>
    </w:p>
    <w:p w:rsidR="003821FA" w:rsidRPr="00AF422E" w:rsidRDefault="003821FA" w:rsidP="003821FA">
      <w:pPr>
        <w:spacing w:line="240" w:lineRule="auto"/>
        <w:jc w:val="both"/>
        <w:rPr>
          <w:rFonts w:ascii="Times New Roman" w:hAnsi="Times New Roman"/>
          <w:sz w:val="24"/>
          <w:szCs w:val="24"/>
          <w:lang w:val="en-US"/>
        </w:rPr>
      </w:pPr>
      <w:r w:rsidRPr="00AF422E">
        <w:rPr>
          <w:rFonts w:ascii="Times New Roman" w:hAnsi="Times New Roman"/>
          <w:sz w:val="24"/>
          <w:szCs w:val="24"/>
          <w:lang w:val="en-US"/>
        </w:rPr>
        <w:t>The belief that computers and mobile devices would make our modern world paperless has famously been proven wrong. In fact, paper still makes up 12.9% of the global forest products Footprint, which is equivalent to 5% of our planet’s forest biocapacity.</w:t>
      </w:r>
    </w:p>
    <w:p w:rsidR="003821FA" w:rsidRDefault="003821FA" w:rsidP="003821FA">
      <w:pPr>
        <w:spacing w:line="240" w:lineRule="auto"/>
        <w:jc w:val="both"/>
        <w:rPr>
          <w:rFonts w:ascii="Times New Roman" w:hAnsi="Times New Roman"/>
          <w:sz w:val="24"/>
          <w:szCs w:val="24"/>
        </w:rPr>
      </w:pPr>
      <w:r w:rsidRPr="00AF422E">
        <w:rPr>
          <w:rFonts w:ascii="Times New Roman" w:hAnsi="Times New Roman"/>
          <w:sz w:val="24"/>
          <w:szCs w:val="24"/>
          <w:lang w:val="en-US"/>
        </w:rPr>
        <w:t xml:space="preserve">How much paper do you use? What about those bills that are available online anyway? Or those printouts at work that barely get a glance from anyone before being shoved in a corner or in the bin? What can you do in your world to reduce paper waste? Organize an awareness campaign in the office? Enroll friends and colleagues on moving to electronic payments and billing? </w:t>
      </w:r>
      <w:r w:rsidRPr="00D26A88">
        <w:rPr>
          <w:rFonts w:ascii="Times New Roman" w:hAnsi="Times New Roman"/>
          <w:sz w:val="24"/>
          <w:szCs w:val="24"/>
        </w:rPr>
        <w:t>Other ideas?</w:t>
      </w:r>
    </w:p>
    <w:p w:rsidR="002F07D4" w:rsidRDefault="002F07D4" w:rsidP="003821FA">
      <w:pPr>
        <w:spacing w:line="240" w:lineRule="auto"/>
        <w:jc w:val="both"/>
        <w:rPr>
          <w:rFonts w:ascii="Times New Roman" w:hAnsi="Times New Roman"/>
          <w:sz w:val="24"/>
          <w:szCs w:val="24"/>
        </w:rPr>
      </w:pPr>
    </w:p>
    <w:p w:rsidR="002F07D4" w:rsidRDefault="001971A2" w:rsidP="002F07D4">
      <w:pPr>
        <w:spacing w:before="150" w:after="15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2F07D4" w:rsidRPr="00EA4C3E">
        <w:rPr>
          <w:rFonts w:ascii="Times New Roman" w:hAnsi="Times New Roman" w:cs="Times New Roman"/>
          <w:b/>
          <w:sz w:val="24"/>
          <w:szCs w:val="24"/>
        </w:rPr>
        <w:t>Fracaso</w:t>
      </w:r>
      <w:r>
        <w:rPr>
          <w:rFonts w:ascii="Times New Roman" w:hAnsi="Times New Roman" w:cs="Times New Roman"/>
          <w:b/>
          <w:sz w:val="24"/>
          <w:szCs w:val="24"/>
        </w:rPr>
        <w:t xml:space="preserve"> legal y moral</w:t>
      </w:r>
      <w:r w:rsidR="002F07D4" w:rsidRPr="00EA4C3E">
        <w:rPr>
          <w:rFonts w:ascii="Times New Roman" w:hAnsi="Times New Roman" w:cs="Times New Roman"/>
          <w:b/>
          <w:sz w:val="24"/>
          <w:szCs w:val="24"/>
        </w:rPr>
        <w:t>: socialización de las pérdidas y privatización de las ganancias</w:t>
      </w:r>
    </w:p>
    <w:p w:rsidR="002F07D4" w:rsidRDefault="002F07D4" w:rsidP="002F07D4">
      <w:pPr>
        <w:spacing w:before="150" w:after="150" w:line="240" w:lineRule="auto"/>
        <w:jc w:val="both"/>
        <w:rPr>
          <w:rFonts w:ascii="Times New Roman" w:hAnsi="Times New Roman" w:cs="Times New Roman"/>
          <w:sz w:val="24"/>
          <w:szCs w:val="24"/>
        </w:rPr>
      </w:pPr>
      <w:r w:rsidRPr="00193BD2">
        <w:rPr>
          <w:rFonts w:ascii="Times New Roman" w:hAnsi="Times New Roman" w:cs="Times New Roman"/>
          <w:b/>
          <w:sz w:val="24"/>
          <w:szCs w:val="24"/>
        </w:rPr>
        <w:t>Examen de (in)conciencia</w:t>
      </w:r>
      <w:r>
        <w:rPr>
          <w:rFonts w:ascii="Times New Roman" w:hAnsi="Times New Roman" w:cs="Times New Roman"/>
          <w:sz w:val="24"/>
          <w:szCs w:val="24"/>
        </w:rPr>
        <w:t xml:space="preserve">: para cubrir este Apartado, sabrán disculpar que me remonte a alguno de mis anteriores Papers y/o Ensayos, sobre viejas y queridas </w:t>
      </w:r>
      <w:r w:rsidRPr="00F35FE6">
        <w:rPr>
          <w:rFonts w:ascii="Times New Roman" w:hAnsi="Times New Roman" w:cs="Times New Roman"/>
          <w:sz w:val="24"/>
          <w:szCs w:val="24"/>
        </w:rPr>
        <w:t>causas perdidas</w:t>
      </w:r>
      <w:r>
        <w:rPr>
          <w:rFonts w:ascii="Times New Roman" w:hAnsi="Times New Roman" w:cs="Times New Roman"/>
          <w:sz w:val="24"/>
          <w:szCs w:val="24"/>
        </w:rPr>
        <w:t xml:space="preserve"> o la amargura de la victoria.</w:t>
      </w:r>
    </w:p>
    <w:p w:rsidR="002F07D4" w:rsidRDefault="002F07D4" w:rsidP="002F07D4">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Como decía Cesar Vidal: “sin que sirva de precedente, los hechos son los siguientes”…</w:t>
      </w:r>
    </w:p>
    <w:p w:rsidR="002F07D4" w:rsidRPr="00D50C14" w:rsidRDefault="002F07D4" w:rsidP="002F07D4">
      <w:pPr>
        <w:spacing w:before="150" w:after="150" w:line="240" w:lineRule="auto"/>
        <w:jc w:val="both"/>
        <w:rPr>
          <w:rFonts w:ascii="Times New Roman" w:hAnsi="Times New Roman" w:cs="Times New Roman"/>
          <w:b/>
          <w:color w:val="FF0000"/>
          <w:sz w:val="24"/>
          <w:szCs w:val="24"/>
        </w:rPr>
      </w:pPr>
      <w:r w:rsidRPr="00D50C14">
        <w:rPr>
          <w:rFonts w:ascii="Times New Roman" w:hAnsi="Times New Roman" w:cs="Times New Roman"/>
          <w:b/>
          <w:color w:val="FF0000"/>
          <w:sz w:val="24"/>
          <w:szCs w:val="24"/>
        </w:rPr>
        <w:t>(Año 2008)</w:t>
      </w:r>
    </w:p>
    <w:p w:rsidR="002F07D4" w:rsidRDefault="002F07D4" w:rsidP="002F07D4">
      <w:pPr>
        <w:spacing w:before="150" w:after="150" w:line="240" w:lineRule="auto"/>
        <w:jc w:val="both"/>
        <w:rPr>
          <w:rFonts w:ascii="Times New Roman" w:hAnsi="Times New Roman" w:cs="Times New Roman"/>
          <w:sz w:val="24"/>
          <w:szCs w:val="24"/>
        </w:rPr>
      </w:pPr>
      <w:r w:rsidRPr="00550C95">
        <w:rPr>
          <w:rFonts w:ascii="Times New Roman" w:hAnsi="Times New Roman" w:cs="Times New Roman"/>
          <w:sz w:val="24"/>
          <w:szCs w:val="24"/>
        </w:rPr>
        <w:t>Del Paper -</w:t>
      </w:r>
      <w:r w:rsidRPr="00550C95">
        <w:rPr>
          <w:rFonts w:ascii="Times New Roman" w:hAnsi="Times New Roman" w:cs="Times New Roman"/>
          <w:b/>
          <w:sz w:val="24"/>
          <w:szCs w:val="24"/>
        </w:rPr>
        <w:t xml:space="preserve"> ¿De la burbuja financiera al fin del “súper boom”? Un año después de la globalización de la crisis: de la amnesia cómplice al revisionismo provisional (antes del fin de la esquizofrenia)</w:t>
      </w:r>
      <w:r w:rsidRPr="00550C95">
        <w:rPr>
          <w:rFonts w:ascii="Times New Roman" w:hAnsi="Times New Roman" w:cs="Times New Roman"/>
          <w:sz w:val="24"/>
          <w:szCs w:val="24"/>
        </w:rPr>
        <w:t>, publicado el 15/7/08</w:t>
      </w:r>
    </w:p>
    <w:p w:rsidR="002F07D4" w:rsidRPr="00C32AF3" w:rsidRDefault="002F07D4" w:rsidP="002F07D4">
      <w:pPr>
        <w:spacing w:line="240" w:lineRule="auto"/>
        <w:jc w:val="both"/>
        <w:rPr>
          <w:rFonts w:ascii="Times New Roman" w:hAnsi="Times New Roman" w:cs="Times New Roman"/>
          <w:b/>
          <w:sz w:val="24"/>
          <w:szCs w:val="24"/>
        </w:rPr>
      </w:pPr>
      <w:r w:rsidRPr="00C32AF3">
        <w:rPr>
          <w:rFonts w:ascii="Times New Roman" w:hAnsi="Times New Roman" w:cs="Times New Roman"/>
          <w:b/>
          <w:sz w:val="24"/>
          <w:szCs w:val="24"/>
        </w:rPr>
        <w:t>De “Burbujita Alan” a “Helicóptero Ben” -  Conozco esta canción… (los lacayos de los mercados)</w:t>
      </w:r>
    </w:p>
    <w:p w:rsidR="002F07D4" w:rsidRPr="00C32AF3" w:rsidRDefault="002F07D4" w:rsidP="002F07D4">
      <w:pPr>
        <w:spacing w:line="240" w:lineRule="auto"/>
        <w:jc w:val="both"/>
        <w:rPr>
          <w:rFonts w:ascii="Times New Roman" w:hAnsi="Times New Roman" w:cs="Times New Roman"/>
          <w:b/>
          <w:sz w:val="24"/>
          <w:szCs w:val="24"/>
        </w:rPr>
      </w:pPr>
      <w:r w:rsidRPr="00C32AF3">
        <w:rPr>
          <w:rFonts w:ascii="Times New Roman" w:hAnsi="Times New Roman" w:cs="Times New Roman"/>
          <w:sz w:val="24"/>
          <w:szCs w:val="24"/>
        </w:rPr>
        <w:t>Decía, hace tiempo y allá lejos, en mi Paper “</w:t>
      </w:r>
      <w:r w:rsidRPr="00C32AF3">
        <w:rPr>
          <w:rFonts w:ascii="Times New Roman" w:hAnsi="Times New Roman" w:cs="Times New Roman"/>
          <w:b/>
          <w:sz w:val="24"/>
          <w:szCs w:val="24"/>
        </w:rPr>
        <w:t>Al ‘Maestro’ con cariño</w:t>
      </w:r>
      <w:r w:rsidRPr="00C32AF3">
        <w:rPr>
          <w:rFonts w:ascii="Times New Roman" w:hAnsi="Times New Roman" w:cs="Times New Roman"/>
          <w:sz w:val="24"/>
          <w:szCs w:val="24"/>
        </w:rPr>
        <w:t>”(50 variables y ningún rigor)</w:t>
      </w:r>
      <w:r w:rsidRPr="00C32AF3">
        <w:rPr>
          <w:rFonts w:ascii="Times New Roman" w:hAnsi="Times New Roman" w:cs="Times New Roman"/>
          <w:b/>
          <w:sz w:val="24"/>
          <w:szCs w:val="24"/>
        </w:rPr>
        <w:t xml:space="preserve"> - </w:t>
      </w:r>
      <w:r w:rsidRPr="00C32AF3">
        <w:rPr>
          <w:rFonts w:ascii="Times New Roman" w:hAnsi="Times New Roman" w:cs="Times New Roman"/>
          <w:sz w:val="24"/>
          <w:szCs w:val="24"/>
        </w:rPr>
        <w:t>Hagiografía -no autorizada- de Alan Greenspan (enero 2005):</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 De lo actuado en la crisis de 1987</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 xml:space="preserve">Greenspan sabía </w:t>
      </w:r>
      <w:r w:rsidR="005337CB" w:rsidRPr="00C32AF3">
        <w:rPr>
          <w:rFonts w:ascii="Times New Roman" w:hAnsi="Times New Roman" w:cs="Times New Roman"/>
          <w:sz w:val="24"/>
          <w:szCs w:val="24"/>
        </w:rPr>
        <w:t>cómo</w:t>
      </w:r>
      <w:r w:rsidRPr="00C32AF3">
        <w:rPr>
          <w:rFonts w:ascii="Times New Roman" w:hAnsi="Times New Roman" w:cs="Times New Roman"/>
          <w:sz w:val="24"/>
          <w:szCs w:val="24"/>
        </w:rPr>
        <w:t xml:space="preserve"> funcionaba la fontanería del sistema financiero: una complicada serie de redes que incluían a bancos medianos como el Citibank, bancos de inversión como Goldman Sachs y agentes de bolsa como Merrill Lynch. Los pagos y créditos fluían de forma constante entre todos ellos. Solamente la Fed de Nueva York transfería más de un billón de dólares por día. Si uno de aquellos componentes no conseguía realizar sus pagos o extender sus créditos (o incluso si aplazaban sus pagos en momentos de crisis) podrían provocar una reacción en cadena y paralizar todo el sistema…</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La cuestión más acuciante era quien financiaría o daría crédito a los bancos, los agentes de bolsa y demás implicados en el sistema financiero que necesitasen dinero. A efectos prácticos, la Fed ya estaba concediendo créditos de centenares de millones de dólares, a los tipos de interés en vigor, para los préstamos habituales de un día para otro.</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Pero, cuáles eran los límites? Llegarían a agotar el presupuesto de créditos? Sería desbordado el sistema crediticio de la Fed? Todas estas cuestiones eran tanto técnicas como políticas…</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Greenspan estaba preparado para llegar hasta el final. La Fed podía prestar dinero, pero sólo si aquellas instituciones se avenían a hacer lo que la Fed quería. No era legal, pero lo haría de buen grado si no quedaba otro remedio. Tanto era lo que había en juego.</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En aquel momento, su trabajo consistía en hacer todo lo que fuera necesario para mantener en buen funcionamiento el sistema, incluso cosas que antes hubieran resultado inconcebibles…</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Se estaba discutiendo un plan para cerrar la bolsa de Nueva York al cabo de una hora.</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Eso lo haría estallar todo, dijo Greenspan…</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 xml:space="preserve">Cerrar la bolsa de Nueva York era una opción que Greenspan no tenía en cuenta. Porque, una vez cerrada, </w:t>
      </w:r>
      <w:r w:rsidR="007C16EA">
        <w:rPr>
          <w:rFonts w:ascii="Times New Roman" w:hAnsi="Times New Roman" w:cs="Times New Roman"/>
          <w:sz w:val="24"/>
          <w:szCs w:val="24"/>
        </w:rPr>
        <w:t>¿</w:t>
      </w:r>
      <w:r w:rsidR="005337CB" w:rsidRPr="00C32AF3">
        <w:rPr>
          <w:rFonts w:ascii="Times New Roman" w:hAnsi="Times New Roman" w:cs="Times New Roman"/>
          <w:sz w:val="24"/>
          <w:szCs w:val="24"/>
        </w:rPr>
        <w:t>cómo</w:t>
      </w:r>
      <w:r w:rsidRPr="00C32AF3">
        <w:rPr>
          <w:rFonts w:ascii="Times New Roman" w:hAnsi="Times New Roman" w:cs="Times New Roman"/>
          <w:sz w:val="24"/>
          <w:szCs w:val="24"/>
        </w:rPr>
        <w:t xml:space="preserve"> la iban a abrir luego? </w:t>
      </w:r>
      <w:r w:rsidR="007C16EA">
        <w:rPr>
          <w:rFonts w:ascii="Times New Roman" w:hAnsi="Times New Roman" w:cs="Times New Roman"/>
          <w:sz w:val="24"/>
          <w:szCs w:val="24"/>
        </w:rPr>
        <w:t>¿</w:t>
      </w:r>
      <w:r w:rsidRPr="00C32AF3">
        <w:rPr>
          <w:rFonts w:ascii="Times New Roman" w:hAnsi="Times New Roman" w:cs="Times New Roman"/>
          <w:sz w:val="24"/>
          <w:szCs w:val="24"/>
        </w:rPr>
        <w:t xml:space="preserve">A qué precio se cotizarían las </w:t>
      </w:r>
      <w:r w:rsidRPr="00C32AF3">
        <w:rPr>
          <w:rFonts w:ascii="Times New Roman" w:hAnsi="Times New Roman" w:cs="Times New Roman"/>
          <w:sz w:val="24"/>
          <w:szCs w:val="24"/>
        </w:rPr>
        <w:lastRenderedPageBreak/>
        <w:t>acciones? La bolsa de Hong Kong cerró una vez y costó una semana volver a abrir. Los mercados establecen los precios, si no hay mercado, no hay precios. Era algo casi impensable…</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 xml:space="preserve">Si cerraba Nueva York, </w:t>
      </w:r>
      <w:r w:rsidR="007C16EA">
        <w:rPr>
          <w:rFonts w:ascii="Times New Roman" w:hAnsi="Times New Roman" w:cs="Times New Roman"/>
          <w:sz w:val="24"/>
          <w:szCs w:val="24"/>
        </w:rPr>
        <w:t>¿</w:t>
      </w:r>
      <w:r w:rsidR="005337CB" w:rsidRPr="00C32AF3">
        <w:rPr>
          <w:rFonts w:ascii="Times New Roman" w:hAnsi="Times New Roman" w:cs="Times New Roman"/>
          <w:sz w:val="24"/>
          <w:szCs w:val="24"/>
        </w:rPr>
        <w:t>qué</w:t>
      </w:r>
      <w:r w:rsidRPr="00C32AF3">
        <w:rPr>
          <w:rFonts w:ascii="Times New Roman" w:hAnsi="Times New Roman" w:cs="Times New Roman"/>
          <w:sz w:val="24"/>
          <w:szCs w:val="24"/>
        </w:rPr>
        <w:t xml:space="preserve"> ocurriría con el mercado de futuros?…El mercado de futuros se hundiría. Aquello desataría el pánico general…Verdaderamente estaban al borde del precipicio…</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El presidente (Ronald Reagan) podría haber cerrado la bolsa o actuado de alguna otra forma, pero aquello tampoco habría conseguido gran cosa. Sólo una parte de la maquinaria gubernamental tenía poder para dar la vuelta a la situación, y esa parte era precisamente la Fed, ofreciendo crédito ilimitado. Al fin el dinero lo puede todo…o, al menos, la disposición incondicional y abierta de la Fed a proporcionarlo…</w:t>
      </w:r>
    </w:p>
    <w:p w:rsidR="002F07D4" w:rsidRPr="00C32AF3" w:rsidRDefault="007C16EA"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F07D4" w:rsidRPr="00C32AF3">
        <w:rPr>
          <w:rFonts w:ascii="Times New Roman" w:hAnsi="Times New Roman" w:cs="Times New Roman"/>
          <w:sz w:val="24"/>
          <w:szCs w:val="24"/>
        </w:rPr>
        <w:t>Podía recibir el capitalismo americano un indulto mediante la inversión estratégica (o accidental) de varios millones de dólares? Claro que era posible… Greenspan comprendió que en aquel momento nadie habría sabido que hacer… Aquel espacio fantástico y nebuloso entre los mercados libres del capitalismo y las regulaciones del gobierno era una verdadera tierra de nadie.</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El jueves 22 de octubre, el presidente de la Fed de Chicago llamó e informó de una nueva crisis. First Options, una subsidiaria del Continental Illinois, un banco gigantesco estaba en quiebra y no podía proporcionar más créditos al mercado de acciones…</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Debían seguir sus propias regulaciones y proteger al Continental y a sus clientes. No podían permitir que First Options sangrara al banco…</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La quiebra de First Options paralizaría completamente el mercado de opciones y quizá provocase también un nuevo derrumbe de la bolsa. Miró a Greenspan, que parecía asentir.</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No vamos a dejarlo -le dijo Johnson a Taylor-. No lo bloquearemos. Que fluya el dinero, ya lo limpiaremos más tarde.</w:t>
      </w:r>
    </w:p>
    <w:p w:rsidR="002F07D4" w:rsidRPr="00C32AF3" w:rsidRDefault="002F07D4" w:rsidP="002F07D4">
      <w:pPr>
        <w:spacing w:line="240" w:lineRule="auto"/>
        <w:jc w:val="both"/>
        <w:rPr>
          <w:rFonts w:ascii="Times New Roman" w:hAnsi="Times New Roman" w:cs="Times New Roman"/>
          <w:sz w:val="24"/>
          <w:szCs w:val="24"/>
        </w:rPr>
      </w:pPr>
      <w:r w:rsidRPr="00C32AF3">
        <w:rPr>
          <w:rFonts w:ascii="Times New Roman" w:hAnsi="Times New Roman" w:cs="Times New Roman"/>
          <w:sz w:val="24"/>
          <w:szCs w:val="24"/>
        </w:rPr>
        <w:t>Greenspan se limitó a asentir…</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 xml:space="preserve">- </w:t>
      </w:r>
      <w:r w:rsidRPr="00550C95">
        <w:rPr>
          <w:rFonts w:ascii="Times New Roman" w:hAnsi="Times New Roman" w:cs="Times New Roman"/>
          <w:sz w:val="24"/>
          <w:szCs w:val="24"/>
          <w:u w:val="single"/>
        </w:rPr>
        <w:t>Greenspan: “La actual crisis financiera será juzgada como la más grave desde el fin de la II Guerra Mundial”</w:t>
      </w:r>
      <w:r w:rsidRPr="00550C95">
        <w:rPr>
          <w:rFonts w:ascii="Times New Roman" w:hAnsi="Times New Roman" w:cs="Times New Roman"/>
          <w:sz w:val="24"/>
          <w:szCs w:val="24"/>
        </w:rPr>
        <w:t xml:space="preserve">  (Intereconomia - </w:t>
      </w:r>
      <w:r w:rsidRPr="00550C95">
        <w:rPr>
          <w:rFonts w:ascii="Times New Roman" w:hAnsi="Times New Roman" w:cs="Times New Roman"/>
          <w:b/>
          <w:sz w:val="24"/>
          <w:szCs w:val="24"/>
        </w:rPr>
        <w:t>18/3/08</w:t>
      </w:r>
      <w:r w:rsidRPr="00550C95">
        <w:rPr>
          <w:rFonts w:ascii="Times New Roman" w:hAnsi="Times New Roman" w:cs="Times New Roman"/>
          <w:sz w:val="24"/>
          <w:szCs w:val="24"/>
        </w:rPr>
        <w:t>)</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La crisis financiera actual sería la más grave desde la Segunda Guerra Mundial, afirmó el ex presidente de la Reserva Federal estadounidense (Fed), Alan Greenspan, en una columna publicada el lunes en el diario Financial Times. “</w:t>
      </w:r>
      <w:r w:rsidRPr="00550C95">
        <w:rPr>
          <w:rFonts w:ascii="Times New Roman" w:hAnsi="Times New Roman" w:cs="Times New Roman"/>
          <w:sz w:val="24"/>
          <w:szCs w:val="24"/>
          <w:u w:val="single"/>
        </w:rPr>
        <w:t xml:space="preserve">La actual crisis financiera en Estados Unidos será juzgada probablemente como la más grave desde el fin de la Segunda Guerra Mundial”, estimó Greenspan, que presidió la Fed de 1987 a 2006. “Llegará a su fin cuando el precio de los bienes inmobiliarios se estabilice, y con ellos el precio de los productos financieros adosados a los préstamos hipotecarios”, señaló. </w:t>
      </w:r>
      <w:r w:rsidRPr="00550C95">
        <w:rPr>
          <w:rFonts w:ascii="Times New Roman" w:hAnsi="Times New Roman" w:cs="Times New Roman"/>
          <w:sz w:val="24"/>
          <w:szCs w:val="24"/>
        </w:rPr>
        <w:t xml:space="preserve"> (El subrayado es mío)</w:t>
      </w:r>
    </w:p>
    <w:p w:rsidR="002F07D4" w:rsidRPr="00550C95" w:rsidRDefault="002F07D4" w:rsidP="002F07D4">
      <w:pPr>
        <w:spacing w:line="240" w:lineRule="auto"/>
        <w:jc w:val="both"/>
        <w:rPr>
          <w:rFonts w:ascii="Times New Roman" w:hAnsi="Times New Roman" w:cs="Times New Roman"/>
          <w:sz w:val="24"/>
          <w:szCs w:val="24"/>
          <w:u w:val="single"/>
        </w:rPr>
      </w:pPr>
      <w:r w:rsidRPr="00550C95">
        <w:rPr>
          <w:rFonts w:ascii="Times New Roman" w:hAnsi="Times New Roman" w:cs="Times New Roman"/>
          <w:sz w:val="24"/>
          <w:szCs w:val="24"/>
          <w:u w:val="single"/>
        </w:rPr>
        <w:t xml:space="preserve">“Esta crisis dejará numerosas víctimas. El sistema de evaluación de riesgos actualmente en vigor será particularmente afectado”, escribió Greenspan. “Pero espero que una de las víctimas no sea el sistema de vigilancia mutua (por parte de los actores del sector financiero) y de manera más general la auto-regulación financiera como mecanismo fundamental de equilibrio del sector financiero mundial”, agregó. </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u w:val="single"/>
        </w:rPr>
        <w:lastRenderedPageBreak/>
        <w:t>El ex presidente de la Fed -a quien se ha reprochado estar en el origen de la burbuja inmobiliaria a raíz de la política de tasas de interés muy bajas seguida por la Fed de 2001 a 2004- estima igualmente que no habrá jamás un sistema perfecto de evaluación de riesgos</w:t>
      </w:r>
      <w:r w:rsidRPr="00550C95">
        <w:rPr>
          <w:rFonts w:ascii="Times New Roman" w:hAnsi="Times New Roman" w:cs="Times New Roman"/>
          <w:sz w:val="24"/>
          <w:szCs w:val="24"/>
        </w:rPr>
        <w:t xml:space="preserve">. “La gestión del riesgo no alcanzará jamás la perfección. Llegará un momento en el cual fracasará y una verdad incómoda quedará al descubierto, provocando una respuesta inesperada y brutal”, escribió. </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“Es importante, incluso esencial, que cualquier tipo de reforma y ajustes en la estructura de los mercados y su regulación no cuestionen nuestras barreras de contención más fiables y eficaces contra las debilidades económicas, es decir, (que no cuestionen) la flexibilidad de los mercados y la libre competencia”, afirmó Greenspan.</w:t>
      </w:r>
    </w:p>
    <w:p w:rsidR="002F07D4" w:rsidRPr="00550C95" w:rsidRDefault="002F07D4" w:rsidP="002F07D4">
      <w:pPr>
        <w:spacing w:line="240" w:lineRule="auto"/>
        <w:jc w:val="both"/>
        <w:rPr>
          <w:rFonts w:ascii="Times New Roman" w:hAnsi="Times New Roman" w:cs="Times New Roman"/>
          <w:b/>
          <w:sz w:val="24"/>
          <w:szCs w:val="24"/>
        </w:rPr>
      </w:pPr>
      <w:r w:rsidRPr="00550C95">
        <w:rPr>
          <w:rFonts w:ascii="Times New Roman" w:hAnsi="Times New Roman" w:cs="Times New Roman"/>
          <w:b/>
          <w:sz w:val="24"/>
          <w:szCs w:val="24"/>
        </w:rPr>
        <w:t>El “tercer” tiempo (de la crisis de crédito a la crisis del descrédito)</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 xml:space="preserve">“Subprime. Tiene que pronunciarse “subpraim”. Monolines; diga usted “monolains”. Default; “difawl”. Repítalo varias veces. Ahora construya la siguiente frase: la caída de las hipotecas de riesgo por la crisis crediticia arrastra a las aseguradoras de deuda. </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Nuestro particular curso de inglés avanza viento en popa. Estamos incorporando nuevas palabras a velocidad de vértigo y además, de manera gratuita. No hay que comprar un periódico, ni recortar un cupón.... Sólo prestar atención a la actualidad. Además, por el mismo precio nos enseña inversiones alternativas mediante estructuras de crédito”... decía Javier Ablitas en su artículo “El año que descubrimos a las ‘monolines’...” publicado en Interecomonia el 25/2/08.</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A finales de los años noventa, unos años antes de que se iniciase el mercado bajista, los ratios de las acciones tecnológicas alcanzaban alturas estratosféricas con PER de ciencia ficción. Por aquellos años se argumentaba un nuevo paradigma para la economía mundial que justificaba y aparentemente mantenía esa situación.</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Las burbujas tienen muchos factores en común. Entre ellos un aparente cambio de paradigma en las reglas naturales de la economía, lo que en teoría justifica razonablemente esa situación de desequilibrio creciente.</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Interesante es el fenómeno al que estamos asistiendo, en el que el pilar que se está tambaleando tiene su origen dentro de la estructura financiera más íntima.</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La ingeniería financiera, apoyada en las infinitas combinaciones construidas con sus derivados, ha permitido la proliferación de activos que se han considerado, tal vez demasiado fácilmente, como una panacea de seguridad y estable rentabilidad para el mundo financiero.</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Todos hemos tenido que aprender qué es un CDS, CDO, ABS, y el resto de combinaciones que antes creíamos pertenecían al mundo del automóvil. Los derivados de crédito han proliferado más allá de lo esperado, tal vez de la misma forma en que a finales de los años noventa muchas compañías de internet cotizaban a ratios virtualmente infinitos. En concreto, se estima que el riesgo de contrapartida de los CDS alcanza un valor de mercado de unos 45 billones (trillones americanos) de dólares. El problema aparece ahora porque muchas entidades, públicas y privadas, tienen en su cartera este tipo de activos calificados con AAA gracias a las compañías monoline. Empresas que, como MBIA y Ambac, cubrían el riesgo de las emisiones de terceros, asegurándoles un rating superior al que por sí mismos no habrían alcanzado y permitiendo así una distribución masiva entre las carteras de los institucionales.</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lastRenderedPageBreak/>
        <w:t>De repente, si las agencias de rating bajan la calificación crediticia de esas compañías monoline, automáticamente se rebajará el rating de los activos a los que aseguran y muchas entidades se verán forzadas a venderlos (no pueden tener en cartera activos por debajo de un cierto nivel de rating), provocando una reacción en cadena que desestabilizaría aún más la grave crisis de liquidez y confianza que reina en los mercados.</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Es sencillo continuar mentalmente con la caída de fichas de dominó de este proceso. Lo importante es darse cuenta de dónde está el peligro hoy, y contra qué lucha realmente la Fed con sus agresivas bajadas de tipos.</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La desconfianza hacia el sector financiero crece por momentos. Los problemas yo no se centran sólo en la exposición a las hipotecas subprime. Las aristas de la crisis se multiplican, generando un efecto bola de nieve que no parece tener fin. La tensión que vive el mercado de crédito es un claro reflejo con los diferenciales en máximos, los precios de las coberturas por las nubes y la imposibilidad de colocar deuda.</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La crisis, bancaria fundamentalmente, está llegando a un punto crítico que amenaza con llevarse por delante la economía real. La propuesta de Bernanke del 4/3/08 de que los bancos condonen parcialmente las hipotecas es señal evidente de lo desorientado que anda todo el mundo, hoy día, brutal confusión entre lo público y lo privado…</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Al final, la economía se ocupa de los asuntos mundanos y el factor humano sigue siendo determinante. Cuando los célebres economistas Milton Friedman y Anna Schwartz analizaron la Gran Depresión de los años treinta, ambos incidieron en que en las crisis es crucial la “presencia de uno o varios individuos excepcionales, dispuestos a asumir la responsabilidad y la dirección”. De momento, ese papel ha recaído sobre el presidente de la Fed, Benjamin Bernanke, y el de EEUU, George W. Bush. ¿Confían ustedes en estos “vig</w:t>
      </w:r>
      <w:r>
        <w:rPr>
          <w:rFonts w:ascii="Times New Roman" w:hAnsi="Times New Roman" w:cs="Times New Roman"/>
          <w:sz w:val="24"/>
          <w:szCs w:val="24"/>
        </w:rPr>
        <w:t>ilantes de la playa”? Pues eso…</w:t>
      </w:r>
    </w:p>
    <w:p w:rsidR="002F07D4" w:rsidRPr="00550C95" w:rsidRDefault="002F07D4" w:rsidP="002F07D4">
      <w:pPr>
        <w:numPr>
          <w:ilvl w:val="0"/>
          <w:numId w:val="7"/>
        </w:numPr>
        <w:spacing w:after="0" w:line="240" w:lineRule="auto"/>
        <w:jc w:val="both"/>
        <w:rPr>
          <w:rFonts w:ascii="Times New Roman" w:hAnsi="Times New Roman" w:cs="Times New Roman"/>
          <w:sz w:val="24"/>
          <w:szCs w:val="24"/>
        </w:rPr>
      </w:pPr>
      <w:r w:rsidRPr="00550C95">
        <w:rPr>
          <w:rFonts w:ascii="Times New Roman" w:hAnsi="Times New Roman" w:cs="Times New Roman"/>
          <w:sz w:val="24"/>
          <w:szCs w:val="24"/>
        </w:rPr>
        <w:t>Ante la llamada de auxilio del mundo financiero, la Fed rebaja en agosto los tipos de interés de descuento, con el que se presta dinero a las entidades comerciales con problemas.</w:t>
      </w:r>
    </w:p>
    <w:p w:rsidR="002F07D4" w:rsidRPr="00550C95" w:rsidRDefault="002F07D4" w:rsidP="002F07D4">
      <w:pPr>
        <w:numPr>
          <w:ilvl w:val="0"/>
          <w:numId w:val="7"/>
        </w:numPr>
        <w:spacing w:after="0" w:line="240" w:lineRule="auto"/>
        <w:jc w:val="both"/>
        <w:rPr>
          <w:rFonts w:ascii="Times New Roman" w:hAnsi="Times New Roman" w:cs="Times New Roman"/>
          <w:sz w:val="24"/>
          <w:szCs w:val="24"/>
        </w:rPr>
      </w:pPr>
      <w:r w:rsidRPr="00550C95">
        <w:rPr>
          <w:rFonts w:ascii="Times New Roman" w:hAnsi="Times New Roman" w:cs="Times New Roman"/>
          <w:sz w:val="24"/>
          <w:szCs w:val="24"/>
        </w:rPr>
        <w:t>A partir del 18 de septiembre, la Fed aprueba cinco rebajas consecutivas de los tipos de interés oficiales, la tasa a la que el banco central presta dinero a las entidades, y lleva el precio del dinero desde el 5,25% en septiembre pasado al 3% actual.</w:t>
      </w:r>
    </w:p>
    <w:p w:rsidR="002F07D4" w:rsidRPr="00550C95" w:rsidRDefault="002F07D4" w:rsidP="002F07D4">
      <w:pPr>
        <w:numPr>
          <w:ilvl w:val="0"/>
          <w:numId w:val="7"/>
        </w:numPr>
        <w:spacing w:after="0" w:line="240" w:lineRule="auto"/>
        <w:jc w:val="both"/>
        <w:rPr>
          <w:rFonts w:ascii="Times New Roman" w:hAnsi="Times New Roman" w:cs="Times New Roman"/>
          <w:sz w:val="24"/>
          <w:szCs w:val="24"/>
        </w:rPr>
      </w:pPr>
      <w:r w:rsidRPr="00550C95">
        <w:rPr>
          <w:rFonts w:ascii="Times New Roman" w:hAnsi="Times New Roman" w:cs="Times New Roman"/>
          <w:sz w:val="24"/>
          <w:szCs w:val="24"/>
        </w:rPr>
        <w:t>En coordinación con otros bancos centrales del mundo, la Fed anuncia en diciembre medidas para inyectar liquidez.</w:t>
      </w:r>
    </w:p>
    <w:p w:rsidR="002F07D4" w:rsidRPr="00550C95" w:rsidRDefault="002F07D4" w:rsidP="002F07D4">
      <w:pPr>
        <w:numPr>
          <w:ilvl w:val="0"/>
          <w:numId w:val="7"/>
        </w:numPr>
        <w:spacing w:after="0" w:line="240" w:lineRule="auto"/>
        <w:jc w:val="both"/>
        <w:rPr>
          <w:rFonts w:ascii="Times New Roman" w:hAnsi="Times New Roman" w:cs="Times New Roman"/>
          <w:sz w:val="24"/>
          <w:szCs w:val="24"/>
        </w:rPr>
      </w:pPr>
      <w:r w:rsidRPr="00550C95">
        <w:rPr>
          <w:rFonts w:ascii="Times New Roman" w:hAnsi="Times New Roman" w:cs="Times New Roman"/>
          <w:sz w:val="24"/>
          <w:szCs w:val="24"/>
        </w:rPr>
        <w:t>El pasado martes, Bernanke anuncia un nuevo programa para dar liquidez. El viernes, la Fed de Nueva York autoriza un plan de rescate con JPMorgan para Bear Stearns.</w:t>
      </w:r>
    </w:p>
    <w:p w:rsidR="002F07D4" w:rsidRPr="00550C95" w:rsidRDefault="002F07D4" w:rsidP="002F07D4">
      <w:pPr>
        <w:numPr>
          <w:ilvl w:val="0"/>
          <w:numId w:val="7"/>
        </w:numPr>
        <w:spacing w:after="0" w:line="240" w:lineRule="auto"/>
        <w:jc w:val="both"/>
        <w:rPr>
          <w:rFonts w:ascii="Times New Roman" w:hAnsi="Times New Roman" w:cs="Times New Roman"/>
          <w:sz w:val="24"/>
          <w:szCs w:val="24"/>
        </w:rPr>
      </w:pPr>
      <w:r w:rsidRPr="00550C95">
        <w:rPr>
          <w:rFonts w:ascii="Times New Roman" w:hAnsi="Times New Roman" w:cs="Times New Roman"/>
          <w:sz w:val="24"/>
          <w:szCs w:val="24"/>
        </w:rPr>
        <w:t>La crisis credit</w:t>
      </w:r>
      <w:r w:rsidR="007C16EA">
        <w:rPr>
          <w:rFonts w:ascii="Times New Roman" w:hAnsi="Times New Roman" w:cs="Times New Roman"/>
          <w:sz w:val="24"/>
          <w:szCs w:val="24"/>
        </w:rPr>
        <w:t>icia obliga al presidente de EE</w:t>
      </w:r>
      <w:r w:rsidRPr="00550C95">
        <w:rPr>
          <w:rFonts w:ascii="Times New Roman" w:hAnsi="Times New Roman" w:cs="Times New Roman"/>
          <w:sz w:val="24"/>
          <w:szCs w:val="24"/>
        </w:rPr>
        <w:t>UU, George Bush, a salir a la palestra a finales de agosto. El mandatario propone incrementar las ayudas de la Agencia Federal de la Vivienda y una moratoria fiscal para determinadas plusvalías.</w:t>
      </w:r>
    </w:p>
    <w:p w:rsidR="002F07D4" w:rsidRPr="00550C95" w:rsidRDefault="002F07D4" w:rsidP="002F07D4">
      <w:pPr>
        <w:numPr>
          <w:ilvl w:val="0"/>
          <w:numId w:val="7"/>
        </w:numPr>
        <w:spacing w:after="0" w:line="240" w:lineRule="auto"/>
        <w:jc w:val="both"/>
        <w:rPr>
          <w:rFonts w:ascii="Times New Roman" w:hAnsi="Times New Roman" w:cs="Times New Roman"/>
          <w:sz w:val="24"/>
          <w:szCs w:val="24"/>
        </w:rPr>
      </w:pPr>
      <w:r w:rsidRPr="00550C95">
        <w:rPr>
          <w:rFonts w:ascii="Times New Roman" w:hAnsi="Times New Roman" w:cs="Times New Roman"/>
          <w:sz w:val="24"/>
          <w:szCs w:val="24"/>
        </w:rPr>
        <w:t>A comienzos de diciembre, el Gobierno anuncia un plan para congelar las cuotas de las hipotecas subprime, la mayoría con tipos de interés crecientes, durante dos años.</w:t>
      </w:r>
    </w:p>
    <w:p w:rsidR="002F07D4" w:rsidRPr="00550C95" w:rsidRDefault="002F07D4" w:rsidP="002F07D4">
      <w:pPr>
        <w:numPr>
          <w:ilvl w:val="0"/>
          <w:numId w:val="7"/>
        </w:numPr>
        <w:spacing w:after="0" w:line="240" w:lineRule="auto"/>
        <w:jc w:val="both"/>
        <w:rPr>
          <w:rFonts w:ascii="Times New Roman" w:hAnsi="Times New Roman" w:cs="Times New Roman"/>
          <w:sz w:val="24"/>
          <w:szCs w:val="24"/>
        </w:rPr>
      </w:pPr>
      <w:r w:rsidRPr="00550C95">
        <w:rPr>
          <w:rFonts w:ascii="Times New Roman" w:hAnsi="Times New Roman" w:cs="Times New Roman"/>
          <w:sz w:val="24"/>
          <w:szCs w:val="24"/>
        </w:rPr>
        <w:t>En febrero, el presidente Bush saca adelante en el Senado un plan de incentivos fiscales por un importe de 168.000 millones de dólares.</w:t>
      </w:r>
    </w:p>
    <w:p w:rsidR="002F07D4" w:rsidRPr="00550C95" w:rsidRDefault="002F07D4" w:rsidP="002F07D4">
      <w:pPr>
        <w:numPr>
          <w:ilvl w:val="0"/>
          <w:numId w:val="7"/>
        </w:numPr>
        <w:spacing w:after="0" w:line="240" w:lineRule="auto"/>
        <w:jc w:val="both"/>
        <w:rPr>
          <w:rFonts w:ascii="Times New Roman" w:hAnsi="Times New Roman" w:cs="Times New Roman"/>
          <w:sz w:val="24"/>
          <w:szCs w:val="24"/>
        </w:rPr>
      </w:pPr>
      <w:r w:rsidRPr="00550C95">
        <w:rPr>
          <w:rFonts w:ascii="Times New Roman" w:hAnsi="Times New Roman" w:cs="Times New Roman"/>
          <w:sz w:val="24"/>
          <w:szCs w:val="24"/>
        </w:rPr>
        <w:lastRenderedPageBreak/>
        <w:t>El Tesoro apuesta por medidas más estrictas para la concesión de créditos hipotecarios.</w:t>
      </w:r>
    </w:p>
    <w:p w:rsidR="002F07D4" w:rsidRDefault="002F07D4" w:rsidP="002F07D4">
      <w:pPr>
        <w:spacing w:line="240" w:lineRule="auto"/>
        <w:jc w:val="both"/>
        <w:rPr>
          <w:rFonts w:ascii="Times New Roman" w:hAnsi="Times New Roman" w:cs="Times New Roman"/>
          <w:sz w:val="24"/>
          <w:szCs w:val="24"/>
        </w:rPr>
      </w:pP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Es algo insólito escuchar al secretario del Tesoro -el ministro de Economía- de Estados Unidos, Henry Paulson, decirle a la banca que no es el momento de repartir dividendos a los accionistas, sino de recapitalizarse. Pero eso es lo que hizo en marzo el responsable económico americano. La Casa Blanca ha desarrollado el llamado Grupo de Trabajo Presidencial, que elabora una serie de recomendaciones para frenar la crisis que sacude al mercado crediticio. Ante las primeras consecuencias de los excesos de inversión cometidos en los últimos años, los agentes financieros reclaman algo más que devoluciones de impuestos, como las aprobadas en febrero. Para algunos, es una buena solución que el Estado asuma los créditos impagados más problemáticos (a esto en mi pueblo lo llaman “socializar las pérdidas” ¿Usted cómo lo llamaría?)</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b/>
          <w:sz w:val="24"/>
          <w:szCs w:val="24"/>
        </w:rPr>
        <w:t>Entre la codicia y la miopía (la parálisis del pensamiento)</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(Con la decisión de no alejarme de la franqueza y la honestidad en un momento en que esas cualidades son de lo más necesarias)</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Cantando las verdades del barquero, sin la más mínima compasión</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Si alguien le dice: Tú bebe, que yo conduzco. ¿Usted qué hace? Pues bebe…</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Si alguien le dice: Tú bebe, que yo pago. ¿Usted qué hace? Pues bebe…</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Y si alguien le dice: Tú bebe, que yo pago y conduzco. ¿Usted qué hace? Muy probablemente beba el “doble o más”. Hasta que el cuerpo agua</w:t>
      </w:r>
      <w:r>
        <w:rPr>
          <w:rFonts w:ascii="Times New Roman" w:hAnsi="Times New Roman" w:cs="Times New Roman"/>
          <w:sz w:val="24"/>
          <w:szCs w:val="24"/>
        </w:rPr>
        <w:t>nte, digamos…</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Pues eso es lo que han hecho las entidades financieras. Disparar con pólvora del Rey y sin ningún control cinegético. Entonces, lo que tenía que pasar pasó. No hay sorpresas. La sorpresa es sorprenderse. ¿Se podría haber esperado otro resultado de una economía de manos l</w:t>
      </w:r>
      <w:r>
        <w:rPr>
          <w:rFonts w:ascii="Times New Roman" w:hAnsi="Times New Roman" w:cs="Times New Roman"/>
          <w:sz w:val="24"/>
          <w:szCs w:val="24"/>
        </w:rPr>
        <w:t xml:space="preserve">ibres y sin espejo retrovisor? </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Ahora tratan de escapar. O sea: ¿Cómo servirse de la globalización sin ser globalizado? ¿Cómo preservar la riqueza que generan esos monstruos financieros sin cara y sin ideas que no sean las de</w:t>
      </w:r>
      <w:r>
        <w:rPr>
          <w:rFonts w:ascii="Times New Roman" w:hAnsi="Times New Roman" w:cs="Times New Roman"/>
          <w:sz w:val="24"/>
          <w:szCs w:val="24"/>
        </w:rPr>
        <w:t xml:space="preserve"> obtener más beneficios?</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 xml:space="preserve">Otra cosa es resolver quién paga la fiesta. Ellos, seguro que no. La “tranquilidad” de los mercados los transforma en “testigos protegidos”. Se cambiarán la identidad, la figura y el domicilio, aunque seguirán siendo los mismos. Los “paganos” serán los descolgados de la riqueza que generan esos monstruos financieros sin cara y sin ideas que no sean las de obtener más beneficios. Los miembros de la “manada” (como dicen despectivamente los “brokers” de Wall Street) no sólo pagarán (pagaremos) la pólvora, sino que, además, serán (seremos) las piezas a abatir. “Imbéciles por 2”. Cornudos y apaleados. </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El problema no es que nos vayamos a la mierda, sino que no sabemos si habrá mierda para todos. Algunos han confundido libertad de mercado con licencia para estafar. La libertad de</w:t>
      </w:r>
      <w:r>
        <w:rPr>
          <w:rFonts w:ascii="Times New Roman" w:hAnsi="Times New Roman" w:cs="Times New Roman"/>
          <w:sz w:val="24"/>
          <w:szCs w:val="24"/>
        </w:rPr>
        <w:t xml:space="preserve"> mercado no debe ser ilimitada.</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Una economía “a dos velas”: los bancos centrales y los fondos soberanos. ¿Y si alguno las sopla? ¿Y si una corriente de aire…? ¿Y si el bati</w:t>
      </w:r>
      <w:r>
        <w:rPr>
          <w:rFonts w:ascii="Times New Roman" w:hAnsi="Times New Roman" w:cs="Times New Roman"/>
          <w:sz w:val="24"/>
          <w:szCs w:val="24"/>
        </w:rPr>
        <w:t>r de las alas de una mariposa…?</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lastRenderedPageBreak/>
        <w:t xml:space="preserve">¿De la burbuja financiera al fin del “súper-boom? Debilitamiento y agonía de la economía en Estados Unidos. Debilitamiento y agonía del modelo del libre mercado. Debilitamiento y agonía del modelo neoliberal (privatización, desregularización, financierización). </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El problema de los bancos es de excesivo apalancamiento ya que cuentan con unos activos tangibles que, en muchos casos, superan en más de 30 veces sus bases de capital. De ser unas compañías de intermediación han pasado a convertirse, en los últimos años, en unos grandes almacenes que acumulan todo tipo de mercancías, mejores y peores (el hecho de que Citigroup haya decidió descargar 400.000 millones de dólares de su balance, da buena prueba de la verdad de la afirmación y</w:t>
      </w:r>
      <w:r>
        <w:rPr>
          <w:rFonts w:ascii="Times New Roman" w:hAnsi="Times New Roman" w:cs="Times New Roman"/>
          <w:sz w:val="24"/>
          <w:szCs w:val="24"/>
        </w:rPr>
        <w:t xml:space="preserve"> de la dimensión del problema).</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 xml:space="preserve">¿Cómo se ha podido llegar a esta situación? Por un esquema viciado de remuneración al que se destinan, en la banca de inversión, hasta el 50% de los ingresos. A más endeudamiento, más ingresos, mayores bonus. Como resultado de ello los bancos resultan ser unas grandes agencias de comunicación ya que, mientras el conjunto del mercado discute la legitimidad de los gestores de hedges o de capital riesgo para hacerse con un 20% de lo obtenido con su trabajo, el sistema retributivo bancario mantiene esa frontera de recompensación en todos los entornos bajo la excusa de retener el talento. </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¿Cómo han podido justificar los bancos niveles tan nimios de capitalización? Por la falsa sensación de seguridad que dan los modelos de riesgo basados en el Value at Risk o VaR que no tienen en cuenta los sucesos extremos (o colas en una distribución normal) que son los que, en definitiva, causan las crisis. El análisis VaR es como un airbag que funciona siempre… menos cuando sufres el accidente. La infraestimación del riesgo real conduce a una acumulación de activos “seguros” cuyo consumo de capital es mínimo, lo que finalmente provoca que el retorno sobre recursos propios o ROE de los bancos se dispare. Todo ello, construido, eso sí, sobre un punto de partida inválido.</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¿Qué estaban haciendo mientras los reguladores? Repasemos tanto a las agencias de rating como a la SEC o CNMV norteamericana. De las primeras, se puede censurar la ausencia de medios pese a su condición de garantes de la calidad de las emisiones del mercado (3-4 profesionales para… toda la banca de inversión estadounidense), su falta de perspectiva sobre el negocio bancario (que había pasado de empaquetador a tenedor de activos, como ya he señalado), la falta de continuidad en su análisis y la prioridad que en el mismo dan a la información pública frente a los propios modelos de valoración.</w:t>
      </w:r>
    </w:p>
    <w:p w:rsidR="002F07D4" w:rsidRPr="00550C95" w:rsidRDefault="002F07D4" w:rsidP="002F07D4">
      <w:pPr>
        <w:spacing w:line="240" w:lineRule="auto"/>
        <w:jc w:val="both"/>
        <w:rPr>
          <w:rFonts w:ascii="Times New Roman" w:hAnsi="Times New Roman" w:cs="Times New Roman"/>
          <w:sz w:val="24"/>
          <w:szCs w:val="24"/>
        </w:rPr>
      </w:pPr>
      <w:r w:rsidRPr="00550C95">
        <w:rPr>
          <w:rFonts w:ascii="Times New Roman" w:hAnsi="Times New Roman" w:cs="Times New Roman"/>
          <w:sz w:val="24"/>
          <w:szCs w:val="24"/>
        </w:rPr>
        <w:t>El segundo objeto del reclamo es la SEC. Aquí la crítica se centra en la normativa aprobada por el regulador bursátil norteamericano en 2004 que, por una parte, ampliaba el concepto de capital que pasaba a incluir instrumentos híbridos y deuda subordinada, (ojo, “por participar de las características del mismo”), legitimaba el VaR como mecanismo para que los brokers pudieran calcular su capital regulatorio, en segundo lugar y, por último, daba un tratamiento paritario a los activos líquidos e ilíquidos del balance a efectos de consumo de recursos propios. A cambio de lo que parecía ser un mayor control por parte del órgano supervisor, las entidades afectadas lograban reducir en más de un 40% sus necesidades de capital. Si las agencias ayudaron a engordar la vaca, fue el propio regulador el que ayudó a que la misma naciera ya con el cuerno retorcido.</w:t>
      </w:r>
    </w:p>
    <w:p w:rsidR="002F07D4" w:rsidRPr="00550C95" w:rsidRDefault="002F07D4" w:rsidP="002F07D4">
      <w:pPr>
        <w:spacing w:line="240" w:lineRule="auto"/>
        <w:jc w:val="both"/>
        <w:rPr>
          <w:rFonts w:ascii="Times New Roman" w:hAnsi="Times New Roman" w:cs="Times New Roman"/>
          <w:b/>
          <w:sz w:val="24"/>
          <w:szCs w:val="24"/>
        </w:rPr>
      </w:pPr>
      <w:r w:rsidRPr="00550C95">
        <w:rPr>
          <w:rFonts w:ascii="Times New Roman" w:hAnsi="Times New Roman" w:cs="Times New Roman"/>
          <w:b/>
          <w:sz w:val="24"/>
          <w:szCs w:val="24"/>
        </w:rPr>
        <w:lastRenderedPageBreak/>
        <w:t xml:space="preserve">Conclusión preliminar: Han creado un sistema basado en grandes instituciones financieras excesivamente apalancadas e infracapitalizadas; demasiado importantes como para que el regulador pueda permitir su caída sin acudir antes a su rescate; en las que todos, propietarios, acreedores y empleados son ampliamente remunerados si las cosas van bien mientras cuentan con el respaldo de los contribuyentes si, por el contrario, las cosas se tuercen. Capitalización de ganancias y socialización de pérdidas, esto es: lo contrario de lo que defendería Robin Hood.  </w:t>
      </w:r>
    </w:p>
    <w:p w:rsidR="002F07D4" w:rsidRPr="00550C95" w:rsidRDefault="002F07D4" w:rsidP="002F07D4">
      <w:pPr>
        <w:spacing w:line="240" w:lineRule="auto"/>
        <w:jc w:val="both"/>
        <w:rPr>
          <w:rFonts w:ascii="Times New Roman" w:hAnsi="Times New Roman" w:cs="Times New Roman"/>
          <w:b/>
          <w:sz w:val="24"/>
          <w:szCs w:val="24"/>
        </w:rPr>
      </w:pPr>
      <w:r w:rsidRPr="00550C95">
        <w:rPr>
          <w:rFonts w:ascii="Times New Roman" w:hAnsi="Times New Roman" w:cs="Times New Roman"/>
          <w:b/>
          <w:sz w:val="24"/>
          <w:szCs w:val="24"/>
        </w:rPr>
        <w:t>Esta crisis ha puesto de manifiesto las limitaciones de los mercados. Todo el mundo debería comprender que la idea de que los mercados funcionan perfectamente es absolutamente errónea. Las implicaciones de esto es que hay un amplio margen para la regulación. Las regulaciones de los bancos comerciales deben extenderse a los de inversión, hedge funds y otras formas de instituciones financieras. Necesitamos requisitos de capital, supervisión e información. Cualquier institución que requiera de ayuda de emergencia en una crisis debe estar sujeta a algún régimen de regulación.</w:t>
      </w:r>
    </w:p>
    <w:p w:rsidR="002F07D4" w:rsidRDefault="002F07D4" w:rsidP="002F07D4">
      <w:pPr>
        <w:spacing w:line="240" w:lineRule="auto"/>
        <w:jc w:val="both"/>
        <w:rPr>
          <w:rFonts w:ascii="Times New Roman" w:hAnsi="Times New Roman" w:cs="Times New Roman"/>
          <w:b/>
          <w:sz w:val="24"/>
          <w:szCs w:val="24"/>
        </w:rPr>
      </w:pPr>
      <w:r w:rsidRPr="00550C95">
        <w:rPr>
          <w:rFonts w:ascii="Times New Roman" w:hAnsi="Times New Roman" w:cs="Times New Roman"/>
          <w:b/>
          <w:sz w:val="24"/>
          <w:szCs w:val="24"/>
        </w:rPr>
        <w:t>Muchos de los problemas que ha traído consigo esta crisis podrían haberse evitado con la regulación adecuada. Aun así, soy bastante escéptico con que haya un cambio fundamental porque hay gente que ha ganado mucho dinero con este modelo.</w:t>
      </w:r>
    </w:p>
    <w:p w:rsidR="002F07D4" w:rsidRPr="00D50C14" w:rsidRDefault="002F07D4" w:rsidP="002F07D4">
      <w:pPr>
        <w:spacing w:line="240" w:lineRule="auto"/>
        <w:jc w:val="both"/>
        <w:rPr>
          <w:rFonts w:ascii="Times New Roman" w:hAnsi="Times New Roman" w:cs="Times New Roman"/>
          <w:b/>
          <w:color w:val="FF0000"/>
          <w:sz w:val="24"/>
          <w:szCs w:val="24"/>
        </w:rPr>
      </w:pPr>
      <w:r w:rsidRPr="00D50C14">
        <w:rPr>
          <w:rFonts w:ascii="Times New Roman" w:hAnsi="Times New Roman" w:cs="Times New Roman"/>
          <w:b/>
          <w:color w:val="FF0000"/>
          <w:sz w:val="24"/>
          <w:szCs w:val="24"/>
        </w:rPr>
        <w:t>(Año 2009)</w:t>
      </w:r>
    </w:p>
    <w:p w:rsidR="002F07D4" w:rsidRDefault="002F07D4" w:rsidP="002F07D4">
      <w:pPr>
        <w:jc w:val="both"/>
        <w:rPr>
          <w:rFonts w:ascii="Times New Roman" w:hAnsi="Times New Roman"/>
          <w:b/>
          <w:sz w:val="24"/>
          <w:szCs w:val="24"/>
        </w:rPr>
      </w:pPr>
      <w:r w:rsidRPr="00C32AF3">
        <w:rPr>
          <w:rFonts w:ascii="Times New Roman" w:hAnsi="Times New Roman" w:cs="Times New Roman"/>
          <w:sz w:val="24"/>
          <w:szCs w:val="24"/>
        </w:rPr>
        <w:t>Del Paper -</w:t>
      </w:r>
      <w:r>
        <w:rPr>
          <w:rFonts w:ascii="Times New Roman" w:hAnsi="Times New Roman"/>
          <w:b/>
          <w:sz w:val="24"/>
          <w:szCs w:val="24"/>
        </w:rPr>
        <w:t>La casta de los banqueros - ¿Los mejores talentos? (Historias de los “cienmanos”)</w:t>
      </w:r>
      <w:r>
        <w:rPr>
          <w:rFonts w:ascii="Times New Roman" w:hAnsi="Times New Roman"/>
          <w:sz w:val="24"/>
          <w:szCs w:val="24"/>
        </w:rPr>
        <w:t>, publicado el 31/3/09</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32BC4">
        <w:rPr>
          <w:rFonts w:ascii="Times New Roman" w:eastAsia="Times New Roman" w:hAnsi="Times New Roman"/>
          <w:sz w:val="24"/>
          <w:szCs w:val="24"/>
          <w:lang w:eastAsia="es-ES"/>
        </w:rPr>
        <w:t>¿Recuerdan la profética película de 1987 Wall Street? El protagonista, Gordon Gekko, interpretado por Michael Dougl</w:t>
      </w:r>
      <w:r>
        <w:rPr>
          <w:rFonts w:ascii="Times New Roman" w:eastAsia="Times New Roman" w:hAnsi="Times New Roman"/>
          <w:sz w:val="24"/>
          <w:szCs w:val="24"/>
          <w:lang w:eastAsia="es-ES"/>
        </w:rPr>
        <w:t xml:space="preserve">as, proclama su famoso aserto: </w:t>
      </w:r>
      <w:r w:rsidRPr="00726B45">
        <w:rPr>
          <w:rFonts w:ascii="Times New Roman" w:eastAsia="Times New Roman" w:hAnsi="Times New Roman"/>
          <w:sz w:val="24"/>
          <w:szCs w:val="24"/>
          <w:u w:val="single"/>
          <w:lang w:eastAsia="es-ES"/>
        </w:rPr>
        <w:t>“La codicia es buena, la codicia está bien, la codicia funciona, la codicia clarifica, la codicia salvará a Estados Unidos”</w:t>
      </w:r>
      <w:r>
        <w:rPr>
          <w:rFonts w:ascii="Times New Roman" w:eastAsia="Times New Roman" w:hAnsi="Times New Roman"/>
          <w:sz w:val="24"/>
          <w:szCs w:val="24"/>
          <w:u w:val="single"/>
          <w:lang w:eastAsia="es-ES"/>
        </w:rPr>
        <w:t>… Pues de aquí en adelante, veremos el lado oscuro del mercado.</w:t>
      </w:r>
    </w:p>
    <w:p w:rsidR="002F07D4" w:rsidRPr="003C69B0" w:rsidRDefault="002F07D4" w:rsidP="002F07D4">
      <w:pPr>
        <w:shd w:val="clear" w:color="auto" w:fill="FFFFFF"/>
        <w:spacing w:after="169" w:line="240" w:lineRule="auto"/>
        <w:rPr>
          <w:rFonts w:ascii="Arial" w:eastAsia="Times New Roman" w:hAnsi="Arial" w:cs="Arial"/>
          <w:sz w:val="19"/>
          <w:szCs w:val="19"/>
          <w:lang w:eastAsia="es-ES"/>
        </w:rPr>
      </w:pPr>
      <w:r>
        <w:rPr>
          <w:rFonts w:ascii="Times New Roman" w:eastAsia="Times New Roman" w:hAnsi="Times New Roman"/>
          <w:b/>
          <w:sz w:val="24"/>
          <w:szCs w:val="24"/>
          <w:lang w:eastAsia="es-ES"/>
        </w:rPr>
        <w:t>Cuando los bancos</w:t>
      </w:r>
      <w:r w:rsidRPr="00735318">
        <w:rPr>
          <w:rFonts w:ascii="Times New Roman" w:eastAsia="Times New Roman" w:hAnsi="Times New Roman"/>
          <w:b/>
          <w:sz w:val="24"/>
          <w:szCs w:val="24"/>
          <w:lang w:eastAsia="es-ES"/>
        </w:rPr>
        <w:t xml:space="preserve"> eran…</w:t>
      </w:r>
      <w:r>
        <w:rPr>
          <w:rFonts w:ascii="Times New Roman" w:eastAsia="Times New Roman" w:hAnsi="Times New Roman"/>
          <w:b/>
          <w:sz w:val="24"/>
          <w:szCs w:val="24"/>
          <w:lang w:eastAsia="es-ES"/>
        </w:rPr>
        <w:t xml:space="preserve"> “catedrales” monetarias</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t>Hace más de treinta años, cuando visitaba al vice-presidente del Citibank de Argentina (que por ser tío de mi esposa, tenía la deferencia de recibir personalmente a tan insignificante cliente), donde tuve cuenta corriente durante veintiocho años, sabedor de mi interés en asuntos de “organización de empresa”,  me comentaba (más de una vez) la “cultura” de la casa (en ese entonces: el City parecía una catedral): no se admitía que los ejecutivos fueran divorciados, no se admitía que los ejecutivos fueran al hipódromo… Una época en la que los banqueros eran “banqueros” y los empresarios eran “empresarios”… Una época en que el Citi era “bank” (un banco) y no “group” (puro grupo)… Mucho ha llovido desde entonces… Y no siempre al gusto de todos…</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t xml:space="preserve">En esta actividad cotidiana de perseguir fantasmas, que vengo haciendo deportivamente desde hace varios años, esta vez (marzo de 2009), le toca a los “evaporadores de millones”. De banqueros funestos, a cifras funestas. Frente al mayor desplome del sistema económico mundial desde finales de la Segunda Guerra Mundial, a vivir que son dos días. </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lastRenderedPageBreak/>
        <w:t>¿Los mejores talentos? Los señores de las finanzas. El club de los elegidos… Hoy, a Wall Street, esa distinción le trae más pena que gloria. La banca se niega a “salir del armario”. Wall Street sólo cree a Obama si éste le provee de “más droga”. La bolsa no está para tonterías:… A nosotros los discursos no nos valen… sólo el dinerito (y si es posible, sin control). La teta pública, vamos.</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t xml:space="preserve">De los “bad boys” (¿los mejores talentos?) a los “bad banks”… y la “casa sin barrer”: que todo cambie para que todo siga igual. Los “global players” desean continuar “playing” con el dinero de los contribuyentes. La “danza” de los billones. El “empapelamiento” de la economía. El “amasijo” monetario.  Caminos de hiperinflación. </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t xml:space="preserve">El “banco más grande” de Estados Unidos puede llegar a ser el “banco tóxico” y a este paso, también lo será en muchos otros países (todo se puede hacer plural). Para malversar el idioma (además del dinero) a los bancos tóxicos los quieren llamar: “bancos agregadores”. ¿”Agregadores” de qué? Si sólo quitan (a los bancos los créditos incobrables y a los ciudadanos el único dinero real).  </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t xml:space="preserve">Mientras, siguen los eufemismos, las falacias, las hipocresías, las cortinas de humo, la intoxicación informativa. Qué si no, es llamar a la “quiebra global del capitalismo financiero”: la materialización de eventos estadísticamente imposibles (?), la ley de las consecuencias involuntarias (?). ¿Recuerdo de las “víctimas colaterales”?. Nada ha cambiado: del “texano tóxico” a los “bancos tóxicos”. De la anestesia a la amnesia. </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t>Sinvergüenzas y bonus millonarios. Cara, yo gano. Cruz, usted pierde. Con estos mismos talentos ¿qué pasará el día después?</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t xml:space="preserve">Obama en las alturas: “El principio del fin” (sic) ¿El fin de qué? ¿De la era de los excesos? </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t>Ya lo dijo León Felipe: “La vida del hombre la mecen los cuentos, y los gritos de angustia los ahogan los cuentos…”.</w:t>
      </w:r>
    </w:p>
    <w:p w:rsidR="002F07D4" w:rsidRPr="00E24B4F" w:rsidRDefault="002F07D4" w:rsidP="002F07D4">
      <w:pPr>
        <w:spacing w:line="240" w:lineRule="auto"/>
        <w:jc w:val="both"/>
        <w:rPr>
          <w:rFonts w:ascii="Times New Roman" w:hAnsi="Times New Roman"/>
          <w:b/>
          <w:sz w:val="24"/>
          <w:szCs w:val="24"/>
        </w:rPr>
      </w:pPr>
      <w:r w:rsidRPr="00E24B4F">
        <w:rPr>
          <w:rFonts w:ascii="Times New Roman" w:hAnsi="Times New Roman"/>
          <w:b/>
          <w:sz w:val="24"/>
          <w:szCs w:val="24"/>
        </w:rPr>
        <w:t>Nacionalización o bancarrota</w:t>
      </w:r>
    </w:p>
    <w:p w:rsidR="002F07D4" w:rsidRPr="00E24B4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24B4F">
        <w:rPr>
          <w:rFonts w:ascii="Times New Roman" w:eastAsia="Times New Roman" w:hAnsi="Times New Roman"/>
          <w:sz w:val="24"/>
          <w:szCs w:val="24"/>
          <w:lang w:eastAsia="es-ES"/>
        </w:rPr>
        <w:t>Al momento de escribir este apartado (1/3/09), tenemos el siguiente “estado de situación”:</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El control estatal sobre la banca se abre paso, como salida a la crisis. En medio de la crisis financiera más acusada desde la Gran Depresión y con el sistema bancario al borde del precipicio, irrumpe un nuevo fantasma semántico: la nacionalización bancaria. Palabras mayores. Tras unos años con el péndulo justo en el lado contrario, a derecha e izquierda se abre paso la creencia de que nadie tiene una idea mejor para acabar con la pesadilla de la banca. Y los Gobiernos ya se han puesto manos a la obra.</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 xml:space="preserve">Todas las crisis bancarias se solucionan de la misma forma: gastando. Pero las multimillonarias ayudas públicas de los últimos 20 meses no son suficientes. En los países anglosajones, que hicieron dogma de fe del libre mercado, la banca sigue caminando sobre el alambre. En Europa occidental, con Alemania a la cabeza, sucede algo parecido. Y las finanzas son el aparato circulatorio de la economía: si se hunden, la </w:t>
      </w:r>
      <w:r w:rsidRPr="00E24B4F">
        <w:rPr>
          <w:rFonts w:ascii="Times New Roman" w:hAnsi="Times New Roman"/>
          <w:sz w:val="24"/>
          <w:szCs w:val="24"/>
        </w:rPr>
        <w:lastRenderedPageBreak/>
        <w:t>economía se colapsa. No es posible salir de la recesión mundial sin solucionar la crisis financiera.</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El descalabro está haciendo saltar por los aires uno de esos anatemas: la idea de que la formidable intervención del sector público en la banca necesita una vuelta de tuerca adicional no hace sino ganar peso. La nacionalización -parcial o temporal, pero nacionalización al cabo- está cada vez más cerca, y hay expertos que aseguran que ya se ha producido. Al menos en parte. Los casos de Citigroup y Royal Bank of Scotland son los más sonados. “Es algo sencillamente increíble, y a la vez sencillamente inevitable”, resume desde Baltimore (EEUU) la economista Carmen S. Reinhart.</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“Se trata de un shock para la mentalidad americana, que asocia la nacionalización prácticamente al bolchevismo en un país en el que la iniciativa privada está en el ADN de los políticos, sean del color que sean, y de la gente, desde los que trabajan en los rascacielos de Wall Street a los que cuidan de los maizales en Iowa”, afirma Ángel Cabrera, economista español que dirige una de las grandes escuelas de negocios norteamericanas, Thunderbird. “A muchos una nacionalización puede provocarles escalofríos, pero no hay una propuesta mejor para salir del pozo”, apostilla.</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Las crisis suelen engendrar paradojas. En EEUU, los republicanos son quienes mejor aceptan la nacionalización. En un ejercicio de pragmatismo, el ex presidente del banco central Alan Greenspan, el sumo sacerdote de la liberalización financiera de los últimos años, se manifiesta abiertamente a favor. La Administración de Obama, en cambio, es más remisa, y la nacionalización ha sido incluso descartada esta semana por las dos grandes figuras del equipo económico de Obama: Ben Bernanke, presidente de la Reserva Federal, y Tim Geithner, secretario del Tesoro, han rechazado esa vía ante el nerviosismo bursátil. “Obama sigue poniendo parches sin dar el paso definitivo”, asegura Reinhart. “Pero una u otra forma de nacionalización es inevitable. Esperar a que el propio mercado solucione el problema es una locura”, añade.</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Pese a las reticencias ideológicas, con todo el dinero empleado en los últimos 20 meses parte de la banca está ya nacionalizada de hecho. Aunque no de derecho. EEUU controla directamente el 36% de Citigroup, que hace unos años era el mayor banco del mundo y ahora está ahogado por los activos tóxicos. Citi ha recibido en apenas cinco meses tres rescates públicos, y Wall Street lo considera ya parcialmente nacionalizado. Con Bank of America ocurre lo mismo. La Administración de Obama se resiste a hacerlo a las claras: usa acciones sin derecho a voto y obliga a buscar accionistas privados para que la cotización bursátil no se diluya.</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Pero ése es el camino: EEUU ha iniciado ya pruebas de estrés al sistema financiero para identificar a los bancos con problemas. En caso de que necesiten más capital -y todo parece indicarlo así-, el Estado se lo facilitará a cambio de acciones. En Irlanda la nacionalización de algunas entidades ya es total. El Reino Unido ha subido la apuesta con una operación escoba para quedarse con la gran mayoría de los activos tóxicos de Royal Bank of Scotland, y podría hacer lo mismo con Lloyd's. Los expertos consideran que ambas entidades están al borde de la nacionalización. Alemania ha aprobado una ley para poder incluso expropiar bancos si es necesario. Y así ad infínitum.</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 xml:space="preserve">“Lo peor es la incertidumbre, que los mercados no sepan si se va a producir o no. Pero al paso que vamos, la nacionalización -o como quiera llamarse- es sólo cuestión de tiempo, a no ser que queramos una década perdida, como en Japón”, asegura el viernes el economista Charles Wyplosz. “La única manera de acabar con la tormenta es que los </w:t>
      </w:r>
      <w:r w:rsidRPr="00E24B4F">
        <w:rPr>
          <w:rFonts w:ascii="Times New Roman" w:hAnsi="Times New Roman"/>
          <w:sz w:val="24"/>
          <w:szCs w:val="24"/>
        </w:rPr>
        <w:lastRenderedPageBreak/>
        <w:t>Gobiernos entren en los bancos, los limpien de una vez de la basura tóxica y los pongan a funcionar, como hizo Suecia en los años noventa”, asegura este experto.</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Aun así, las dudas son enormes. Por una parte, los accionistas pueden ver cómo su dinero se esfuma (y la Bolsa lleva ya un año y medio desastroso). Por otra, la factura puede ser altísima y dejar un déficit público inmanejable. Además, no está claro que los burócratas sepan llevar las riendas de los bancos. En Suecia, el saneamiento costó cuatro largos años, y no había un cataclismo financiero global.</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El mayor problema son los activos tóxicos. “Los Gobiernos deben ponerles precio: si es demasiado bajo quiebran entidades, y si es alto la factura de los contribuyentes se dispara. Es un difícil problema de redistribución. Pero es la labor de los políticos, para eso les pagan”, dice Wyplosz.</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La crónica negra de lo que ha ocurrido en la banca en los últimos años podría resumirse así: “Al principio los bancos sabían lo que vendían, y los clientes lo que compraban. Después pasamos a una fase en la que los bancos sabían lo que vendían pero los clientes no sabían lo que compraban. Y desde hace tiempo ni los bancos ni los clientes tienen idea de nada”. Ahora les llega el turno de comprar a los Gobiernos. Habrá que ver si saben lo que hacen.</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Francia. Dos tandas de ayudas desde París</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El Gobierno de Sarkozy ordenó la primera inyección a los bancos franceses en diciembre de 2008: 10.500 millones que se repartieron Crédit Agricole, BNP Paribas, Société Générale, Crédit Mutuel, Caisse d'Épargne y Banques Populaires. No fue suficiente. A mediados de enero, anunció una segunda tanda de ayudas, pero esta vez con duras condiciones y contrapartidas: los directivos deben renunciar a los bonus. Esta misma semana, la fusión entre Banques Populaires y Caisse d'Épargne ha venido auxiliada con una inyección de 5.000 millones por parte del Estado francés, que nombrará a varios ejecutivos en la cúpula del banco, entre ellos al presidente de la entidad fusionada: François Pérol, uno de los hombres de confianza de Sarkozy y hasta ahora con un cargo en el Elíseo.</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Alemania. De la negativa a una ley de expropiación</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Aún en diciembre de 2008, el Gobierno alemán era reacio a nacionalizar bancos. Berlín aludía a los pésimos resultados de los bancos públicos regionales, la mayoría de ellos tan afectados por la crisis y la mala gestión como la banca privada. Sin embargo, Alemania se hizo en enero con el 25% del Commerzbank, el segundo banco del país. En febrero, el Gobierno aprobó una ley que permitirá no sólo nacionalizar bancos, sino expropiar a los accionistas de aquellos institutos que dependen del dinero público para subsistir. La ley se redactó para atajar los continuos problemas del Hypo Real Estate, donde el Gobierno ha inyectado 87.000 millones para evitar la quiebra. El Gobierno justifica las intervenciones como “necesarias” para mantener a flote la banca y evitar la pérdida de las millonarias ayudas públicas.</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Reino Unido. Control público a regañadientes</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 xml:space="preserve">El Reino Unido está siendo uno de los países más activos en la intervención del Estado para salvar los bancos. Pero el Ejecutivo no quiere ni oír hablar de nacionalización: se ve forzado a reforzar el capital de los bancos, pero el control de las entidades no es un objetivo político. El Gobierno de Gordon Brown protagonizó la primera </w:t>
      </w:r>
      <w:r w:rsidRPr="00E24B4F">
        <w:rPr>
          <w:rFonts w:ascii="Times New Roman" w:hAnsi="Times New Roman"/>
          <w:sz w:val="24"/>
          <w:szCs w:val="24"/>
        </w:rPr>
        <w:lastRenderedPageBreak/>
        <w:t>nacionalización, en el caso de Northern Rock. Y ha seguido siendo muy activo en los casos de Royal Bank of Scotland -esta misma semana ha asegurado 365.000 millones de euros en activos tóxicos- y de HBOS, que fusionó con Lloyd's. En ambos casos posee un buen porcentaje del capital y los expertos consideran que esos dos bancos están al borde de la nacionalización. Pero el Ejecutivo asegura que tarde o temprano esas entidades volverán al sector privado.</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Estados Unidos. Republicanos a favor, demócratas en contra</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El intervencionismo público en la economía ha sido una constante en EEUU desde el estallido de la crisis financiera, con la Administración de Bush y con Barack Obama. Pese a que los expertos -encabezados por los premios Nobel Joseph Stiglitz y Paul Krugman- recomiendan ahora la nacionalización parcial y temporal de las grandes entidades con problemas, Washington se resiste a esa posibilidad. Varios congresistas y senadores republicanos se han manifestado a favor del control del Estado en la banca. Pero el Gobierno sigue con su hoja de ruta: aplicar planes de estrés a las grandes entidades para observar sus necesidades de capital, mientras estudia una solución para Citigroup (donde controla ya el 36%) y Bank of America, a un paso de la nacionalización.</w:t>
      </w:r>
    </w:p>
    <w:p w:rsidR="002F07D4"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El ocaso y la herencia: En el mundo financiero son estatizados los que claman por ser estatizados, porque la opción que les queda es la desaparición. Hay acciones de los bancos que “valen” menos que un periódico (Citigroup US$ 1,20) o que una cajetilla de tabaco (Bank of America US$ 3,63)</w:t>
      </w:r>
      <w:r>
        <w:rPr>
          <w:rFonts w:ascii="Times New Roman" w:hAnsi="Times New Roman"/>
          <w:sz w:val="24"/>
          <w:szCs w:val="24"/>
        </w:rPr>
        <w:t>…</w:t>
      </w:r>
    </w:p>
    <w:p w:rsidR="002F07D4" w:rsidRPr="005F5965" w:rsidRDefault="002F07D4" w:rsidP="002F07D4">
      <w:pPr>
        <w:jc w:val="both"/>
        <w:rPr>
          <w:rFonts w:ascii="Times New Roman" w:hAnsi="Times New Roman"/>
          <w:b/>
          <w:sz w:val="24"/>
          <w:szCs w:val="24"/>
        </w:rPr>
      </w:pPr>
      <w:r>
        <w:rPr>
          <w:rFonts w:ascii="Times New Roman" w:hAnsi="Times New Roman"/>
          <w:b/>
          <w:sz w:val="24"/>
          <w:szCs w:val="24"/>
        </w:rPr>
        <w:t>Fariseos y puritanos: cuentos y cuentas (Juego de números)</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 xml:space="preserve">Por más cuentas que hago no me cuadra la liquidación... </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El primer plan de rescate a los bancos con dinero de los contribuyentes, aprobado por el congreso de USA, costará la indimensionable cifra de 700.000 millones de dólares, más los 500.000 millones, que ya se le había entregado a la banca, más los miles de millones que entregaron los  gobiernos de Europa a los bancos en crisis en ese continente.</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Pero para tratar de dimensionar, sólo en algo, las cifras involucradas, se puede realizar el siguiente cálculo:</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El planeta tiene 6.700 millones de habitantes; si se dividen “sólo” los 700.000 millones de dólares entre los 6.700 millones de personas que habitan el planeta, equivale a sacarle 104 dólares a cada uno.</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Según los últimos números de Nouriel Roubini (2/3/09): “Entre garantías, respaldo de liquidez y capitalización, el gobierno estadounidense ha entregado entre US$7 billones y US$9 billones (millones de millones) para ayudar al sistema financiero. De hecho, el gobierno ya controla una buena porción del sistema bancario”…</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De ser así, ya estaríamos por los 104.000 ó 143.000 dólares per cápita. Pecata Minuta.</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Parece que realmente hay un pequeño problema en la distribución de la riqueza…</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Según los políticos, la mayor amenaza para la seguridad mundial ya no es el terrorismo, sino la inestabilidad provocada por la crisis. ¿Qué ha hecho Obama para lidiar con la amenaza?</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lastRenderedPageBreak/>
        <w:t xml:space="preserve">Rodearse de gente que contribuyó a crear esta crisis, como Timothy Geithner, Laurence Summers, los banqueros, y encontrar una fórmula para rescatar el sistema que ellos dominan y controlan. Todos los millones que Occidente está volcando para salvar sus instituciones financieras no sirven de nada frente a una crisis mucho mayor: hay mil millones de personas al borde de la muerte por inanición. Ésa es la crisis verdaderamente grave, y ese dinero no hace nada por ellos. </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Lo que más me sorprende, además, es que los analistas y “grandes bonetes” nunca mencionen que todas las medidas que ha tomado Obama son exactamente las contrarias que el Banco Mundial y el Fondo Monetario Internacional (FMI) recomiendan a los países pobres para salir de sus crisis.</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Los “exageradores” de las tendencias iniciadas, continuando con la miopía de la crisis, promueven un “sistema bancario en las sombras”. Eufemismo “a la page”: “alivio cuantitativo”. Evidencia: “la caja negra”.  ¿Otro falso final de la exuberancia irracional?</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 xml:space="preserve">Inestabilidad tiene un significado técnico: subordinación a EEUU. Los nietos de nuestros nietos -vivan donde vivan- continuarán pagando esta “deuda eterna”. </w:t>
      </w:r>
    </w:p>
    <w:p w:rsidR="002F07D4" w:rsidRPr="00E24B4F" w:rsidRDefault="002F07D4" w:rsidP="002F07D4">
      <w:pPr>
        <w:spacing w:line="240" w:lineRule="auto"/>
        <w:jc w:val="both"/>
        <w:rPr>
          <w:rFonts w:ascii="Times New Roman" w:hAnsi="Times New Roman"/>
          <w:sz w:val="24"/>
          <w:szCs w:val="24"/>
        </w:rPr>
      </w:pPr>
      <w:r w:rsidRPr="00E24B4F">
        <w:rPr>
          <w:rFonts w:ascii="Times New Roman" w:hAnsi="Times New Roman"/>
          <w:sz w:val="24"/>
          <w:szCs w:val="24"/>
        </w:rPr>
        <w:t>A la espera de disturbios sociales…</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884A3F">
        <w:rPr>
          <w:rFonts w:ascii="Times New Roman" w:eastAsia="Times New Roman" w:hAnsi="Times New Roman"/>
          <w:sz w:val="24"/>
          <w:szCs w:val="24"/>
          <w:u w:val="single"/>
          <w:lang w:eastAsia="es-ES"/>
        </w:rPr>
        <w:t>Obama quiere “domar” a Wall Street</w:t>
      </w:r>
      <w:r w:rsidRPr="00395FB0">
        <w:rPr>
          <w:rFonts w:ascii="Times New Roman" w:eastAsia="Times New Roman" w:hAnsi="Times New Roman"/>
          <w:sz w:val="24"/>
          <w:szCs w:val="24"/>
          <w:lang w:eastAsia="es-ES"/>
        </w:rPr>
        <w:t xml:space="preserve"> (El Mundo - </w:t>
      </w:r>
      <w:r w:rsidRPr="00884A3F">
        <w:rPr>
          <w:rFonts w:ascii="Times New Roman" w:eastAsia="Times New Roman" w:hAnsi="Times New Roman"/>
          <w:b/>
          <w:sz w:val="24"/>
          <w:szCs w:val="24"/>
          <w:lang w:eastAsia="es-ES"/>
        </w:rPr>
        <w:t>1/2/09</w:t>
      </w:r>
      <w:r w:rsidRPr="00395FB0">
        <w:rPr>
          <w:rFonts w:ascii="Times New Roman" w:eastAsia="Times New Roman" w:hAnsi="Times New Roman"/>
          <w:sz w:val="24"/>
          <w:szCs w:val="24"/>
          <w:lang w:eastAsia="es-ES"/>
        </w:rPr>
        <w:t xml:space="preserve">) </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95FB0">
        <w:rPr>
          <w:rFonts w:ascii="Times New Roman" w:eastAsia="Times New Roman" w:hAnsi="Times New Roman"/>
          <w:sz w:val="24"/>
          <w:szCs w:val="24"/>
          <w:lang w:eastAsia="es-ES"/>
        </w:rPr>
        <w:t xml:space="preserve">La regulación del nuevo presidente de EEUU controlará la remuneración de las entidades rescatadas. </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95FB0">
        <w:rPr>
          <w:rFonts w:ascii="Times New Roman" w:eastAsia="Times New Roman" w:hAnsi="Times New Roman"/>
          <w:sz w:val="24"/>
          <w:szCs w:val="24"/>
          <w:lang w:eastAsia="es-ES"/>
        </w:rPr>
        <w:t>(Por Pablo Pardo)</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1E2B41">
        <w:rPr>
          <w:rFonts w:ascii="Times New Roman" w:eastAsia="Times New Roman" w:hAnsi="Times New Roman"/>
          <w:sz w:val="24"/>
          <w:szCs w:val="24"/>
          <w:u w:val="single"/>
          <w:lang w:eastAsia="es-ES"/>
        </w:rPr>
        <w:t>Wall Street ha logrado que Obama, no drama -como le llamaban los asesores del presidente durante la campaña electoral por su sangre fría- pierda su eterna amabilidad. Ha bastado para ello una cifra: 20.000 millones de dólares (15.200 millones de euros). Es la cantidad que los banqueros de Wall Street se han dado a sí mismos en concepto de bonus en 2008.</w:t>
      </w:r>
      <w:r w:rsidRPr="00395FB0">
        <w:rPr>
          <w:rFonts w:ascii="Times New Roman" w:eastAsia="Times New Roman" w:hAnsi="Times New Roman"/>
          <w:sz w:val="24"/>
          <w:szCs w:val="24"/>
          <w:lang w:eastAsia="es-ES"/>
        </w:rPr>
        <w:t xml:space="preserve"> Y es la cantidad que ha hecho que el presidente de Est</w:t>
      </w:r>
      <w:r>
        <w:rPr>
          <w:rFonts w:ascii="Times New Roman" w:eastAsia="Times New Roman" w:hAnsi="Times New Roman"/>
          <w:sz w:val="24"/>
          <w:szCs w:val="24"/>
          <w:lang w:eastAsia="es-ES"/>
        </w:rPr>
        <w:t>ados Unidos lanzara un rotundo “es vergonzoso”</w:t>
      </w:r>
      <w:r w:rsidRPr="00395FB0">
        <w:rPr>
          <w:rFonts w:ascii="Times New Roman" w:eastAsia="Times New Roman" w:hAnsi="Times New Roman"/>
          <w:sz w:val="24"/>
          <w:szCs w:val="24"/>
          <w:lang w:eastAsia="es-ES"/>
        </w:rPr>
        <w:t xml:space="preserve"> al valorarlo el jueves por la noche, en una reunión con los medios de comunicación en la Casa Blanca, acompañado del secretario del Tesoro, Tim Geithner, y del vicepresidente, Joe Biden.</w:t>
      </w:r>
    </w:p>
    <w:p w:rsidR="002F07D4" w:rsidRPr="001E2B41"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1E2B41">
        <w:rPr>
          <w:rFonts w:ascii="Times New Roman" w:eastAsia="Times New Roman" w:hAnsi="Times New Roman"/>
          <w:sz w:val="24"/>
          <w:szCs w:val="24"/>
          <w:u w:val="single"/>
          <w:lang w:eastAsia="es-ES"/>
        </w:rPr>
        <w:t>Es una cifra espectacular. No sólo por su magnitud, sino también porque el año pasado las empresas de Wall Street perdieron 47.200 millones de dólares (36.000 millones de euros), según desveló el viernes el alcalde de Nueva York (y ex empleado de Salomon Brothers, un mítico broker que ahora es parte de Citigroup), Michael Bloomberg. En otras palabras: la retribución variable de Wall Street equivale al 47,2% de las pérdidas de los bancos.</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1E2B41">
        <w:rPr>
          <w:rFonts w:ascii="Times New Roman" w:eastAsia="Times New Roman" w:hAnsi="Times New Roman"/>
          <w:sz w:val="24"/>
          <w:szCs w:val="24"/>
          <w:u w:val="single"/>
          <w:lang w:eastAsia="es-ES"/>
        </w:rPr>
        <w:t>Con semejantes cifras, el argumento de que esa remuneración es necesaria para que los bancos atraigan el talento, queda por los suelos. No sólo porque queda claro que no hay relación entre resultados y salarios, también porque los talentos de Wall Street se han hecho multimillonarios mientras sepultaban al mundo en la mayor crisis económica de las últimas siete décadas</w:t>
      </w:r>
      <w:r w:rsidRPr="00395FB0">
        <w:rPr>
          <w:rFonts w:ascii="Times New Roman" w:eastAsia="Times New Roman" w:hAnsi="Times New Roman"/>
          <w:sz w:val="24"/>
          <w:szCs w:val="24"/>
          <w:lang w:eastAsia="es-ES"/>
        </w:rPr>
        <w:t xml:space="preserve">. </w:t>
      </w:r>
      <w:r w:rsidRPr="001E2B41">
        <w:rPr>
          <w:rFonts w:ascii="Times New Roman" w:eastAsia="Times New Roman" w:hAnsi="Times New Roman"/>
          <w:sz w:val="24"/>
          <w:szCs w:val="24"/>
          <w:u w:val="single"/>
          <w:lang w:eastAsia="es-ES"/>
        </w:rPr>
        <w:t>Obama censuró a las empresas financieras</w:t>
      </w:r>
      <w:r w:rsidRPr="00395FB0">
        <w:rPr>
          <w:rFonts w:ascii="Times New Roman" w:eastAsia="Times New Roman" w:hAnsi="Times New Roman"/>
          <w:sz w:val="24"/>
          <w:szCs w:val="24"/>
          <w:lang w:eastAsia="es-ES"/>
        </w:rPr>
        <w:t xml:space="preserve"> por </w:t>
      </w:r>
      <w:r>
        <w:rPr>
          <w:rFonts w:ascii="Times New Roman" w:eastAsia="Times New Roman" w:hAnsi="Times New Roman"/>
          <w:sz w:val="24"/>
          <w:szCs w:val="24"/>
          <w:lang w:eastAsia="es-ES"/>
        </w:rPr>
        <w:t>autoconcederse esas cantidades “</w:t>
      </w:r>
      <w:r w:rsidRPr="00395FB0">
        <w:rPr>
          <w:rFonts w:ascii="Times New Roman" w:eastAsia="Times New Roman" w:hAnsi="Times New Roman"/>
          <w:sz w:val="24"/>
          <w:szCs w:val="24"/>
          <w:lang w:eastAsia="es-ES"/>
        </w:rPr>
        <w:t xml:space="preserve">en un momento en el que la mayor parte de esas instituciones estaban </w:t>
      </w:r>
      <w:r w:rsidRPr="00395FB0">
        <w:rPr>
          <w:rFonts w:ascii="Times New Roman" w:eastAsia="Times New Roman" w:hAnsi="Times New Roman"/>
          <w:sz w:val="24"/>
          <w:szCs w:val="24"/>
          <w:lang w:eastAsia="es-ES"/>
        </w:rPr>
        <w:lastRenderedPageBreak/>
        <w:t>al borde del colapso y estaban pidiendo a los contribuyentes que les ayudaran a s</w:t>
      </w:r>
      <w:r>
        <w:rPr>
          <w:rFonts w:ascii="Times New Roman" w:eastAsia="Times New Roman" w:hAnsi="Times New Roman"/>
          <w:sz w:val="24"/>
          <w:szCs w:val="24"/>
          <w:lang w:eastAsia="es-ES"/>
        </w:rPr>
        <w:t xml:space="preserve">ostenerse en pie”. </w:t>
      </w:r>
      <w:r w:rsidRPr="001E2B41">
        <w:rPr>
          <w:rFonts w:ascii="Times New Roman" w:eastAsia="Times New Roman" w:hAnsi="Times New Roman"/>
          <w:sz w:val="24"/>
          <w:szCs w:val="24"/>
          <w:u w:val="single"/>
          <w:lang w:eastAsia="es-ES"/>
        </w:rPr>
        <w:t>Y concluía: “Es el colmo de la irresponsabilidad</w:t>
      </w:r>
      <w:r>
        <w:rPr>
          <w:rFonts w:ascii="Times New Roman" w:eastAsia="Times New Roman" w:hAnsi="Times New Roman"/>
          <w:sz w:val="24"/>
          <w:szCs w:val="24"/>
          <w:lang w:eastAsia="es-ES"/>
        </w:rPr>
        <w:t>”</w:t>
      </w:r>
      <w:r w:rsidRPr="00395FB0">
        <w:rPr>
          <w:rFonts w:ascii="Times New Roman" w:eastAsia="Times New Roman" w:hAnsi="Times New Roman"/>
          <w:sz w:val="24"/>
          <w:szCs w:val="24"/>
          <w:lang w:eastAsia="es-ES"/>
        </w:rPr>
        <w:t>.</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Fue un ataque “calculado y preciso”</w:t>
      </w:r>
      <w:r w:rsidRPr="00395FB0">
        <w:rPr>
          <w:rFonts w:ascii="Times New Roman" w:eastAsia="Times New Roman" w:hAnsi="Times New Roman"/>
          <w:sz w:val="24"/>
          <w:szCs w:val="24"/>
          <w:lang w:eastAsia="es-ES"/>
        </w:rPr>
        <w:t>, según The New York Times. Y un mensaje directo a la comunidad financier</w:t>
      </w:r>
      <w:r>
        <w:rPr>
          <w:rFonts w:ascii="Times New Roman" w:eastAsia="Times New Roman" w:hAnsi="Times New Roman"/>
          <w:sz w:val="24"/>
          <w:szCs w:val="24"/>
          <w:lang w:eastAsia="es-ES"/>
        </w:rPr>
        <w:t xml:space="preserve">a de EEUU. </w:t>
      </w:r>
      <w:r w:rsidRPr="001E2B41">
        <w:rPr>
          <w:rFonts w:ascii="Times New Roman" w:eastAsia="Times New Roman" w:hAnsi="Times New Roman"/>
          <w:sz w:val="24"/>
          <w:szCs w:val="24"/>
          <w:u w:val="single"/>
          <w:lang w:eastAsia="es-ES"/>
        </w:rPr>
        <w:t>Los banqueros deben “mostrar cierta contención” dijo Obama.</w:t>
      </w:r>
      <w:r w:rsidRPr="00395FB0">
        <w:rPr>
          <w:rFonts w:ascii="Times New Roman" w:eastAsia="Times New Roman" w:hAnsi="Times New Roman"/>
          <w:sz w:val="24"/>
          <w:szCs w:val="24"/>
          <w:lang w:eastAsia="es-ES"/>
        </w:rPr>
        <w:t xml:space="preserve"> Pero, </w:t>
      </w:r>
      <w:r w:rsidRPr="001E2B41">
        <w:rPr>
          <w:rFonts w:ascii="Times New Roman" w:eastAsia="Times New Roman" w:hAnsi="Times New Roman"/>
          <w:sz w:val="24"/>
          <w:szCs w:val="24"/>
          <w:u w:val="single"/>
          <w:lang w:eastAsia="es-ES"/>
        </w:rPr>
        <w:t>con el nuevo presidente y con la arrolladora mayoría demócrata en el Congreso, la contención les va a ser impuesta. Se acabó el culto a la autorregulación que siguió George W. Bush</w:t>
      </w:r>
      <w:r w:rsidRPr="00395FB0">
        <w:rPr>
          <w:rFonts w:ascii="Times New Roman" w:eastAsia="Times New Roman" w:hAnsi="Times New Roman"/>
          <w:sz w:val="24"/>
          <w:szCs w:val="24"/>
          <w:lang w:eastAsia="es-ES"/>
        </w:rPr>
        <w:t xml:space="preserve">. </w:t>
      </w:r>
      <w:r w:rsidRPr="001E2B41">
        <w:rPr>
          <w:rFonts w:ascii="Times New Roman" w:eastAsia="Times New Roman" w:hAnsi="Times New Roman"/>
          <w:sz w:val="24"/>
          <w:szCs w:val="24"/>
          <w:u w:val="single"/>
          <w:lang w:eastAsia="es-ES"/>
        </w:rPr>
        <w:t>Obama está a punto de lanzarse a una drástica reforma de su sistema financiero</w:t>
      </w:r>
      <w:r w:rsidRPr="00395FB0">
        <w:rPr>
          <w:rFonts w:ascii="Times New Roman" w:eastAsia="Times New Roman" w:hAnsi="Times New Roman"/>
          <w:sz w:val="24"/>
          <w:szCs w:val="24"/>
          <w:lang w:eastAsia="es-ES"/>
        </w:rPr>
        <w:t>. Su plan es cerrar el proyecto antes del 2 de abril, cuando viaje a Londres para tomar parte en la cumbre del G-20 en la que deberán continuarse las discusiones iniciadas en Washington el 20 de noviembre para reformar el sistema financiero internacional.</w:t>
      </w:r>
    </w:p>
    <w:p w:rsidR="002F07D4" w:rsidRPr="001E2B41"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1E2B41">
        <w:rPr>
          <w:rFonts w:ascii="Times New Roman" w:eastAsia="Times New Roman" w:hAnsi="Times New Roman"/>
          <w:sz w:val="24"/>
          <w:szCs w:val="24"/>
          <w:u w:val="single"/>
          <w:lang w:eastAsia="es-ES"/>
        </w:rPr>
        <w:t>La reforma de Obama tiene ya un borrador. Se llama Un marco para la estabilidad financiera, y es un documento elaborado, precisamente, por el presidente del Consejo Asesor para la Recuperación de Obama y ex máximo responsable de la Reserva Federal, Paul Volcker</w:t>
      </w:r>
      <w:r w:rsidRPr="00395FB0">
        <w:rPr>
          <w:rFonts w:ascii="Times New Roman" w:eastAsia="Times New Roman" w:hAnsi="Times New Roman"/>
          <w:sz w:val="24"/>
          <w:szCs w:val="24"/>
          <w:lang w:eastAsia="es-ES"/>
        </w:rPr>
        <w:t xml:space="preserve">.El informe es un documento de trabajo del G-30, un grupo de expertos presidido por Volcker, y entre cuyos miembros están Geithner, el Nobel de Economía Paul Krugman y los españoles Jaime Caruana y Guillermo de la Dehesa. </w:t>
      </w:r>
      <w:r w:rsidRPr="001E2B41">
        <w:rPr>
          <w:rFonts w:ascii="Times New Roman" w:eastAsia="Times New Roman" w:hAnsi="Times New Roman"/>
          <w:sz w:val="24"/>
          <w:szCs w:val="24"/>
          <w:u w:val="single"/>
          <w:lang w:eastAsia="es-ES"/>
        </w:rPr>
        <w:t>Si se suman las propuestas de Volcker a las que la Administración está filtrando, quedan claros los ejes del plan de Obama para domar a Wall Street:</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95FB0">
        <w:rPr>
          <w:rFonts w:ascii="Times New Roman" w:eastAsia="Times New Roman" w:hAnsi="Times New Roman"/>
          <w:sz w:val="24"/>
          <w:szCs w:val="24"/>
          <w:lang w:eastAsia="es-ES"/>
        </w:rPr>
        <w:t xml:space="preserve">- </w:t>
      </w:r>
      <w:r w:rsidRPr="001E2B41">
        <w:rPr>
          <w:rFonts w:ascii="Times New Roman" w:eastAsia="Times New Roman" w:hAnsi="Times New Roman"/>
          <w:sz w:val="24"/>
          <w:szCs w:val="24"/>
          <w:u w:val="single"/>
          <w:lang w:eastAsia="es-ES"/>
        </w:rPr>
        <w:t>Regulación de las agencias de calificación de riesgos</w:t>
      </w:r>
      <w:r w:rsidRPr="00395FB0">
        <w:rPr>
          <w:rFonts w:ascii="Times New Roman" w:eastAsia="Times New Roman" w:hAnsi="Times New Roman"/>
          <w:sz w:val="24"/>
          <w:szCs w:val="24"/>
          <w:lang w:eastAsia="es-ES"/>
        </w:rPr>
        <w:t>, para que sean independientes de sus clientes.</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95FB0">
        <w:rPr>
          <w:rFonts w:ascii="Times New Roman" w:eastAsia="Times New Roman" w:hAnsi="Times New Roman"/>
          <w:sz w:val="24"/>
          <w:szCs w:val="24"/>
          <w:lang w:eastAsia="es-ES"/>
        </w:rPr>
        <w:t xml:space="preserve">- </w:t>
      </w:r>
      <w:r w:rsidRPr="001E2B41">
        <w:rPr>
          <w:rFonts w:ascii="Times New Roman" w:eastAsia="Times New Roman" w:hAnsi="Times New Roman"/>
          <w:sz w:val="24"/>
          <w:szCs w:val="24"/>
          <w:u w:val="single"/>
          <w:lang w:eastAsia="es-ES"/>
        </w:rPr>
        <w:t>Obligación de los hedge funds de registrarse en la SEC</w:t>
      </w:r>
      <w:r w:rsidRPr="00395FB0">
        <w:rPr>
          <w:rFonts w:ascii="Times New Roman" w:eastAsia="Times New Roman" w:hAnsi="Times New Roman"/>
          <w:sz w:val="24"/>
          <w:szCs w:val="24"/>
          <w:lang w:eastAsia="es-ES"/>
        </w:rPr>
        <w:t xml:space="preserve"> (regulador de la Bolsa de EEUU). Hasta ahora, lo decidían voluntariamente.</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95FB0">
        <w:rPr>
          <w:rFonts w:ascii="Times New Roman" w:eastAsia="Times New Roman" w:hAnsi="Times New Roman"/>
          <w:sz w:val="24"/>
          <w:szCs w:val="24"/>
          <w:lang w:eastAsia="es-ES"/>
        </w:rPr>
        <w:t xml:space="preserve">- </w:t>
      </w:r>
      <w:r w:rsidRPr="001E2B41">
        <w:rPr>
          <w:rFonts w:ascii="Times New Roman" w:eastAsia="Times New Roman" w:hAnsi="Times New Roman"/>
          <w:sz w:val="24"/>
          <w:szCs w:val="24"/>
          <w:u w:val="single"/>
          <w:lang w:eastAsia="es-ES"/>
        </w:rPr>
        <w:t>Control de la remuneración de las empresas financieras, al menos de las que recibieron ayuda pública.</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95FB0">
        <w:rPr>
          <w:rFonts w:ascii="Times New Roman" w:eastAsia="Times New Roman" w:hAnsi="Times New Roman"/>
          <w:sz w:val="24"/>
          <w:szCs w:val="24"/>
          <w:lang w:eastAsia="es-ES"/>
        </w:rPr>
        <w:t xml:space="preserve">- </w:t>
      </w:r>
      <w:r w:rsidRPr="001E2B41">
        <w:rPr>
          <w:rFonts w:ascii="Times New Roman" w:eastAsia="Times New Roman" w:hAnsi="Times New Roman"/>
          <w:sz w:val="24"/>
          <w:szCs w:val="24"/>
          <w:u w:val="single"/>
          <w:lang w:eastAsia="es-ES"/>
        </w:rPr>
        <w:t>Supervisión de los derivados, en particular de los credit default swaps</w:t>
      </w:r>
      <w:r w:rsidRPr="00395FB0">
        <w:rPr>
          <w:rFonts w:ascii="Times New Roman" w:eastAsia="Times New Roman" w:hAnsi="Times New Roman"/>
          <w:sz w:val="24"/>
          <w:szCs w:val="24"/>
          <w:lang w:eastAsia="es-ES"/>
        </w:rPr>
        <w:t>, unos productos que equivalen a seguros contra suspensiones de pagos y que causaron parte de las turbulencias del pasado otoño.</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95FB0">
        <w:rPr>
          <w:rFonts w:ascii="Times New Roman" w:eastAsia="Times New Roman" w:hAnsi="Times New Roman"/>
          <w:sz w:val="24"/>
          <w:szCs w:val="24"/>
          <w:lang w:eastAsia="es-ES"/>
        </w:rPr>
        <w:t xml:space="preserve">Es una agenda ambiciosa, pero ambigua. Por ejemplo, el G-30 propone la consolidación de las agencias reguladoras, algo en lo que también trabajaba el Gobierno Bush, pero ahora no está claro si Obama va a seguir por ese camino. También </w:t>
      </w:r>
      <w:r w:rsidRPr="001E2B41">
        <w:rPr>
          <w:rFonts w:ascii="Times New Roman" w:eastAsia="Times New Roman" w:hAnsi="Times New Roman"/>
          <w:sz w:val="24"/>
          <w:szCs w:val="24"/>
          <w:u w:val="single"/>
          <w:lang w:eastAsia="es-ES"/>
        </w:rPr>
        <w:t>queda en el aire, al menos por ahora, la regulación de los fondos de capital riesgo</w:t>
      </w:r>
      <w:r w:rsidRPr="00395FB0">
        <w:rPr>
          <w:rFonts w:ascii="Times New Roman" w:eastAsia="Times New Roman" w:hAnsi="Times New Roman"/>
          <w:sz w:val="24"/>
          <w:szCs w:val="24"/>
          <w:lang w:eastAsia="es-ES"/>
        </w:rPr>
        <w:t>.</w:t>
      </w:r>
      <w:r w:rsidRPr="009E78F4">
        <w:rPr>
          <w:rFonts w:ascii="Times New Roman" w:eastAsia="Times New Roman" w:hAnsi="Times New Roman"/>
          <w:sz w:val="24"/>
          <w:szCs w:val="24"/>
          <w:u w:val="single"/>
          <w:lang w:eastAsia="es-ES"/>
        </w:rPr>
        <w:t xml:space="preserve"> Pero, dejando al margen los detalles, está claro que Obama quiere meter en cintura a Wall Street</w:t>
      </w:r>
      <w:r>
        <w:rPr>
          <w:rFonts w:ascii="Times New Roman" w:eastAsia="Times New Roman" w:hAnsi="Times New Roman"/>
          <w:sz w:val="24"/>
          <w:szCs w:val="24"/>
          <w:lang w:eastAsia="es-ES"/>
        </w:rPr>
        <w:t>.</w:t>
      </w:r>
    </w:p>
    <w:p w:rsidR="002F07D4" w:rsidRPr="009E78F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E78F4">
        <w:rPr>
          <w:rFonts w:ascii="Times New Roman" w:eastAsia="Times New Roman" w:hAnsi="Times New Roman"/>
          <w:sz w:val="24"/>
          <w:szCs w:val="24"/>
          <w:u w:val="single"/>
          <w:lang w:eastAsia="es-ES"/>
        </w:rPr>
        <w:t>La inversión más ruinosa posible no ha sido dar el dinero a Bernard Madoff, sino inyectar capital público en los bancos estadounidenses. Ese es el resultado del análisis llevado a cabo por el semanario Time, al constatar la caída del valor de los 8 mayores bancos del país, en los que el Estado ha invertido directamente 165.000 millones de dólares (126.000 millones de euros) desde noviembre</w:t>
      </w:r>
      <w:r w:rsidRPr="00395FB0">
        <w:rPr>
          <w:rFonts w:ascii="Times New Roman" w:eastAsia="Times New Roman" w:hAnsi="Times New Roman"/>
          <w:sz w:val="24"/>
          <w:szCs w:val="24"/>
          <w:lang w:eastAsia="es-ES"/>
        </w:rPr>
        <w:t xml:space="preserve">. El resultado es que, en tasa anualizada (es decir, proyectando los resultados actuales al conjunto del año) </w:t>
      </w:r>
      <w:r w:rsidRPr="009E78F4">
        <w:rPr>
          <w:rFonts w:ascii="Times New Roman" w:eastAsia="Times New Roman" w:hAnsi="Times New Roman"/>
          <w:sz w:val="24"/>
          <w:szCs w:val="24"/>
          <w:u w:val="single"/>
          <w:lang w:eastAsia="es-ES"/>
        </w:rPr>
        <w:t>el contribuyente ha obtenido una rentabilidad negativa del -1.096</w:t>
      </w:r>
      <w:r w:rsidRPr="009E78F4">
        <w:rPr>
          <w:rFonts w:ascii="Times New Roman" w:eastAsia="Times New Roman" w:hAnsi="Times New Roman"/>
          <w:sz w:val="24"/>
          <w:szCs w:val="24"/>
          <w:lang w:eastAsia="es-ES"/>
        </w:rPr>
        <w:t xml:space="preserve">%. Esto se debe a que, pese al dinero público (y a los más de 400.000 millones de dólares de garantías del </w:t>
      </w:r>
      <w:r w:rsidRPr="009E78F4">
        <w:rPr>
          <w:rFonts w:ascii="Times New Roman" w:eastAsia="Times New Roman" w:hAnsi="Times New Roman"/>
          <w:sz w:val="24"/>
          <w:szCs w:val="24"/>
          <w:lang w:eastAsia="es-ES"/>
        </w:rPr>
        <w:lastRenderedPageBreak/>
        <w:t>Estado sobre sus activos, que no han sido incluidas en el cómputo de Time), las acciones de esos bancos han seguido desplomándose.</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E78F4">
        <w:rPr>
          <w:rFonts w:ascii="Times New Roman" w:eastAsia="Times New Roman" w:hAnsi="Times New Roman"/>
          <w:sz w:val="24"/>
          <w:szCs w:val="24"/>
          <w:u w:val="single"/>
          <w:lang w:eastAsia="es-ES"/>
        </w:rPr>
        <w:t>Esas cifras son el mejor resumen de una situación marcada por dos factores. Uno, la banca de EEUU está en quiebra. Y dos, el programa de rescate de las entidades no ha servido de mucho hasta la fecha.</w:t>
      </w:r>
      <w:r w:rsidRPr="00395FB0">
        <w:rPr>
          <w:rFonts w:ascii="Times New Roman" w:eastAsia="Times New Roman" w:hAnsi="Times New Roman"/>
          <w:sz w:val="24"/>
          <w:szCs w:val="24"/>
          <w:lang w:eastAsia="es-ES"/>
        </w:rPr>
        <w:t xml:space="preserve"> Así que </w:t>
      </w:r>
      <w:r w:rsidRPr="009E78F4">
        <w:rPr>
          <w:rFonts w:ascii="Times New Roman" w:eastAsia="Times New Roman" w:hAnsi="Times New Roman"/>
          <w:sz w:val="24"/>
          <w:szCs w:val="24"/>
          <w:u w:val="single"/>
          <w:lang w:eastAsia="es-ES"/>
        </w:rPr>
        <w:t>ahora la nueva Administración está debatiendo nuevas medidas,</w:t>
      </w:r>
      <w:r w:rsidRPr="00395FB0">
        <w:rPr>
          <w:rFonts w:ascii="Times New Roman" w:eastAsia="Times New Roman" w:hAnsi="Times New Roman"/>
          <w:sz w:val="24"/>
          <w:szCs w:val="24"/>
          <w:lang w:eastAsia="es-ES"/>
        </w:rPr>
        <w:t xml:space="preserve"> que le van a costar muchísimo más a los contribuyentes.</w:t>
      </w:r>
      <w:r w:rsidRPr="009E78F4">
        <w:rPr>
          <w:rFonts w:ascii="Times New Roman" w:eastAsia="Times New Roman" w:hAnsi="Times New Roman"/>
          <w:sz w:val="24"/>
          <w:szCs w:val="24"/>
          <w:u w:val="single"/>
          <w:lang w:eastAsia="es-ES"/>
        </w:rPr>
        <w:t xml:space="preserve"> Una de ellas es nacionalizar los bancos,</w:t>
      </w:r>
      <w:r w:rsidRPr="00395FB0">
        <w:rPr>
          <w:rFonts w:ascii="Times New Roman" w:eastAsia="Times New Roman" w:hAnsi="Times New Roman"/>
          <w:sz w:val="24"/>
          <w:szCs w:val="24"/>
          <w:lang w:eastAsia="es-ES"/>
        </w:rPr>
        <w:t xml:space="preserve"> algo a lo que se opone Robert Rubin, que fue secretario del Tesoro con Bill Clinton y es el mentor de todo el equipo económico de Obama, menos Volcker.</w:t>
      </w:r>
      <w:r w:rsidRPr="009E78F4">
        <w:rPr>
          <w:rFonts w:ascii="Times New Roman" w:eastAsia="Times New Roman" w:hAnsi="Times New Roman"/>
          <w:sz w:val="24"/>
          <w:szCs w:val="24"/>
          <w:u w:val="single"/>
          <w:lang w:eastAsia="es-ES"/>
        </w:rPr>
        <w:t xml:space="preserve"> La otra, que en los últimos días parece que ha ganado posibilidades, es crear un banco malo que compre todos los activos tóxicos de los bancos</w:t>
      </w:r>
      <w:r w:rsidRPr="00395FB0">
        <w:rPr>
          <w:rFonts w:ascii="Times New Roman" w:eastAsia="Times New Roman" w:hAnsi="Times New Roman"/>
          <w:sz w:val="24"/>
          <w:szCs w:val="24"/>
          <w:lang w:eastAsia="es-ES"/>
        </w:rPr>
        <w:t xml:space="preserve"> -es decir, los bonos que no pueden vender porque nadie quiere- y así permita a las</w:t>
      </w:r>
      <w:r>
        <w:rPr>
          <w:rFonts w:ascii="Times New Roman" w:eastAsia="Times New Roman" w:hAnsi="Times New Roman"/>
          <w:sz w:val="24"/>
          <w:szCs w:val="24"/>
          <w:lang w:eastAsia="es-ES"/>
        </w:rPr>
        <w:t xml:space="preserve"> entidades sanear sus balances.</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E78F4">
        <w:rPr>
          <w:rFonts w:ascii="Times New Roman" w:eastAsia="Times New Roman" w:hAnsi="Times New Roman"/>
          <w:sz w:val="24"/>
          <w:szCs w:val="24"/>
          <w:u w:val="single"/>
          <w:lang w:eastAsia="es-ES"/>
        </w:rPr>
        <w:t>El problema es que crear un banco malo tiene casi tantos riesgos como nacionalizar las entidades. El más obvio, el coste para el contribuyente</w:t>
      </w:r>
      <w:r w:rsidRPr="00395FB0">
        <w:rPr>
          <w:rFonts w:ascii="Times New Roman" w:eastAsia="Times New Roman" w:hAnsi="Times New Roman"/>
          <w:sz w:val="24"/>
          <w:szCs w:val="24"/>
          <w:lang w:eastAsia="es-ES"/>
        </w:rPr>
        <w:t xml:space="preserve">. </w:t>
      </w:r>
      <w:r w:rsidRPr="009E78F4">
        <w:rPr>
          <w:rFonts w:ascii="Times New Roman" w:eastAsia="Times New Roman" w:hAnsi="Times New Roman"/>
          <w:sz w:val="24"/>
          <w:szCs w:val="24"/>
          <w:u w:val="single"/>
          <w:lang w:eastAsia="es-ES"/>
        </w:rPr>
        <w:t>Los activos que el Tesoro podría comprar ascienden a unos tres billones de euros, es decir, el PIB de Alemania y Francia juntas.</w:t>
      </w:r>
      <w:r w:rsidRPr="00395FB0">
        <w:rPr>
          <w:rFonts w:ascii="Times New Roman" w:eastAsia="Times New Roman" w:hAnsi="Times New Roman"/>
          <w:sz w:val="24"/>
          <w:szCs w:val="24"/>
          <w:lang w:eastAsia="es-ES"/>
        </w:rPr>
        <w:t xml:space="preserve"> No sólo eso, lo más probable es que, aunque al final la Administración logre vender todos esos títulos, lo haga con unas pérdidas que podrían rondar el billón de euros (es decir, el PIB de España). Si esas cifras acaban haciéndose realidad, acaso los contribuyentes de EEUU recuerden con nostalgia la rentabilidad negativa del 1.096% de su primer paquete de rescate.</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&gt; El nuevo gobierno</w:t>
      </w:r>
    </w:p>
    <w:p w:rsidR="002F07D4" w:rsidRPr="009E78F4"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9E78F4">
        <w:rPr>
          <w:rFonts w:ascii="Times New Roman" w:eastAsia="Times New Roman" w:hAnsi="Times New Roman"/>
          <w:sz w:val="24"/>
          <w:szCs w:val="24"/>
          <w:u w:val="single"/>
          <w:lang w:eastAsia="es-ES"/>
        </w:rPr>
        <w:t>Tim Geithner: “La gente cree que el Plan Paulson ha hecho mucho por las grandes entidades financieras y muy poco por el pequeño negocio y las familias que sufren para llegar a fin de mes”.</w:t>
      </w:r>
    </w:p>
    <w:p w:rsidR="002F07D4" w:rsidRPr="00395FB0"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95FB0">
        <w:rPr>
          <w:rFonts w:ascii="Times New Roman" w:eastAsia="Times New Roman" w:hAnsi="Times New Roman"/>
          <w:sz w:val="24"/>
          <w:szCs w:val="24"/>
          <w:lang w:eastAsia="es-ES"/>
        </w:rPr>
        <w:t>&gt; Los escándalos</w:t>
      </w:r>
    </w:p>
    <w:p w:rsidR="002F07D4" w:rsidRPr="009E78F4"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9E78F4">
        <w:rPr>
          <w:rFonts w:ascii="Times New Roman" w:eastAsia="Times New Roman" w:hAnsi="Times New Roman"/>
          <w:sz w:val="24"/>
          <w:szCs w:val="24"/>
          <w:u w:val="single"/>
          <w:lang w:eastAsia="es-ES"/>
        </w:rPr>
        <w:t>15.200 millones de euros recibieron el año pasado los ejecutivos de Wall Street en concepto de “bonus” según el informe del fiscal de cuentas del estado de Nueva York, Thomas DiNapoli.</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9E78F4">
        <w:rPr>
          <w:rFonts w:ascii="Times New Roman" w:eastAsia="Times New Roman" w:hAnsi="Times New Roman"/>
          <w:sz w:val="24"/>
          <w:szCs w:val="24"/>
          <w:u w:val="single"/>
          <w:lang w:eastAsia="es-ES"/>
        </w:rPr>
        <w:t>1,2 millones de dólares se gastó el ex consejero delegado de Merrill Lynch, John T</w:t>
      </w:r>
      <w:r>
        <w:rPr>
          <w:rFonts w:ascii="Times New Roman" w:eastAsia="Times New Roman" w:hAnsi="Times New Roman"/>
          <w:sz w:val="24"/>
          <w:szCs w:val="24"/>
          <w:u w:val="single"/>
          <w:lang w:eastAsia="es-ES"/>
        </w:rPr>
        <w:t>h</w:t>
      </w:r>
      <w:r w:rsidRPr="009E78F4">
        <w:rPr>
          <w:rFonts w:ascii="Times New Roman" w:eastAsia="Times New Roman" w:hAnsi="Times New Roman"/>
          <w:sz w:val="24"/>
          <w:szCs w:val="24"/>
          <w:u w:val="single"/>
          <w:lang w:eastAsia="es-ES"/>
        </w:rPr>
        <w:t>ain, en reformar su despacho</w:t>
      </w:r>
      <w:r w:rsidRPr="00E24B4F">
        <w:rPr>
          <w:rFonts w:ascii="Times New Roman" w:eastAsia="Times New Roman" w:hAnsi="Times New Roman"/>
          <w:sz w:val="24"/>
          <w:szCs w:val="24"/>
          <w:lang w:eastAsia="es-ES"/>
        </w:rPr>
        <w:t>…</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32BC4">
        <w:rPr>
          <w:rFonts w:ascii="Times New Roman" w:eastAsia="Times New Roman" w:hAnsi="Times New Roman"/>
          <w:sz w:val="24"/>
          <w:szCs w:val="24"/>
          <w:lang w:eastAsia="es-ES"/>
        </w:rPr>
        <w:t xml:space="preserve">- </w:t>
      </w:r>
      <w:r w:rsidRPr="00777488">
        <w:rPr>
          <w:rFonts w:ascii="Times New Roman" w:eastAsia="Times New Roman" w:hAnsi="Times New Roman"/>
          <w:sz w:val="24"/>
          <w:szCs w:val="24"/>
          <w:u w:val="single"/>
          <w:lang w:eastAsia="es-ES"/>
        </w:rPr>
        <w:t>Retribuciones de escándalo</w:t>
      </w:r>
      <w:r w:rsidRPr="00532BC4">
        <w:rPr>
          <w:rFonts w:ascii="Times New Roman" w:eastAsia="Times New Roman" w:hAnsi="Times New Roman"/>
          <w:sz w:val="24"/>
          <w:szCs w:val="24"/>
          <w:lang w:eastAsia="es-ES"/>
        </w:rPr>
        <w:t xml:space="preserve"> (Expansión - </w:t>
      </w:r>
      <w:r w:rsidRPr="00777488">
        <w:rPr>
          <w:rFonts w:ascii="Times New Roman" w:eastAsia="Times New Roman" w:hAnsi="Times New Roman"/>
          <w:b/>
          <w:sz w:val="24"/>
          <w:szCs w:val="24"/>
          <w:lang w:eastAsia="es-ES"/>
        </w:rPr>
        <w:t>4/2/09</w:t>
      </w:r>
      <w:r w:rsidRPr="00532BC4">
        <w:rPr>
          <w:rFonts w:ascii="Times New Roman" w:eastAsia="Times New Roman" w:hAnsi="Times New Roman"/>
          <w:sz w:val="24"/>
          <w:szCs w:val="24"/>
          <w:lang w:eastAsia="es-ES"/>
        </w:rPr>
        <w:t>)</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32BC4">
        <w:rPr>
          <w:rFonts w:ascii="Times New Roman" w:eastAsia="Times New Roman" w:hAnsi="Times New Roman"/>
          <w:sz w:val="24"/>
          <w:szCs w:val="24"/>
          <w:lang w:eastAsia="es-ES"/>
        </w:rPr>
        <w:t xml:space="preserve">(Por Y. Blanco / E. Calatrava)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2E1220">
        <w:rPr>
          <w:rFonts w:ascii="Times New Roman" w:eastAsia="Times New Roman" w:hAnsi="Times New Roman"/>
          <w:sz w:val="24"/>
          <w:szCs w:val="24"/>
          <w:u w:val="single"/>
          <w:lang w:eastAsia="es-ES"/>
        </w:rPr>
        <w:t>Desde que se implantó el sistema capitalista, la avaricia ha perseguido a los gestores de las grandes multinacionales, a los que se ha acusado de maximizar sus propios ingresos, en detrimento de los de la empresa y de los accionistas a quienes representan, al margen de los principios básicos del gobierno corporativo</w:t>
      </w:r>
      <w:r w:rsidRPr="00532BC4">
        <w:rPr>
          <w:rFonts w:ascii="Times New Roman" w:eastAsia="Times New Roman" w:hAnsi="Times New Roman"/>
          <w:sz w:val="24"/>
          <w:szCs w:val="24"/>
          <w:lang w:eastAsia="es-ES"/>
        </w:rPr>
        <w:t>. Una imagen que recuerda a la del Tío Gilito, el pato tacaño de Walt Disney, que simbolizaba a un hombre de negocios cuya afición era nadar entre monedas de oro.</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32BC4">
        <w:rPr>
          <w:rFonts w:ascii="Times New Roman" w:eastAsia="Times New Roman" w:hAnsi="Times New Roman"/>
          <w:sz w:val="24"/>
          <w:szCs w:val="24"/>
          <w:lang w:eastAsia="es-ES"/>
        </w:rPr>
        <w:lastRenderedPageBreak/>
        <w:t>Dar ejemplo</w:t>
      </w:r>
    </w:p>
    <w:p w:rsidR="002F07D4" w:rsidRPr="002E1220"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2E1220">
        <w:rPr>
          <w:rFonts w:ascii="Times New Roman" w:eastAsia="Times New Roman" w:hAnsi="Times New Roman"/>
          <w:sz w:val="24"/>
          <w:szCs w:val="24"/>
          <w:u w:val="single"/>
          <w:lang w:eastAsia="es-ES"/>
        </w:rPr>
        <w:t>La actual coyuntura económica ha vuelto a cuestionar si el sueldo de los superejecutivos está sobredimensionado y si, en un caso como éste, los primeros espadas deben ser los primeros en dar ejemplo, y ajustarse el cinturón de sus ganancias en línea con las necesidades de la empresa y las exigencias de los accionistas.</w:t>
      </w:r>
    </w:p>
    <w:p w:rsidR="002F07D4" w:rsidRPr="002E1220"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32BC4">
        <w:rPr>
          <w:rFonts w:ascii="Times New Roman" w:eastAsia="Times New Roman" w:hAnsi="Times New Roman"/>
          <w:sz w:val="24"/>
          <w:szCs w:val="24"/>
          <w:lang w:eastAsia="es-ES"/>
        </w:rPr>
        <w:t>En el último año, algunos mostraron su intención de renunciar a parte de su salario y predicaron con el ejemplo</w:t>
      </w:r>
      <w:r>
        <w:rPr>
          <w:rFonts w:ascii="Times New Roman" w:eastAsia="Times New Roman" w:hAnsi="Times New Roman"/>
          <w:sz w:val="24"/>
          <w:szCs w:val="24"/>
          <w:lang w:eastAsia="es-ES"/>
        </w:rPr>
        <w:t xml:space="preserve">… </w:t>
      </w:r>
      <w:r w:rsidRPr="00532BC4">
        <w:rPr>
          <w:rFonts w:ascii="Times New Roman" w:eastAsia="Times New Roman" w:hAnsi="Times New Roman"/>
          <w:sz w:val="24"/>
          <w:szCs w:val="24"/>
          <w:lang w:eastAsia="es-ES"/>
        </w:rPr>
        <w:t>Otros malgastaron el dinero de su</w:t>
      </w:r>
      <w:r>
        <w:rPr>
          <w:rFonts w:ascii="Times New Roman" w:eastAsia="Times New Roman" w:hAnsi="Times New Roman"/>
          <w:sz w:val="24"/>
          <w:szCs w:val="24"/>
          <w:lang w:eastAsia="es-ES"/>
        </w:rPr>
        <w:t>s</w:t>
      </w:r>
      <w:r w:rsidRPr="00532BC4">
        <w:rPr>
          <w:rFonts w:ascii="Times New Roman" w:eastAsia="Times New Roman" w:hAnsi="Times New Roman"/>
          <w:sz w:val="24"/>
          <w:szCs w:val="24"/>
          <w:lang w:eastAsia="es-ES"/>
        </w:rPr>
        <w:t xml:space="preserve"> empresas, como los ejecutivos de la aseguradora </w:t>
      </w:r>
      <w:r w:rsidRPr="002E1220">
        <w:rPr>
          <w:rFonts w:ascii="Times New Roman" w:eastAsia="Times New Roman" w:hAnsi="Times New Roman"/>
          <w:sz w:val="24"/>
          <w:szCs w:val="24"/>
          <w:u w:val="single"/>
          <w:lang w:eastAsia="es-ES"/>
        </w:rPr>
        <w:t>AIG, que gastaron más de 440.000 dólares (344.630 euros) en un lujoso hotel de California después de que el Ejecutivo estadounidense saliera al rescate de la compañía; mientras que un tercer grupo sacó partido a la situación y se aumentó el sueldo.</w:t>
      </w:r>
    </w:p>
    <w:p w:rsidR="002F07D4" w:rsidRPr="002E1220"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2E1220">
        <w:rPr>
          <w:rFonts w:ascii="Times New Roman" w:eastAsia="Times New Roman" w:hAnsi="Times New Roman"/>
          <w:sz w:val="24"/>
          <w:szCs w:val="24"/>
          <w:u w:val="single"/>
          <w:lang w:eastAsia="es-ES"/>
        </w:rPr>
        <w:t>Citigroup, otra de las entidades financieras que ha recibido fondos públicos, ha tenido que dar marcha atrás en sus planes de adquirir un nuevo jet privado último modelo. Y el consejero delegado saliente de Merrill Lynch, John Thain, ha tenido que poner de su bolsillo los 1,2 millones de dólares que empleó en reformar su despacho con muebles de lujo, coincidiendo con la compra por Bank of America, auspiciada desde el Gobierno para evitar su bancarrota. El propio Thain ya había protagonizado un escándalo sonado, al incrementar su salario de 83 millones de dólares, pese a las pérdidas de 5.600 millones de dólares que perdió el banco en un año.</w:t>
      </w:r>
    </w:p>
    <w:p w:rsidR="002F07D4" w:rsidRPr="002E1220"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2E1220">
        <w:rPr>
          <w:rFonts w:ascii="Times New Roman" w:eastAsia="Times New Roman" w:hAnsi="Times New Roman"/>
          <w:sz w:val="24"/>
          <w:szCs w:val="24"/>
          <w:u w:val="single"/>
          <w:lang w:eastAsia="es-ES"/>
        </w:rPr>
        <w:t>Lamentablemente, el caso de Thain no ha sido un hecho aislado en Wall Street. Otros ejecutivos de su banco, como su antecesor Stean O’Neill, o Charles Prince, ex presidente de Citi -famoso por su frase de triste recuerdo “mientras la música suene tú tienes que bailar”- se han beneficiado de paracaídas dorados, justo antes de bajarse de un avión que caminaba directo a estrellarse.</w:t>
      </w:r>
    </w:p>
    <w:p w:rsidR="002F07D4" w:rsidRPr="002E1220"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2E1220">
        <w:rPr>
          <w:rFonts w:ascii="Times New Roman" w:eastAsia="Times New Roman" w:hAnsi="Times New Roman"/>
          <w:sz w:val="24"/>
          <w:szCs w:val="24"/>
          <w:u w:val="single"/>
          <w:lang w:eastAsia="es-ES"/>
        </w:rPr>
        <w:t>De hecho, el debate sobre unos incentivos asimétricos y cortoplacistas que han metido a la banca americana en el callejón sin salida en el que se encuentra no ha hecho más que empezar. La presencia pública en muchas entidades de ambos lados del Atlántico está poniendo fin a esta orgía retributiva a pasos agigantados.</w:t>
      </w:r>
    </w:p>
    <w:p w:rsidR="002F07D4" w:rsidRPr="002E1220"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2E1220">
        <w:rPr>
          <w:rFonts w:ascii="Times New Roman" w:eastAsia="Times New Roman" w:hAnsi="Times New Roman"/>
          <w:sz w:val="24"/>
          <w:szCs w:val="24"/>
          <w:u w:val="single"/>
          <w:lang w:eastAsia="es-ES"/>
        </w:rPr>
        <w:t>Otros dos sectores que han situado sus salarios entre los mayores de la historia, en plena vorágine de deuda barata y abundante, han sido el capital riesgo y los hedge fund. Sólo apostando a la baja en previsión de la crisis subprime, se calcula que John Paulson, uno de estos ejecutivos, pudo ganar más de 5.000 millones de dólares.</w:t>
      </w:r>
    </w:p>
    <w:p w:rsidR="002F07D4" w:rsidRPr="002E1220"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2E1220">
        <w:rPr>
          <w:rFonts w:ascii="Times New Roman" w:eastAsia="Times New Roman" w:hAnsi="Times New Roman"/>
          <w:sz w:val="24"/>
          <w:szCs w:val="24"/>
          <w:u w:val="single"/>
          <w:lang w:eastAsia="es-ES"/>
        </w:rPr>
        <w:t>No en vano, el Congreso americano, les obligó a él y a otros especuladores del parqué, como el magnate húngaro George Soros, a declarar sobre su actuación e influencia en la crisis financiera. De hecho, los llamados osos de la bolsa (famosos por apostar a su caída) están bajo la vigilancia de la Administración Obama y se espera un cambio regulatorio en ambos sectores, que cambie su fisonomía.</w:t>
      </w:r>
    </w:p>
    <w:p w:rsidR="002F07D4" w:rsidRPr="002E1220"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2E1220">
        <w:rPr>
          <w:rFonts w:ascii="Times New Roman" w:eastAsia="Times New Roman" w:hAnsi="Times New Roman"/>
          <w:sz w:val="24"/>
          <w:szCs w:val="24"/>
          <w:u w:val="single"/>
          <w:lang w:eastAsia="es-ES"/>
        </w:rPr>
        <w:t xml:space="preserve">En las empresas no financieras, la tendencia fue similar, aunque más moderada. Según un estudio de Associated Press sobre las 500 compañías del índice Standard &amp; Poors, parecido fue el caso de Rick Wagoner, cuya compañía, General Motors, anunciaba despidos de 74.000 empleados mientras él se subía el salario un 64%. No extraña que cuando él y otros ejecutivos del motor fueran a pedir ayudas públicas al Gobierno de </w:t>
      </w:r>
      <w:r w:rsidRPr="002E1220">
        <w:rPr>
          <w:rFonts w:ascii="Times New Roman" w:eastAsia="Times New Roman" w:hAnsi="Times New Roman"/>
          <w:sz w:val="24"/>
          <w:szCs w:val="24"/>
          <w:u w:val="single"/>
          <w:lang w:eastAsia="es-ES"/>
        </w:rPr>
        <w:lastRenderedPageBreak/>
        <w:t>EEUU, alegando que están al borde de la bancarrota, Obama les pidiera al menos que dejaran el jet privado aparcado la próxima vez y cogieran un taxi.</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32BC4">
        <w:rPr>
          <w:rFonts w:ascii="Times New Roman" w:eastAsia="Times New Roman" w:hAnsi="Times New Roman"/>
          <w:sz w:val="24"/>
          <w:szCs w:val="24"/>
          <w:lang w:eastAsia="es-ES"/>
        </w:rPr>
        <w:t>Una gran polémica que no cesa</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32BC4">
        <w:rPr>
          <w:rFonts w:ascii="Times New Roman" w:eastAsia="Times New Roman" w:hAnsi="Times New Roman"/>
          <w:sz w:val="24"/>
          <w:szCs w:val="24"/>
          <w:lang w:eastAsia="es-ES"/>
        </w:rPr>
        <w:t xml:space="preserve">No es la primera vez que la polémica persigue a los primeros ejecutivos por altas retribuciones. </w:t>
      </w:r>
      <w:r w:rsidRPr="002E1220">
        <w:rPr>
          <w:rFonts w:ascii="Times New Roman" w:eastAsia="Times New Roman" w:hAnsi="Times New Roman"/>
          <w:sz w:val="24"/>
          <w:szCs w:val="24"/>
          <w:u w:val="single"/>
          <w:lang w:eastAsia="es-ES"/>
        </w:rPr>
        <w:t>Michael Eisner estuvo en el ojo del huracán durante su reinado en Disney</w:t>
      </w:r>
      <w:r w:rsidRPr="00532BC4">
        <w:rPr>
          <w:rFonts w:ascii="Times New Roman" w:eastAsia="Times New Roman" w:hAnsi="Times New Roman"/>
          <w:sz w:val="24"/>
          <w:szCs w:val="24"/>
          <w:lang w:eastAsia="es-ES"/>
        </w:rPr>
        <w:t>.</w:t>
      </w:r>
    </w:p>
    <w:p w:rsidR="002F07D4" w:rsidRPr="002E1220"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2E1220">
        <w:rPr>
          <w:rFonts w:ascii="Times New Roman" w:eastAsia="Times New Roman" w:hAnsi="Times New Roman"/>
          <w:sz w:val="24"/>
          <w:szCs w:val="24"/>
          <w:u w:val="single"/>
          <w:lang w:eastAsia="es-ES"/>
        </w:rPr>
        <w:t>Aunque su sueldo base era de 750.000 dólares anuales, el consejo acordó pagarle un bono anual según el incremento de los beneficios por acción de la compañía, a condición de que no ganara más de 20 veces su salario</w:t>
      </w:r>
      <w:r w:rsidRPr="00532BC4">
        <w:rPr>
          <w:rFonts w:ascii="Times New Roman" w:eastAsia="Times New Roman" w:hAnsi="Times New Roman"/>
          <w:sz w:val="24"/>
          <w:szCs w:val="24"/>
          <w:lang w:eastAsia="es-ES"/>
        </w:rPr>
        <w:t xml:space="preserve"> y de que el beneficio por título creciese un 7,5% anual. </w:t>
      </w:r>
      <w:r w:rsidRPr="002E1220">
        <w:rPr>
          <w:rFonts w:ascii="Times New Roman" w:eastAsia="Times New Roman" w:hAnsi="Times New Roman"/>
          <w:sz w:val="24"/>
          <w:szCs w:val="24"/>
          <w:u w:val="single"/>
          <w:lang w:eastAsia="es-ES"/>
        </w:rPr>
        <w:t>Un ejemplo en España lo encarnó Juan Villalonga</w:t>
      </w:r>
      <w:r w:rsidRPr="002E1220">
        <w:rPr>
          <w:rFonts w:ascii="Times New Roman" w:eastAsia="Times New Roman" w:hAnsi="Times New Roman"/>
          <w:sz w:val="24"/>
          <w:szCs w:val="24"/>
          <w:lang w:eastAsia="es-ES"/>
        </w:rPr>
        <w:t>, que embarcó a Telefónica en una carrera de adquisiciones,</w:t>
      </w:r>
      <w:r w:rsidRPr="00532BC4">
        <w:rPr>
          <w:rFonts w:ascii="Times New Roman" w:eastAsia="Times New Roman" w:hAnsi="Times New Roman"/>
          <w:sz w:val="24"/>
          <w:szCs w:val="24"/>
          <w:lang w:eastAsia="es-ES"/>
        </w:rPr>
        <w:t xml:space="preserve"> como las de Lycos y Endemol, </w:t>
      </w:r>
      <w:r w:rsidRPr="002E1220">
        <w:rPr>
          <w:rFonts w:ascii="Times New Roman" w:eastAsia="Times New Roman" w:hAnsi="Times New Roman"/>
          <w:sz w:val="24"/>
          <w:szCs w:val="24"/>
          <w:u w:val="single"/>
          <w:lang w:eastAsia="es-ES"/>
        </w:rPr>
        <w:t>que tuvieron un efecto al alza en la acción en pleno apogeo de la burbuja de Internet, pero que finalmente se tornaron en castigo a medio plazo.</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E1220">
        <w:rPr>
          <w:rFonts w:ascii="Times New Roman" w:eastAsia="Times New Roman" w:hAnsi="Times New Roman"/>
          <w:sz w:val="24"/>
          <w:szCs w:val="24"/>
          <w:u w:val="single"/>
          <w:lang w:eastAsia="es-ES"/>
        </w:rPr>
        <w:t>Otro de estos ejecutivos fue Jean Marie Messier, el consejero delegado de Vivendi, que convirtió una empresa de medio ambiente en un gigante mediático y que terminó con los pies en la calle. Eso sí, con una indemnización de 20 millones por despido</w:t>
      </w:r>
      <w:r w:rsidRPr="00E24B4F">
        <w:rPr>
          <w:rFonts w:ascii="Times New Roman" w:eastAsia="Times New Roman" w:hAnsi="Times New Roman"/>
          <w:sz w:val="24"/>
          <w:szCs w:val="24"/>
          <w:lang w:eastAsia="es-ES"/>
        </w:rPr>
        <w:t>…</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 xml:space="preserve">Esperando a Godot (y al G ¡Je! - 20) - </w:t>
      </w:r>
      <w:r w:rsidRPr="00DA6395">
        <w:rPr>
          <w:rFonts w:ascii="Times New Roman" w:hAnsi="Times New Roman"/>
          <w:b/>
          <w:sz w:val="24"/>
          <w:szCs w:val="24"/>
        </w:rPr>
        <w:t>Donde dije digo, digo Diego</w:t>
      </w:r>
      <w:r>
        <w:rPr>
          <w:rFonts w:ascii="Times New Roman" w:hAnsi="Times New Roman"/>
          <w:b/>
          <w:sz w:val="24"/>
          <w:szCs w:val="24"/>
        </w:rPr>
        <w:t xml:space="preserve"> (no comment)</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 xml:space="preserve">(In Obama we trust: haciendo trampas en el solitario para maquillar la situación) </w:t>
      </w:r>
    </w:p>
    <w:p w:rsidR="002F07D4" w:rsidRPr="00A3303B"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 </w:t>
      </w:r>
      <w:r w:rsidRPr="00A3303B">
        <w:rPr>
          <w:rFonts w:ascii="Times New Roman" w:hAnsi="Times New Roman"/>
          <w:sz w:val="24"/>
          <w:szCs w:val="24"/>
          <w:u w:val="single"/>
        </w:rPr>
        <w:t>Obama renuncia a limitar sueldos en las entidades con ayudas</w:t>
      </w:r>
      <w:r>
        <w:rPr>
          <w:rFonts w:ascii="Times New Roman" w:hAnsi="Times New Roman"/>
          <w:sz w:val="24"/>
          <w:szCs w:val="24"/>
        </w:rPr>
        <w:t xml:space="preserve"> (El País - </w:t>
      </w:r>
      <w:r w:rsidRPr="00A3303B">
        <w:rPr>
          <w:rFonts w:ascii="Times New Roman" w:hAnsi="Times New Roman"/>
          <w:b/>
          <w:sz w:val="24"/>
          <w:szCs w:val="24"/>
        </w:rPr>
        <w:t>4/3/09</w:t>
      </w:r>
      <w:r>
        <w:rPr>
          <w:rFonts w:ascii="Times New Roman" w:hAnsi="Times New Roman"/>
          <w:sz w:val="24"/>
          <w:szCs w:val="24"/>
        </w:rPr>
        <w:t>)</w:t>
      </w:r>
    </w:p>
    <w:p w:rsidR="002F07D4" w:rsidRPr="00A3303B" w:rsidRDefault="002F07D4" w:rsidP="002F07D4">
      <w:pPr>
        <w:spacing w:line="240" w:lineRule="auto"/>
        <w:jc w:val="both"/>
        <w:rPr>
          <w:rFonts w:ascii="Times New Roman" w:hAnsi="Times New Roman"/>
          <w:sz w:val="24"/>
          <w:szCs w:val="24"/>
        </w:rPr>
      </w:pPr>
      <w:r>
        <w:rPr>
          <w:rFonts w:ascii="Times New Roman" w:hAnsi="Times New Roman"/>
          <w:sz w:val="24"/>
          <w:szCs w:val="24"/>
        </w:rPr>
        <w:t>EE</w:t>
      </w:r>
      <w:r w:rsidRPr="00A3303B">
        <w:rPr>
          <w:rFonts w:ascii="Times New Roman" w:hAnsi="Times New Roman"/>
          <w:sz w:val="24"/>
          <w:szCs w:val="24"/>
        </w:rPr>
        <w:t xml:space="preserve">UU retira la norma para favorecer el desarrollo de su plan de ayudas </w:t>
      </w:r>
    </w:p>
    <w:p w:rsidR="002F07D4" w:rsidRPr="00A3303B" w:rsidRDefault="002F07D4" w:rsidP="002F07D4">
      <w:pPr>
        <w:spacing w:line="240" w:lineRule="auto"/>
        <w:jc w:val="both"/>
        <w:rPr>
          <w:rFonts w:ascii="Times New Roman" w:hAnsi="Times New Roman"/>
          <w:sz w:val="24"/>
          <w:szCs w:val="24"/>
          <w:u w:val="single"/>
        </w:rPr>
      </w:pPr>
      <w:r w:rsidRPr="00A3303B">
        <w:rPr>
          <w:rFonts w:ascii="Times New Roman" w:hAnsi="Times New Roman"/>
          <w:sz w:val="24"/>
          <w:szCs w:val="24"/>
          <w:u w:val="single"/>
        </w:rPr>
        <w:t>“Es el colmo de la irresponsabilidad, es una vergüenza”, dijo Barack Obama, presidente de EEUU, cuando se enteró de los enormes bonos que habían cobrado los ejecutivos de bancos que habían sido ayudados por el Estado. Después dijo que su Gobierno limitaría los sueldos de los altos cargos bancarios que acudieran al rescate financiero. Una normativa aprobada por el Congreso indicaba que las entidades no podrían pagar bonos superiores a un tercio del salario anual. Sin embargo, la Reserva Federal y el Departamento del Tesoro han dado marcha atrás. En su opinión, tal y como está la ley puede frenar a las entidades a que se acojan a ayudas públicas y, por lo tanto, a que estimulen el crédito y llegue a los ciudadanos, según informó ayer su página web.</w:t>
      </w:r>
    </w:p>
    <w:p w:rsidR="002F07D4" w:rsidRPr="00A3303B" w:rsidRDefault="002F07D4" w:rsidP="002F07D4">
      <w:pPr>
        <w:spacing w:line="240" w:lineRule="auto"/>
        <w:jc w:val="both"/>
        <w:rPr>
          <w:rFonts w:ascii="Times New Roman" w:hAnsi="Times New Roman"/>
          <w:sz w:val="24"/>
          <w:szCs w:val="24"/>
          <w:u w:val="single"/>
        </w:rPr>
      </w:pPr>
      <w:r w:rsidRPr="00A3303B">
        <w:rPr>
          <w:rFonts w:ascii="Times New Roman" w:hAnsi="Times New Roman"/>
          <w:sz w:val="24"/>
          <w:szCs w:val="24"/>
          <w:u w:val="single"/>
        </w:rPr>
        <w:t>Los directivos de bancos rescatados con altos sueldos podrán así acudir a las ayudas de un billón de dólares (casi 800.000 millones de euros). La Administración americana utilizará este dinero para comprar activos deteriorados.</w:t>
      </w:r>
    </w:p>
    <w:p w:rsidR="002F07D4" w:rsidRDefault="002F07D4" w:rsidP="002F07D4">
      <w:pPr>
        <w:spacing w:line="240" w:lineRule="auto"/>
        <w:jc w:val="both"/>
        <w:rPr>
          <w:rFonts w:ascii="Times New Roman" w:hAnsi="Times New Roman"/>
          <w:sz w:val="24"/>
          <w:szCs w:val="24"/>
        </w:rPr>
      </w:pPr>
      <w:r w:rsidRPr="00A3303B">
        <w:rPr>
          <w:rFonts w:ascii="Times New Roman" w:hAnsi="Times New Roman"/>
          <w:sz w:val="24"/>
          <w:szCs w:val="24"/>
          <w:u w:val="single"/>
        </w:rPr>
        <w:t>Los altos salarios de los directivos habían levantado ampollas en la opinión pública, hasta el punto de que fue una de las cuestiones a tratar en el G-20, el próximo 2 de abril en Londres. La canciller alemana, Angela Merkel, asumió la postura de Obama, tildando estas remuneraciones de “práctica incomprensible” cuando los Gobiernos recapitalizan las entidades, es decir, con dinero de los contribuyentes</w:t>
      </w:r>
      <w:r w:rsidRPr="00E24B4F">
        <w:rPr>
          <w:rFonts w:ascii="Times New Roman" w:hAnsi="Times New Roman"/>
          <w:sz w:val="24"/>
          <w:szCs w:val="24"/>
        </w:rPr>
        <w:t>…</w:t>
      </w:r>
    </w:p>
    <w:p w:rsidR="002F07D4" w:rsidRDefault="002F07D4" w:rsidP="002F07D4">
      <w:pPr>
        <w:spacing w:line="240" w:lineRule="auto"/>
        <w:jc w:val="both"/>
        <w:rPr>
          <w:rFonts w:ascii="Times New Roman" w:hAnsi="Times New Roman"/>
          <w:b/>
          <w:sz w:val="24"/>
          <w:szCs w:val="24"/>
        </w:rPr>
      </w:pPr>
      <w:r w:rsidRPr="007A59A1">
        <w:rPr>
          <w:rFonts w:ascii="Times New Roman" w:hAnsi="Times New Roman"/>
          <w:b/>
          <w:sz w:val="24"/>
          <w:szCs w:val="24"/>
        </w:rPr>
        <w:t>Wanted: banqueros al banquillo - “Operation Malicious Mortgage”</w:t>
      </w:r>
    </w:p>
    <w:p w:rsidR="002F07D4" w:rsidRPr="00A56D9A"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(De mi Ensayo: </w:t>
      </w:r>
      <w:r w:rsidRPr="00CB74C0">
        <w:rPr>
          <w:rFonts w:ascii="Times New Roman" w:hAnsi="Times New Roman"/>
          <w:b/>
          <w:sz w:val="24"/>
          <w:szCs w:val="24"/>
        </w:rPr>
        <w:t>“La codicia de los mercados - El virus mutante</w:t>
      </w:r>
      <w:r>
        <w:rPr>
          <w:rFonts w:ascii="Times New Roman" w:hAnsi="Times New Roman"/>
          <w:sz w:val="24"/>
          <w:szCs w:val="24"/>
        </w:rPr>
        <w:t xml:space="preserve"> - </w:t>
      </w:r>
      <w:r w:rsidRPr="00D306E9">
        <w:rPr>
          <w:rFonts w:ascii="Times New Roman" w:hAnsi="Times New Roman"/>
          <w:sz w:val="24"/>
          <w:szCs w:val="24"/>
        </w:rPr>
        <w:t>Enero 2009</w:t>
      </w:r>
      <w:r>
        <w:rPr>
          <w:rFonts w:ascii="Times New Roman" w:hAnsi="Times New Roman"/>
          <w:sz w:val="24"/>
          <w:szCs w:val="24"/>
        </w:rPr>
        <w:t>)</w:t>
      </w:r>
    </w:p>
    <w:p w:rsidR="002F07D4" w:rsidRPr="008A0787" w:rsidRDefault="002F07D4" w:rsidP="002F07D4">
      <w:pPr>
        <w:spacing w:line="240" w:lineRule="auto"/>
        <w:jc w:val="both"/>
        <w:rPr>
          <w:rFonts w:ascii="Times New Roman" w:hAnsi="Times New Roman"/>
          <w:sz w:val="24"/>
          <w:szCs w:val="24"/>
          <w:u w:val="single"/>
        </w:rPr>
      </w:pPr>
      <w:r w:rsidRPr="008A0787">
        <w:rPr>
          <w:rFonts w:ascii="Times New Roman" w:hAnsi="Times New Roman"/>
          <w:sz w:val="24"/>
          <w:szCs w:val="24"/>
          <w:u w:val="single"/>
        </w:rPr>
        <w:lastRenderedPageBreak/>
        <w:t>Miren ustedes por donde, justo en la jornada (20/6/08) marcada por el vencimiento de opciones y futuros en varios mercados, lo que se conoce como la triple hora bruja, nos desayunamos con la Operación “Hipoteca Maligna”. Me trae a la memoria la Operación “Tormenta del Desierto”. Más cerca, tal vez, la Operación “Libertad Duradera” o lo del “Eje del Mal”. ¿Ustedes recuerdan? ¿Incluso el final?... Pues eso…</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 xml:space="preserve">- </w:t>
      </w:r>
      <w:r w:rsidRPr="007A59A1">
        <w:rPr>
          <w:rFonts w:ascii="Times New Roman" w:hAnsi="Times New Roman"/>
          <w:sz w:val="24"/>
          <w:szCs w:val="24"/>
          <w:u w:val="single"/>
        </w:rPr>
        <w:t>Contra “hipotecas maliciosas”</w:t>
      </w:r>
      <w:r w:rsidRPr="007A59A1">
        <w:rPr>
          <w:rFonts w:ascii="Times New Roman" w:hAnsi="Times New Roman"/>
          <w:sz w:val="24"/>
          <w:szCs w:val="24"/>
        </w:rPr>
        <w:t xml:space="preserve"> (BBCMundo - </w:t>
      </w:r>
      <w:r w:rsidRPr="007A59A1">
        <w:rPr>
          <w:rFonts w:ascii="Times New Roman" w:hAnsi="Times New Roman"/>
          <w:b/>
          <w:sz w:val="24"/>
          <w:szCs w:val="24"/>
        </w:rPr>
        <w:t>19/6/08</w:t>
      </w:r>
      <w:r w:rsidRPr="007A59A1">
        <w:rPr>
          <w:rFonts w:ascii="Times New Roman" w:hAnsi="Times New Roman"/>
          <w:sz w:val="24"/>
          <w:szCs w:val="24"/>
        </w:rPr>
        <w:t xml:space="preserve">)  </w:t>
      </w:r>
    </w:p>
    <w:p w:rsidR="002F07D4" w:rsidRDefault="002F07D4" w:rsidP="002F07D4">
      <w:pPr>
        <w:spacing w:line="240" w:lineRule="auto"/>
        <w:jc w:val="both"/>
        <w:rPr>
          <w:rFonts w:ascii="Times New Roman" w:hAnsi="Times New Roman"/>
          <w:sz w:val="24"/>
          <w:szCs w:val="24"/>
          <w:u w:val="single"/>
        </w:rPr>
      </w:pPr>
      <w:r w:rsidRPr="008A0787">
        <w:rPr>
          <w:rFonts w:ascii="Times New Roman" w:hAnsi="Times New Roman"/>
          <w:sz w:val="24"/>
          <w:szCs w:val="24"/>
          <w:u w:val="single"/>
        </w:rPr>
        <w:t xml:space="preserve">Las autoridades estadounidenses revelaron el jueves los resultados de una investigación judicial contra cientos de personas acusadas de haber incurrido en delitos de fraude hipotecario. La operación “Hipoteca Maliciosa”, dirigida por el Buró Federal de Investigaciones (FBI, por sus siglas en inglés) y otras agencias estatales de ese país, ha resultado en cargos penales contra 406 personas acusadas de estar involucradas en maniobras fraudulentas para la concesión de créditos hipotecarios, dijo el FBI. </w:t>
      </w:r>
    </w:p>
    <w:p w:rsidR="002F07D4" w:rsidRPr="002F6C3F" w:rsidRDefault="002F07D4" w:rsidP="002F07D4">
      <w:pPr>
        <w:spacing w:line="240" w:lineRule="auto"/>
        <w:jc w:val="both"/>
        <w:rPr>
          <w:rFonts w:ascii="Times New Roman" w:hAnsi="Times New Roman"/>
          <w:sz w:val="24"/>
          <w:szCs w:val="24"/>
          <w:u w:val="single"/>
        </w:rPr>
      </w:pPr>
      <w:r w:rsidRPr="007A59A1">
        <w:rPr>
          <w:rFonts w:ascii="Times New Roman" w:hAnsi="Times New Roman"/>
          <w:sz w:val="24"/>
          <w:szCs w:val="24"/>
        </w:rPr>
        <w:t xml:space="preserve">El fenómeno de las hipotecas extendidas en Estados Unidos a personas con ingresos insuficientes para mantenerlas, conocidas como subprime, es considerado como uno de los factores responsables por la actual crisis financiera global. </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En un comunicado el FBI indicó que la investigación había c</w:t>
      </w:r>
      <w:r>
        <w:rPr>
          <w:rFonts w:ascii="Times New Roman" w:hAnsi="Times New Roman"/>
          <w:sz w:val="24"/>
          <w:szCs w:val="24"/>
        </w:rPr>
        <w:t xml:space="preserve">omenzado el pasado 1 de marzo. </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 xml:space="preserve">Según la corresponsal de BBC Mundo en Washington, Lourdes Heredia, el anuncio de una investigación de esta magnitud lo que busca es mandar un mensaje de que las autoridades federales están trabajando para conseguir responsables. Heredia indica que gran parte de las familias que han perdido sus hogares durante esa crisis en el mercado inmobiliario fueron engañadas cuando firmaron sus hipotecas. </w:t>
      </w:r>
    </w:p>
    <w:p w:rsidR="002F07D4" w:rsidRPr="007A59A1"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Arrestos </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 xml:space="preserve">Sólo el miércoles fueron arrestadas 60 personas en 15 localidades distintas del país. El FBI estima que los casos de fraude hipotecario investigados en la Operación Hipoteca Maliciosa involucran pérdidas de casi US$ 1.000 millones. </w:t>
      </w:r>
    </w:p>
    <w:p w:rsidR="002F07D4" w:rsidRPr="007A59A1"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“Amenaza a la economía” </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 xml:space="preserve">El mismo miércoles, en un caso distinto, el fiscal federal para el Distrito Oriental de la ciudad de Nueva York anunció la apertura formal de cargos contra dos altos ejecutivos de la firma financiera Bear Stearns. La acusación les imputa haber cometido irregularidades en la comercialización de títulos valores atados a hipotecas. </w:t>
      </w:r>
    </w:p>
    <w:p w:rsidR="002F07D4" w:rsidRPr="008A0787" w:rsidRDefault="002F07D4" w:rsidP="002F07D4">
      <w:pPr>
        <w:spacing w:line="240" w:lineRule="auto"/>
        <w:jc w:val="both"/>
        <w:rPr>
          <w:rFonts w:ascii="Times New Roman" w:hAnsi="Times New Roman"/>
          <w:sz w:val="24"/>
          <w:szCs w:val="24"/>
          <w:u w:val="single"/>
        </w:rPr>
      </w:pPr>
      <w:r w:rsidRPr="008A0787">
        <w:rPr>
          <w:rFonts w:ascii="Times New Roman" w:hAnsi="Times New Roman"/>
          <w:sz w:val="24"/>
          <w:szCs w:val="24"/>
          <w:u w:val="single"/>
        </w:rPr>
        <w:t xml:space="preserve">“El fraude hipotecario... representa una amenaza significativa a nuestra economía, a la estabilidad del mercado inmobiliario de nuestra nación y a la tranquilidad de millones de propietarios estadounidenses”, indicó en el comunicado el vice Fiscal General, Mark Filip. </w:t>
      </w:r>
    </w:p>
    <w:p w:rsidR="002F07D4"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Según las autoridades, algunas de las conductas delictivas investigadas incluyen el trámite de préstamos hipotecarios basados en información falsa acerca del estado financiero del cliente. En muchas de las hipotecas sub-prime, personas con escasos recursos financieros mintieron en sus solicitudes acerca de sus ingresos, a veces con la complicid</w:t>
      </w:r>
      <w:r>
        <w:rPr>
          <w:rFonts w:ascii="Times New Roman" w:hAnsi="Times New Roman"/>
          <w:sz w:val="24"/>
          <w:szCs w:val="24"/>
        </w:rPr>
        <w:t>ad de vendedores de hipotecas…</w:t>
      </w:r>
    </w:p>
    <w:p w:rsidR="002F07D4" w:rsidRDefault="002F07D4" w:rsidP="002F07D4">
      <w:pPr>
        <w:spacing w:line="240" w:lineRule="auto"/>
        <w:jc w:val="both"/>
        <w:rPr>
          <w:rFonts w:ascii="Times New Roman" w:hAnsi="Times New Roman"/>
          <w:sz w:val="24"/>
          <w:szCs w:val="24"/>
        </w:rPr>
      </w:pP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lastRenderedPageBreak/>
        <w:t xml:space="preserve">- </w:t>
      </w:r>
      <w:r w:rsidRPr="004A25FC">
        <w:rPr>
          <w:rFonts w:ascii="Times New Roman" w:hAnsi="Times New Roman"/>
          <w:sz w:val="24"/>
          <w:szCs w:val="24"/>
          <w:u w:val="single"/>
        </w:rPr>
        <w:t>EEUU investiga a 19 grandes firmas por fraude hipotecario</w:t>
      </w:r>
      <w:r w:rsidRPr="007A59A1">
        <w:rPr>
          <w:rFonts w:ascii="Times New Roman" w:hAnsi="Times New Roman"/>
          <w:sz w:val="24"/>
          <w:szCs w:val="24"/>
        </w:rPr>
        <w:t xml:space="preserve"> (Cinco Días - </w:t>
      </w:r>
      <w:r w:rsidRPr="004A25FC">
        <w:rPr>
          <w:rFonts w:ascii="Times New Roman" w:hAnsi="Times New Roman"/>
          <w:b/>
          <w:sz w:val="24"/>
          <w:szCs w:val="24"/>
        </w:rPr>
        <w:t>21/6/08</w:t>
      </w:r>
      <w:r w:rsidRPr="007A59A1">
        <w:rPr>
          <w:rFonts w:ascii="Times New Roman" w:hAnsi="Times New Roman"/>
          <w:sz w:val="24"/>
          <w:szCs w:val="24"/>
        </w:rPr>
        <w:t>)</w:t>
      </w:r>
    </w:p>
    <w:p w:rsidR="002F07D4" w:rsidRPr="007A59A1" w:rsidRDefault="002F07D4" w:rsidP="002F07D4">
      <w:pPr>
        <w:spacing w:line="240" w:lineRule="auto"/>
        <w:jc w:val="both"/>
        <w:rPr>
          <w:rFonts w:ascii="Times New Roman" w:hAnsi="Times New Roman"/>
          <w:sz w:val="24"/>
          <w:szCs w:val="24"/>
        </w:rPr>
      </w:pPr>
      <w:r>
        <w:rPr>
          <w:rFonts w:ascii="Times New Roman" w:hAnsi="Times New Roman"/>
          <w:sz w:val="24"/>
          <w:szCs w:val="24"/>
        </w:rPr>
        <w:t>(Por Ana B. Nieto)</w:t>
      </w:r>
    </w:p>
    <w:p w:rsidR="002F07D4" w:rsidRPr="008A0787" w:rsidRDefault="002F07D4" w:rsidP="002F07D4">
      <w:pPr>
        <w:spacing w:line="240" w:lineRule="auto"/>
        <w:jc w:val="both"/>
        <w:rPr>
          <w:rFonts w:ascii="Times New Roman" w:hAnsi="Times New Roman"/>
          <w:sz w:val="24"/>
          <w:szCs w:val="24"/>
          <w:u w:val="single"/>
        </w:rPr>
      </w:pPr>
      <w:r w:rsidRPr="008A0787">
        <w:rPr>
          <w:rFonts w:ascii="Times New Roman" w:hAnsi="Times New Roman"/>
          <w:sz w:val="24"/>
          <w:szCs w:val="24"/>
          <w:u w:val="single"/>
        </w:rPr>
        <w:t>La espectacular redada lanzada sobre el fraude inmobiliario en EEUU sigue abierta. El jueves se anunció la detención de 300 personas que operaban en pequeños negocios o por su cuenta en varios Estados del país. Pero eso no es todo. Las autoridades siguen buscando evidencias de delitos en 19 firmas que, según el director del FBI, Robert Mueller, son “relativamente grandes”.</w:t>
      </w:r>
    </w:p>
    <w:p w:rsidR="002F07D4" w:rsidRPr="008A0787" w:rsidRDefault="002F07D4" w:rsidP="002F07D4">
      <w:pPr>
        <w:spacing w:line="240" w:lineRule="auto"/>
        <w:jc w:val="both"/>
        <w:rPr>
          <w:rFonts w:ascii="Times New Roman" w:hAnsi="Times New Roman"/>
          <w:sz w:val="24"/>
          <w:szCs w:val="24"/>
          <w:u w:val="single"/>
        </w:rPr>
      </w:pPr>
      <w:r w:rsidRPr="008A0787">
        <w:rPr>
          <w:rFonts w:ascii="Times New Roman" w:hAnsi="Times New Roman"/>
          <w:sz w:val="24"/>
          <w:szCs w:val="24"/>
          <w:u w:val="single"/>
        </w:rPr>
        <w:t>Se trata de entidades hipotecarias, bancos de inversión, hedge funds y auditoras. Las autoridades han evitado identificarlas. El FBI sospecha que algunas de estas compañías han estado involucradas en fraude contable o de titulaciones.</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Los resultados de esta operación policial coincidieron con la detención de dos ex gestores de fondos de Bear Stearns, Ralph Cioffi y Matthew Tannin, a quienes se acusa de haber engañado a sus sofisticados inversores.</w:t>
      </w:r>
    </w:p>
    <w:p w:rsidR="002F07D4" w:rsidRPr="008A0787" w:rsidRDefault="002F07D4" w:rsidP="002F07D4">
      <w:pPr>
        <w:spacing w:line="240" w:lineRule="auto"/>
        <w:jc w:val="both"/>
        <w:rPr>
          <w:rFonts w:ascii="Times New Roman" w:hAnsi="Times New Roman"/>
          <w:sz w:val="24"/>
          <w:szCs w:val="24"/>
          <w:u w:val="single"/>
        </w:rPr>
      </w:pPr>
      <w:r w:rsidRPr="008A0787">
        <w:rPr>
          <w:rFonts w:ascii="Times New Roman" w:hAnsi="Times New Roman"/>
          <w:sz w:val="24"/>
          <w:szCs w:val="24"/>
          <w:u w:val="single"/>
        </w:rPr>
        <w:t>De acuerdo con los correos electrónicos que las autoridades han intervenido, los detenidos aseguraron a sus clientes  que no tenían que retirar el dinero de los fondos porque el mercado de los CDO, en el que operaban, no estaba en crisis. Todo esto ocurrió hace casi un año y fue el principio de la caída del negocio de la titulización hipotecaria que ha desembocado en una aguda crisis financiera que ha obligado a la banca mundial a efectuar depreciaciones muy significativas de sus activos. De momento, la cuantía de estos ajustes contables supera los 350.000 millones de dólares (224.000 millones de euros).</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En sus correos, Tannin y Cioffi, compartían sus temores por la situación mientras negaban la realidad a sus clientes. “Temo a este mercado”, dijo uno de ellos. La contestación fue: “créetelo o no, pero he sido capaz de convencer a gente para que añada más dinero”. Al final, los inversores perdieron unos 1.600 millones de dólares (1.025 millones de euros). La Fiscalía ahora usará esta corresponden</w:t>
      </w:r>
      <w:r>
        <w:rPr>
          <w:rFonts w:ascii="Times New Roman" w:hAnsi="Times New Roman"/>
          <w:sz w:val="24"/>
          <w:szCs w:val="24"/>
        </w:rPr>
        <w:t>cia en contra los dos gestores.</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Los afectados por los fraudes presuntamente cometidos por los 406 implicados en la operación Hipoteca Maliciosa perdieron algo menos que los inversores de Bear. El Departamento de Justicia estima que fueron unos mil millones de dólares (640 millones de euros) en operaciones donde participaron tasadores, prestamistas, abogados y agentes inmobiliarios.</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El FBI ha desvelado que había tres tipos de tácticas abusivas: fraude en el préstamo (se miente sobre la posición económica del acreedor), suspensión de pagos fraudulentos ligados a la hipotecas y el timo sobre el rescate de embargos. En este engaño, los detenidos ofrecían a sus víctimas servicios para la prevención de un embargo que no existía a cambio de comisiones.</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Las cifras</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1.400 casos de fraudes pendientes</w:t>
      </w:r>
      <w:r>
        <w:rPr>
          <w:rFonts w:ascii="Times New Roman" w:hAnsi="Times New Roman"/>
          <w:sz w:val="24"/>
          <w:szCs w:val="24"/>
        </w:rPr>
        <w:t>,</w:t>
      </w:r>
      <w:r w:rsidRPr="007A59A1">
        <w:rPr>
          <w:rFonts w:ascii="Times New Roman" w:hAnsi="Times New Roman"/>
          <w:sz w:val="24"/>
          <w:szCs w:val="24"/>
        </w:rPr>
        <w:t xml:space="preserve"> tiene el FBI, muchos de ellos relacio</w:t>
      </w:r>
      <w:r>
        <w:rPr>
          <w:rFonts w:ascii="Times New Roman" w:hAnsi="Times New Roman"/>
          <w:sz w:val="24"/>
          <w:szCs w:val="24"/>
        </w:rPr>
        <w:t>nados con hipotecas “subprime”.</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1.000 millones de dólares (640 millones de euros) podrían haber sido defraudados por los detenidos desde el pasado mes de marzo.</w:t>
      </w:r>
    </w:p>
    <w:p w:rsidR="002F07D4"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lastRenderedPageBreak/>
        <w:t>10 veces más casos de fraude fueron d</w:t>
      </w:r>
      <w:r>
        <w:rPr>
          <w:rFonts w:ascii="Times New Roman" w:hAnsi="Times New Roman"/>
          <w:sz w:val="24"/>
          <w:szCs w:val="24"/>
        </w:rPr>
        <w:t>enunciados en 2007 que en 2002…</w:t>
      </w:r>
    </w:p>
    <w:p w:rsidR="002F07D4" w:rsidRPr="007A59A1" w:rsidRDefault="002F07D4" w:rsidP="002F07D4">
      <w:pPr>
        <w:jc w:val="both"/>
        <w:rPr>
          <w:rFonts w:ascii="Times New Roman" w:hAnsi="Times New Roman"/>
          <w:sz w:val="24"/>
          <w:szCs w:val="24"/>
        </w:rPr>
      </w:pPr>
      <w:r w:rsidRPr="007A59A1">
        <w:rPr>
          <w:rFonts w:ascii="Times New Roman" w:hAnsi="Times New Roman"/>
          <w:sz w:val="24"/>
          <w:szCs w:val="24"/>
        </w:rPr>
        <w:t xml:space="preserve">- </w:t>
      </w:r>
      <w:r w:rsidRPr="004A25FC">
        <w:rPr>
          <w:rFonts w:ascii="Times New Roman" w:hAnsi="Times New Roman"/>
          <w:sz w:val="24"/>
          <w:szCs w:val="24"/>
          <w:u w:val="single"/>
        </w:rPr>
        <w:t>Un desastre financiero que dejó un agujero de 610.000 millones de euros</w:t>
      </w:r>
      <w:r w:rsidRPr="007A59A1">
        <w:rPr>
          <w:rFonts w:ascii="Times New Roman" w:hAnsi="Times New Roman"/>
          <w:sz w:val="24"/>
          <w:szCs w:val="24"/>
        </w:rPr>
        <w:t xml:space="preserve"> (</w:t>
      </w:r>
      <w:r w:rsidRPr="0061061D">
        <w:rPr>
          <w:rFonts w:ascii="Times New Roman" w:hAnsi="Times New Roman"/>
          <w:b/>
          <w:sz w:val="24"/>
          <w:szCs w:val="24"/>
        </w:rPr>
        <w:t>a junio 2008 y sigue creciendo</w:t>
      </w:r>
      <w:r w:rsidRPr="007A59A1">
        <w:rPr>
          <w:rFonts w:ascii="Times New Roman" w:hAnsi="Times New Roman"/>
          <w:sz w:val="24"/>
          <w:szCs w:val="24"/>
        </w:rPr>
        <w:t>)</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“Lo peor de esta crisis es que después de casi un año, todavía no sabemos si estamos en medio, al final o en el principio”. Con esta frase, pronunciada a mediados de junio, resumía un director financiero de una de las grandes entidades españolas el despiste y la inquietud que produce la crisis. Lo cierto es que ni los más veteranos habían visto una sequía tan severa en los mercados financieros. Las noticias que llegan cada día, con nuevas pérdidas en los bancos internacionales, no hacen presuponer que la tormenta se haya despejado. La gran redada realizada ayer en Estados Unidos con 406 acusados de fraude,</w:t>
      </w:r>
      <w:r>
        <w:rPr>
          <w:rFonts w:ascii="Times New Roman" w:hAnsi="Times New Roman"/>
          <w:sz w:val="24"/>
          <w:szCs w:val="24"/>
        </w:rPr>
        <w:t xml:space="preserve"> complica aún más la situación.</w:t>
      </w:r>
    </w:p>
    <w:p w:rsidR="002F07D4" w:rsidRPr="00F876B9" w:rsidRDefault="002F07D4" w:rsidP="002F07D4">
      <w:pPr>
        <w:spacing w:line="240" w:lineRule="auto"/>
        <w:jc w:val="both"/>
        <w:rPr>
          <w:rFonts w:ascii="Times New Roman" w:hAnsi="Times New Roman"/>
          <w:sz w:val="24"/>
          <w:szCs w:val="24"/>
          <w:u w:val="single"/>
        </w:rPr>
      </w:pPr>
      <w:r w:rsidRPr="00F876B9">
        <w:rPr>
          <w:rFonts w:ascii="Times New Roman" w:hAnsi="Times New Roman"/>
          <w:sz w:val="24"/>
          <w:szCs w:val="24"/>
          <w:u w:val="single"/>
        </w:rPr>
        <w:t>La crisis financiera que se inició con la fuerte morosidad de las hipotecas estadounidenses de baja calidad y alto riesgo (subprime) se ha extendido a otros activos. Ahora también se han contaminado los mercados hipotecarios de primera clase, las hipotecas de locales comerciales, el crédito al consumo y el crédito a empresas.</w:t>
      </w:r>
    </w:p>
    <w:p w:rsidR="002F07D4" w:rsidRPr="00F876B9" w:rsidRDefault="002F07D4" w:rsidP="002F07D4">
      <w:pPr>
        <w:spacing w:line="240" w:lineRule="auto"/>
        <w:jc w:val="both"/>
        <w:rPr>
          <w:rFonts w:ascii="Times New Roman" w:hAnsi="Times New Roman"/>
          <w:sz w:val="24"/>
          <w:szCs w:val="24"/>
          <w:u w:val="single"/>
        </w:rPr>
      </w:pPr>
      <w:r w:rsidRPr="00F876B9">
        <w:rPr>
          <w:rFonts w:ascii="Times New Roman" w:hAnsi="Times New Roman"/>
          <w:sz w:val="24"/>
          <w:szCs w:val="24"/>
          <w:u w:val="single"/>
        </w:rPr>
        <w:t>Esta capacidad de transformarse y expandirse provoca que esta crisis parezca una epidemia imposible de detener. A medida que estos mercados se hunden, los activos financieros que se basan en ellos se deprecian. Esos activos están en las carteras de muchos grandes bancos internacionales, que necesitan más y más provisiones. Las entidades parecen incapaces de detener la sangría. Hasta el momento, los grupos bancarios más afectados han reconocido pérdidas por valor de 246.300 millones.</w:t>
      </w:r>
    </w:p>
    <w:p w:rsidR="002F07D4" w:rsidRPr="00F876B9" w:rsidRDefault="002F07D4" w:rsidP="002F07D4">
      <w:pPr>
        <w:spacing w:line="240" w:lineRule="auto"/>
        <w:jc w:val="both"/>
        <w:rPr>
          <w:rFonts w:ascii="Times New Roman" w:hAnsi="Times New Roman"/>
          <w:sz w:val="24"/>
          <w:szCs w:val="24"/>
          <w:u w:val="single"/>
        </w:rPr>
      </w:pPr>
      <w:r w:rsidRPr="00F876B9">
        <w:rPr>
          <w:rFonts w:ascii="Times New Roman" w:hAnsi="Times New Roman"/>
          <w:sz w:val="24"/>
          <w:szCs w:val="24"/>
          <w:u w:val="single"/>
        </w:rPr>
        <w:t>Los análisis de las autoridades supervisoras internacionales están fallando. Primero dijeron que cuando se auditaran las cuentas de los grandes bancos se sabría el tamaño del agujero de las hipotecas basura y los productos financieros contaminados. Craso error. Pasó enero, febrero, llegaron las auditorías, se cerró el primer trimestre y, tras casi concluir el segundo, las pérdidas y provisiones siguen castigando a los bancos. Primero se calculó que serían 380.000 millones de euros. Luego el FMI reconoció un agujero de 610.000 millones.</w:t>
      </w:r>
    </w:p>
    <w:p w:rsidR="002F07D4" w:rsidRPr="007A59A1" w:rsidRDefault="002F07D4" w:rsidP="002F07D4">
      <w:pPr>
        <w:spacing w:line="240" w:lineRule="auto"/>
        <w:jc w:val="both"/>
        <w:rPr>
          <w:rFonts w:ascii="Times New Roman" w:hAnsi="Times New Roman"/>
          <w:sz w:val="24"/>
          <w:szCs w:val="24"/>
        </w:rPr>
      </w:pPr>
      <w:r w:rsidRPr="00F876B9">
        <w:rPr>
          <w:rFonts w:ascii="Times New Roman" w:hAnsi="Times New Roman"/>
          <w:sz w:val="24"/>
          <w:szCs w:val="24"/>
          <w:u w:val="single"/>
        </w:rPr>
        <w:t>Lo cierto es que el mercado no funciona. Los bancos no se prestan dinero porque todos desconfían de la salud financiera de sus rivales</w:t>
      </w:r>
      <w:r w:rsidRPr="007A59A1">
        <w:rPr>
          <w:rFonts w:ascii="Times New Roman" w:hAnsi="Times New Roman"/>
          <w:sz w:val="24"/>
          <w:szCs w:val="24"/>
        </w:rPr>
        <w:t>. Esta situación provoca que ninguna entidad esté a salvo. Ni siquiera los bancos a los que la crisis ha cogido con los depósitos de liquidez llenos están tranquilos. Son conscientes de que si empiezan a caer unos, acabarán ellos con problemas. Esta situación se ha trasladado a las empresas -es decir, a la economía real- al acelerar la caída del mercado inmobiliario. Las economías de los países desarrol</w:t>
      </w:r>
      <w:r>
        <w:rPr>
          <w:rFonts w:ascii="Times New Roman" w:hAnsi="Times New Roman"/>
          <w:sz w:val="24"/>
          <w:szCs w:val="24"/>
        </w:rPr>
        <w:t>lados se han enfriado de golpe.</w:t>
      </w:r>
    </w:p>
    <w:p w:rsidR="002F07D4" w:rsidRPr="007A59A1"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El Banco de Inglaterra acudió en ayuda de Northern Rock. La Reserva Federal de EE UU hizo lo mismo con Bear Stearns, un banco de inversión que, como sus competidores, no estaba ni siquiera supervisado.</w:t>
      </w:r>
    </w:p>
    <w:p w:rsidR="002F07D4" w:rsidRDefault="002F07D4" w:rsidP="002F07D4">
      <w:pPr>
        <w:spacing w:line="240" w:lineRule="auto"/>
        <w:jc w:val="both"/>
        <w:rPr>
          <w:rFonts w:ascii="Times New Roman" w:hAnsi="Times New Roman"/>
          <w:sz w:val="24"/>
          <w:szCs w:val="24"/>
        </w:rPr>
      </w:pPr>
      <w:r w:rsidRPr="007A59A1">
        <w:rPr>
          <w:rFonts w:ascii="Times New Roman" w:hAnsi="Times New Roman"/>
          <w:sz w:val="24"/>
          <w:szCs w:val="24"/>
        </w:rPr>
        <w:t>Hasta ahora la crisis ha costado el puesto a los ejecutivos de Merrill Lynch, Citigroup, UBS y la aseguradora AIG, entre otros. Los nuevos responsables reconocen que tampoco saben cuánto falta para cerrar esta crisis</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Pr="002A1F32" w:rsidRDefault="002F07D4" w:rsidP="002F07D4">
      <w:pPr>
        <w:spacing w:line="240" w:lineRule="auto"/>
        <w:jc w:val="both"/>
        <w:rPr>
          <w:rFonts w:ascii="Times New Roman" w:hAnsi="Times New Roman"/>
          <w:b/>
          <w:sz w:val="24"/>
          <w:szCs w:val="24"/>
        </w:rPr>
      </w:pPr>
      <w:r>
        <w:rPr>
          <w:rFonts w:ascii="Times New Roman" w:hAnsi="Times New Roman"/>
          <w:b/>
          <w:sz w:val="24"/>
          <w:szCs w:val="24"/>
        </w:rPr>
        <w:lastRenderedPageBreak/>
        <w:t>Bad boys (Culpables sin fronteras) - Los 40 ladrones…</w:t>
      </w:r>
    </w:p>
    <w:p w:rsidR="002F07D4" w:rsidRPr="0023232A" w:rsidRDefault="002F07D4" w:rsidP="002F07D4">
      <w:pPr>
        <w:spacing w:line="240" w:lineRule="auto"/>
        <w:jc w:val="both"/>
        <w:rPr>
          <w:rFonts w:ascii="Times New Roman" w:hAnsi="Times New Roman"/>
          <w:sz w:val="24"/>
          <w:szCs w:val="24"/>
        </w:rPr>
      </w:pPr>
      <w:r w:rsidRPr="0023232A">
        <w:rPr>
          <w:rFonts w:ascii="Times New Roman" w:hAnsi="Times New Roman"/>
          <w:sz w:val="24"/>
          <w:szCs w:val="24"/>
        </w:rPr>
        <w:t xml:space="preserve">- </w:t>
      </w:r>
      <w:r w:rsidRPr="0023232A">
        <w:rPr>
          <w:rFonts w:ascii="Times New Roman" w:hAnsi="Times New Roman"/>
          <w:sz w:val="24"/>
          <w:szCs w:val="24"/>
          <w:u w:val="single"/>
        </w:rPr>
        <w:t>Los cinco mayores especuladores financieros declaran ante el Congreso de EEUU</w:t>
      </w:r>
      <w:r w:rsidRPr="0023232A">
        <w:rPr>
          <w:rFonts w:ascii="Times New Roman" w:hAnsi="Times New Roman"/>
          <w:sz w:val="24"/>
          <w:szCs w:val="24"/>
        </w:rPr>
        <w:t xml:space="preserve"> (El Confidencial - </w:t>
      </w:r>
      <w:r w:rsidRPr="0023232A">
        <w:rPr>
          <w:rFonts w:ascii="Times New Roman" w:hAnsi="Times New Roman"/>
          <w:b/>
          <w:sz w:val="24"/>
          <w:szCs w:val="24"/>
        </w:rPr>
        <w:t>13/11/08</w:t>
      </w:r>
      <w:r w:rsidRPr="0023232A">
        <w:rPr>
          <w:rFonts w:ascii="Times New Roman" w:hAnsi="Times New Roman"/>
          <w:sz w:val="24"/>
          <w:szCs w:val="24"/>
        </w:rPr>
        <w:t>)</w:t>
      </w:r>
    </w:p>
    <w:p w:rsidR="002F07D4" w:rsidRPr="0023232A" w:rsidRDefault="002F07D4" w:rsidP="002F07D4">
      <w:pPr>
        <w:spacing w:line="240" w:lineRule="auto"/>
        <w:jc w:val="both"/>
        <w:rPr>
          <w:rFonts w:ascii="Times New Roman" w:hAnsi="Times New Roman"/>
          <w:sz w:val="24"/>
          <w:szCs w:val="24"/>
        </w:rPr>
      </w:pPr>
      <w:r w:rsidRPr="0023232A">
        <w:rPr>
          <w:rFonts w:ascii="Times New Roman" w:hAnsi="Times New Roman"/>
          <w:sz w:val="24"/>
          <w:szCs w:val="24"/>
        </w:rPr>
        <w:t>(Por E. Sanz)</w:t>
      </w:r>
    </w:p>
    <w:p w:rsidR="002F07D4" w:rsidRDefault="002F07D4" w:rsidP="002F07D4">
      <w:pPr>
        <w:spacing w:line="240" w:lineRule="auto"/>
        <w:jc w:val="both"/>
        <w:rPr>
          <w:rFonts w:ascii="Times New Roman" w:hAnsi="Times New Roman"/>
          <w:sz w:val="24"/>
          <w:szCs w:val="24"/>
          <w:u w:val="single"/>
        </w:rPr>
      </w:pPr>
      <w:r w:rsidRPr="0023232A">
        <w:rPr>
          <w:rFonts w:ascii="Times New Roman" w:hAnsi="Times New Roman"/>
          <w:sz w:val="24"/>
          <w:szCs w:val="24"/>
          <w:u w:val="single"/>
        </w:rPr>
        <w:t xml:space="preserve">Cinco de los gestores de hedge funds más ricos y poderosos del mundo se enfrentan hoy al Congreso de Estados Unidos que quiere saber hasta qué punto la falta de transparencia de la industria supone un riesgo para el sistema financiero mundial. </w:t>
      </w:r>
    </w:p>
    <w:p w:rsidR="002F07D4" w:rsidRDefault="002F07D4" w:rsidP="002F07D4">
      <w:pPr>
        <w:spacing w:line="240" w:lineRule="auto"/>
        <w:jc w:val="both"/>
        <w:rPr>
          <w:rFonts w:ascii="Times New Roman" w:hAnsi="Times New Roman"/>
          <w:sz w:val="24"/>
          <w:szCs w:val="24"/>
          <w:u w:val="single"/>
        </w:rPr>
      </w:pPr>
      <w:r w:rsidRPr="0023232A">
        <w:rPr>
          <w:rFonts w:ascii="Times New Roman" w:hAnsi="Times New Roman"/>
          <w:sz w:val="24"/>
          <w:szCs w:val="24"/>
          <w:u w:val="single"/>
        </w:rPr>
        <w:t xml:space="preserve">John Paulson (Paulson &amp; Co.), George Soros (Soros Fund Management), Philip Falcone (Harbinger Capital Partners), James Simons (Reinaissance Technologies) y Kenneth Griffin (Citaldel Investment Group) deberán testificar hoy ante </w:t>
      </w:r>
      <w:smartTag w:uri="urn:schemas-microsoft-com:office:smarttags" w:element="PersonName">
        <w:smartTagPr>
          <w:attr w:name="ProductID" w:val="la C￡mara"/>
        </w:smartTagPr>
        <w:r w:rsidRPr="0023232A">
          <w:rPr>
            <w:rFonts w:ascii="Times New Roman" w:hAnsi="Times New Roman"/>
            <w:sz w:val="24"/>
            <w:szCs w:val="24"/>
            <w:u w:val="single"/>
          </w:rPr>
          <w:t>la Cámara</w:t>
        </w:r>
      </w:smartTag>
      <w:r w:rsidRPr="0023232A">
        <w:rPr>
          <w:rFonts w:ascii="Times New Roman" w:hAnsi="Times New Roman"/>
          <w:sz w:val="24"/>
          <w:szCs w:val="24"/>
          <w:u w:val="single"/>
        </w:rPr>
        <w:t xml:space="preserve"> de Representantes del Congreso para explicar el papel que juegan y ha jugado los hedge funds en los mercados financieros así como la situación regulatoria en la que se encuentran. Todos ellos tienen bajo gestión unos 120.000 millones de dólares, según estimaciones de ABC News.</w:t>
      </w:r>
    </w:p>
    <w:p w:rsidR="002F07D4" w:rsidRPr="0023232A" w:rsidRDefault="002F07D4" w:rsidP="002F07D4">
      <w:pPr>
        <w:spacing w:line="240" w:lineRule="auto"/>
        <w:jc w:val="both"/>
        <w:rPr>
          <w:rFonts w:ascii="Times New Roman" w:hAnsi="Times New Roman"/>
          <w:sz w:val="24"/>
          <w:szCs w:val="24"/>
          <w:u w:val="single"/>
        </w:rPr>
      </w:pPr>
      <w:r w:rsidRPr="0023232A">
        <w:rPr>
          <w:rFonts w:ascii="Times New Roman" w:hAnsi="Times New Roman"/>
          <w:sz w:val="24"/>
          <w:szCs w:val="24"/>
          <w:u w:val="single"/>
        </w:rPr>
        <w:t xml:space="preserve">El presidente del Comité de Supervisión y de Reformas del Gobierno de </w:t>
      </w:r>
      <w:smartTag w:uri="urn:schemas-microsoft-com:office:smarttags" w:element="PersonName">
        <w:smartTagPr>
          <w:attr w:name="ProductID" w:val="la C￡mara"/>
        </w:smartTagPr>
        <w:r w:rsidRPr="0023232A">
          <w:rPr>
            <w:rFonts w:ascii="Times New Roman" w:hAnsi="Times New Roman"/>
            <w:sz w:val="24"/>
            <w:szCs w:val="24"/>
            <w:u w:val="single"/>
          </w:rPr>
          <w:t>la Cámara</w:t>
        </w:r>
      </w:smartTag>
      <w:r w:rsidRPr="0023232A">
        <w:rPr>
          <w:rFonts w:ascii="Times New Roman" w:hAnsi="Times New Roman"/>
          <w:sz w:val="24"/>
          <w:szCs w:val="24"/>
          <w:u w:val="single"/>
        </w:rPr>
        <w:t xml:space="preserve"> de Representantes, el demócrata Henry Waxman, ha pedido expresamente que testifiquen, después de que cada uno de ellos haya registrado este año ganancias estimadas en 1.000 millones de dólares. La comparecencia de estos tres gestores es la última de una serie de intervenciones ante el Congreso con el objetivo de investigar las causas y los efectos de la crisis financiera. También han tenido que someterse al interrogatorio de </w:t>
      </w:r>
      <w:smartTag w:uri="urn:schemas-microsoft-com:office:smarttags" w:element="PersonName">
        <w:smartTagPr>
          <w:attr w:name="ProductID" w:val="la C￡mara"/>
        </w:smartTagPr>
        <w:r w:rsidRPr="0023232A">
          <w:rPr>
            <w:rFonts w:ascii="Times New Roman" w:hAnsi="Times New Roman"/>
            <w:sz w:val="24"/>
            <w:szCs w:val="24"/>
            <w:u w:val="single"/>
          </w:rPr>
          <w:t>la Cámara</w:t>
        </w:r>
      </w:smartTag>
      <w:r w:rsidRPr="0023232A">
        <w:rPr>
          <w:rFonts w:ascii="Times New Roman" w:hAnsi="Times New Roman"/>
          <w:sz w:val="24"/>
          <w:szCs w:val="24"/>
          <w:u w:val="single"/>
        </w:rPr>
        <w:t xml:space="preserve"> de Representantes los máximos responsables de Fitch, Moody’s y S&amp;P 500. </w:t>
      </w:r>
    </w:p>
    <w:p w:rsidR="002F07D4" w:rsidRPr="0023232A" w:rsidRDefault="002F07D4" w:rsidP="002F07D4">
      <w:pPr>
        <w:spacing w:line="240" w:lineRule="auto"/>
        <w:jc w:val="both"/>
        <w:rPr>
          <w:rFonts w:ascii="Times New Roman" w:hAnsi="Times New Roman"/>
          <w:sz w:val="24"/>
          <w:szCs w:val="24"/>
          <w:u w:val="single"/>
        </w:rPr>
      </w:pPr>
      <w:r w:rsidRPr="0023232A">
        <w:rPr>
          <w:rFonts w:ascii="Times New Roman" w:hAnsi="Times New Roman"/>
          <w:sz w:val="24"/>
          <w:szCs w:val="24"/>
          <w:u w:val="single"/>
        </w:rPr>
        <w:t xml:space="preserve">La industria de los hedge funds, que está viviendo uno de los ejercicios más duros de su historia en cuanto a rentabilidades y reembolsos -sólo en octubre perdió 100.000 millones de dólares en octubre según estimaciones de Eurekahedge-, ha sido acusada de provocar el colapso de dos de los mayores bancos de inversión estadounidenses así como de haber provocado las fuertes caídas en bolsa de las últimas semanas. </w:t>
      </w:r>
    </w:p>
    <w:p w:rsidR="002F07D4" w:rsidRPr="0023232A" w:rsidRDefault="002F07D4" w:rsidP="002F07D4">
      <w:pPr>
        <w:spacing w:line="240" w:lineRule="auto"/>
        <w:jc w:val="both"/>
        <w:rPr>
          <w:rFonts w:ascii="Times New Roman" w:hAnsi="Times New Roman"/>
          <w:sz w:val="24"/>
          <w:szCs w:val="24"/>
        </w:rPr>
      </w:pPr>
      <w:r w:rsidRPr="0023232A">
        <w:rPr>
          <w:rFonts w:ascii="Times New Roman" w:hAnsi="Times New Roman"/>
          <w:sz w:val="24"/>
          <w:szCs w:val="24"/>
        </w:rPr>
        <w:t>De hecho, Paulson llegó a apostar más de 1.140 millones de euros por la caída en bolsa de los bancos británicos, mientras que en España, Philip Falcone apostó 580 millones de euros contra Santander, BBVA y Popular.</w:t>
      </w:r>
    </w:p>
    <w:p w:rsidR="002F07D4" w:rsidRPr="0023232A" w:rsidRDefault="002F07D4" w:rsidP="002F07D4">
      <w:pPr>
        <w:spacing w:line="240" w:lineRule="auto"/>
        <w:jc w:val="both"/>
        <w:rPr>
          <w:rFonts w:ascii="Times New Roman" w:hAnsi="Times New Roman"/>
          <w:sz w:val="24"/>
          <w:szCs w:val="24"/>
        </w:rPr>
      </w:pPr>
      <w:r w:rsidRPr="0023232A">
        <w:rPr>
          <w:rFonts w:ascii="Times New Roman" w:hAnsi="Times New Roman"/>
          <w:sz w:val="24"/>
          <w:szCs w:val="24"/>
          <w:u w:val="single"/>
        </w:rPr>
        <w:t>Waxman pedirá a estos cinco gestores que den al Comité una lista de todos los fondos controlados, el total de activos bajo gestión, informes a inversores así como los documentos sobre la posiciones de cada fondos en posiciones en CDS -credit default swaps</w:t>
      </w:r>
      <w:r w:rsidRPr="0023232A">
        <w:rPr>
          <w:rFonts w:ascii="Times New Roman" w:hAnsi="Times New Roman"/>
          <w:sz w:val="24"/>
          <w:szCs w:val="24"/>
        </w:rPr>
        <w:t xml:space="preserve">-. </w:t>
      </w:r>
    </w:p>
    <w:p w:rsidR="002F07D4" w:rsidRPr="0023232A" w:rsidRDefault="002F07D4" w:rsidP="002F07D4">
      <w:pPr>
        <w:spacing w:line="240" w:lineRule="auto"/>
        <w:jc w:val="both"/>
        <w:rPr>
          <w:rFonts w:ascii="Times New Roman" w:hAnsi="Times New Roman"/>
          <w:sz w:val="24"/>
          <w:szCs w:val="24"/>
          <w:u w:val="single"/>
        </w:rPr>
      </w:pPr>
      <w:r w:rsidRPr="0023232A">
        <w:rPr>
          <w:rFonts w:ascii="Times New Roman" w:hAnsi="Times New Roman"/>
          <w:sz w:val="24"/>
          <w:szCs w:val="24"/>
          <w:u w:val="single"/>
        </w:rPr>
        <w:t xml:space="preserve">Asimismo, se les ha requerido información sobre el nivel de riesgo asociado a cada hedge fund y los detalles sobre el dinero que han recibido en los últimos años. Los elevados cheques recibidos por los principales ejecutivos de Wall Street han sido duramente criticados por Waxman. </w:t>
      </w:r>
    </w:p>
    <w:p w:rsidR="002F07D4" w:rsidRPr="0023232A" w:rsidRDefault="002F07D4" w:rsidP="002F07D4">
      <w:pPr>
        <w:spacing w:line="240" w:lineRule="auto"/>
        <w:jc w:val="both"/>
        <w:rPr>
          <w:rFonts w:ascii="Times New Roman" w:hAnsi="Times New Roman"/>
          <w:sz w:val="24"/>
          <w:szCs w:val="24"/>
        </w:rPr>
      </w:pPr>
      <w:r w:rsidRPr="0023232A">
        <w:rPr>
          <w:rFonts w:ascii="Times New Roman" w:hAnsi="Times New Roman"/>
          <w:sz w:val="24"/>
          <w:szCs w:val="24"/>
          <w:u w:val="single"/>
        </w:rPr>
        <w:t>Soros Fund Management, del millonario y filántropo George Soros, dijo el mes pasado que espera que la crisis financiera mundial provoque un duro revés a la industria de los hedge funds, que puede perder hasta un tercio de su volumen actual.</w:t>
      </w:r>
      <w:r w:rsidRPr="0023232A">
        <w:rPr>
          <w:rFonts w:ascii="Times New Roman" w:hAnsi="Times New Roman"/>
          <w:sz w:val="24"/>
          <w:szCs w:val="24"/>
        </w:rPr>
        <w:t xml:space="preserve"> Se estima que Soros ganó hasta 1.000 millones de dólares apostando contra el desplome de la libra esterlina en 1992. </w:t>
      </w:r>
    </w:p>
    <w:p w:rsidR="002F07D4" w:rsidRPr="0023232A" w:rsidRDefault="002F07D4" w:rsidP="002F07D4">
      <w:pPr>
        <w:spacing w:line="240" w:lineRule="auto"/>
        <w:jc w:val="both"/>
        <w:rPr>
          <w:rFonts w:ascii="Times New Roman" w:hAnsi="Times New Roman"/>
          <w:sz w:val="24"/>
          <w:szCs w:val="24"/>
          <w:u w:val="single"/>
        </w:rPr>
      </w:pPr>
      <w:r w:rsidRPr="0023232A">
        <w:rPr>
          <w:rFonts w:ascii="Times New Roman" w:hAnsi="Times New Roman"/>
          <w:sz w:val="24"/>
          <w:szCs w:val="24"/>
          <w:u w:val="single"/>
        </w:rPr>
        <w:lastRenderedPageBreak/>
        <w:t>Por su parte, John Paulson, dueño de Paulson &amp; Co, apostó el año pasado por el hundimiento del mercado financiero y este año espera que varios de sus fondos entren en beneficios pese al tsunami financiero. Por el contrario, Kenneth Griffin, dueño de Citadel Investment Group, se enfrenta a serias dificultades después de que sus buques insignia. Kensington y Wellington hayan perdido un 38% sólo desde principios de noviembre.</w:t>
      </w:r>
    </w:p>
    <w:p w:rsidR="002F07D4" w:rsidRDefault="002F07D4" w:rsidP="002F07D4">
      <w:pPr>
        <w:spacing w:line="240" w:lineRule="auto"/>
        <w:jc w:val="both"/>
        <w:rPr>
          <w:rFonts w:ascii="Times New Roman" w:hAnsi="Times New Roman"/>
          <w:sz w:val="24"/>
          <w:szCs w:val="24"/>
        </w:rPr>
      </w:pPr>
      <w:r w:rsidRPr="0023232A">
        <w:rPr>
          <w:rFonts w:ascii="Times New Roman" w:hAnsi="Times New Roman"/>
          <w:sz w:val="24"/>
          <w:szCs w:val="24"/>
          <w:u w:val="single"/>
        </w:rPr>
        <w:t>En los últimos años, ser gestor de un hedge fund ha sido una de las carreras más lucrativas del mundo. Sin embargo, la debacle bursátil que ha sacudido a las bolsas de todo el mundo también ha provocado un duro castigo para estos productos de inversión alternativa. Y el futuro no parece demasiado alentador. Algunos expertos prevén un auténtico “baño de sangre” dentro de la industria con caídas de entre el 30% y el 60%</w:t>
      </w:r>
      <w:r w:rsidRPr="0023232A">
        <w:rPr>
          <w:rFonts w:ascii="Times New Roman" w:hAnsi="Times New Roman"/>
          <w:sz w:val="24"/>
          <w:szCs w:val="24"/>
        </w:rPr>
        <w:t xml:space="preserve"> para algunos de estos fondos por culpa, por un lado, del colapso de las inversiones y, por otro, de la masiva retirada de capitales por parte de sus clientes</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sidRPr="00C24C86">
        <w:rPr>
          <w:rFonts w:ascii="Times New Roman" w:hAnsi="Times New Roman"/>
          <w:sz w:val="24"/>
          <w:szCs w:val="24"/>
        </w:rPr>
        <w:t xml:space="preserve">- </w:t>
      </w:r>
      <w:r w:rsidRPr="00C24C86">
        <w:rPr>
          <w:rFonts w:ascii="Times New Roman" w:hAnsi="Times New Roman"/>
          <w:sz w:val="24"/>
          <w:szCs w:val="24"/>
          <w:u w:val="single"/>
        </w:rPr>
        <w:t>Los 25 culpables de la crisis</w:t>
      </w:r>
      <w:r w:rsidRPr="00C24C86">
        <w:rPr>
          <w:rFonts w:ascii="Times New Roman" w:hAnsi="Times New Roman"/>
          <w:sz w:val="24"/>
          <w:szCs w:val="24"/>
        </w:rPr>
        <w:t xml:space="preserve"> (El Confidencial - </w:t>
      </w:r>
      <w:r w:rsidRPr="00C24C86">
        <w:rPr>
          <w:rFonts w:ascii="Times New Roman" w:hAnsi="Times New Roman"/>
          <w:b/>
          <w:sz w:val="24"/>
          <w:szCs w:val="24"/>
        </w:rPr>
        <w:t>27/1/09</w:t>
      </w:r>
      <w:r w:rsidRPr="00C24C86">
        <w:rPr>
          <w:rFonts w:ascii="Times New Roman" w:hAnsi="Times New Roman"/>
          <w:sz w:val="24"/>
          <w:szCs w:val="24"/>
        </w:rPr>
        <w:t>)</w:t>
      </w:r>
    </w:p>
    <w:p w:rsidR="002F07D4" w:rsidRPr="00C24C86" w:rsidRDefault="000C79B0" w:rsidP="002F07D4">
      <w:pPr>
        <w:spacing w:line="240" w:lineRule="auto"/>
        <w:jc w:val="both"/>
        <w:rPr>
          <w:rFonts w:ascii="Times New Roman" w:hAnsi="Times New Roman"/>
          <w:sz w:val="24"/>
          <w:szCs w:val="24"/>
        </w:rPr>
      </w:pPr>
      <w:hyperlink r:id="rId170" w:history="1">
        <w:r w:rsidR="002F07D4" w:rsidRPr="00C24C86">
          <w:rPr>
            <w:rFonts w:ascii="Times New Roman" w:hAnsi="Times New Roman"/>
            <w:sz w:val="24"/>
            <w:szCs w:val="24"/>
          </w:rPr>
          <w:t>(Por E. Sanz / Agencias</w:t>
        </w:r>
      </w:hyperlink>
      <w:r w:rsidR="002F07D4" w:rsidRPr="00C24C86">
        <w:rPr>
          <w:rFonts w:ascii="Times New Roman" w:hAnsi="Times New Roman"/>
          <w:sz w:val="24"/>
          <w:szCs w:val="24"/>
        </w:rPr>
        <w:t>)</w:t>
      </w:r>
    </w:p>
    <w:p w:rsidR="002F07D4" w:rsidRPr="00C24C86" w:rsidRDefault="002F07D4" w:rsidP="002F07D4">
      <w:pPr>
        <w:spacing w:line="240" w:lineRule="auto"/>
        <w:jc w:val="both"/>
        <w:rPr>
          <w:rFonts w:ascii="Times New Roman" w:hAnsi="Times New Roman"/>
          <w:sz w:val="24"/>
          <w:szCs w:val="24"/>
        </w:rPr>
      </w:pPr>
      <w:r w:rsidRPr="00445CEE">
        <w:rPr>
          <w:rFonts w:ascii="Times New Roman" w:hAnsi="Times New Roman"/>
          <w:sz w:val="24"/>
          <w:szCs w:val="24"/>
          <w:u w:val="single"/>
        </w:rPr>
        <w:t xml:space="preserve">Los culpables de la mayor crisis financiera de la historia desde la Segunda Guerra Mundial tienen nombres y apellidos. Según el periódico británico </w:t>
      </w:r>
      <w:r w:rsidRPr="00445CEE">
        <w:rPr>
          <w:rFonts w:ascii="Times New Roman" w:hAnsi="Times New Roman"/>
          <w:i/>
          <w:iCs/>
          <w:sz w:val="24"/>
          <w:szCs w:val="24"/>
          <w:u w:val="single"/>
        </w:rPr>
        <w:t>The Guardian</w:t>
      </w:r>
      <w:r w:rsidRPr="00445CEE">
        <w:rPr>
          <w:rFonts w:ascii="Times New Roman" w:hAnsi="Times New Roman"/>
          <w:sz w:val="24"/>
          <w:szCs w:val="24"/>
          <w:u w:val="single"/>
        </w:rPr>
        <w:t>, lo que viene sucediendo durante el último año y medio no se debe a un fenómeno natural sino a un desastre humano que ha llevado a las principales economías y empresas del mundo al borde del abismo y en el que 25 personajes han jugado un papel decisivo</w:t>
      </w:r>
      <w:r w:rsidRPr="00C24C86">
        <w:rPr>
          <w:rFonts w:ascii="Times New Roman" w:hAnsi="Times New Roman"/>
          <w:sz w:val="24"/>
          <w:szCs w:val="24"/>
        </w:rPr>
        <w:t>.</w:t>
      </w:r>
    </w:p>
    <w:p w:rsidR="002F07D4" w:rsidRPr="00445CEE" w:rsidRDefault="002F07D4" w:rsidP="002F07D4">
      <w:pPr>
        <w:spacing w:line="240" w:lineRule="auto"/>
        <w:jc w:val="both"/>
        <w:rPr>
          <w:rFonts w:ascii="Times New Roman" w:hAnsi="Times New Roman"/>
          <w:sz w:val="24"/>
          <w:szCs w:val="24"/>
          <w:u w:val="single"/>
        </w:rPr>
      </w:pPr>
      <w:r w:rsidRPr="00445CEE">
        <w:rPr>
          <w:rFonts w:ascii="Times New Roman" w:hAnsi="Times New Roman"/>
          <w:sz w:val="24"/>
          <w:szCs w:val="24"/>
          <w:u w:val="single"/>
        </w:rPr>
        <w:t>¿Quién nos ha llevado a la ruina?, se pregunta el diario.</w:t>
      </w:r>
    </w:p>
    <w:p w:rsidR="002F07D4" w:rsidRPr="00C24C86" w:rsidRDefault="002F07D4" w:rsidP="002F07D4">
      <w:pPr>
        <w:spacing w:line="240" w:lineRule="auto"/>
        <w:jc w:val="both"/>
        <w:rPr>
          <w:rFonts w:ascii="Times New Roman" w:hAnsi="Times New Roman"/>
          <w:sz w:val="24"/>
          <w:szCs w:val="24"/>
        </w:rPr>
      </w:pPr>
      <w:r w:rsidRPr="00445CEE">
        <w:rPr>
          <w:rFonts w:ascii="Times New Roman" w:hAnsi="Times New Roman"/>
          <w:b/>
          <w:sz w:val="24"/>
          <w:szCs w:val="24"/>
          <w:u w:val="single"/>
        </w:rPr>
        <w:t>Alan Greenspan</w:t>
      </w:r>
      <w:r w:rsidRPr="00445CEE">
        <w:rPr>
          <w:rFonts w:ascii="Times New Roman" w:hAnsi="Times New Roman"/>
          <w:sz w:val="24"/>
          <w:szCs w:val="24"/>
          <w:u w:val="single"/>
        </w:rPr>
        <w:t>, presidente de la Reserva Federal entre 1987 y 2006 se alza con el primer puesto.</w:t>
      </w:r>
      <w:r w:rsidRPr="00C24C86">
        <w:rPr>
          <w:rFonts w:ascii="Times New Roman" w:hAnsi="Times New Roman"/>
          <w:sz w:val="24"/>
          <w:szCs w:val="24"/>
        </w:rPr>
        <w:t xml:space="preserve"> Tras una vida prácticamente entera dedicada al organismo regulador y retirado como un auténtico héroe, Greenspan pasará a la historia, entre otros aspectos, por su defensa del libre mercado, su capacidad para rescatar a la economía de Estados Unidos del colapso financiero de 1987 y de mitigar los devastadores efectos derivados de los ataques terroristas del 11-S. Greenspan es, para muchos expertos y </w:t>
      </w:r>
      <w:r w:rsidRPr="00445CEE">
        <w:rPr>
          <w:rFonts w:ascii="Times New Roman" w:hAnsi="Times New Roman"/>
          <w:sz w:val="24"/>
          <w:szCs w:val="24"/>
          <w:u w:val="single"/>
        </w:rPr>
        <w:t xml:space="preserve">según </w:t>
      </w:r>
      <w:r w:rsidRPr="00445CEE">
        <w:rPr>
          <w:rFonts w:ascii="Times New Roman" w:hAnsi="Times New Roman"/>
          <w:i/>
          <w:iCs/>
          <w:sz w:val="24"/>
          <w:szCs w:val="24"/>
          <w:u w:val="single"/>
        </w:rPr>
        <w:t>The Guardian</w:t>
      </w:r>
      <w:r w:rsidRPr="00445CEE">
        <w:rPr>
          <w:rFonts w:ascii="Times New Roman" w:hAnsi="Times New Roman"/>
          <w:sz w:val="24"/>
          <w:szCs w:val="24"/>
          <w:u w:val="single"/>
        </w:rPr>
        <w:t xml:space="preserve">, el principal culpable de la crisis al permitir la formación de una gran burbuja inmobiliaria gracias a unos tipos de interés bajos y a la ausencia de regulación en torno a los préstamos hipotecarios. Apoyó, según el diario, los préstamos </w:t>
      </w:r>
      <w:r w:rsidRPr="00445CEE">
        <w:rPr>
          <w:rFonts w:ascii="Times New Roman" w:hAnsi="Times New Roman"/>
          <w:i/>
          <w:iCs/>
          <w:sz w:val="24"/>
          <w:szCs w:val="24"/>
          <w:u w:val="single"/>
        </w:rPr>
        <w:t>subprime</w:t>
      </w:r>
      <w:r w:rsidRPr="00445CEE">
        <w:rPr>
          <w:rFonts w:ascii="Times New Roman" w:hAnsi="Times New Roman"/>
          <w:sz w:val="24"/>
          <w:szCs w:val="24"/>
          <w:u w:val="single"/>
        </w:rPr>
        <w:t xml:space="preserve"> e instó a los hipotecados a cambiar tipos fijos por variables, lo que dejó a muchos de ellos al descubierto incapaces de hacer frente a sus compromisos cuando los tipos subieron.Durante años, Greenspan también defendió el boom de los derivados, un mercado que apenas existía cuando se hizo con las riendas de la Fed y que bajo su mandato creció como la espuma. De hecho, el periódico le acusa de haber protegido a un mercado que ha provocado muchos de los problemas actuales</w:t>
      </w:r>
      <w:r w:rsidRPr="00C24C86">
        <w:rPr>
          <w:rFonts w:ascii="Times New Roman" w:hAnsi="Times New Roman"/>
          <w:sz w:val="24"/>
          <w:szCs w:val="24"/>
        </w:rPr>
        <w:t>. La publicación destaca, no obstante, que Greenspan también ha sido capaz de reconocer sus errores. Por ejemplo, que demasiada regulación podría dañar Wall Street o que los bancos pondrían siempre por delante la protección de sus accionistas.</w:t>
      </w:r>
    </w:p>
    <w:p w:rsidR="002F07D4" w:rsidRDefault="002F07D4" w:rsidP="002F07D4">
      <w:pPr>
        <w:spacing w:line="240" w:lineRule="auto"/>
        <w:jc w:val="both"/>
        <w:rPr>
          <w:rFonts w:ascii="Times New Roman" w:hAnsi="Times New Roman"/>
          <w:sz w:val="24"/>
          <w:szCs w:val="24"/>
        </w:rPr>
      </w:pPr>
      <w:r w:rsidRPr="00445CEE">
        <w:rPr>
          <w:rFonts w:ascii="Times New Roman" w:hAnsi="Times New Roman"/>
          <w:b/>
          <w:sz w:val="24"/>
          <w:szCs w:val="24"/>
          <w:u w:val="single"/>
        </w:rPr>
        <w:t>Mervyn King</w:t>
      </w:r>
      <w:r w:rsidRPr="00445CEE">
        <w:rPr>
          <w:rFonts w:ascii="Times New Roman" w:hAnsi="Times New Roman"/>
          <w:sz w:val="24"/>
          <w:szCs w:val="24"/>
          <w:u w:val="single"/>
        </w:rPr>
        <w:t xml:space="preserve">, gobernador del Banco de Inglaterra. Cuando accedió al cargo en Threadneedle Street, la economía del Reino Unido crecía al 3% y la inflación se situaba en el 1,4%. En su primera reunión rebajó los tipos al 3,5% y su ambición consistía en que la política monetaria del Banco llegara a ser “aburrida”. Cuando la crisis estalló, King insistía en que no se transformaría en una crisis internacional.De hecho, en un primer momento, se negó a inyectar liquidez al sistema financiero e insistía en que no </w:t>
      </w:r>
      <w:r w:rsidRPr="00445CEE">
        <w:rPr>
          <w:rFonts w:ascii="Times New Roman" w:hAnsi="Times New Roman"/>
          <w:sz w:val="24"/>
          <w:szCs w:val="24"/>
          <w:u w:val="single"/>
        </w:rPr>
        <w:lastRenderedPageBreak/>
        <w:t xml:space="preserve">habría rescates bancarios. </w:t>
      </w:r>
      <w:r w:rsidRPr="00C24C86">
        <w:rPr>
          <w:rFonts w:ascii="Times New Roman" w:hAnsi="Times New Roman"/>
          <w:sz w:val="24"/>
          <w:szCs w:val="24"/>
        </w:rPr>
        <w:t xml:space="preserve">Ahora, algunos miembros del Tesoro británico aseguran que debería haber sido “más proactivo”. </w:t>
      </w:r>
      <w:r w:rsidRPr="00C24C86">
        <w:rPr>
          <w:rFonts w:ascii="Times New Roman" w:hAnsi="Times New Roman"/>
          <w:i/>
          <w:iCs/>
          <w:sz w:val="24"/>
          <w:szCs w:val="24"/>
        </w:rPr>
        <w:t>The Guardian</w:t>
      </w:r>
      <w:r w:rsidRPr="00C24C86">
        <w:rPr>
          <w:rFonts w:ascii="Times New Roman" w:hAnsi="Times New Roman"/>
          <w:sz w:val="24"/>
          <w:szCs w:val="24"/>
        </w:rPr>
        <w:t xml:space="preserve"> le echa en cara que debería haberse dado cuenta de la burbuja inmobiliaria y haber tomado medidas, así como haber previsto más recientemente la recesión del país y haber actuado con mayor celeridad a la hora de recortar los tipos de interés.</w:t>
      </w:r>
    </w:p>
    <w:p w:rsidR="002F07D4" w:rsidRPr="00C24C86" w:rsidRDefault="002F07D4" w:rsidP="002F07D4">
      <w:pPr>
        <w:spacing w:line="240" w:lineRule="auto"/>
        <w:jc w:val="both"/>
        <w:rPr>
          <w:rFonts w:ascii="Times New Roman" w:hAnsi="Times New Roman"/>
          <w:sz w:val="24"/>
          <w:szCs w:val="24"/>
        </w:rPr>
      </w:pPr>
      <w:r w:rsidRPr="00445CEE">
        <w:rPr>
          <w:rFonts w:ascii="Times New Roman" w:hAnsi="Times New Roman"/>
          <w:sz w:val="24"/>
          <w:szCs w:val="24"/>
          <w:u w:val="single"/>
        </w:rPr>
        <w:t xml:space="preserve">Los políticos también han jugado un papel clave en la actual crisis financiera. </w:t>
      </w:r>
      <w:r w:rsidRPr="00445CEE">
        <w:rPr>
          <w:rFonts w:ascii="Times New Roman" w:hAnsi="Times New Roman"/>
          <w:b/>
          <w:sz w:val="24"/>
          <w:szCs w:val="24"/>
          <w:u w:val="single"/>
        </w:rPr>
        <w:t>Bill Clinton</w:t>
      </w:r>
      <w:r w:rsidRPr="00445CEE">
        <w:rPr>
          <w:rFonts w:ascii="Times New Roman" w:hAnsi="Times New Roman"/>
          <w:sz w:val="24"/>
          <w:szCs w:val="24"/>
          <w:u w:val="single"/>
        </w:rPr>
        <w:t xml:space="preserve"> forzó a las hipotecarias a relajar sus requisitos a la hora de conceder hipotecas a los más desfavorecidos. En 1999 revocó la ley que garantizaba la completa separación entre los bancos comerciales -que ofrece depósitos- y la banca de inversión -que invierte y asume riesgos. Esta decisión supuso el nacimiento de la era de la superbanca, que favoreció el desarrollo y la extensión de las hipotecas </w:t>
      </w:r>
      <w:r w:rsidRPr="00445CEE">
        <w:rPr>
          <w:rFonts w:ascii="Times New Roman" w:hAnsi="Times New Roman"/>
          <w:i/>
          <w:iCs/>
          <w:sz w:val="24"/>
          <w:szCs w:val="24"/>
          <w:u w:val="single"/>
        </w:rPr>
        <w:t>subprime</w:t>
      </w:r>
      <w:r w:rsidRPr="00445CEE">
        <w:rPr>
          <w:rFonts w:ascii="Times New Roman" w:hAnsi="Times New Roman"/>
          <w:sz w:val="24"/>
          <w:szCs w:val="24"/>
          <w:u w:val="single"/>
        </w:rPr>
        <w:t>.</w:t>
      </w:r>
      <w:r w:rsidRPr="00C24C86">
        <w:rPr>
          <w:rFonts w:ascii="Times New Roman" w:hAnsi="Times New Roman"/>
          <w:sz w:val="24"/>
          <w:szCs w:val="24"/>
        </w:rPr>
        <w:t xml:space="preserve"> Su sucesor, </w:t>
      </w:r>
      <w:r w:rsidRPr="00C24C86">
        <w:rPr>
          <w:rFonts w:ascii="Times New Roman" w:hAnsi="Times New Roman"/>
          <w:b/>
          <w:sz w:val="24"/>
          <w:szCs w:val="24"/>
        </w:rPr>
        <w:t>George W. Bush</w:t>
      </w:r>
      <w:r w:rsidRPr="00C24C86">
        <w:rPr>
          <w:rFonts w:ascii="Times New Roman" w:hAnsi="Times New Roman"/>
          <w:sz w:val="24"/>
          <w:szCs w:val="24"/>
        </w:rPr>
        <w:t>, no consiguió que mejoraran las cosas al no poner coto a la inmen</w:t>
      </w:r>
      <w:r>
        <w:rPr>
          <w:rFonts w:ascii="Times New Roman" w:hAnsi="Times New Roman"/>
          <w:sz w:val="24"/>
          <w:szCs w:val="24"/>
        </w:rPr>
        <w:t>sa cantidad de los denominados “hipotecados Ninja” -no income, no jobs, no assets</w:t>
      </w:r>
      <w:r w:rsidRPr="00C24C86">
        <w:rPr>
          <w:rFonts w:ascii="Times New Roman" w:hAnsi="Times New Roman"/>
          <w:sz w:val="24"/>
          <w:szCs w:val="24"/>
        </w:rPr>
        <w:t>. </w:t>
      </w:r>
      <w:r w:rsidRPr="00445CEE">
        <w:rPr>
          <w:rFonts w:ascii="Times New Roman" w:hAnsi="Times New Roman"/>
          <w:sz w:val="24"/>
          <w:szCs w:val="24"/>
          <w:u w:val="single"/>
        </w:rPr>
        <w:t xml:space="preserve">Otro de los políticos culpables de la crisis para </w:t>
      </w:r>
      <w:r w:rsidRPr="00445CEE">
        <w:rPr>
          <w:rFonts w:ascii="Times New Roman" w:hAnsi="Times New Roman"/>
          <w:i/>
          <w:iCs/>
          <w:sz w:val="24"/>
          <w:szCs w:val="24"/>
          <w:u w:val="single"/>
        </w:rPr>
        <w:t>The Guardian</w:t>
      </w:r>
      <w:r w:rsidRPr="00445CEE">
        <w:rPr>
          <w:rFonts w:ascii="Times New Roman" w:hAnsi="Times New Roman"/>
          <w:sz w:val="24"/>
          <w:szCs w:val="24"/>
          <w:u w:val="single"/>
        </w:rPr>
        <w:t xml:space="preserve"> es el primer ministro británico, </w:t>
      </w:r>
      <w:r w:rsidRPr="00445CEE">
        <w:rPr>
          <w:rFonts w:ascii="Times New Roman" w:hAnsi="Times New Roman"/>
          <w:b/>
          <w:sz w:val="24"/>
          <w:szCs w:val="24"/>
          <w:u w:val="single"/>
        </w:rPr>
        <w:t>Gordon Brown</w:t>
      </w:r>
      <w:r w:rsidRPr="00445CEE">
        <w:rPr>
          <w:rFonts w:ascii="Times New Roman" w:hAnsi="Times New Roman"/>
          <w:sz w:val="24"/>
          <w:szCs w:val="24"/>
          <w:u w:val="single"/>
        </w:rPr>
        <w:t xml:space="preserve">, quien puso los intereses de la City por delante de cualquier otro aspecto económico. La oposición le ha acusado de no haber tenido en cuenta que una economía “construida sobre deuda” no es una economía “construida para durar” durante su cargo como responsable del Tesoro durante diez años en el gobierno de </w:t>
      </w:r>
      <w:r w:rsidRPr="00445CEE">
        <w:rPr>
          <w:rFonts w:ascii="Times New Roman" w:hAnsi="Times New Roman"/>
          <w:b/>
          <w:sz w:val="24"/>
          <w:szCs w:val="24"/>
          <w:u w:val="single"/>
        </w:rPr>
        <w:t>Tony Blair</w:t>
      </w:r>
      <w:r w:rsidRPr="00C24C86">
        <w:rPr>
          <w:rFonts w:ascii="Times New Roman" w:hAnsi="Times New Roman"/>
          <w:sz w:val="24"/>
          <w:szCs w:val="24"/>
        </w:rPr>
        <w:t xml:space="preserve">. </w:t>
      </w:r>
    </w:p>
    <w:p w:rsidR="002F07D4" w:rsidRDefault="002F07D4" w:rsidP="002F07D4">
      <w:pPr>
        <w:spacing w:line="240" w:lineRule="auto"/>
        <w:jc w:val="both"/>
        <w:rPr>
          <w:rFonts w:ascii="Times New Roman" w:hAnsi="Times New Roman"/>
          <w:sz w:val="24"/>
          <w:szCs w:val="24"/>
        </w:rPr>
      </w:pPr>
      <w:r w:rsidRPr="00445CEE">
        <w:rPr>
          <w:rFonts w:ascii="Times New Roman" w:hAnsi="Times New Roman"/>
          <w:sz w:val="24"/>
          <w:szCs w:val="24"/>
          <w:u w:val="single"/>
        </w:rPr>
        <w:t xml:space="preserve">El periódico británico también se acuerda del primer ministro islandés, </w:t>
      </w:r>
      <w:r w:rsidRPr="00445CEE">
        <w:rPr>
          <w:rFonts w:ascii="Times New Roman" w:hAnsi="Times New Roman"/>
          <w:b/>
          <w:sz w:val="24"/>
          <w:szCs w:val="24"/>
          <w:u w:val="single"/>
        </w:rPr>
        <w:t>Geir Haarde</w:t>
      </w:r>
      <w:r w:rsidRPr="00445CEE">
        <w:rPr>
          <w:rFonts w:ascii="Times New Roman" w:hAnsi="Times New Roman"/>
          <w:sz w:val="24"/>
          <w:szCs w:val="24"/>
          <w:u w:val="single"/>
        </w:rPr>
        <w:t>, después del colapso financiero de los tres grandes bancos del país por culpa de sus millonarias deudas.</w:t>
      </w:r>
      <w:r w:rsidRPr="00C24C86">
        <w:rPr>
          <w:rFonts w:ascii="Times New Roman" w:hAnsi="Times New Roman"/>
          <w:sz w:val="24"/>
          <w:szCs w:val="24"/>
        </w:rPr>
        <w:t xml:space="preserve"> Islandia se vio forzada a recibir prestados 2.100 millones de dólares del FMI además de fondos procedentes de diferentes países europeos. </w:t>
      </w:r>
    </w:p>
    <w:p w:rsidR="002F07D4" w:rsidRPr="00C24C86" w:rsidRDefault="002F07D4" w:rsidP="002F07D4">
      <w:pPr>
        <w:spacing w:line="240" w:lineRule="auto"/>
        <w:jc w:val="both"/>
        <w:rPr>
          <w:rFonts w:ascii="Times New Roman" w:hAnsi="Times New Roman"/>
          <w:sz w:val="24"/>
          <w:szCs w:val="24"/>
        </w:rPr>
      </w:pPr>
      <w:r w:rsidRPr="00C24C86">
        <w:rPr>
          <w:rFonts w:ascii="Times New Roman" w:hAnsi="Times New Roman"/>
          <w:sz w:val="24"/>
          <w:szCs w:val="24"/>
        </w:rPr>
        <w:t>Culpables en la Gran Manzana</w:t>
      </w:r>
    </w:p>
    <w:p w:rsidR="002F07D4" w:rsidRPr="00C24C86" w:rsidRDefault="002F07D4" w:rsidP="002F07D4">
      <w:pPr>
        <w:spacing w:line="240" w:lineRule="auto"/>
        <w:jc w:val="both"/>
        <w:rPr>
          <w:rFonts w:ascii="Times New Roman" w:hAnsi="Times New Roman"/>
          <w:sz w:val="24"/>
          <w:szCs w:val="24"/>
        </w:rPr>
      </w:pPr>
      <w:r w:rsidRPr="00445CEE">
        <w:rPr>
          <w:rFonts w:ascii="Times New Roman" w:hAnsi="Times New Roman"/>
          <w:sz w:val="24"/>
          <w:szCs w:val="24"/>
          <w:u w:val="single"/>
        </w:rPr>
        <w:t>Wall Street tampoco queda al margen de su implicación en la crisis financiera</w:t>
      </w:r>
      <w:r w:rsidRPr="00C24C86">
        <w:rPr>
          <w:rFonts w:ascii="Times New Roman" w:hAnsi="Times New Roman"/>
          <w:sz w:val="24"/>
          <w:szCs w:val="24"/>
        </w:rPr>
        <w:t xml:space="preserve">. Según el diario, en este apartado suena el nombre de </w:t>
      </w:r>
      <w:r w:rsidRPr="00445CEE">
        <w:rPr>
          <w:rFonts w:ascii="Times New Roman" w:hAnsi="Times New Roman"/>
          <w:b/>
          <w:sz w:val="24"/>
          <w:szCs w:val="24"/>
          <w:u w:val="single"/>
        </w:rPr>
        <w:t>Abi Cohen</w:t>
      </w:r>
      <w:r w:rsidRPr="00445CEE">
        <w:rPr>
          <w:rFonts w:ascii="Times New Roman" w:hAnsi="Times New Roman"/>
          <w:sz w:val="24"/>
          <w:szCs w:val="24"/>
          <w:u w:val="single"/>
        </w:rPr>
        <w:t>, directora de estrategia de Goldman Sachs y que hace unos años llegó a ser una de las mujeres más poderosas de Estados Unidos. Sin embargo, no fue capaz de ver el crash de la bolsa y se hizo famosa por sus previsiones alcistas</w:t>
      </w:r>
      <w:r w:rsidRPr="00C24C86">
        <w:rPr>
          <w:rFonts w:ascii="Times New Roman" w:hAnsi="Times New Roman"/>
          <w:sz w:val="24"/>
          <w:szCs w:val="24"/>
        </w:rPr>
        <w:t xml:space="preserve">. Fue sustituida en el cargo el pasado mes de marzo. </w:t>
      </w:r>
      <w:r w:rsidRPr="00445CEE">
        <w:rPr>
          <w:rFonts w:ascii="Times New Roman" w:hAnsi="Times New Roman"/>
          <w:b/>
          <w:sz w:val="24"/>
          <w:szCs w:val="24"/>
          <w:u w:val="single"/>
        </w:rPr>
        <w:t>Kathleen Corbet</w:t>
      </w:r>
      <w:r w:rsidRPr="00445CEE">
        <w:rPr>
          <w:rFonts w:ascii="Times New Roman" w:hAnsi="Times New Roman"/>
          <w:sz w:val="24"/>
          <w:szCs w:val="24"/>
          <w:u w:val="single"/>
        </w:rPr>
        <w:t xml:space="preserve">, antigua consejera delegada de Standard &amp; Poor's, también ocupa un puesto destacado. No en vano, las agencias de rating no advirtieron de los riesgos los activos respaldados por las hipotecas </w:t>
      </w:r>
      <w:r w:rsidRPr="00445CEE">
        <w:rPr>
          <w:rFonts w:ascii="Times New Roman" w:hAnsi="Times New Roman"/>
          <w:i/>
          <w:iCs/>
          <w:sz w:val="24"/>
          <w:szCs w:val="24"/>
          <w:u w:val="single"/>
        </w:rPr>
        <w:t>subprime</w:t>
      </w:r>
      <w:r w:rsidRPr="00445CEE">
        <w:rPr>
          <w:rFonts w:ascii="Times New Roman" w:hAnsi="Times New Roman"/>
          <w:sz w:val="24"/>
          <w:szCs w:val="24"/>
          <w:u w:val="single"/>
        </w:rPr>
        <w:t>. Corbet dirigía las riendas de la mayor de las tres agencias de calificación de riesgos</w:t>
      </w:r>
      <w:r w:rsidRPr="00C24C86">
        <w:rPr>
          <w:rFonts w:ascii="Times New Roman" w:hAnsi="Times New Roman"/>
          <w:sz w:val="24"/>
          <w:szCs w:val="24"/>
        </w:rPr>
        <w:t xml:space="preserve"> y dejó su puesto en 2007 por las enormes críticas recibidas. </w:t>
      </w:r>
      <w:r w:rsidRPr="00445CEE">
        <w:rPr>
          <w:rFonts w:ascii="Times New Roman" w:hAnsi="Times New Roman"/>
          <w:sz w:val="24"/>
          <w:szCs w:val="24"/>
          <w:u w:val="single"/>
        </w:rPr>
        <w:t xml:space="preserve">Standard &amp; Poor's, Fitch y Moody's han sido cuestionadas por el rol jugado en la actual crisis </w:t>
      </w:r>
      <w:r w:rsidRPr="00445CEE">
        <w:rPr>
          <w:rFonts w:ascii="Times New Roman" w:hAnsi="Times New Roman"/>
          <w:i/>
          <w:iCs/>
          <w:sz w:val="24"/>
          <w:szCs w:val="24"/>
          <w:u w:val="single"/>
        </w:rPr>
        <w:t>subprime</w:t>
      </w:r>
      <w:r w:rsidRPr="00445CEE">
        <w:rPr>
          <w:rFonts w:ascii="Times New Roman" w:hAnsi="Times New Roman"/>
          <w:sz w:val="24"/>
          <w:szCs w:val="24"/>
          <w:u w:val="single"/>
        </w:rPr>
        <w:t>, mientras ellas recuerdan que lo hicieron lo mejor que pudieron con la información disponible</w:t>
      </w:r>
      <w:r w:rsidRPr="00C24C86">
        <w:rPr>
          <w:rFonts w:ascii="Times New Roman" w:hAnsi="Times New Roman"/>
          <w:sz w:val="24"/>
          <w:szCs w:val="24"/>
        </w:rPr>
        <w:t xml:space="preserve">. Corbet dijo que su marcha de Standard &amp; Poor's había sido “largamente planeada” y negó que tuviera que ver con presiones de ningún tipo. </w:t>
      </w:r>
    </w:p>
    <w:p w:rsidR="002F07D4" w:rsidRDefault="002F07D4" w:rsidP="002F07D4">
      <w:pPr>
        <w:spacing w:line="240" w:lineRule="auto"/>
        <w:jc w:val="both"/>
        <w:rPr>
          <w:rFonts w:ascii="Times New Roman" w:hAnsi="Times New Roman"/>
          <w:sz w:val="24"/>
          <w:szCs w:val="24"/>
          <w:u w:val="single"/>
        </w:rPr>
      </w:pPr>
      <w:r w:rsidRPr="00445CEE">
        <w:rPr>
          <w:rFonts w:ascii="Times New Roman" w:hAnsi="Times New Roman"/>
          <w:b/>
          <w:sz w:val="24"/>
          <w:szCs w:val="24"/>
          <w:u w:val="single"/>
        </w:rPr>
        <w:t>Hank Greenberg</w:t>
      </w:r>
      <w:r w:rsidRPr="00445CEE">
        <w:rPr>
          <w:rFonts w:ascii="Times New Roman" w:hAnsi="Times New Roman"/>
          <w:sz w:val="24"/>
          <w:szCs w:val="24"/>
          <w:u w:val="single"/>
        </w:rPr>
        <w:t>, presidente del grupo asegurador AIG. A sus 83 años convirtió AIG en la mayor aseguradora del mundo. Tenía un enorme negocio de CDS y por ende, una enorme exposición a la crisis hipotecaria. Cuando su rating fue recortado, se enfrentó a una enorme crisis de liquidez y necesitó de 85.000 millones de dólares públicos para evitar el colapso. Posteriormente necesitaría de ayuda pública estatal adicional, pero eso no evitó que los principales ejecutivos del grupo renunciaran a viajes lujosos.</w:t>
      </w:r>
    </w:p>
    <w:p w:rsidR="002F07D4" w:rsidRDefault="002F07D4" w:rsidP="002F07D4">
      <w:pPr>
        <w:spacing w:line="240" w:lineRule="auto"/>
        <w:jc w:val="both"/>
        <w:rPr>
          <w:rFonts w:ascii="Times New Roman" w:hAnsi="Times New Roman"/>
          <w:sz w:val="24"/>
          <w:szCs w:val="24"/>
          <w:u w:val="single"/>
        </w:rPr>
      </w:pPr>
    </w:p>
    <w:p w:rsidR="002F07D4" w:rsidRPr="00445CEE" w:rsidRDefault="002F07D4" w:rsidP="002F07D4">
      <w:pPr>
        <w:spacing w:line="240" w:lineRule="auto"/>
        <w:jc w:val="both"/>
        <w:rPr>
          <w:rFonts w:ascii="Times New Roman" w:hAnsi="Times New Roman"/>
          <w:sz w:val="24"/>
          <w:szCs w:val="24"/>
          <w:u w:val="single"/>
        </w:rPr>
      </w:pPr>
    </w:p>
    <w:p w:rsidR="002F07D4" w:rsidRPr="00445CEE" w:rsidRDefault="002F07D4" w:rsidP="002F07D4">
      <w:pPr>
        <w:spacing w:line="240" w:lineRule="auto"/>
        <w:jc w:val="both"/>
        <w:rPr>
          <w:rFonts w:ascii="Times New Roman" w:hAnsi="Times New Roman"/>
          <w:sz w:val="24"/>
          <w:szCs w:val="24"/>
          <w:u w:val="single"/>
        </w:rPr>
      </w:pPr>
      <w:r w:rsidRPr="00445CEE">
        <w:rPr>
          <w:rFonts w:ascii="Times New Roman" w:hAnsi="Times New Roman"/>
          <w:sz w:val="24"/>
          <w:szCs w:val="24"/>
          <w:u w:val="single"/>
        </w:rPr>
        <w:lastRenderedPageBreak/>
        <w:t>Quienes lo vieron venir</w:t>
      </w:r>
    </w:p>
    <w:p w:rsidR="002F07D4" w:rsidRPr="00C24C86" w:rsidRDefault="002F07D4" w:rsidP="002F07D4">
      <w:pPr>
        <w:spacing w:line="240" w:lineRule="auto"/>
        <w:jc w:val="both"/>
        <w:rPr>
          <w:rFonts w:ascii="Times New Roman" w:hAnsi="Times New Roman"/>
          <w:sz w:val="24"/>
          <w:szCs w:val="24"/>
        </w:rPr>
      </w:pPr>
      <w:r w:rsidRPr="00445CEE">
        <w:rPr>
          <w:rFonts w:ascii="Times New Roman" w:hAnsi="Times New Roman"/>
          <w:i/>
          <w:iCs/>
          <w:sz w:val="24"/>
          <w:szCs w:val="24"/>
          <w:u w:val="single"/>
        </w:rPr>
        <w:t xml:space="preserve">The Guardian </w:t>
      </w:r>
      <w:r w:rsidRPr="00445CEE">
        <w:rPr>
          <w:rFonts w:ascii="Times New Roman" w:hAnsi="Times New Roman"/>
          <w:sz w:val="24"/>
          <w:szCs w:val="24"/>
          <w:u w:val="single"/>
        </w:rPr>
        <w:t>reserva también un hueco para algunos de los inversores más importantes de los últimos cincuenta años y cuya visión del mundo financiero les hizo anticipar la que se venía encima</w:t>
      </w:r>
      <w:r w:rsidRPr="00C24C86">
        <w:rPr>
          <w:rFonts w:ascii="Times New Roman" w:hAnsi="Times New Roman"/>
          <w:sz w:val="24"/>
          <w:szCs w:val="24"/>
        </w:rPr>
        <w:t xml:space="preserve">. Como </w:t>
      </w:r>
      <w:r w:rsidRPr="00445CEE">
        <w:rPr>
          <w:rFonts w:ascii="Times New Roman" w:hAnsi="Times New Roman"/>
          <w:sz w:val="24"/>
          <w:szCs w:val="24"/>
          <w:u w:val="single"/>
        </w:rPr>
        <w:t xml:space="preserve">el gestor de </w:t>
      </w:r>
      <w:r w:rsidRPr="00445CEE">
        <w:rPr>
          <w:rFonts w:ascii="Times New Roman" w:hAnsi="Times New Roman"/>
          <w:i/>
          <w:iCs/>
          <w:sz w:val="24"/>
          <w:szCs w:val="24"/>
          <w:u w:val="single"/>
        </w:rPr>
        <w:t>hedge funds</w:t>
      </w:r>
      <w:r w:rsidRPr="00445CEE">
        <w:rPr>
          <w:rFonts w:ascii="Times New Roman" w:hAnsi="Times New Roman"/>
          <w:b/>
          <w:sz w:val="24"/>
          <w:szCs w:val="24"/>
          <w:u w:val="single"/>
        </w:rPr>
        <w:t>John Paulson</w:t>
      </w:r>
      <w:r w:rsidRPr="00445CEE">
        <w:rPr>
          <w:rFonts w:ascii="Times New Roman" w:hAnsi="Times New Roman"/>
          <w:sz w:val="24"/>
          <w:szCs w:val="24"/>
          <w:u w:val="single"/>
        </w:rPr>
        <w:t>, calificado en el mundo financiero como “el mayor ganador del credit crunch”. Paulson se embolsó 3.700 millones de dólares en 2007al apostar por el estallido de la burbuja inmobiliaria</w:t>
      </w:r>
      <w:r w:rsidRPr="00C24C86">
        <w:rPr>
          <w:rFonts w:ascii="Times New Roman" w:hAnsi="Times New Roman"/>
          <w:sz w:val="24"/>
          <w:szCs w:val="24"/>
        </w:rPr>
        <w:t xml:space="preserve">. También aparece, </w:t>
      </w:r>
      <w:r w:rsidRPr="00445CEE">
        <w:rPr>
          <w:rFonts w:ascii="Times New Roman" w:hAnsi="Times New Roman"/>
          <w:sz w:val="24"/>
          <w:szCs w:val="24"/>
          <w:u w:val="single"/>
        </w:rPr>
        <w:t xml:space="preserve">el multimillonario </w:t>
      </w:r>
      <w:r w:rsidRPr="00445CEE">
        <w:rPr>
          <w:rFonts w:ascii="Times New Roman" w:hAnsi="Times New Roman"/>
          <w:b/>
          <w:sz w:val="24"/>
          <w:szCs w:val="24"/>
          <w:u w:val="single"/>
        </w:rPr>
        <w:t>Warren Buffett</w:t>
      </w:r>
      <w:r w:rsidRPr="00445CEE">
        <w:rPr>
          <w:rFonts w:ascii="Times New Roman" w:hAnsi="Times New Roman"/>
          <w:sz w:val="24"/>
          <w:szCs w:val="24"/>
          <w:u w:val="single"/>
        </w:rPr>
        <w:t>, quien no se cansó de advertir sobre los peligros de los derivados que nadie entendía. En su carta anual dirigida a sus accionistas en 2003, comparó estos productos con el mismo infierno. “Fácil de entrar y casi imposible de salir</w:t>
      </w:r>
      <w:r w:rsidRPr="00C24C86">
        <w:rPr>
          <w:rFonts w:ascii="Times New Roman" w:hAnsi="Times New Roman"/>
          <w:sz w:val="24"/>
          <w:szCs w:val="24"/>
        </w:rPr>
        <w:t xml:space="preserve">”. En una muestra de optimismo, en octubre dijo que había empezado a comprar de nuevo en el mercado estadounidense, sugiriendo que lo peor de la crisis podría haber pasado. </w:t>
      </w:r>
    </w:p>
    <w:p w:rsidR="002F07D4" w:rsidRPr="00E92DD6" w:rsidRDefault="002F07D4" w:rsidP="002F07D4">
      <w:pPr>
        <w:spacing w:line="240" w:lineRule="auto"/>
        <w:jc w:val="both"/>
        <w:rPr>
          <w:rFonts w:ascii="Times New Roman" w:hAnsi="Times New Roman"/>
          <w:sz w:val="24"/>
          <w:szCs w:val="24"/>
          <w:u w:val="single"/>
        </w:rPr>
      </w:pPr>
      <w:r w:rsidRPr="00E92DD6">
        <w:rPr>
          <w:rFonts w:ascii="Times New Roman" w:hAnsi="Times New Roman"/>
          <w:sz w:val="24"/>
          <w:szCs w:val="24"/>
          <w:u w:val="single"/>
        </w:rPr>
        <w:t xml:space="preserve">También advertía en 2006 sobre una “gigantesca burbuja inmobiliaria”, el inversor </w:t>
      </w:r>
      <w:r w:rsidRPr="00E92DD6">
        <w:rPr>
          <w:rFonts w:ascii="Times New Roman" w:hAnsi="Times New Roman"/>
          <w:b/>
          <w:sz w:val="24"/>
          <w:szCs w:val="24"/>
          <w:u w:val="single"/>
        </w:rPr>
        <w:t>George Soros</w:t>
      </w:r>
      <w:r w:rsidRPr="00E92DD6">
        <w:rPr>
          <w:rFonts w:ascii="Times New Roman" w:hAnsi="Times New Roman"/>
          <w:sz w:val="24"/>
          <w:szCs w:val="24"/>
          <w:u w:val="single"/>
        </w:rPr>
        <w:t xml:space="preserve">, así como al economista y profesor de la Universidad de Nueva York, </w:t>
      </w:r>
      <w:r w:rsidRPr="00E92DD6">
        <w:rPr>
          <w:rFonts w:ascii="Times New Roman" w:hAnsi="Times New Roman"/>
          <w:b/>
          <w:sz w:val="24"/>
          <w:szCs w:val="24"/>
          <w:u w:val="single"/>
        </w:rPr>
        <w:t>Nouriel Roubini</w:t>
      </w:r>
      <w:r w:rsidRPr="00E92DD6">
        <w:rPr>
          <w:rFonts w:ascii="Times New Roman" w:hAnsi="Times New Roman"/>
          <w:sz w:val="24"/>
          <w:szCs w:val="24"/>
          <w:u w:val="single"/>
        </w:rPr>
        <w:t xml:space="preserve">, quien fue el primero en augurar el </w:t>
      </w:r>
      <w:r w:rsidRPr="00E92DD6">
        <w:rPr>
          <w:rFonts w:ascii="Times New Roman" w:hAnsi="Times New Roman"/>
          <w:i/>
          <w:iCs/>
          <w:sz w:val="24"/>
          <w:szCs w:val="24"/>
          <w:u w:val="single"/>
        </w:rPr>
        <w:t>credit crunch</w:t>
      </w:r>
      <w:r w:rsidRPr="00E92DD6">
        <w:rPr>
          <w:rFonts w:ascii="Times New Roman" w:hAnsi="Times New Roman"/>
          <w:sz w:val="24"/>
          <w:szCs w:val="24"/>
          <w:u w:val="single"/>
        </w:rPr>
        <w:t>. En 2006 advertía a los economistas del FMI que Estados Unidos se enfrentaba una histórica burbuja inmobiliaria, un shock en el mercado de materias primas a una recesión. Todavía hoy se muestra muy pesimista respecto a la crisis. Sin ir más lejos, la semana pasada vaticinaba la bancarrota del sistema bancario estadounidense y europeo</w:t>
      </w:r>
      <w:r w:rsidRPr="00C24C86">
        <w:rPr>
          <w:rFonts w:ascii="Times New Roman" w:hAnsi="Times New Roman"/>
          <w:sz w:val="24"/>
          <w:szCs w:val="24"/>
        </w:rPr>
        <w:t xml:space="preserve">. </w:t>
      </w:r>
      <w:r w:rsidRPr="00E92DD6">
        <w:rPr>
          <w:rFonts w:ascii="Times New Roman" w:hAnsi="Times New Roman"/>
          <w:sz w:val="24"/>
          <w:szCs w:val="24"/>
          <w:u w:val="single"/>
        </w:rPr>
        <w:t xml:space="preserve">Tras los rescate financieros y nacionalizaciones, es muy famosa su frase para describir a </w:t>
      </w:r>
      <w:r w:rsidRPr="00E92DD6">
        <w:rPr>
          <w:rFonts w:ascii="Times New Roman" w:hAnsi="Times New Roman"/>
          <w:b/>
          <w:sz w:val="24"/>
          <w:szCs w:val="24"/>
          <w:u w:val="single"/>
        </w:rPr>
        <w:t>George Bush</w:t>
      </w:r>
      <w:r w:rsidRPr="00E92DD6">
        <w:rPr>
          <w:rFonts w:ascii="Times New Roman" w:hAnsi="Times New Roman"/>
          <w:sz w:val="24"/>
          <w:szCs w:val="24"/>
          <w:u w:val="single"/>
        </w:rPr>
        <w:t xml:space="preserve">, </w:t>
      </w:r>
      <w:r w:rsidRPr="00E92DD6">
        <w:rPr>
          <w:rFonts w:ascii="Times New Roman" w:hAnsi="Times New Roman"/>
          <w:b/>
          <w:sz w:val="24"/>
          <w:szCs w:val="24"/>
          <w:u w:val="single"/>
        </w:rPr>
        <w:t>Henry Paulson</w:t>
      </w:r>
      <w:r w:rsidRPr="00E92DD6">
        <w:rPr>
          <w:rFonts w:ascii="Times New Roman" w:hAnsi="Times New Roman"/>
          <w:sz w:val="24"/>
          <w:szCs w:val="24"/>
          <w:u w:val="single"/>
        </w:rPr>
        <w:t xml:space="preserve"> y </w:t>
      </w:r>
      <w:r w:rsidRPr="00E92DD6">
        <w:rPr>
          <w:rFonts w:ascii="Times New Roman" w:hAnsi="Times New Roman"/>
          <w:b/>
          <w:sz w:val="24"/>
          <w:szCs w:val="24"/>
          <w:u w:val="single"/>
        </w:rPr>
        <w:t>Ben Bernanke</w:t>
      </w:r>
      <w:r w:rsidRPr="00E92DD6">
        <w:rPr>
          <w:rFonts w:ascii="Times New Roman" w:hAnsi="Times New Roman"/>
          <w:sz w:val="24"/>
          <w:szCs w:val="24"/>
          <w:u w:val="single"/>
        </w:rPr>
        <w:t xml:space="preserve"> como “la troika de bolcheviques que fue capaza de convertir Estados Unidos en la República Socialista de Estados Unidos de América”.</w:t>
      </w:r>
    </w:p>
    <w:p w:rsidR="002F07D4" w:rsidRPr="00D306E9" w:rsidRDefault="002F07D4" w:rsidP="002F07D4">
      <w:pPr>
        <w:spacing w:line="240" w:lineRule="auto"/>
        <w:jc w:val="both"/>
        <w:rPr>
          <w:rFonts w:ascii="Times New Roman" w:hAnsi="Times New Roman"/>
          <w:sz w:val="24"/>
          <w:szCs w:val="24"/>
        </w:rPr>
      </w:pPr>
      <w:r w:rsidRPr="00E92DD6">
        <w:rPr>
          <w:rFonts w:ascii="Times New Roman" w:hAnsi="Times New Roman"/>
          <w:sz w:val="24"/>
          <w:szCs w:val="24"/>
          <w:u w:val="single"/>
        </w:rPr>
        <w:t xml:space="preserve">La lista, hasta 25 responsables, incluye otros nombres del mundo financiero de la Gran Manzana. </w:t>
      </w:r>
      <w:r w:rsidRPr="00E92DD6">
        <w:rPr>
          <w:rFonts w:ascii="Times New Roman" w:hAnsi="Times New Roman"/>
          <w:sz w:val="24"/>
          <w:szCs w:val="24"/>
          <w:u w:val="single"/>
          <w:lang w:val="en-US"/>
        </w:rPr>
        <w:t>Como el presidente de HBOS -</w:t>
      </w:r>
      <w:r w:rsidRPr="00E92DD6">
        <w:rPr>
          <w:rFonts w:ascii="Times New Roman" w:hAnsi="Times New Roman"/>
          <w:b/>
          <w:sz w:val="24"/>
          <w:szCs w:val="24"/>
          <w:u w:val="single"/>
          <w:lang w:val="en-US"/>
        </w:rPr>
        <w:t>Andy Hornby</w:t>
      </w:r>
      <w:r w:rsidRPr="00E92DD6">
        <w:rPr>
          <w:rFonts w:ascii="Times New Roman" w:hAnsi="Times New Roman"/>
          <w:sz w:val="24"/>
          <w:szCs w:val="24"/>
          <w:u w:val="single"/>
          <w:lang w:val="en-US"/>
        </w:rPr>
        <w:t>-, el de Royal Bank of Scotland -</w:t>
      </w:r>
      <w:r w:rsidRPr="00E92DD6">
        <w:rPr>
          <w:rFonts w:ascii="Times New Roman" w:hAnsi="Times New Roman"/>
          <w:b/>
          <w:sz w:val="24"/>
          <w:szCs w:val="24"/>
          <w:u w:val="single"/>
          <w:lang w:val="en-US"/>
        </w:rPr>
        <w:t>Sir Fred Goodwing</w:t>
      </w:r>
      <w:r w:rsidRPr="00E92DD6">
        <w:rPr>
          <w:rFonts w:ascii="Times New Roman" w:hAnsi="Times New Roman"/>
          <w:sz w:val="24"/>
          <w:szCs w:val="24"/>
          <w:u w:val="single"/>
          <w:lang w:val="en-US"/>
        </w:rPr>
        <w:t>- o Bradford&amp;Bingley -</w:t>
      </w:r>
      <w:r w:rsidRPr="00E92DD6">
        <w:rPr>
          <w:rFonts w:ascii="Times New Roman" w:hAnsi="Times New Roman"/>
          <w:b/>
          <w:sz w:val="24"/>
          <w:szCs w:val="24"/>
          <w:u w:val="single"/>
          <w:lang w:val="en-US"/>
        </w:rPr>
        <w:t>Steve Crwashaw</w:t>
      </w:r>
      <w:r w:rsidRPr="00E92DD6">
        <w:rPr>
          <w:rFonts w:ascii="Times New Roman" w:hAnsi="Times New Roman"/>
          <w:sz w:val="24"/>
          <w:szCs w:val="24"/>
          <w:u w:val="single"/>
          <w:lang w:val="en-US"/>
        </w:rPr>
        <w:t xml:space="preserve">-. </w:t>
      </w:r>
      <w:r w:rsidRPr="00E92DD6">
        <w:rPr>
          <w:rFonts w:ascii="Times New Roman" w:hAnsi="Times New Roman"/>
          <w:sz w:val="24"/>
          <w:szCs w:val="24"/>
          <w:u w:val="single"/>
        </w:rPr>
        <w:t>Sin olvidar a los máximos responsables Citigroup -</w:t>
      </w:r>
      <w:r w:rsidRPr="00E92DD6">
        <w:rPr>
          <w:rFonts w:ascii="Times New Roman" w:hAnsi="Times New Roman"/>
          <w:b/>
          <w:sz w:val="24"/>
          <w:szCs w:val="24"/>
          <w:u w:val="single"/>
        </w:rPr>
        <w:t>Chuck Prince</w:t>
      </w:r>
      <w:r w:rsidRPr="00E92DD6">
        <w:rPr>
          <w:rFonts w:ascii="Times New Roman" w:hAnsi="Times New Roman"/>
          <w:sz w:val="24"/>
          <w:szCs w:val="24"/>
          <w:u w:val="single"/>
        </w:rPr>
        <w:t>-, Merrill Lynch -</w:t>
      </w:r>
      <w:r w:rsidRPr="00E92DD6">
        <w:rPr>
          <w:rFonts w:ascii="Times New Roman" w:hAnsi="Times New Roman"/>
          <w:b/>
          <w:sz w:val="24"/>
          <w:szCs w:val="24"/>
          <w:u w:val="single"/>
        </w:rPr>
        <w:t>Stan O’Neil</w:t>
      </w:r>
      <w:r w:rsidRPr="00E92DD6">
        <w:rPr>
          <w:rFonts w:ascii="Times New Roman" w:hAnsi="Times New Roman"/>
          <w:sz w:val="24"/>
          <w:szCs w:val="24"/>
          <w:u w:val="single"/>
        </w:rPr>
        <w:t>- o Bear Stearns -</w:t>
      </w:r>
      <w:r w:rsidRPr="00E92DD6">
        <w:rPr>
          <w:rFonts w:ascii="Times New Roman" w:hAnsi="Times New Roman"/>
          <w:b/>
          <w:sz w:val="24"/>
          <w:szCs w:val="24"/>
          <w:u w:val="single"/>
        </w:rPr>
        <w:t>Jimmy Cayne</w:t>
      </w:r>
      <w:r w:rsidRPr="00D306E9">
        <w:rPr>
          <w:rFonts w:ascii="Times New Roman" w:hAnsi="Times New Roman"/>
          <w:sz w:val="24"/>
          <w:szCs w:val="24"/>
        </w:rPr>
        <w:t xml:space="preserve">… </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32BC4">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Cómo el gobierno de EEUU</w:t>
      </w:r>
      <w:r w:rsidRPr="00361257">
        <w:rPr>
          <w:rFonts w:ascii="Times New Roman" w:eastAsia="Times New Roman" w:hAnsi="Times New Roman"/>
          <w:sz w:val="24"/>
          <w:szCs w:val="24"/>
          <w:u w:val="single"/>
          <w:lang w:eastAsia="es-ES"/>
        </w:rPr>
        <w:t xml:space="preserve"> creó la crisis financiera</w:t>
      </w:r>
      <w:r w:rsidRPr="00532BC4">
        <w:rPr>
          <w:rFonts w:ascii="Times New Roman" w:eastAsia="Times New Roman" w:hAnsi="Times New Roman"/>
          <w:sz w:val="24"/>
          <w:szCs w:val="24"/>
          <w:lang w:eastAsia="es-ES"/>
        </w:rPr>
        <w:t xml:space="preserve"> (The Wall Street Journal - </w:t>
      </w:r>
      <w:r w:rsidRPr="00361257">
        <w:rPr>
          <w:rFonts w:ascii="Times New Roman" w:eastAsia="Times New Roman" w:hAnsi="Times New Roman"/>
          <w:b/>
          <w:sz w:val="24"/>
          <w:szCs w:val="24"/>
          <w:lang w:eastAsia="es-ES"/>
        </w:rPr>
        <w:t>13/2/09</w:t>
      </w:r>
      <w:r w:rsidRPr="00532BC4">
        <w:rPr>
          <w:rFonts w:ascii="Times New Roman" w:eastAsia="Times New Roman" w:hAnsi="Times New Roman"/>
          <w:sz w:val="24"/>
          <w:szCs w:val="24"/>
          <w:lang w:eastAsia="es-ES"/>
        </w:rPr>
        <w:t xml:space="preserve">) </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32BC4">
        <w:rPr>
          <w:rFonts w:ascii="Times New Roman" w:eastAsia="Times New Roman" w:hAnsi="Times New Roman"/>
          <w:sz w:val="24"/>
          <w:szCs w:val="24"/>
          <w:lang w:eastAsia="es-ES"/>
        </w:rPr>
        <w:t xml:space="preserve">Una investigación muestra que el pánico del año pasado no fue causado porque no se rescató a Lehman Brothers   </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32BC4">
        <w:rPr>
          <w:rFonts w:ascii="Times New Roman" w:eastAsia="Times New Roman" w:hAnsi="Times New Roman"/>
          <w:sz w:val="24"/>
          <w:szCs w:val="24"/>
          <w:lang w:eastAsia="es-ES"/>
        </w:rPr>
        <w:t>(Por John B. Taylor)</w:t>
      </w:r>
    </w:p>
    <w:p w:rsidR="002F07D4" w:rsidRPr="00370EA5"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370EA5">
        <w:rPr>
          <w:rFonts w:ascii="Times New Roman" w:eastAsia="Times New Roman" w:hAnsi="Times New Roman"/>
          <w:sz w:val="24"/>
          <w:szCs w:val="24"/>
          <w:u w:val="single"/>
          <w:lang w:eastAsia="es-ES"/>
        </w:rPr>
        <w:t>Muchos están pidiendo una comisión como la del 11 de septiembre de 2001 para investigar la crisis financiera. Cualquier investigación como esta no debería descartar al mismo gobierno como un gran culpable. Mi investigación muestra que las acciones e intervenciones del gobierno -no una falla inherente o la inestabilidad de la economía privada- causaron, prolongaron y drásticamente empeoraron la crisis.</w:t>
      </w:r>
    </w:p>
    <w:p w:rsidR="002F07D4" w:rsidRPr="00370EA5"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370EA5">
        <w:rPr>
          <w:rFonts w:ascii="Times New Roman" w:eastAsia="Times New Roman" w:hAnsi="Times New Roman"/>
          <w:sz w:val="24"/>
          <w:szCs w:val="24"/>
          <w:u w:val="single"/>
          <w:lang w:eastAsia="es-ES"/>
        </w:rPr>
        <w:t>La clásica explicación de las crisis financieras es que son causadas por excesos -con frecuencia excesos monetarios- que llevan a un auge y un inevitable colapso. Esta crisis no fue diferente: un boom de la vivienda seguido por un desplome provocó cesaciones de pagos, la implosión de hipotecas y valores relacionados a hipotecas de instituciones financieras, y la resultante agitación financiera.</w:t>
      </w:r>
    </w:p>
    <w:p w:rsidR="002F07D4" w:rsidRPr="00370EA5"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370EA5">
        <w:rPr>
          <w:rFonts w:ascii="Times New Roman" w:eastAsia="Times New Roman" w:hAnsi="Times New Roman"/>
          <w:sz w:val="24"/>
          <w:szCs w:val="24"/>
          <w:u w:val="single"/>
          <w:lang w:eastAsia="es-ES"/>
        </w:rPr>
        <w:lastRenderedPageBreak/>
        <w:t>Los excesos monetarios fueron la principal causa del auge. La Reserva Federal de Estados Unidos mantuvo su meta para la tasa de interés, especialmente en 2003-2005, muy por debajo de las conocidas normas monetarias que señalan que una buena política debería estar basada en experiencia histórica. Mantener las tasas de interés en el camino en el que funcionaron bien en las últimas dos décadas, en lugar de mantenerlas tan bajas, habría prevenido el auge y el colapso. Investigadores de la Organización para la Cooperación y el Desarrollo Económico han presentado evidencia corroborativa de otros países: mientras más alto el grado de exceso monetario en un país, mayor fue el boom de la vivienda.</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70EA5">
        <w:rPr>
          <w:rFonts w:ascii="Times New Roman" w:eastAsia="Times New Roman" w:hAnsi="Times New Roman"/>
          <w:sz w:val="24"/>
          <w:szCs w:val="24"/>
          <w:u w:val="single"/>
          <w:lang w:eastAsia="es-ES"/>
        </w:rPr>
        <w:t>Los efectos del auge y el colapso fueron amplificados por varios factores, incluyendo el uso de hipotecas subprime (o de alto riesgo) y de tasas variables, que provocaron la toma excesiva de riesgos. También hay evidencia de que la excesiva toma de riesgos fue estimulada por tasas de interés excesivamente bajas.</w:t>
      </w:r>
      <w:r w:rsidRPr="00532BC4">
        <w:rPr>
          <w:rFonts w:ascii="Times New Roman" w:eastAsia="Times New Roman" w:hAnsi="Times New Roman"/>
          <w:sz w:val="24"/>
          <w:szCs w:val="24"/>
          <w:lang w:eastAsia="es-ES"/>
        </w:rPr>
        <w:t xml:space="preserve"> Las tasas de impagos y ejecuciones hipotecarias están inversamente relacionadas a la inflación del precio de las viviendas. Estas tasas cayeron rápido durante los años en los que los precios de las viviendas subieron rápido, probablemente descarrilando muchos programas de suscripción de hipotecas y engañaron a mucha gente.</w:t>
      </w:r>
    </w:p>
    <w:p w:rsidR="002F07D4" w:rsidRPr="00B63435"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B63435">
        <w:rPr>
          <w:rFonts w:ascii="Times New Roman" w:eastAsia="Times New Roman" w:hAnsi="Times New Roman"/>
          <w:sz w:val="24"/>
          <w:szCs w:val="24"/>
          <w:u w:val="single"/>
          <w:lang w:eastAsia="es-ES"/>
        </w:rPr>
        <w:t>Las hipotecas subprime, de tasas variables y de otras clases fueron atados en muy complejos valores respaldados por hipotecas. Las agencias calificadoras subestimaron el riesgo de estos valores, ya sea por falta de competencia, irresponsabilidad o más probablemente la inherente dificultad de evaluar el riesgo debido a la complejidad.</w:t>
      </w:r>
    </w:p>
    <w:p w:rsidR="002F07D4" w:rsidRPr="00B63435"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B63435">
        <w:rPr>
          <w:rFonts w:ascii="Times New Roman" w:eastAsia="Times New Roman" w:hAnsi="Times New Roman"/>
          <w:sz w:val="24"/>
          <w:szCs w:val="24"/>
          <w:u w:val="single"/>
          <w:lang w:eastAsia="es-ES"/>
        </w:rPr>
        <w:t>Otras acciones del gobierno también estuvieron en juego: las empresas patrocinadas por el gobierno Fannie Mae y Freddie Mac fueron alentadas a expandirse y comprar valores respaldados por hipotecas, incluyendo aquellas armadas con riesgosas hipotecas subprime.</w:t>
      </w:r>
    </w:p>
    <w:p w:rsidR="002F07D4" w:rsidRPr="00B63435"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B63435">
        <w:rPr>
          <w:rFonts w:ascii="Times New Roman" w:eastAsia="Times New Roman" w:hAnsi="Times New Roman"/>
          <w:sz w:val="24"/>
          <w:szCs w:val="24"/>
          <w:u w:val="single"/>
          <w:lang w:eastAsia="es-ES"/>
        </w:rPr>
        <w:t>La acción del gobierno también contribuyó a prolongar la crisis. Considere que la crisis financiera se agudizó el 9 y 10 de agosto de 2007, cuando las tasas de interés del mercado de dinero subieron pronunciadamente. Los spreads de tasas de interés, como la diferencia entre préstamos interbancarios a tres meses y a un día, se dispararon a niveles sin precedentes.</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32BC4">
        <w:rPr>
          <w:rFonts w:ascii="Times New Roman" w:eastAsia="Times New Roman" w:hAnsi="Times New Roman"/>
          <w:sz w:val="24"/>
          <w:szCs w:val="24"/>
          <w:lang w:eastAsia="es-ES"/>
        </w:rPr>
        <w:t>Diagnosticar la razón de este repentino aumento era esencial para determinar qué tipo de respuesta política era necesaria. Si la liquidez era el problema, entonces proveer más liquidez facilitando préstamos en la ventanilla de descuento de la Reserva Federal (Fed), o abriendo nuevas ventanillas o líneas de crédito, sería lo apropiado. Pero si el riesgo de contraparte estaba detrás del repentino aumento en las tasas de interés del mercado de dinero, entonces sería apropiado un enfoque directo en la calidad y la transparencia del balance del banco.</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D033B">
        <w:rPr>
          <w:rFonts w:ascii="Times New Roman" w:eastAsia="Times New Roman" w:hAnsi="Times New Roman"/>
          <w:sz w:val="24"/>
          <w:szCs w:val="24"/>
          <w:u w:val="single"/>
          <w:lang w:eastAsia="es-ES"/>
        </w:rPr>
        <w:t>Al principio, las autoridades diagnosticaron mal la crisis como una de liquidez y recetaron el tratamiento equivocado.</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D033B">
        <w:rPr>
          <w:rFonts w:ascii="Times New Roman" w:eastAsia="Times New Roman" w:hAnsi="Times New Roman"/>
          <w:sz w:val="24"/>
          <w:szCs w:val="24"/>
          <w:u w:val="single"/>
          <w:lang w:eastAsia="es-ES"/>
        </w:rPr>
        <w:t xml:space="preserve">Para proveer más liquidez, la Fed creó la Línea de Crédito de Subastas a Plazo (TAF por sus siglas en inglés) en diciembre de 2007. Su principal objetivo era reducir los spreads de tasas de interés en los mercados de dinero y aumentar el flujo de crédito. El </w:t>
      </w:r>
      <w:r w:rsidRPr="005D033B">
        <w:rPr>
          <w:rFonts w:ascii="Times New Roman" w:eastAsia="Times New Roman" w:hAnsi="Times New Roman"/>
          <w:sz w:val="24"/>
          <w:szCs w:val="24"/>
          <w:u w:val="single"/>
          <w:lang w:eastAsia="es-ES"/>
        </w:rPr>
        <w:lastRenderedPageBreak/>
        <w:t>TAF, no obstante, no pareció hacer mucha diferencia. Si la razón del spread era el riesgo de contraparte, a diferencia de la liquidez, esto no es una sorpresa.</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D033B">
        <w:rPr>
          <w:rFonts w:ascii="Times New Roman" w:eastAsia="Times New Roman" w:hAnsi="Times New Roman"/>
          <w:sz w:val="24"/>
          <w:szCs w:val="24"/>
          <w:u w:val="single"/>
          <w:lang w:eastAsia="es-ES"/>
        </w:rPr>
        <w:t>Otra pronta respuesta política fue el Acta de Estímulo Económico de 2008, aprobado en febrero. El principal objetivo de este paquete era enviar US$ 100.000 millones en efectivo a individuos y familias para que tuvieran más para gastar, y de esta manera impulsar el consumo y la economía. Sin embargo, la gente gastó poco o nada del descuento temporal (como predijo la teoría de ingresos permanentes de Milton Friedman, la cual sostiene que los aumentos temporales en los ingresos, a diferencia de los permanentes, no provocan incrementos significativos en el consumo). El consumo no fue impulsado.</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D033B">
        <w:rPr>
          <w:rFonts w:ascii="Times New Roman" w:eastAsia="Times New Roman" w:hAnsi="Times New Roman"/>
          <w:sz w:val="24"/>
          <w:szCs w:val="24"/>
          <w:u w:val="single"/>
          <w:lang w:eastAsia="es-ES"/>
        </w:rPr>
        <w:t xml:space="preserve">La tercera respuesta política fue la gran reducción en la meta para la tasa de interés de fondos federales a 2% en abril de 2008, de 5,25% en agosto de 2007. Esta fue más drástica de lo que prescribirían normas monetarias como mi propia Regla Taylor. El efecto más evidente de este recorte de tasa fue una pronunciada depreciación del dólar y un gran aumento del precio del petróleo. Después del comienzo de la crisis, el precio del crudo se duplicó a más de US$140 en julio de 2008, antes de desplomarse a medida que disminuían las expectativas de crecimiento económico mundial. Para entonces, sin </w:t>
      </w:r>
      <w:r w:rsidRPr="005D033B">
        <w:rPr>
          <w:rFonts w:ascii="Times New Roman" w:eastAsia="Times New Roman" w:hAnsi="Times New Roman"/>
          <w:sz w:val="24"/>
          <w:szCs w:val="24"/>
          <w:lang w:eastAsia="es-ES"/>
        </w:rPr>
        <w:t>embargo, el daño del alto precio del petróleo ya estaba hecho.</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D033B">
        <w:rPr>
          <w:rFonts w:ascii="Times New Roman" w:eastAsia="Times New Roman" w:hAnsi="Times New Roman"/>
          <w:sz w:val="24"/>
          <w:szCs w:val="24"/>
          <w:u w:val="single"/>
          <w:lang w:eastAsia="es-ES"/>
        </w:rPr>
        <w:t>Después de un año de tales erróneas prescripciones, la crisis empeoró repentinamente en septiembre y octubre de 2008. Presenciamos una seria restricción del crédito, que seriamente debilitó una economía que ya estaba sufriendo por el persistente impacto del aumento del precio del petróleo y la crisis inmobiliaria.</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D033B">
        <w:rPr>
          <w:rFonts w:ascii="Times New Roman" w:eastAsia="Times New Roman" w:hAnsi="Times New Roman"/>
          <w:sz w:val="24"/>
          <w:szCs w:val="24"/>
          <w:u w:val="single"/>
          <w:lang w:eastAsia="es-ES"/>
        </w:rPr>
        <w:t>Muchos han argumentado que la razón de este mal paso fue la decisión del gobierno de no prevenir la bancarrota de Lehman Brothers durante el fin de semana del 13 y 14 de septiembre. Un estudio de este evento sugiere que la respuesta es más complicada y estaba en otra parte.</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32BC4">
        <w:rPr>
          <w:rFonts w:ascii="Times New Roman" w:eastAsia="Times New Roman" w:hAnsi="Times New Roman"/>
          <w:sz w:val="24"/>
          <w:szCs w:val="24"/>
          <w:lang w:eastAsia="es-ES"/>
        </w:rPr>
        <w:t xml:space="preserve">Aunque los spreads de tasas de interés aumentaron ligeramente el lunes 15 de septiembre, se mantuvieron en el rango observado durante el año previo y permanecieron allí el resto de la semana. </w:t>
      </w:r>
      <w:r w:rsidRPr="005D033B">
        <w:rPr>
          <w:rFonts w:ascii="Times New Roman" w:eastAsia="Times New Roman" w:hAnsi="Times New Roman"/>
          <w:sz w:val="24"/>
          <w:szCs w:val="24"/>
          <w:u w:val="single"/>
          <w:lang w:eastAsia="es-ES"/>
        </w:rPr>
        <w:t>El viernes 19 de septiembre, el Departamento del Tesoro anunció un paquete de rescate, aunque no reveló su tamaño o los detalles. Durante el fin de semana se armó el paquete, y el martes 23 de septiembre, el presidente de la Fed, Ben Bernanke, y el secretario del Tesoro, Henry Paulson, testificaron ante el Comité de Banca del Senado. Los funcionarios presentaron el Programa de Alivio de Activos en Problemas (TARP por sus siglas en inglés), indicando que sería de US$ 700.000 millones. Proporcionaron un corto borrador de legislación, sin ninguna mención de la supervisión y con pocas restricciones sobre el uso de los fondos.</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D033B">
        <w:rPr>
          <w:rFonts w:ascii="Times New Roman" w:eastAsia="Times New Roman" w:hAnsi="Times New Roman"/>
          <w:sz w:val="24"/>
          <w:szCs w:val="24"/>
          <w:u w:val="single"/>
          <w:lang w:eastAsia="es-ES"/>
        </w:rPr>
        <w:t>Los dos hombres fueron indagados intensamente y la reacción fue bastante negativa, juzgando por el gran volumen de correo negativo que recibieron muchos miembros del Congreso. Fue después de este testimonio que uno realmente empieza a ver que se profundiza la crisis y los spreads de tasas de interés se amplían.</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D033B">
        <w:rPr>
          <w:rFonts w:ascii="Times New Roman" w:eastAsia="Times New Roman" w:hAnsi="Times New Roman"/>
          <w:sz w:val="24"/>
          <w:szCs w:val="24"/>
          <w:u w:val="single"/>
          <w:lang w:eastAsia="es-ES"/>
        </w:rPr>
        <w:t xml:space="preserve">El conocimiento por parte del público de que la intervención del gobierno no había sido considerada en detalle y la historia oficial de que la economía se estaba desplomando probablemente provocaron el pánico visto en las siguientes semanas. Y esto </w:t>
      </w:r>
      <w:r w:rsidRPr="005D033B">
        <w:rPr>
          <w:rFonts w:ascii="Times New Roman" w:eastAsia="Times New Roman" w:hAnsi="Times New Roman"/>
          <w:sz w:val="24"/>
          <w:szCs w:val="24"/>
          <w:u w:val="single"/>
          <w:lang w:eastAsia="es-ES"/>
        </w:rPr>
        <w:lastRenderedPageBreak/>
        <w:t>probablemente fue amplificado por las improvisadas decisiones de respaldar a algunas instituciones financieras y no a otras y por explicaciones poco claras, que parecían basadas en el miedo, de los programas para tratar la crisis. ¿En qué se basó la decisión de intervenir en Bear Stearns, luego no en Lehman y luego sí otra vez en AIG? ¿Qué guiaría las operaciones del TARP?</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D033B">
        <w:rPr>
          <w:rFonts w:ascii="Times New Roman" w:eastAsia="Times New Roman" w:hAnsi="Times New Roman"/>
          <w:sz w:val="24"/>
          <w:szCs w:val="24"/>
          <w:u w:val="single"/>
          <w:lang w:eastAsia="es-ES"/>
        </w:rPr>
        <w:t>No tenía que haber sido de esta manera. Para prevenir medidas equivocadas en el futuro, es urgente que volvamos a principios de política monetaria sólidos, basando las intervenciones gubernamentales en diagnósticos claramente establecidos y marcos predecibles para las acciones del gobierno.</w:t>
      </w:r>
    </w:p>
    <w:p w:rsidR="002F07D4" w:rsidRPr="005D033B"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D033B">
        <w:rPr>
          <w:rFonts w:ascii="Times New Roman" w:eastAsia="Times New Roman" w:hAnsi="Times New Roman"/>
          <w:sz w:val="24"/>
          <w:szCs w:val="24"/>
          <w:u w:val="single"/>
          <w:lang w:eastAsia="es-ES"/>
        </w:rPr>
        <w:t>Respuestas enormes con pocas explicaciones probablemente empeorarán la situación. Hasta ahora, esa es la lección de esta crisis.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532BC4">
        <w:rPr>
          <w:rFonts w:ascii="Times New Roman" w:eastAsia="Times New Roman" w:hAnsi="Times New Roman"/>
          <w:sz w:val="24"/>
          <w:szCs w:val="24"/>
          <w:lang w:eastAsia="es-ES"/>
        </w:rPr>
        <w:t>Taylor, un profesor de economía de la Universidad de Stanford y académico de la Institución Hoover, es el autor de Getting Off Track: How Government Actions and Interventions Caused, Prolonged and Worsened the Financial Crisis (algo como Desviándose del camino: cómo las acciones e intervenciones del gobierno causaron, prolongaron y empeoraron la crisis financiera), que será publicada a fi</w:t>
      </w:r>
      <w:r>
        <w:rPr>
          <w:rFonts w:ascii="Times New Roman" w:eastAsia="Times New Roman" w:hAnsi="Times New Roman"/>
          <w:sz w:val="24"/>
          <w:szCs w:val="24"/>
          <w:lang w:eastAsia="es-ES"/>
        </w:rPr>
        <w:t>nes de febrero por Hoover Press)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(Este artículo tiene respuesta por parte de Alan Greenspan, publicada por el mismo periódico el 12/3/09)</w:t>
      </w:r>
    </w:p>
    <w:p w:rsidR="002F07D4" w:rsidRPr="00777AEA" w:rsidRDefault="002F07D4" w:rsidP="002F07D4">
      <w:pPr>
        <w:spacing w:line="240" w:lineRule="auto"/>
        <w:jc w:val="both"/>
        <w:rPr>
          <w:rFonts w:ascii="Times New Roman" w:hAnsi="Times New Roman"/>
          <w:sz w:val="24"/>
          <w:szCs w:val="24"/>
          <w:lang w:val="en-US"/>
        </w:rPr>
      </w:pPr>
      <w:r w:rsidRPr="00777AEA">
        <w:rPr>
          <w:rFonts w:ascii="Times New Roman" w:hAnsi="Times New Roman"/>
          <w:sz w:val="24"/>
          <w:szCs w:val="24"/>
          <w:lang w:val="en-US"/>
        </w:rPr>
        <w:t xml:space="preserve">- </w:t>
      </w:r>
      <w:r w:rsidRPr="00777AEA">
        <w:rPr>
          <w:rFonts w:ascii="Times New Roman" w:hAnsi="Times New Roman"/>
          <w:sz w:val="24"/>
          <w:szCs w:val="24"/>
          <w:u w:val="single"/>
          <w:lang w:val="en-US"/>
        </w:rPr>
        <w:t>La Fed no causó la burbuja inmobiliaria</w:t>
      </w:r>
      <w:r w:rsidRPr="00777AEA">
        <w:rPr>
          <w:rFonts w:ascii="Times New Roman" w:hAnsi="Times New Roman"/>
          <w:sz w:val="24"/>
          <w:szCs w:val="24"/>
          <w:lang w:val="en-US"/>
        </w:rPr>
        <w:t xml:space="preserve"> (The Wall Street Journal - </w:t>
      </w:r>
      <w:r w:rsidRPr="00777AEA">
        <w:rPr>
          <w:rFonts w:ascii="Times New Roman" w:hAnsi="Times New Roman"/>
          <w:b/>
          <w:sz w:val="24"/>
          <w:szCs w:val="24"/>
          <w:lang w:val="en-US"/>
        </w:rPr>
        <w:t>12/3/09</w:t>
      </w:r>
      <w:r w:rsidRPr="00777AEA">
        <w:rPr>
          <w:rFonts w:ascii="Times New Roman" w:hAnsi="Times New Roman"/>
          <w:sz w:val="24"/>
          <w:szCs w:val="24"/>
          <w:lang w:val="en-US"/>
        </w:rPr>
        <w:t xml:space="preserve">)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8921A1">
        <w:rPr>
          <w:rFonts w:ascii="Times New Roman" w:hAnsi="Times New Roman"/>
          <w:sz w:val="24"/>
          <w:szCs w:val="24"/>
        </w:rPr>
        <w:t>Por Alan Greenspan</w:t>
      </w:r>
      <w:r>
        <w:rPr>
          <w:rFonts w:ascii="Times New Roman" w:hAnsi="Times New Roman"/>
          <w:sz w:val="24"/>
          <w:szCs w:val="24"/>
        </w:rPr>
        <w:t>)</w:t>
      </w:r>
    </w:p>
    <w:p w:rsidR="002F07D4" w:rsidRPr="008921A1" w:rsidRDefault="002F07D4" w:rsidP="002F07D4">
      <w:pPr>
        <w:spacing w:line="240" w:lineRule="auto"/>
        <w:jc w:val="both"/>
        <w:rPr>
          <w:rFonts w:ascii="Times New Roman" w:hAnsi="Times New Roman"/>
          <w:sz w:val="24"/>
          <w:szCs w:val="24"/>
        </w:rPr>
      </w:pPr>
      <w:r>
        <w:rPr>
          <w:rFonts w:ascii="Times New Roman" w:hAnsi="Times New Roman"/>
          <w:sz w:val="24"/>
          <w:szCs w:val="24"/>
        </w:rPr>
        <w:t>(Este artículo responde al anterior de John B. Taylor, publicado por el mismo periódico el 13/2/09, reproducido anteriormente)</w:t>
      </w:r>
    </w:p>
    <w:p w:rsidR="002F07D4" w:rsidRPr="008921A1" w:rsidRDefault="002F07D4" w:rsidP="002F07D4">
      <w:pPr>
        <w:spacing w:line="240" w:lineRule="auto"/>
        <w:jc w:val="both"/>
        <w:rPr>
          <w:rFonts w:ascii="Times New Roman" w:hAnsi="Times New Roman"/>
          <w:sz w:val="24"/>
          <w:szCs w:val="24"/>
          <w:u w:val="single"/>
        </w:rPr>
      </w:pPr>
      <w:r w:rsidRPr="008921A1">
        <w:rPr>
          <w:rFonts w:ascii="Times New Roman" w:hAnsi="Times New Roman"/>
          <w:sz w:val="24"/>
          <w:szCs w:val="24"/>
          <w:u w:val="single"/>
        </w:rPr>
        <w:t>Estamos en medio de una crisis global que incuestionablemente es la más virulenta desde los años 30.</w:t>
      </w:r>
    </w:p>
    <w:p w:rsidR="002F07D4" w:rsidRPr="008921A1" w:rsidRDefault="002F07D4" w:rsidP="002F07D4">
      <w:pPr>
        <w:spacing w:line="240" w:lineRule="auto"/>
        <w:jc w:val="both"/>
        <w:rPr>
          <w:rFonts w:ascii="Times New Roman" w:hAnsi="Times New Roman"/>
          <w:sz w:val="24"/>
          <w:szCs w:val="24"/>
          <w:u w:val="single"/>
        </w:rPr>
      </w:pPr>
      <w:r w:rsidRPr="008921A1">
        <w:rPr>
          <w:rFonts w:ascii="Times New Roman" w:hAnsi="Times New Roman"/>
          <w:sz w:val="24"/>
          <w:szCs w:val="24"/>
          <w:u w:val="single"/>
        </w:rPr>
        <w:t>Eventualmente esta se desvanecerá y pasará a ser historia, pero la forma en la que sean interpretadas las causas y efectos que reforzaron e interactuaron en esta contracción severa darán forma a la reconfiguración de nuestro, actualmente debilitado, sistema financiero global.</w:t>
      </w:r>
    </w:p>
    <w:p w:rsidR="002F07D4" w:rsidRPr="00777AEA" w:rsidRDefault="002F07D4" w:rsidP="002F07D4">
      <w:pPr>
        <w:spacing w:line="240" w:lineRule="auto"/>
        <w:jc w:val="both"/>
        <w:rPr>
          <w:rFonts w:ascii="Times New Roman" w:hAnsi="Times New Roman"/>
          <w:sz w:val="24"/>
          <w:szCs w:val="24"/>
          <w:u w:val="single"/>
        </w:rPr>
      </w:pPr>
      <w:r w:rsidRPr="00777AEA">
        <w:rPr>
          <w:rFonts w:ascii="Times New Roman" w:hAnsi="Times New Roman"/>
          <w:sz w:val="24"/>
          <w:szCs w:val="24"/>
          <w:u w:val="single"/>
        </w:rPr>
        <w:t>Hay al menos dos teorías que compiten para explicar los orígenes de esta crisis. La primera es que las políticas de “dinero fácil” de la Reserva Federal produjeron la burbuja inmobiliaria de Estados Unidos que se encuentra en el corazón del desastre financiero actual.</w:t>
      </w:r>
    </w:p>
    <w:p w:rsidR="002F07D4" w:rsidRPr="0056554F" w:rsidRDefault="002F07D4" w:rsidP="002F07D4">
      <w:pPr>
        <w:spacing w:line="240" w:lineRule="auto"/>
        <w:jc w:val="both"/>
        <w:rPr>
          <w:rFonts w:ascii="Times New Roman" w:hAnsi="Times New Roman"/>
          <w:sz w:val="24"/>
          <w:szCs w:val="24"/>
          <w:u w:val="single"/>
        </w:rPr>
      </w:pPr>
      <w:r w:rsidRPr="00777AEA">
        <w:rPr>
          <w:rFonts w:ascii="Times New Roman" w:hAnsi="Times New Roman"/>
          <w:sz w:val="24"/>
          <w:szCs w:val="24"/>
          <w:u w:val="single"/>
        </w:rPr>
        <w:t>La segunda, y mucho más creíble, explicación concuerda con que fueron en efecto las bajas tasas de interés las que detonaron la euforia especulativa. Sin embargo, la tasa de interés que importaba no era la aplicada a los fondos federales, sino la tasa sobre las hipotecas de largo plazo a tasa fija.</w:t>
      </w:r>
    </w:p>
    <w:p w:rsidR="002F07D4" w:rsidRPr="008921A1" w:rsidRDefault="002F07D4" w:rsidP="002F07D4">
      <w:pPr>
        <w:spacing w:line="240" w:lineRule="auto"/>
        <w:jc w:val="both"/>
        <w:rPr>
          <w:rFonts w:ascii="Times New Roman" w:hAnsi="Times New Roman"/>
          <w:sz w:val="24"/>
          <w:szCs w:val="24"/>
        </w:rPr>
      </w:pPr>
      <w:r w:rsidRPr="008921A1">
        <w:rPr>
          <w:rFonts w:ascii="Times New Roman" w:hAnsi="Times New Roman"/>
          <w:sz w:val="24"/>
          <w:szCs w:val="24"/>
        </w:rPr>
        <w:t xml:space="preserve">Entre 2002 y 2005, las tasas hipotecarias residenciales se adelantaron 11 meses a la evolución de los precios de la vivienda en Estados Unidos. Esta correlación entre los </w:t>
      </w:r>
      <w:r w:rsidRPr="008921A1">
        <w:rPr>
          <w:rFonts w:ascii="Times New Roman" w:hAnsi="Times New Roman"/>
          <w:sz w:val="24"/>
          <w:szCs w:val="24"/>
        </w:rPr>
        <w:lastRenderedPageBreak/>
        <w:t xml:space="preserve">precios de la vivienda y las tasas hipotecarias fue muy significativa, y es un indicador mucho mejor del aumento de los precios de la vivienda </w:t>
      </w:r>
      <w:r>
        <w:rPr>
          <w:rFonts w:ascii="Times New Roman" w:hAnsi="Times New Roman"/>
          <w:sz w:val="24"/>
          <w:szCs w:val="24"/>
        </w:rPr>
        <w:t>que la tasa de interés federal.</w:t>
      </w:r>
    </w:p>
    <w:p w:rsidR="002F07D4" w:rsidRPr="008921A1" w:rsidRDefault="002F07D4" w:rsidP="002F07D4">
      <w:pPr>
        <w:spacing w:line="240" w:lineRule="auto"/>
        <w:jc w:val="both"/>
        <w:rPr>
          <w:rFonts w:ascii="Times New Roman" w:hAnsi="Times New Roman"/>
          <w:sz w:val="24"/>
          <w:szCs w:val="24"/>
        </w:rPr>
      </w:pPr>
      <w:r w:rsidRPr="008921A1">
        <w:rPr>
          <w:rFonts w:ascii="Times New Roman" w:hAnsi="Times New Roman"/>
          <w:sz w:val="24"/>
          <w:szCs w:val="24"/>
        </w:rPr>
        <w:t>Eso no debería ser una sorpresa. Después de todo, los precios de los activos de larga duración siempre han sido determinados al descontar el flujo de ingresos (o servicios imputados) por las tasas de interés con los mismos vencimientos que el activo.</w:t>
      </w:r>
    </w:p>
    <w:p w:rsidR="002F07D4" w:rsidRPr="008921A1" w:rsidRDefault="002F07D4" w:rsidP="002F07D4">
      <w:pPr>
        <w:spacing w:line="240" w:lineRule="auto"/>
        <w:jc w:val="both"/>
        <w:rPr>
          <w:rFonts w:ascii="Times New Roman" w:hAnsi="Times New Roman"/>
          <w:sz w:val="24"/>
          <w:szCs w:val="24"/>
        </w:rPr>
      </w:pPr>
      <w:r w:rsidRPr="008921A1">
        <w:rPr>
          <w:rFonts w:ascii="Times New Roman" w:hAnsi="Times New Roman"/>
          <w:sz w:val="24"/>
          <w:szCs w:val="24"/>
        </w:rPr>
        <w:t>A mi juicio nadie emplea</w:t>
      </w:r>
      <w:r>
        <w:rPr>
          <w:rFonts w:ascii="Times New Roman" w:hAnsi="Times New Roman"/>
          <w:sz w:val="24"/>
          <w:szCs w:val="24"/>
        </w:rPr>
        <w:t xml:space="preserve"> las tasas de interés a un día -</w:t>
      </w:r>
      <w:r w:rsidRPr="008921A1">
        <w:rPr>
          <w:rFonts w:ascii="Times New Roman" w:hAnsi="Times New Roman"/>
          <w:sz w:val="24"/>
          <w:szCs w:val="24"/>
        </w:rPr>
        <w:t>com</w:t>
      </w:r>
      <w:r>
        <w:rPr>
          <w:rFonts w:ascii="Times New Roman" w:hAnsi="Times New Roman"/>
          <w:sz w:val="24"/>
          <w:szCs w:val="24"/>
        </w:rPr>
        <w:t>o la tasa interbancaria federal-</w:t>
      </w:r>
      <w:r w:rsidRPr="008921A1">
        <w:rPr>
          <w:rFonts w:ascii="Times New Roman" w:hAnsi="Times New Roman"/>
          <w:sz w:val="24"/>
          <w:szCs w:val="24"/>
        </w:rPr>
        <w:t xml:space="preserve"> para determinar la tasa de capitalización de los bienes raíces, ya sea en un edificio de oficinas o</w:t>
      </w:r>
      <w:r>
        <w:rPr>
          <w:rFonts w:ascii="Times New Roman" w:hAnsi="Times New Roman"/>
          <w:sz w:val="24"/>
          <w:szCs w:val="24"/>
        </w:rPr>
        <w:t xml:space="preserve"> en una residencia unifamiliar.</w:t>
      </w:r>
    </w:p>
    <w:p w:rsidR="002F07D4" w:rsidRPr="00777AEA" w:rsidRDefault="002F07D4" w:rsidP="002F07D4">
      <w:pPr>
        <w:spacing w:line="240" w:lineRule="auto"/>
        <w:jc w:val="both"/>
        <w:rPr>
          <w:rFonts w:ascii="Times New Roman" w:hAnsi="Times New Roman"/>
          <w:sz w:val="24"/>
          <w:szCs w:val="24"/>
          <w:u w:val="single"/>
        </w:rPr>
      </w:pPr>
      <w:r w:rsidRPr="00777AEA">
        <w:rPr>
          <w:rFonts w:ascii="Times New Roman" w:hAnsi="Times New Roman"/>
          <w:sz w:val="24"/>
          <w:szCs w:val="24"/>
          <w:u w:val="single"/>
        </w:rPr>
        <w:t>La Reserva Federal se percató agudamente de la desconexión entre la política monetaria y las tasas de interés cuando las tasas no respondieron como se esperaba a la subida de tipos decretada por la Fed a mediados de 2004.</w:t>
      </w:r>
    </w:p>
    <w:p w:rsidR="002F07D4" w:rsidRPr="00777AEA" w:rsidRDefault="002F07D4" w:rsidP="002F07D4">
      <w:pPr>
        <w:spacing w:line="240" w:lineRule="auto"/>
        <w:jc w:val="both"/>
        <w:rPr>
          <w:rFonts w:ascii="Times New Roman" w:hAnsi="Times New Roman"/>
          <w:sz w:val="24"/>
          <w:szCs w:val="24"/>
          <w:u w:val="single"/>
        </w:rPr>
      </w:pPr>
      <w:r w:rsidRPr="00777AEA">
        <w:rPr>
          <w:rFonts w:ascii="Times New Roman" w:hAnsi="Times New Roman"/>
          <w:sz w:val="24"/>
          <w:szCs w:val="24"/>
          <w:u w:val="single"/>
        </w:rPr>
        <w:t>Además, los datos muestran que las tasas hipotecarias residenciales se habían deslindando gradualmente de la política monetaria incluso antes, a raíz de la emergencia, a partir de principios de este siglo, de un mercado global bien arbitrado para instrumentos de deuda de largo plazo.</w:t>
      </w:r>
    </w:p>
    <w:p w:rsidR="002F07D4" w:rsidRPr="00777AEA" w:rsidRDefault="002F07D4" w:rsidP="002F07D4">
      <w:pPr>
        <w:spacing w:line="240" w:lineRule="auto"/>
        <w:jc w:val="both"/>
        <w:rPr>
          <w:rFonts w:ascii="Times New Roman" w:hAnsi="Times New Roman"/>
          <w:sz w:val="24"/>
          <w:szCs w:val="24"/>
          <w:u w:val="single"/>
        </w:rPr>
      </w:pPr>
      <w:r w:rsidRPr="00777AEA">
        <w:rPr>
          <w:rFonts w:ascii="Times New Roman" w:hAnsi="Times New Roman"/>
          <w:sz w:val="24"/>
          <w:szCs w:val="24"/>
          <w:u w:val="single"/>
        </w:rPr>
        <w:t>La conexión entre las tasas hipotecarias y las tasas de corto plazo en Estados Unidos había sido estrecha durante décadas. Entre 1971 y 2002, la tasa de fondos federales y la tasa hipotecaria evolucionaron paralelamente. La correlación era fuerte: de 0,85. Entre 2002 y 2005, sin embargo, la correlación prácticamente se redujo a la insignificancia.</w:t>
      </w:r>
    </w:p>
    <w:p w:rsidR="002F07D4" w:rsidRPr="00777AEA" w:rsidRDefault="002F07D4" w:rsidP="002F07D4">
      <w:pPr>
        <w:spacing w:line="240" w:lineRule="auto"/>
        <w:jc w:val="both"/>
        <w:rPr>
          <w:rFonts w:ascii="Times New Roman" w:hAnsi="Times New Roman"/>
          <w:sz w:val="24"/>
          <w:szCs w:val="24"/>
          <w:u w:val="single"/>
        </w:rPr>
      </w:pPr>
      <w:r w:rsidRPr="00777AEA">
        <w:rPr>
          <w:rFonts w:ascii="Times New Roman" w:hAnsi="Times New Roman"/>
          <w:sz w:val="24"/>
          <w:szCs w:val="24"/>
          <w:u w:val="single"/>
        </w:rPr>
        <w:t>Tal y como apunté en esta página en diciembre de 2007, la presunta causa del declive mundial en las tasas de largo plazo fue el cambio tectónico a principios de los años 90 en gran parte del mundo en desarrollo, de un énfasis marcado en la planificación central a una competencia comercial centrada en la exportación cada vez más dinámica.</w:t>
      </w:r>
    </w:p>
    <w:p w:rsidR="002F07D4" w:rsidRPr="00777AEA" w:rsidRDefault="002F07D4" w:rsidP="002F07D4">
      <w:pPr>
        <w:spacing w:line="240" w:lineRule="auto"/>
        <w:jc w:val="both"/>
        <w:rPr>
          <w:rFonts w:ascii="Times New Roman" w:hAnsi="Times New Roman"/>
          <w:sz w:val="24"/>
          <w:szCs w:val="24"/>
          <w:u w:val="single"/>
        </w:rPr>
      </w:pPr>
      <w:r w:rsidRPr="00777AEA">
        <w:rPr>
          <w:rFonts w:ascii="Times New Roman" w:hAnsi="Times New Roman"/>
          <w:sz w:val="24"/>
          <w:szCs w:val="24"/>
          <w:u w:val="single"/>
        </w:rPr>
        <w:t>El resultado fue un incremento del crecimiento en China y un gran número de otras economías de mercados emergentes que llevaron a un exceso en el ahorro global previsto relativo a las previsiones de inversiones de capital. Ese exceso de ahorros basado en cambios anticipados propulsó progresivamente a la baja las tasas de interés de largo plazo entre principios de 2000 y 2005 a escala global.</w:t>
      </w:r>
    </w:p>
    <w:p w:rsidR="002F07D4" w:rsidRPr="00B1260D" w:rsidRDefault="002F07D4" w:rsidP="002F07D4">
      <w:pPr>
        <w:spacing w:line="240" w:lineRule="auto"/>
        <w:jc w:val="both"/>
        <w:rPr>
          <w:rFonts w:ascii="Times New Roman" w:hAnsi="Times New Roman"/>
          <w:sz w:val="24"/>
          <w:szCs w:val="24"/>
          <w:u w:val="single"/>
        </w:rPr>
      </w:pPr>
      <w:r w:rsidRPr="00777AEA">
        <w:rPr>
          <w:rFonts w:ascii="Times New Roman" w:hAnsi="Times New Roman"/>
          <w:sz w:val="24"/>
          <w:szCs w:val="24"/>
          <w:u w:val="single"/>
        </w:rPr>
        <w:t>Ese declive en las tasas de interés de largo plazo en un amplio espectro de países explica estadísticamente, y es la causa principal más probable, de las tasas de capitalización inmobiliarias que declinaron y convergieron en todo el mundo, resultando en la burbuja de precios inmobiliarios a escala global. (La burbuja de precios en Estados Unidos estaba en, o por debajo de, la mediana, según el Fondo Monetario Internacional).</w:t>
      </w:r>
    </w:p>
    <w:p w:rsidR="002F07D4" w:rsidRPr="0056554F" w:rsidRDefault="002F07D4" w:rsidP="002F07D4">
      <w:pPr>
        <w:spacing w:line="240" w:lineRule="auto"/>
        <w:jc w:val="both"/>
        <w:rPr>
          <w:rFonts w:ascii="Times New Roman" w:hAnsi="Times New Roman"/>
          <w:sz w:val="24"/>
          <w:szCs w:val="24"/>
          <w:u w:val="single"/>
        </w:rPr>
      </w:pPr>
      <w:r w:rsidRPr="00777AEA">
        <w:rPr>
          <w:rFonts w:ascii="Times New Roman" w:hAnsi="Times New Roman"/>
          <w:sz w:val="24"/>
          <w:szCs w:val="24"/>
          <w:u w:val="single"/>
        </w:rPr>
        <w:t>En 2006, las tasas de interés de largo plazo y las tasas hipotecarias determinadas por ella, para todos los países desarrollados y los principales países en desarrollo, se habían reducido a menos del 10% -creo que por primera vez jamás. Pensaba que el peso de una evidencia tal generaría un amplio apoyo a esta explicación de la crisis actual.</w:t>
      </w:r>
    </w:p>
    <w:p w:rsidR="002F07D4" w:rsidRPr="0056554F" w:rsidRDefault="002F07D4" w:rsidP="002F07D4">
      <w:pPr>
        <w:spacing w:line="240" w:lineRule="auto"/>
        <w:jc w:val="both"/>
        <w:rPr>
          <w:rFonts w:ascii="Times New Roman" w:hAnsi="Times New Roman"/>
          <w:sz w:val="24"/>
          <w:szCs w:val="24"/>
          <w:u w:val="single"/>
        </w:rPr>
      </w:pPr>
      <w:r w:rsidRPr="0056554F">
        <w:rPr>
          <w:rFonts w:ascii="Times New Roman" w:hAnsi="Times New Roman"/>
          <w:sz w:val="24"/>
          <w:szCs w:val="24"/>
          <w:u w:val="single"/>
        </w:rPr>
        <w:t xml:space="preserve">Sin embargo, a partir de mediados de 2007, la historia empezó a rescribirse, en gran medida por mi buen amigo y ex colega John Taylor, profesor de la Universidad de Stanford, con quien pocas veces he estado en desacuerdo. Sin embargo, escribiendo en estas mismas páginas el mes pasado, Taylor inequívocamente afirmó que si la Reserva Federal entre 2003 y 2005 hubiera mantenido las tasas de interés de corto plazo a los niveles implícitos en su “Regla Taylor”, “esto habría prevenido este auge y desplome </w:t>
      </w:r>
      <w:r w:rsidRPr="0056554F">
        <w:rPr>
          <w:rFonts w:ascii="Times New Roman" w:hAnsi="Times New Roman"/>
          <w:sz w:val="24"/>
          <w:szCs w:val="24"/>
          <w:u w:val="single"/>
        </w:rPr>
        <w:lastRenderedPageBreak/>
        <w:t>inmobiliario”. Esta noción ha sido citada y repetida tantas veces que ha adoptado el aura de una noción de conocimiento popular.</w:t>
      </w:r>
    </w:p>
    <w:p w:rsidR="002F07D4" w:rsidRPr="0056554F" w:rsidRDefault="002F07D4" w:rsidP="002F07D4">
      <w:pPr>
        <w:spacing w:line="240" w:lineRule="auto"/>
        <w:jc w:val="both"/>
        <w:rPr>
          <w:rFonts w:ascii="Times New Roman" w:hAnsi="Times New Roman"/>
          <w:sz w:val="24"/>
          <w:szCs w:val="24"/>
          <w:u w:val="single"/>
        </w:rPr>
      </w:pPr>
      <w:r w:rsidRPr="0056554F">
        <w:rPr>
          <w:rFonts w:ascii="Times New Roman" w:hAnsi="Times New Roman"/>
          <w:sz w:val="24"/>
          <w:szCs w:val="24"/>
          <w:u w:val="single"/>
        </w:rPr>
        <w:t>Además del uso inapropiado de tasas de interés de corto plazo para explicar el valor de activos de largo plazo, su acusación estadística de la política de la Reserva Federal durante el período de 2003 a 2005 no trata los antes mencionados cambios estructurales en la economía global. Su análisis estadístico incorpora relaciones empíricas de décadas anteriores al período más reciente, donde no necesariamente se pueden aplicar.</w:t>
      </w:r>
    </w:p>
    <w:p w:rsidR="002F07D4" w:rsidRPr="008921A1" w:rsidRDefault="002F07D4" w:rsidP="002F07D4">
      <w:pPr>
        <w:spacing w:line="240" w:lineRule="auto"/>
        <w:jc w:val="both"/>
        <w:rPr>
          <w:rFonts w:ascii="Times New Roman" w:hAnsi="Times New Roman"/>
          <w:sz w:val="24"/>
          <w:szCs w:val="24"/>
        </w:rPr>
      </w:pPr>
      <w:r>
        <w:rPr>
          <w:rFonts w:ascii="Times New Roman" w:hAnsi="Times New Roman"/>
          <w:sz w:val="24"/>
          <w:szCs w:val="24"/>
        </w:rPr>
        <w:t>Asimismo, aunque creo que la “Regla Taylor”</w:t>
      </w:r>
      <w:r w:rsidRPr="008921A1">
        <w:rPr>
          <w:rFonts w:ascii="Times New Roman" w:hAnsi="Times New Roman"/>
          <w:sz w:val="24"/>
          <w:szCs w:val="24"/>
        </w:rPr>
        <w:t xml:space="preserve"> es una primera aproximación útil al camino de la política monetaria, sus parámetros y predicciones se derivan de estructuras modelo que se han revelado consistentemente incapaces de anticipar el principio de las recesiones o crisis financieras. Razonamientos hipotéticos partiendo de estructuras tan defectuosas no pueden ser la única base de un exitoso análisis o asesoría sobre políticas gubernamentales, con o sin el beneficio de los conocimientos en retrospectiva.</w:t>
      </w:r>
    </w:p>
    <w:p w:rsidR="002F07D4" w:rsidRPr="00B1260D" w:rsidRDefault="002F07D4" w:rsidP="002F07D4">
      <w:pPr>
        <w:spacing w:line="240" w:lineRule="auto"/>
        <w:jc w:val="both"/>
        <w:rPr>
          <w:rFonts w:ascii="Times New Roman" w:hAnsi="Times New Roman"/>
          <w:sz w:val="24"/>
          <w:szCs w:val="24"/>
          <w:u w:val="single"/>
        </w:rPr>
      </w:pPr>
      <w:r w:rsidRPr="0056554F">
        <w:rPr>
          <w:rFonts w:ascii="Times New Roman" w:hAnsi="Times New Roman"/>
          <w:sz w:val="24"/>
          <w:szCs w:val="24"/>
          <w:u w:val="single"/>
        </w:rPr>
        <w:t>Dado el desacoplamiento de la política monetaria de las tasas hipotecarias de largo plazo, acelerar la política de incremento de tipos que la Fed implementó en 2004-2005 no podría haber “prevenido” la burbuja inmobiliaria. Tomando todo en consideración, personalmente prefiero la valoración del desempeño de la Reserva Federal de Milton Friedman. Al evaluar el período entre 1987 y 2005, escribió en esta misma página a principios de 2006: “No existe otro período de comparable duración en el que el Sistema de la Reserva Federal haya funcionado tan bien. Es más que una diferencia de grado; estamos hablando de una diferencia profunda”.</w:t>
      </w:r>
    </w:p>
    <w:p w:rsidR="002F07D4" w:rsidRPr="0056554F" w:rsidRDefault="002F07D4" w:rsidP="002F07D4">
      <w:pPr>
        <w:spacing w:line="240" w:lineRule="auto"/>
        <w:jc w:val="both"/>
        <w:rPr>
          <w:rFonts w:ascii="Times New Roman" w:hAnsi="Times New Roman"/>
          <w:sz w:val="24"/>
          <w:szCs w:val="24"/>
          <w:u w:val="single"/>
        </w:rPr>
      </w:pPr>
      <w:r w:rsidRPr="0056554F">
        <w:rPr>
          <w:rFonts w:ascii="Times New Roman" w:hAnsi="Times New Roman"/>
          <w:sz w:val="24"/>
          <w:szCs w:val="24"/>
          <w:u w:val="single"/>
        </w:rPr>
        <w:t>¿Cuánto importa si la burbuja fue causada por una política monetaria inapropiada, sobre la cual tienen control las autoridades, o por las amplias fuerzas globales sobre las cuales tienen un control limitado? Importa mucho.</w:t>
      </w:r>
    </w:p>
    <w:p w:rsidR="002F07D4" w:rsidRPr="0056554F" w:rsidRDefault="002F07D4" w:rsidP="002F07D4">
      <w:pPr>
        <w:spacing w:line="240" w:lineRule="auto"/>
        <w:jc w:val="both"/>
        <w:rPr>
          <w:rFonts w:ascii="Times New Roman" w:hAnsi="Times New Roman"/>
          <w:sz w:val="24"/>
          <w:szCs w:val="24"/>
          <w:u w:val="single"/>
        </w:rPr>
      </w:pPr>
      <w:r w:rsidRPr="0056554F">
        <w:rPr>
          <w:rFonts w:ascii="Times New Roman" w:hAnsi="Times New Roman"/>
          <w:sz w:val="24"/>
          <w:szCs w:val="24"/>
          <w:u w:val="single"/>
        </w:rPr>
        <w:t>Si la política monetaria es la que tiene la culpa, entonces eso puede corregirse a futuro, al menos en principio. Si, sin embargo, estamos lidiando con fuerzas globales más allá del control de las autoridades monetarias domésticas, como sospecho que fue el caso, entonces enfrentamos un problema más amplio.</w:t>
      </w:r>
    </w:p>
    <w:p w:rsidR="002F07D4" w:rsidRPr="0056554F" w:rsidRDefault="002F07D4" w:rsidP="002F07D4">
      <w:pPr>
        <w:spacing w:line="240" w:lineRule="auto"/>
        <w:jc w:val="both"/>
        <w:rPr>
          <w:rFonts w:ascii="Times New Roman" w:hAnsi="Times New Roman"/>
          <w:sz w:val="24"/>
          <w:szCs w:val="24"/>
          <w:u w:val="single"/>
        </w:rPr>
      </w:pPr>
      <w:r w:rsidRPr="0056554F">
        <w:rPr>
          <w:rFonts w:ascii="Times New Roman" w:hAnsi="Times New Roman"/>
          <w:sz w:val="24"/>
          <w:szCs w:val="24"/>
          <w:u w:val="single"/>
        </w:rPr>
        <w:t>La competencia de los mercados globales y la integración en bienes, servicios y finanzas han producido ganancias sin precedentes en bienestar material. Pero el camino del crecimiento de los mercados altamente competitivos es cíclico y en raras ocasiones puede derrumbarse, con consecuencias como las que experimentamos actualmente. Ahora es bastante claro que los niveles de complejidad a los que los participantes del mercado trataron de impulsar las técnicas de gestión de riesgo y los productos eran excesivos para que incluso los participantes más sofisticados los manejaran adecuada y prudentemente.</w:t>
      </w:r>
    </w:p>
    <w:p w:rsidR="002F07D4" w:rsidRPr="008921A1" w:rsidRDefault="002F07D4" w:rsidP="002F07D4">
      <w:pPr>
        <w:spacing w:line="240" w:lineRule="auto"/>
        <w:jc w:val="both"/>
        <w:rPr>
          <w:rFonts w:ascii="Times New Roman" w:hAnsi="Times New Roman"/>
          <w:sz w:val="24"/>
          <w:szCs w:val="24"/>
        </w:rPr>
      </w:pPr>
      <w:r w:rsidRPr="0056554F">
        <w:rPr>
          <w:rFonts w:ascii="Times New Roman" w:hAnsi="Times New Roman"/>
          <w:sz w:val="24"/>
          <w:szCs w:val="24"/>
          <w:u w:val="single"/>
        </w:rPr>
        <w:t>Sin embargo, la respuesta institucional apropiada no es frenar la intermediación financiera con mucha regulación. Eso ahogaría importantes avances en las finanzas que fortalecen los estándares de vida. Recuerde, antes de la crisis, la economía estadounidense exhibía un impresionante nivel de avance de productividad. Para lograr eso con un nivel modesto de ahorros domésticos y préstamos extranjeros (nuestro actual déficit de cuenta corriente) fue una medida del éxito de nuestro sistema financiero anterior a la crisis. Las soluciones para los fallos en el mercado financiero revelados por la crisis están en los mayores requerimientos de capital y una mayor persecución del fraude, no un aumento en la micro gestión por parte de las entidades gubernamentales</w:t>
      </w:r>
    </w:p>
    <w:p w:rsidR="002F07D4" w:rsidRPr="0024109C" w:rsidRDefault="002F07D4" w:rsidP="002F07D4">
      <w:pPr>
        <w:spacing w:line="240" w:lineRule="auto"/>
        <w:jc w:val="both"/>
        <w:rPr>
          <w:rFonts w:ascii="Times New Roman" w:hAnsi="Times New Roman"/>
          <w:sz w:val="24"/>
          <w:szCs w:val="24"/>
          <w:u w:val="single"/>
        </w:rPr>
      </w:pPr>
      <w:r w:rsidRPr="0024109C">
        <w:rPr>
          <w:rFonts w:ascii="Times New Roman" w:hAnsi="Times New Roman"/>
          <w:sz w:val="24"/>
          <w:szCs w:val="24"/>
          <w:u w:val="single"/>
        </w:rPr>
        <w:lastRenderedPageBreak/>
        <w:t>Cualquier nueva regulación debe mejorar la habilidad de las instituciones financieras para dirigir con efectividad los ahorros de un país a las inversiones de capital más productivas. Un alto nivel de regulación no logra superar esa prueba y a menudo es costoso y contraproducente. Los requerimientos adecuados de capital y colateral pueden enfrentar las debilidades que la crisis ha desenterrado. Tales requerimientos no estorbarían demasiado y por lo tanto no interferirían inadecuadamente en las decisiones de negocios del sector privado.</w:t>
      </w:r>
    </w:p>
    <w:p w:rsidR="002F07D4" w:rsidRPr="008921A1" w:rsidRDefault="002F07D4" w:rsidP="002F07D4">
      <w:pPr>
        <w:spacing w:line="240" w:lineRule="auto"/>
        <w:jc w:val="both"/>
        <w:rPr>
          <w:rFonts w:ascii="Times New Roman" w:hAnsi="Times New Roman"/>
          <w:sz w:val="24"/>
          <w:szCs w:val="24"/>
        </w:rPr>
      </w:pPr>
      <w:r w:rsidRPr="0024109C">
        <w:rPr>
          <w:rFonts w:ascii="Times New Roman" w:hAnsi="Times New Roman"/>
          <w:sz w:val="24"/>
          <w:szCs w:val="24"/>
          <w:u w:val="single"/>
        </w:rPr>
        <w:t>Si vamos a retener una economía mundial dinámica capaz de producir prosperidad y crecimiento sostenible a futuro, no podemos depender de los gobiernos para intermediar en los flujos de ahorro e inversión</w:t>
      </w:r>
      <w:r w:rsidRPr="008921A1">
        <w:rPr>
          <w:rFonts w:ascii="Times New Roman" w:hAnsi="Times New Roman"/>
          <w:sz w:val="24"/>
          <w:szCs w:val="24"/>
        </w:rPr>
        <w:t>. Nuestro reto en los próximos meses será implementar un régimen regulatorio que asegure una gestión de riesgo responsable por parte de las instituciones financieras, mientras que las alientan a continuar tomando los riesgos necesarios e inherentes en cualquier economía de mercado exitosa.</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8921A1">
        <w:rPr>
          <w:rFonts w:ascii="Times New Roman" w:hAnsi="Times New Roman"/>
          <w:sz w:val="24"/>
          <w:szCs w:val="24"/>
        </w:rPr>
        <w:t>Greenspan, fue presidente de la Reserva Federal de Estados Unidos y es el presidente de Greenspan Associates LLC y el au</w:t>
      </w:r>
      <w:r>
        <w:rPr>
          <w:rFonts w:ascii="Times New Roman" w:hAnsi="Times New Roman"/>
          <w:sz w:val="24"/>
          <w:szCs w:val="24"/>
        </w:rPr>
        <w:t>tor de “</w:t>
      </w:r>
      <w:r w:rsidRPr="008921A1">
        <w:rPr>
          <w:rFonts w:ascii="Times New Roman" w:hAnsi="Times New Roman"/>
          <w:sz w:val="24"/>
          <w:szCs w:val="24"/>
        </w:rPr>
        <w:t>The Age of Turbul</w:t>
      </w:r>
      <w:r>
        <w:rPr>
          <w:rFonts w:ascii="Times New Roman" w:hAnsi="Times New Roman"/>
          <w:sz w:val="24"/>
          <w:szCs w:val="24"/>
        </w:rPr>
        <w:t xml:space="preserve">ence: Adventures in a New World” - Penguin, 2007) </w:t>
      </w:r>
    </w:p>
    <w:p w:rsidR="002F07D4" w:rsidRPr="00CE1414" w:rsidRDefault="002F07D4" w:rsidP="002F07D4">
      <w:pPr>
        <w:jc w:val="both"/>
        <w:rPr>
          <w:rFonts w:ascii="Times New Roman" w:hAnsi="Times New Roman"/>
          <w:b/>
          <w:sz w:val="24"/>
          <w:szCs w:val="24"/>
        </w:rPr>
      </w:pPr>
      <w:r>
        <w:rPr>
          <w:rFonts w:ascii="Times New Roman" w:hAnsi="Times New Roman"/>
          <w:b/>
          <w:sz w:val="24"/>
          <w:szCs w:val="24"/>
        </w:rPr>
        <w:t>Los que se ríen… de Janeiro (n</w:t>
      </w:r>
      <w:r w:rsidRPr="00CE1414">
        <w:rPr>
          <w:rFonts w:ascii="Times New Roman" w:hAnsi="Times New Roman"/>
          <w:b/>
          <w:sz w:val="24"/>
          <w:szCs w:val="24"/>
        </w:rPr>
        <w:t>o están todos los que son, pero son todos los que están)</w:t>
      </w:r>
    </w:p>
    <w:p w:rsidR="002F07D4" w:rsidRPr="00124FDE" w:rsidRDefault="002F07D4" w:rsidP="002F07D4">
      <w:pPr>
        <w:spacing w:line="240" w:lineRule="auto"/>
        <w:jc w:val="both"/>
        <w:rPr>
          <w:rFonts w:ascii="Times New Roman" w:hAnsi="Times New Roman"/>
          <w:sz w:val="24"/>
          <w:szCs w:val="24"/>
          <w:u w:val="single"/>
        </w:rPr>
      </w:pPr>
      <w:r>
        <w:rPr>
          <w:rFonts w:ascii="Times New Roman" w:hAnsi="Times New Roman"/>
          <w:sz w:val="24"/>
          <w:szCs w:val="24"/>
        </w:rPr>
        <w:t xml:space="preserve">- </w:t>
      </w:r>
      <w:r w:rsidRPr="00124FDE">
        <w:rPr>
          <w:rFonts w:ascii="Times New Roman" w:hAnsi="Times New Roman"/>
          <w:sz w:val="24"/>
          <w:szCs w:val="24"/>
          <w:u w:val="single"/>
        </w:rPr>
        <w:t>Los responsables de la hecatombe financiera, rescatados por los contribuyentes de EEUU</w:t>
      </w:r>
    </w:p>
    <w:p w:rsidR="002F07D4" w:rsidRPr="00ED1438"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t>Mientras el gobierno federal tendía de nuevo la mano a la aseguradora AIG, con un salvavidas de 30.000 millones de dólares, y el Dow Jones cerraba por primera vez desde 1997 por debajo de los 7000 puntos, muchos de los ex consejeros delegados de Wall Street siguen disfrutando de enormes beneficios gracias al dinero de los contribuyentes.</w:t>
      </w:r>
    </w:p>
    <w:p w:rsidR="002F07D4" w:rsidRPr="00ED1438"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t>Cuando parecía que la administración Obama había frenado los pies a los altos ejecutivos a la hora del uso de aviones privados, costosas estancias o lujosas oficinas, además de los indiscretos salarios, resulta que las cláusulas firmadas entre algunas de las compañías financieras más importantes del país y sus antiguos capitanes han provocado que los ciudadanos tengan que lidiar con los caprichos de figuras que ya ni siquiera forman part</w:t>
      </w:r>
      <w:r>
        <w:rPr>
          <w:rFonts w:ascii="Times New Roman" w:hAnsi="Times New Roman"/>
          <w:sz w:val="24"/>
          <w:szCs w:val="24"/>
        </w:rPr>
        <w:t xml:space="preserve">e de las compañías rescatadas. </w:t>
      </w:r>
    </w:p>
    <w:p w:rsidR="002F07D4" w:rsidRPr="00ED1438"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t>Al menos así lo demuestran los informes presentados por distintas compañías ante la Comisión de Mercados y Valores de EEUU (SEC, por sus siglas en inglés).</w:t>
      </w:r>
    </w:p>
    <w:p w:rsidR="002F07D4" w:rsidRPr="00ED1438"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t>Fondos para costear los caprichos</w:t>
      </w:r>
    </w:p>
    <w:p w:rsidR="002F07D4" w:rsidRPr="00ED1438"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t xml:space="preserve">Así, por ejemplo, E. Stanley O'Neal, ex consejero de Merrill Lynch, sigue recibiendo fondos de Bank of America para costear el alquiler de la oficina que el ejecutivo posee en la Gran Manzana. Además el banco, que compró Merrill por 50.000 millones de dólares, también está obligado a pagar el salario del asistente de O'Neal hasta 2010. </w:t>
      </w:r>
    </w:p>
    <w:p w:rsidR="002F07D4" w:rsidRPr="00ED1438"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t>Otro caso sorprendente es el de Charles Prince, ex consejero delegado y presi</w:t>
      </w:r>
      <w:r>
        <w:rPr>
          <w:rFonts w:ascii="Times New Roman" w:hAnsi="Times New Roman"/>
          <w:sz w:val="24"/>
          <w:szCs w:val="24"/>
        </w:rPr>
        <w:t>dente del consejo de Citigroup</w:t>
      </w:r>
      <w:r w:rsidRPr="00ED1438">
        <w:rPr>
          <w:rFonts w:ascii="Times New Roman" w:hAnsi="Times New Roman"/>
          <w:sz w:val="24"/>
          <w:szCs w:val="24"/>
        </w:rPr>
        <w:t xml:space="preserve">. Mientras el banco consigue sobrevivir a duras penas y gracias a las ayudas federales, Prince sigue recibiendo dinero para financiar una oficina en Nueva York, secretaria, así como un coche y su respectivo conductor. Citigroup está obligado por contrato a lidiar con estos costes hasta 2012. </w:t>
      </w:r>
    </w:p>
    <w:p w:rsidR="002F07D4"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lastRenderedPageBreak/>
        <w:t>El banco también cuenta con la responsabilidad de cubrir las mismas necesidades de su ex consejero delegado, John S. Reed hasta que éste cumpla los 75 a</w:t>
      </w:r>
      <w:r>
        <w:rPr>
          <w:rFonts w:ascii="Times New Roman" w:hAnsi="Times New Roman"/>
          <w:sz w:val="24"/>
          <w:szCs w:val="24"/>
        </w:rPr>
        <w:t xml:space="preserve">ños de edad. </w:t>
      </w:r>
    </w:p>
    <w:p w:rsidR="002F07D4" w:rsidRPr="00ED1438"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JP Morgan </w:t>
      </w:r>
      <w:r w:rsidRPr="00ED1438">
        <w:rPr>
          <w:rFonts w:ascii="Times New Roman" w:hAnsi="Times New Roman"/>
          <w:sz w:val="24"/>
          <w:szCs w:val="24"/>
        </w:rPr>
        <w:t>también se ha visto forzado a hacer algo similar con William B Harrison, ex consejero delegado y presidente del consejo, a quien le debe oficina y personal administrativo hasta que el ejecutivo cumpla los 7</w:t>
      </w:r>
      <w:r>
        <w:rPr>
          <w:rFonts w:ascii="Times New Roman" w:hAnsi="Times New Roman"/>
          <w:sz w:val="24"/>
          <w:szCs w:val="24"/>
        </w:rPr>
        <w:t xml:space="preserve">0. </w:t>
      </w:r>
    </w:p>
    <w:p w:rsidR="002F07D4" w:rsidRPr="00124FDE"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t>Como ven, buena parte del dinero de los contribuyentes estadounidenses no va destinado a solventar el desaguisado financiero en el que buena parte de los bancos se encuentran inmersos si no que está dedicado a atender las caprichosas exigencias de un sector que ahora paga los platos rotos.</w:t>
      </w:r>
    </w:p>
    <w:p w:rsidR="002F07D4" w:rsidRPr="005F3C18"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 </w:t>
      </w:r>
      <w:r w:rsidRPr="005F3C18">
        <w:rPr>
          <w:rFonts w:ascii="Times New Roman" w:hAnsi="Times New Roman"/>
          <w:sz w:val="24"/>
          <w:szCs w:val="24"/>
          <w:u w:val="single"/>
        </w:rPr>
        <w:t>Jubilaciones de lujo a costa de los contribuyentes</w:t>
      </w:r>
      <w:r>
        <w:rPr>
          <w:rFonts w:ascii="Times New Roman" w:hAnsi="Times New Roman"/>
          <w:sz w:val="24"/>
          <w:szCs w:val="24"/>
        </w:rPr>
        <w:t xml:space="preserve">(El Confidencial - </w:t>
      </w:r>
      <w:r w:rsidRPr="005F3C18">
        <w:rPr>
          <w:rFonts w:ascii="Times New Roman" w:hAnsi="Times New Roman"/>
          <w:b/>
          <w:sz w:val="24"/>
          <w:szCs w:val="24"/>
        </w:rPr>
        <w:t>7/3/09</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(Por A. I. Gracia)</w:t>
      </w:r>
    </w:p>
    <w:p w:rsidR="002F07D4" w:rsidRPr="005F3C1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 xml:space="preserve">Los despidos multitudinarios son el pan nuestro de cada día y tampoco se han salvado de la quema grandes ejecutivos que parecían completamente a salvo. Pero hay quienes se pasean ajenos por el barrizal levantado por la crisis. Esta historia no va con ellos. Si las cuentas de las compañías hablasen, se quejarían del constante chorreo de dinero que reciben ex consejeros delegados que viven, porque así lo firmaron, una jubilación de lujo, desenfreno y derroche a costa de los bancos para los que trabajaban, todos ellos rescatados por el Gobierno estadounidense y un dinero que pagan todos los ciudadanos como contribuyentes. </w:t>
      </w:r>
    </w:p>
    <w:p w:rsidR="002F07D4" w:rsidRPr="005F3C1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 xml:space="preserve">Algunas compañías han llegado a desaparecer; otras están entre el suicidio y la muerte; incluso todavía existe más de una a las que la crisis asfixia pero no ahoga. Sin embargo, lo acordado va a misa. Portfolio.com describe los honorarios que le permiten a nueve ex directivos vivir con todo lujo de detalles gracias al contrato de despedida que firmaron con su compañía. No se sabe cómo, pero muchas empresas siguen pagando los aviones privados, los coches de empresa y hasta las secretarias a demasiados ex dirigentes que ya no están a los mandos de las compañías. </w:t>
      </w:r>
    </w:p>
    <w:p w:rsidR="002F07D4" w:rsidRPr="005F3C1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 xml:space="preserve">Edward E. Crutchfield, ex presidente y consejero delegado del banco estadounidense Wachovia, recibió 1,8 millones de dólares (1,4 millones de euros) para poder disfrutar de un “especial retiro” hasta el resto de sus días. Por si no fuera suficiente, el acuerdo también le concedía el derecho de contar con una oficina propia (incluida secretaria personal), así como del avión corporativo durante los diez primeros años de la jubilación, aunque fuentes de la entidad revelaron que Crutchfield dejó el avión corporativo hace ya cinco años.  </w:t>
      </w:r>
    </w:p>
    <w:p w:rsidR="002F07D4" w:rsidRPr="005F3C1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Tras la salida de Crutchfield subió a la presidencia del banco G.Kennedy. Fue sacado a la fuerza del Consejo en junio del año pasado. Eso sí: continuará teniendo acceso a una oficina y a un asistente personal hasta junio de 2011. Incluso después de que Wells Fargo se hiciera con Wachovia, fuentes de la compañía confirman que el acuerdo sigue en pie incluso después del cambio de mandos en Wachovia.</w:t>
      </w:r>
    </w:p>
    <w:p w:rsidR="002F07D4" w:rsidRPr="005F3C1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 xml:space="preserve">David Sambol es ex director de operaciones de Countrywide Financial, la compañía hipotecaria número uno de EEUU. Se le concedió 20 millones de dólares del Bank of America cuando adquirió la hipoteca de la entidad crediticia en enero de 2008. Recibió la mitad del dinero cuando se cumplió el primer aniversario de la firma del acuerdo. Fuentes de Bank of America no declararon si los diez millones restantes se pagaron o </w:t>
      </w:r>
      <w:r w:rsidRPr="005F3C18">
        <w:rPr>
          <w:rFonts w:ascii="Times New Roman" w:hAnsi="Times New Roman"/>
          <w:sz w:val="24"/>
          <w:szCs w:val="24"/>
        </w:rPr>
        <w:lastRenderedPageBreak/>
        <w:t xml:space="preserve">no. Lo que sí se sabe es que Sambol tenía derecho a un avión corporativo, un coche de compañía, y servicios de orientación financiera hasta finales de 2009. </w:t>
      </w:r>
    </w:p>
    <w:p w:rsidR="002F07D4" w:rsidRPr="005F3C1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 xml:space="preserve">Bank of America compró el banco de inversión Merrill Lynch en septiembre por cerca de 44.000 millones de dólares, algo más de 30.500 millones de euros. Fue entonces cuando Bank of America se hizo cargo de la jubilación que firmó E. Stanley O´Neal, ex presidente y consejero delegado de Merrill Lynch: su oficina en Manhattan y el salario de su asistente hasta octubre de 2010. </w:t>
      </w:r>
    </w:p>
    <w:p w:rsidR="002F07D4" w:rsidRPr="005F3C1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 xml:space="preserve">Otro coste que se sumó a las arcas de Bank of America fue la jubilación Charles K.Gifford, ex consejero delegado de Fleet Bank. Hace cuatro años, el banco le proporcionó un avión corporativo. Y eso que ya contaba con una oficina en Boston y una secretaria personal. </w:t>
      </w:r>
    </w:p>
    <w:p w:rsidR="002F07D4" w:rsidRPr="005F3C1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 xml:space="preserve">Charles O. Prince, ex presidente y consejero delegado de Citigroup, firmó recibir, hasta noviembre de 2012, servicios de secretariado, una oficina y otros beneficios que le llegan desde el banco estadounidense. La misma compañía aguanta los costes de jubilación de John S. Reed, otro ex consejero delegado. Cuando firmó el acuerdo de salir del banco en julio de 2000, la empresa también le puso una oficina con secretaria incluida, un coche con conductor (también incluido) el tiempo que le fuera necesario. Incluso, cuando Reed salió del área de Nueva York, Citigroup le buscó una oficina con secretaria hasta la vuelta. </w:t>
      </w:r>
    </w:p>
    <w:p w:rsidR="002F07D4" w:rsidRPr="005F3C1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William B. Harrison Jr</w:t>
      </w:r>
      <w:r>
        <w:rPr>
          <w:rFonts w:ascii="Times New Roman" w:hAnsi="Times New Roman"/>
          <w:sz w:val="24"/>
          <w:szCs w:val="24"/>
        </w:rPr>
        <w:t>.</w:t>
      </w:r>
      <w:r w:rsidRPr="005F3C18">
        <w:rPr>
          <w:rFonts w:ascii="Times New Roman" w:hAnsi="Times New Roman"/>
          <w:sz w:val="24"/>
          <w:szCs w:val="24"/>
        </w:rPr>
        <w:t xml:space="preserve"> renunció a su puesto de consejero delegado de JP Morgan Chase en diciembre de 2005 y como presidente un año después. Harrison, de 65 años, cuenta con una oficina y soporte administrativo hasta los 70.  </w:t>
      </w:r>
    </w:p>
    <w:p w:rsidR="002F07D4" w:rsidRPr="00ED1438" w:rsidRDefault="002F07D4" w:rsidP="002F07D4">
      <w:pPr>
        <w:spacing w:line="240" w:lineRule="auto"/>
        <w:jc w:val="both"/>
        <w:rPr>
          <w:rFonts w:ascii="Times New Roman" w:hAnsi="Times New Roman"/>
          <w:sz w:val="24"/>
          <w:szCs w:val="24"/>
        </w:rPr>
      </w:pPr>
      <w:r w:rsidRPr="005F3C18">
        <w:rPr>
          <w:rFonts w:ascii="Times New Roman" w:hAnsi="Times New Roman"/>
          <w:sz w:val="24"/>
          <w:szCs w:val="24"/>
        </w:rPr>
        <w:t>El ex presidente ejecutivo del North Fork Bank John A. Kanas recogió 212 millones de dólares cuando vendió Norht Fork Bancorp a Capital One en marzo de 2006. Año y medio después abandonó Capital One, pero no se fue sin antes firmar que podía seguir accediendo a la suite de la oficina en Long Island. En el acuerdo firmado, Capital One dijo que la oficina de Long Island sería construida fuera de las especificaciones del ejecutivo. Capital One también proporciona a Kanas con un asistente administrativo y un vehículo con chófer hasta finales de este año.</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Con toda la voz que tengo</w:t>
      </w:r>
    </w:p>
    <w:p w:rsidR="002F07D4" w:rsidRDefault="002F07D4" w:rsidP="002F07D4">
      <w:pPr>
        <w:spacing w:line="240" w:lineRule="auto"/>
        <w:jc w:val="both"/>
        <w:rPr>
          <w:rFonts w:ascii="Times New Roman" w:hAnsi="Times New Roman"/>
          <w:sz w:val="24"/>
          <w:szCs w:val="24"/>
        </w:rPr>
      </w:pPr>
      <w:r w:rsidRPr="005C3382">
        <w:rPr>
          <w:rFonts w:ascii="Times New Roman" w:hAnsi="Times New Roman"/>
          <w:sz w:val="24"/>
          <w:szCs w:val="24"/>
        </w:rPr>
        <w:t>Una quiebra global del capita</w:t>
      </w:r>
      <w:r>
        <w:rPr>
          <w:rFonts w:ascii="Times New Roman" w:hAnsi="Times New Roman"/>
          <w:sz w:val="24"/>
          <w:szCs w:val="24"/>
        </w:rPr>
        <w:t xml:space="preserve">lismo financiero de tal magnitud, velocidad y extensión, no la podría haber “imaginado” jamás Karl Marx ni en sus noches de alucinaciones y utopías en la vieja Trier (Tréveris). En tanto los “grandes talentos” (los más pícaros de los pícaros) purgan sus culpas (e intentan demostrar algún espíritu de enmienda). ¿Qué tal si comienzan por una vuelta al negocio tradicional (back to basics)? Para empezar. </w:t>
      </w:r>
    </w:p>
    <w:p w:rsidR="002F07D4" w:rsidRPr="00ED1438" w:rsidRDefault="002F07D4" w:rsidP="002F07D4">
      <w:pPr>
        <w:spacing w:line="240" w:lineRule="auto"/>
        <w:jc w:val="both"/>
        <w:rPr>
          <w:rFonts w:ascii="Times New Roman" w:hAnsi="Times New Roman"/>
          <w:sz w:val="24"/>
          <w:szCs w:val="24"/>
        </w:rPr>
      </w:pPr>
      <w:r>
        <w:rPr>
          <w:rFonts w:ascii="Times New Roman" w:hAnsi="Times New Roman"/>
          <w:sz w:val="24"/>
          <w:szCs w:val="24"/>
        </w:rPr>
        <w:t>Ante semejante “socialización” de la economía ¿qué dirían -ahora- Margaret Thatcher (si recuperara la memoria) o Ronald Reagan (si se levantara de la tumba)?</w:t>
      </w:r>
    </w:p>
    <w:p w:rsidR="002F07D4" w:rsidRPr="00ED1438"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t>Un destacado asesor del primer ministro británico, Gordon Brown, llegó a afirmar con motivo de la crisis bancaria que la City, centro financiero de Londres, era el único sector de la economía que merecía ser rescatado por el Gobierno. Según un informe filtrado al diario The Daily Telegraph</w:t>
      </w:r>
      <w:r>
        <w:rPr>
          <w:rFonts w:ascii="Times New Roman" w:hAnsi="Times New Roman"/>
          <w:sz w:val="24"/>
          <w:szCs w:val="24"/>
        </w:rPr>
        <w:t xml:space="preserve"> (2/3/09)</w:t>
      </w:r>
      <w:r w:rsidRPr="00ED1438">
        <w:rPr>
          <w:rFonts w:ascii="Times New Roman" w:hAnsi="Times New Roman"/>
          <w:sz w:val="24"/>
          <w:szCs w:val="24"/>
        </w:rPr>
        <w:t>, el asesor, al que no se cita por su nombre, dijo en una reunión con los sindicatos que la industria apenas tenía valor para el país, pero había que apoyar como fuera al sector financiero.</w:t>
      </w:r>
    </w:p>
    <w:p w:rsidR="002F07D4" w:rsidRPr="00ED1438" w:rsidRDefault="002F07D4" w:rsidP="002F07D4">
      <w:pPr>
        <w:spacing w:line="240" w:lineRule="auto"/>
        <w:jc w:val="both"/>
        <w:rPr>
          <w:rFonts w:ascii="Times New Roman" w:hAnsi="Times New Roman"/>
          <w:sz w:val="24"/>
          <w:szCs w:val="24"/>
        </w:rPr>
      </w:pPr>
      <w:r w:rsidRPr="00ED1438">
        <w:rPr>
          <w:rFonts w:ascii="Times New Roman" w:hAnsi="Times New Roman"/>
          <w:sz w:val="24"/>
          <w:szCs w:val="24"/>
        </w:rPr>
        <w:lastRenderedPageBreak/>
        <w:t>Esos comentarios explican, según el periódico, la decisión del Gobierno laborista de apoyar con 1,3 billones de libras (1,47 billones de euros) a los bancos y que apenas moviese un</w:t>
      </w:r>
      <w:r>
        <w:rPr>
          <w:rFonts w:ascii="Times New Roman" w:hAnsi="Times New Roman"/>
          <w:sz w:val="24"/>
          <w:szCs w:val="24"/>
        </w:rPr>
        <w:t xml:space="preserve"> dedo a favor de la industria.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ED1438">
        <w:rPr>
          <w:rFonts w:ascii="Times New Roman" w:hAnsi="Times New Roman"/>
          <w:sz w:val="24"/>
          <w:szCs w:val="24"/>
        </w:rPr>
        <w:t>Sólo los servicios profesionales de alta calidad, los financieros y la City de Londres tienen un valor real y habría que apoyarlos cueste lo que cueste mientras que el resto del pa</w:t>
      </w:r>
      <w:r>
        <w:rPr>
          <w:rFonts w:ascii="Times New Roman" w:hAnsi="Times New Roman"/>
          <w:sz w:val="24"/>
          <w:szCs w:val="24"/>
        </w:rPr>
        <w:t>ís podría entregarse al turismo”</w:t>
      </w:r>
      <w:r w:rsidRPr="00ED1438">
        <w:rPr>
          <w:rFonts w:ascii="Times New Roman" w:hAnsi="Times New Roman"/>
          <w:sz w:val="24"/>
          <w:szCs w:val="24"/>
        </w:rPr>
        <w:t xml:space="preserve">, dijo el asesor de Brown. </w:t>
      </w:r>
      <w:r>
        <w:rPr>
          <w:rFonts w:ascii="Times New Roman" w:hAnsi="Times New Roman"/>
          <w:sz w:val="24"/>
          <w:szCs w:val="24"/>
        </w:rPr>
        <w:t>“</w:t>
      </w:r>
      <w:r w:rsidRPr="00ED1438">
        <w:rPr>
          <w:rFonts w:ascii="Times New Roman" w:hAnsi="Times New Roman"/>
          <w:sz w:val="24"/>
          <w:szCs w:val="24"/>
        </w:rPr>
        <w:t>La defensa, el sector aeroespacial, las manufacturas y la ingeniería no tienen valor re</w:t>
      </w:r>
      <w:r>
        <w:rPr>
          <w:rFonts w:ascii="Times New Roman" w:hAnsi="Times New Roman"/>
          <w:sz w:val="24"/>
          <w:szCs w:val="24"/>
        </w:rPr>
        <w:t xml:space="preserve">al” para Gran Bretaña, agregó. </w:t>
      </w:r>
      <w:r w:rsidRPr="00ED1438">
        <w:rPr>
          <w:rFonts w:ascii="Times New Roman" w:hAnsi="Times New Roman"/>
          <w:sz w:val="24"/>
          <w:szCs w:val="24"/>
        </w:rPr>
        <w:t>El informe en cuestión lo elaboró la Asociación Nacional de la Defensa, entidad independiente que se ha quejado del poco apoyo del Gobierno a ese sector industrial.</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Estamos en un momento -lamentablemente- cuando la verdad cede paso a la conveniencia en las manifestaciones públicas. Terceros rescates (Citigroup) o cuartos (AIG). De los “investment grade” a los “bailouts” y de allí, al “default”… y si no, al tiempo.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Viejos conocidos: la “nacionalización de la deuda privada”. Mientras, seguiremos “bailando” al son de las “líneas de crédito contingente” y los “alivios cuantitativos”. Sólo falta una ley de “intangibilidad de los depósitos” (al caer).  Todo, menos la quiebra de las entidades insolventes (hasta el fantasma más temido: la hiperinflación).</w:t>
      </w:r>
    </w:p>
    <w:p w:rsidR="002F07D4" w:rsidRPr="005C3382" w:rsidRDefault="002F07D4" w:rsidP="002F07D4">
      <w:pPr>
        <w:spacing w:line="240" w:lineRule="auto"/>
        <w:jc w:val="both"/>
        <w:rPr>
          <w:rFonts w:ascii="Times New Roman" w:hAnsi="Times New Roman"/>
          <w:sz w:val="24"/>
          <w:szCs w:val="24"/>
        </w:rPr>
      </w:pPr>
      <w:r>
        <w:rPr>
          <w:rFonts w:ascii="Times New Roman" w:hAnsi="Times New Roman"/>
          <w:sz w:val="24"/>
          <w:szCs w:val="24"/>
        </w:rPr>
        <w:t>Eufemismos, hay muchos. Cinismo, también. Realismo, muy poco. Honestidad, menos. Vergüenza, ninguna. Continuando con la miopía del desastre…</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El grito de guerra de la Argentina del corralito en 2002: </w:t>
      </w:r>
      <w:r>
        <w:rPr>
          <w:rFonts w:ascii="Times New Roman" w:hAnsi="Times New Roman"/>
          <w:b/>
          <w:sz w:val="24"/>
          <w:szCs w:val="24"/>
        </w:rPr>
        <w:t xml:space="preserve">“¡Que se vayan todos!”. </w:t>
      </w:r>
      <w:r w:rsidRPr="005C3382">
        <w:rPr>
          <w:rFonts w:ascii="Times New Roman" w:hAnsi="Times New Roman"/>
          <w:sz w:val="24"/>
          <w:szCs w:val="24"/>
        </w:rPr>
        <w:t>No queda otra a</w:t>
      </w:r>
      <w:r>
        <w:rPr>
          <w:rFonts w:ascii="Times New Roman" w:hAnsi="Times New Roman"/>
          <w:sz w:val="24"/>
          <w:szCs w:val="24"/>
        </w:rPr>
        <w:t>lternativa. Capitulación. Rendición incondicional. “Suicidio ritual” de los “mariscales de la derrota” o “piadoso” ajusticiamiento (¿lapidación? ¿linchamiento?) La cárcel, sería demasiado premio. Y además, que devuelvan todo lo que se llevaron. Sí, sí.</w:t>
      </w:r>
    </w:p>
    <w:p w:rsidR="002F07D4" w:rsidRPr="00124FDE"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Pero lo dice mejor Naomi Klein (insospechable de argentinidad), y con más credibilidad que un servidor. Le dejo que “remate” el balón. Ya está centrado a puerta. </w:t>
      </w:r>
    </w:p>
    <w:p w:rsidR="002F07D4" w:rsidRPr="002E67FA" w:rsidRDefault="002F07D4" w:rsidP="002F07D4">
      <w:pPr>
        <w:spacing w:before="100" w:beforeAutospacing="1" w:after="100" w:afterAutospacing="1" w:line="240" w:lineRule="auto"/>
        <w:jc w:val="both"/>
        <w:rPr>
          <w:rFonts w:ascii="Times New Roman" w:eastAsia="Times New Roman" w:hAnsi="Times New Roman"/>
          <w:sz w:val="24"/>
          <w:szCs w:val="24"/>
          <w:u w:val="single"/>
          <w:lang w:val="en-US" w:eastAsia="es-ES"/>
        </w:rPr>
      </w:pPr>
      <w:r w:rsidRPr="002E67FA">
        <w:rPr>
          <w:rFonts w:ascii="Times New Roman" w:eastAsia="Times New Roman" w:hAnsi="Times New Roman"/>
          <w:sz w:val="24"/>
          <w:szCs w:val="24"/>
          <w:lang w:val="en-US" w:eastAsia="es-ES"/>
        </w:rPr>
        <w:t xml:space="preserve">(Artículo original) </w:t>
      </w:r>
      <w:r w:rsidRPr="00532BC4">
        <w:rPr>
          <w:rFonts w:ascii="Times New Roman" w:eastAsia="Times New Roman" w:hAnsi="Times New Roman"/>
          <w:sz w:val="24"/>
          <w:szCs w:val="24"/>
          <w:lang w:val="en-US" w:eastAsia="es-ES"/>
        </w:rPr>
        <w:t>- ¡</w:t>
      </w:r>
      <w:r w:rsidRPr="00047726">
        <w:rPr>
          <w:rFonts w:ascii="Times New Roman" w:eastAsia="Times New Roman" w:hAnsi="Times New Roman"/>
          <w:sz w:val="24"/>
          <w:szCs w:val="24"/>
          <w:u w:val="single"/>
          <w:lang w:val="en-US" w:eastAsia="es-ES"/>
        </w:rPr>
        <w:t>Que se vayan todos! - that's the global backlash talking</w:t>
      </w:r>
      <w:r>
        <w:rPr>
          <w:rFonts w:ascii="Times New Roman" w:eastAsia="Times New Roman" w:hAnsi="Times New Roman"/>
          <w:sz w:val="24"/>
          <w:szCs w:val="24"/>
          <w:u w:val="single"/>
          <w:lang w:val="en-US" w:eastAsia="es-ES"/>
        </w:rPr>
        <w:t>.</w:t>
      </w:r>
      <w:r w:rsidRPr="00047726">
        <w:rPr>
          <w:rFonts w:ascii="Times New Roman" w:eastAsia="Times New Roman" w:hAnsi="Times New Roman"/>
          <w:sz w:val="24"/>
          <w:szCs w:val="24"/>
          <w:u w:val="single"/>
          <w:lang w:val="en-US" w:eastAsia="es-ES"/>
        </w:rPr>
        <w:t xml:space="preserve"> It’s not just governing elites that the world is rising up against - it's the entire model of deregulated capitalism</w:t>
      </w:r>
      <w:r>
        <w:rPr>
          <w:rFonts w:ascii="Times New Roman" w:eastAsia="Times New Roman" w:hAnsi="Times New Roman"/>
          <w:sz w:val="24"/>
          <w:szCs w:val="24"/>
          <w:lang w:val="en-US" w:eastAsia="es-ES"/>
        </w:rPr>
        <w:t xml:space="preserve"> (</w:t>
      </w:r>
      <w:r w:rsidRPr="00532BC4">
        <w:rPr>
          <w:rFonts w:ascii="Times New Roman" w:eastAsia="Times New Roman" w:hAnsi="Times New Roman"/>
          <w:sz w:val="24"/>
          <w:szCs w:val="24"/>
          <w:lang w:val="en-US" w:eastAsia="es-ES"/>
        </w:rPr>
        <w:t>Naomi Klein</w:t>
      </w:r>
      <w:r>
        <w:rPr>
          <w:rFonts w:ascii="Times New Roman" w:eastAsia="Times New Roman" w:hAnsi="Times New Roman"/>
          <w:sz w:val="24"/>
          <w:szCs w:val="24"/>
          <w:lang w:val="en-US" w:eastAsia="es-ES"/>
        </w:rPr>
        <w:t>,</w:t>
      </w:r>
      <w:r w:rsidRPr="00532BC4">
        <w:rPr>
          <w:rFonts w:ascii="Times New Roman" w:eastAsia="Times New Roman" w:hAnsi="Times New Roman"/>
          <w:sz w:val="24"/>
          <w:szCs w:val="24"/>
          <w:lang w:val="en-US" w:eastAsia="es-ES"/>
        </w:rPr>
        <w:t xml:space="preserve"> The Guardian, </w:t>
      </w:r>
      <w:r w:rsidRPr="00047726">
        <w:rPr>
          <w:rFonts w:ascii="Times New Roman" w:eastAsia="Times New Roman" w:hAnsi="Times New Roman"/>
          <w:b/>
          <w:sz w:val="24"/>
          <w:szCs w:val="24"/>
          <w:lang w:val="en-US" w:eastAsia="es-ES"/>
        </w:rPr>
        <w:t>Friday 6 February 2009</w:t>
      </w:r>
      <w:r>
        <w:rPr>
          <w:rFonts w:ascii="Times New Roman" w:eastAsia="Times New Roman" w:hAnsi="Times New Roman"/>
          <w:sz w:val="24"/>
          <w:szCs w:val="24"/>
          <w:lang w:val="en-US" w:eastAsia="es-ES"/>
        </w:rPr>
        <w:t>)</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Watching the crowds in Iceland banging pots and pans until their government fell reminded me of a chant popular in an</w:t>
      </w:r>
      <w:r>
        <w:rPr>
          <w:rFonts w:ascii="Times New Roman" w:eastAsia="Times New Roman" w:hAnsi="Times New Roman"/>
          <w:sz w:val="24"/>
          <w:szCs w:val="24"/>
          <w:lang w:val="en-US" w:eastAsia="es-ES"/>
        </w:rPr>
        <w:t>ti-capitalist circles in 2002: “</w:t>
      </w:r>
      <w:r w:rsidRPr="00532BC4">
        <w:rPr>
          <w:rFonts w:ascii="Times New Roman" w:eastAsia="Times New Roman" w:hAnsi="Times New Roman"/>
          <w:sz w:val="24"/>
          <w:szCs w:val="24"/>
          <w:lang w:val="en-US" w:eastAsia="es-ES"/>
        </w:rPr>
        <w:t>You are Enron. We are Argentina</w:t>
      </w:r>
      <w:r>
        <w:rPr>
          <w:rFonts w:ascii="Times New Roman" w:eastAsia="Times New Roman" w:hAnsi="Times New Roman"/>
          <w:sz w:val="24"/>
          <w:szCs w:val="24"/>
          <w:lang w:val="en-US" w:eastAsia="es-ES"/>
        </w:rPr>
        <w:t>”.</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Its message was simple enough. You - politicians and CEOs huddled at some trade summit - are like the reckless scamming execs at Enron (of course, we didn't know the half of it). We - the rabble outside - are like the people of Argentina, who, in the midst of an economic crisis eerily similar to our own, took to the street bangin</w:t>
      </w:r>
      <w:r>
        <w:rPr>
          <w:rFonts w:ascii="Times New Roman" w:eastAsia="Times New Roman" w:hAnsi="Times New Roman"/>
          <w:sz w:val="24"/>
          <w:szCs w:val="24"/>
          <w:lang w:val="en-US" w:eastAsia="es-ES"/>
        </w:rPr>
        <w:t>g pots and pans. They shouted, “¡Que se vayan todos!” (“All of them must go!”</w:t>
      </w:r>
      <w:r w:rsidRPr="00532BC4">
        <w:rPr>
          <w:rFonts w:ascii="Times New Roman" w:eastAsia="Times New Roman" w:hAnsi="Times New Roman"/>
          <w:sz w:val="24"/>
          <w:szCs w:val="24"/>
          <w:lang w:val="en-US" w:eastAsia="es-ES"/>
        </w:rPr>
        <w:t>) - and forced out a procession of four presidents in less than three weeks. What made Argentina's 2001-02 uprising unique was that it wasn't directed at a particular political party or even at corruption in the abstract. The target was the dominant economic model: this was the first national revolt against contemporary deregulated capitalism.</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It has taken a while, but from Iceland to Latvia, South Korea to Greece, the rest of the world is finally having its ¡Que se vayan todos! moment.</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lastRenderedPageBreak/>
        <w:t>The stoic Icelandic matriarchs beating their pots flat even as their kids ransack the fridge for projectiles (eggs, sure, but yoghurt?) echo the tactics made famous in Buenos Aires. So does the collective rage at elites who trashed a once thriving country and thought they could get away with it. As Gudrun Jonsdottir, a 36-year-old Ic</w:t>
      </w:r>
      <w:r>
        <w:rPr>
          <w:rFonts w:ascii="Times New Roman" w:eastAsia="Times New Roman" w:hAnsi="Times New Roman"/>
          <w:sz w:val="24"/>
          <w:szCs w:val="24"/>
          <w:lang w:val="en-US" w:eastAsia="es-ES"/>
        </w:rPr>
        <w:t>elandic office worker, put it: “</w:t>
      </w:r>
      <w:r w:rsidRPr="00532BC4">
        <w:rPr>
          <w:rFonts w:ascii="Times New Roman" w:eastAsia="Times New Roman" w:hAnsi="Times New Roman"/>
          <w:sz w:val="24"/>
          <w:szCs w:val="24"/>
          <w:lang w:val="en-US" w:eastAsia="es-ES"/>
        </w:rPr>
        <w:t>I've just had enough of this whole thing. I don't trust the government, I don't trust the banks, I don't trust the political parties and I don't trust the IMF. We had a go</w:t>
      </w:r>
      <w:r>
        <w:rPr>
          <w:rFonts w:ascii="Times New Roman" w:eastAsia="Times New Roman" w:hAnsi="Times New Roman"/>
          <w:sz w:val="24"/>
          <w:szCs w:val="24"/>
          <w:lang w:val="en-US" w:eastAsia="es-ES"/>
        </w:rPr>
        <w:t>od country, and they ruined it”.</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Another echo: in Reykjavik, the protesters clearly won't be bought off by a mere change of face at the top (even if the new PM is a lesbian). They want aid for people, not just banks; criminal investigations into the debacle; and deep electoral reform.</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Similar demands can be heard in Latvia, whose economy has contracted more sharply than any country in the EU, and where the government is teetering. For weeks the capital has been rocked by protests, including a full-blown, cobblestone-hurling riot on 13 January. As in Iceland, Latvians are appalled by their leaders' refusal to take any responsibility for the mess. Asked by Bloomberg TV what caused the crisis, Latvia's fina</w:t>
      </w:r>
      <w:r>
        <w:rPr>
          <w:rFonts w:ascii="Times New Roman" w:eastAsia="Times New Roman" w:hAnsi="Times New Roman"/>
          <w:sz w:val="24"/>
          <w:szCs w:val="24"/>
          <w:lang w:val="en-US" w:eastAsia="es-ES"/>
        </w:rPr>
        <w:t>nce minister shrugged: “Nothing special”.</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 xml:space="preserve">But Latvia's troubles are indeed special: the </w:t>
      </w:r>
      <w:r>
        <w:rPr>
          <w:rFonts w:ascii="Times New Roman" w:eastAsia="Times New Roman" w:hAnsi="Times New Roman"/>
          <w:sz w:val="24"/>
          <w:szCs w:val="24"/>
          <w:lang w:val="en-US" w:eastAsia="es-ES"/>
        </w:rPr>
        <w:t>very policies that allowed the “Baltic tiger”</w:t>
      </w:r>
      <w:r w:rsidRPr="00532BC4">
        <w:rPr>
          <w:rFonts w:ascii="Times New Roman" w:eastAsia="Times New Roman" w:hAnsi="Times New Roman"/>
          <w:sz w:val="24"/>
          <w:szCs w:val="24"/>
          <w:lang w:val="en-US" w:eastAsia="es-ES"/>
        </w:rPr>
        <w:t xml:space="preserve"> to grow at a rate of 12% in 2006 are also causing it to contract violently by a projected 10% this year: money, freed of all barriers, flows out as quickly as it flows in, with plenty being diverted to political pockets. (It is no coincidence that many of today'</w:t>
      </w:r>
      <w:r>
        <w:rPr>
          <w:rFonts w:ascii="Times New Roman" w:eastAsia="Times New Roman" w:hAnsi="Times New Roman"/>
          <w:sz w:val="24"/>
          <w:szCs w:val="24"/>
          <w:lang w:val="en-US" w:eastAsia="es-ES"/>
        </w:rPr>
        <w:t>s basket cases are yesterday's “miracles”</w:t>
      </w:r>
      <w:r w:rsidRPr="00532BC4">
        <w:rPr>
          <w:rFonts w:ascii="Times New Roman" w:eastAsia="Times New Roman" w:hAnsi="Times New Roman"/>
          <w:sz w:val="24"/>
          <w:szCs w:val="24"/>
          <w:lang w:val="en-US" w:eastAsia="es-ES"/>
        </w:rPr>
        <w:t>: Ireland, Estonia, Iceland, Latvia).</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In Latvia, much of the popular rage has focused on government austerity measures - mass layoffs, reduced social services and slashed public sector salaries - all to qualify for an IMF emergency loan (no, nothing has changed). In Greece, December's riots followed a police shooting of a 15-year-old. But what's kept them going, with farmers taking the lead from students, is widespread rage at the government's crisis response: banks got a $36bn bailout while workers got their pensions cut and farmers received next to nothing.</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Despite the inconvenience caused by tractors blocking roads, 78% of Greeks say that the farmers' demands are reasonable. Similarly, in France the recent general strike - triggered in part by the plans of President Sarkozy to reduce dramatically the number of teachers - inspired the support of 70% of the population.</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 xml:space="preserve">Perhaps the sturdiest thread connecting this global backlash </w:t>
      </w:r>
      <w:r>
        <w:rPr>
          <w:rFonts w:ascii="Times New Roman" w:eastAsia="Times New Roman" w:hAnsi="Times New Roman"/>
          <w:sz w:val="24"/>
          <w:szCs w:val="24"/>
          <w:lang w:val="en-US" w:eastAsia="es-ES"/>
        </w:rPr>
        <w:t>is a rejection of the logic of “extraordinary politics”</w:t>
      </w:r>
      <w:r w:rsidRPr="00532BC4">
        <w:rPr>
          <w:rFonts w:ascii="Times New Roman" w:eastAsia="Times New Roman" w:hAnsi="Times New Roman"/>
          <w:sz w:val="24"/>
          <w:szCs w:val="24"/>
          <w:lang w:val="en-US" w:eastAsia="es-ES"/>
        </w:rPr>
        <w:t xml:space="preserve"> - the phrase coined by the Polish politician Leszek Balcerowicz to describe how, in a crisis, politicians can ignore legislative rules and rush </w:t>
      </w:r>
      <w:r w:rsidR="00B5507C">
        <w:rPr>
          <w:rFonts w:ascii="Times New Roman" w:eastAsia="Times New Roman" w:hAnsi="Times New Roman"/>
          <w:sz w:val="24"/>
          <w:szCs w:val="24"/>
          <w:lang w:val="en-US" w:eastAsia="es-ES"/>
        </w:rPr>
        <w:t>through unpopular “reforms”</w:t>
      </w:r>
      <w:r w:rsidRPr="00532BC4">
        <w:rPr>
          <w:rFonts w:ascii="Times New Roman" w:eastAsia="Times New Roman" w:hAnsi="Times New Roman"/>
          <w:sz w:val="24"/>
          <w:szCs w:val="24"/>
          <w:lang w:val="en-US" w:eastAsia="es-ES"/>
        </w:rPr>
        <w:t>. That trick is getting tired, as South Korea's government recently discovered. In December, the ruling party tried to use the crisis to ram through a highly controversial free trade agreement with the US. Taking closed-door politics to new extremes, legislators locked themselves in the chamber so they could vote in private, barricading the door with desks, chairs and couches.</w:t>
      </w:r>
    </w:p>
    <w:p w:rsidR="002F07D4" w:rsidRPr="00532BC4"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t>Opposition politicians were having none of it: using sledgehammers and an electric saw, they broke in and staged a 12-day sit-in of parliament. The vote was delayed, allowing for more debate</w:t>
      </w:r>
      <w:r>
        <w:rPr>
          <w:rFonts w:ascii="Times New Roman" w:eastAsia="Times New Roman" w:hAnsi="Times New Roman"/>
          <w:sz w:val="24"/>
          <w:szCs w:val="24"/>
          <w:lang w:val="en-US" w:eastAsia="es-ES"/>
        </w:rPr>
        <w:t xml:space="preserve"> - a victory for a new kind of “extraordinary politics”</w:t>
      </w:r>
      <w:r w:rsidRPr="00532BC4">
        <w:rPr>
          <w:rFonts w:ascii="Times New Roman" w:eastAsia="Times New Roman" w:hAnsi="Times New Roman"/>
          <w:sz w:val="24"/>
          <w:szCs w:val="24"/>
          <w:lang w:val="en-US" w:eastAsia="es-ES"/>
        </w:rPr>
        <w:t>.</w:t>
      </w:r>
    </w:p>
    <w:p w:rsidR="002F07D4" w:rsidRPr="005F322C" w:rsidRDefault="002F07D4" w:rsidP="002F07D4">
      <w:pPr>
        <w:spacing w:before="100" w:beforeAutospacing="1" w:after="100" w:afterAutospacing="1" w:line="240" w:lineRule="auto"/>
        <w:jc w:val="both"/>
        <w:rPr>
          <w:rFonts w:ascii="Times New Roman" w:eastAsia="Times New Roman" w:hAnsi="Times New Roman"/>
          <w:sz w:val="24"/>
          <w:szCs w:val="24"/>
          <w:lang w:val="en-US" w:eastAsia="es-ES"/>
        </w:rPr>
      </w:pPr>
      <w:r w:rsidRPr="00532BC4">
        <w:rPr>
          <w:rFonts w:ascii="Times New Roman" w:eastAsia="Times New Roman" w:hAnsi="Times New Roman"/>
          <w:sz w:val="24"/>
          <w:szCs w:val="24"/>
          <w:lang w:val="en-US" w:eastAsia="es-ES"/>
        </w:rPr>
        <w:lastRenderedPageBreak/>
        <w:t>The pattern is clear: governments that respond to a crisis created by free-market ideology with an acceleration of that same discredited agenda will not survive to tell the tale. As Italy's students have tak</w:t>
      </w:r>
      <w:r>
        <w:rPr>
          <w:rFonts w:ascii="Times New Roman" w:eastAsia="Times New Roman" w:hAnsi="Times New Roman"/>
          <w:sz w:val="24"/>
          <w:szCs w:val="24"/>
          <w:lang w:val="en-US" w:eastAsia="es-ES"/>
        </w:rPr>
        <w:t>en to shouting in the streets: “We won't pay for your crisis!”.</w:t>
      </w:r>
    </w:p>
    <w:p w:rsidR="002F07D4" w:rsidRPr="005F322C"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5F322C">
        <w:rPr>
          <w:rFonts w:ascii="Times New Roman" w:eastAsia="Times New Roman" w:hAnsi="Times New Roman"/>
          <w:b/>
          <w:sz w:val="24"/>
          <w:szCs w:val="24"/>
          <w:lang w:eastAsia="es-ES"/>
        </w:rPr>
        <w:t>En 1998, el director Peter Weir hizo una película titulada The Truman Show. En ella, el protagonista, Truman Burbank, interpretado por Jim Carrey, vive, sin saberlo, en un mundo ficticio, inventado por una productora de televisión. Su existencia se desarrolla ante la constante presencia de las cámaras y la audiencia sigue sus aventuras cotidianas como si se tratase de capí</w:t>
      </w:r>
      <w:r>
        <w:rPr>
          <w:rFonts w:ascii="Times New Roman" w:eastAsia="Times New Roman" w:hAnsi="Times New Roman"/>
          <w:b/>
          <w:sz w:val="24"/>
          <w:szCs w:val="24"/>
          <w:lang w:eastAsia="es-ES"/>
        </w:rPr>
        <w:t xml:space="preserve">tulos de una larga telenovela. </w:t>
      </w:r>
    </w:p>
    <w:p w:rsidR="002F07D4" w:rsidRPr="005F322C"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5F322C">
        <w:rPr>
          <w:rFonts w:ascii="Times New Roman" w:eastAsia="Times New Roman" w:hAnsi="Times New Roman"/>
          <w:b/>
          <w:sz w:val="24"/>
          <w:szCs w:val="24"/>
          <w:lang w:eastAsia="es-ES"/>
        </w:rPr>
        <w:t>Truman no puede escaparse de ese mundo, porque hasta el cielo que admira resulta un telón pint</w:t>
      </w:r>
      <w:r>
        <w:rPr>
          <w:rFonts w:ascii="Times New Roman" w:eastAsia="Times New Roman" w:hAnsi="Times New Roman"/>
          <w:b/>
          <w:sz w:val="24"/>
          <w:szCs w:val="24"/>
          <w:lang w:eastAsia="es-ES"/>
        </w:rPr>
        <w:t xml:space="preserve">ado. </w:t>
      </w:r>
      <w:r w:rsidRPr="00BE1ED0">
        <w:rPr>
          <w:rFonts w:ascii="Times New Roman" w:eastAsia="Times New Roman" w:hAnsi="Times New Roman"/>
          <w:b/>
          <w:sz w:val="24"/>
          <w:szCs w:val="24"/>
          <w:lang w:eastAsia="es-ES"/>
        </w:rPr>
        <w:t>La escena tiene algo de déjà- vu.</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Si tomamos la anécdota como categoría, el apellido de Truman (para más INRI) era Burbank. ¿Una mezcla de Burbuja y Banco? ¿Un mundo ficticio o un regreso al futuro?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150A72">
        <w:rPr>
          <w:rFonts w:ascii="Times New Roman" w:eastAsia="Times New Roman" w:hAnsi="Times New Roman"/>
          <w:b/>
          <w:sz w:val="24"/>
          <w:szCs w:val="24"/>
          <w:lang w:eastAsia="es-ES"/>
        </w:rPr>
        <w:t>Decir que los seres humanos suelen ser presa de comportamientos que los devuelven una y otra vez a la misma trampa es una obviedad.</w:t>
      </w:r>
      <w:r>
        <w:rPr>
          <w:rFonts w:ascii="Times New Roman" w:eastAsia="Times New Roman" w:hAnsi="Times New Roman"/>
          <w:b/>
          <w:sz w:val="24"/>
          <w:szCs w:val="24"/>
          <w:lang w:eastAsia="es-ES"/>
        </w:rPr>
        <w:t xml:space="preserve"> Entonces, “nudge” Obama (el “flip-flopping”) o el Dr. Doom (“la enzima LOX”)…</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FB6E48">
        <w:rPr>
          <w:rFonts w:ascii="Times New Roman" w:eastAsia="Times New Roman" w:hAnsi="Times New Roman"/>
          <w:b/>
          <w:sz w:val="24"/>
          <w:szCs w:val="24"/>
          <w:lang w:eastAsia="es-ES"/>
        </w:rPr>
        <w:t>¿Será el comienzo de una nueva etapa, o ser</w:t>
      </w:r>
      <w:r>
        <w:rPr>
          <w:rFonts w:ascii="Times New Roman" w:eastAsia="Times New Roman" w:hAnsi="Times New Roman"/>
          <w:b/>
          <w:sz w:val="24"/>
          <w:szCs w:val="24"/>
          <w:lang w:eastAsia="es-ES"/>
        </w:rPr>
        <w:t>á definitivamente el abismo?</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Mientras nos aclaramos, que no cunda el pánico, aquellos que estén muy deprimidos por la recesión, pueden solicitar los servicios terapéuticos de Gordon (¿Charlie?) Brown. </w:t>
      </w:r>
      <w:r w:rsidRPr="00C70286">
        <w:rPr>
          <w:rFonts w:ascii="Times New Roman" w:eastAsia="Times New Roman" w:hAnsi="Times New Roman"/>
          <w:sz w:val="24"/>
          <w:szCs w:val="24"/>
          <w:lang w:eastAsia="es-ES"/>
        </w:rPr>
        <w:t>Un ejército de 3.600 terapeutas, varios cientos de enfermeras y una línea especial de teléfono estar</w:t>
      </w:r>
      <w:r>
        <w:rPr>
          <w:rFonts w:ascii="Times New Roman" w:eastAsia="Times New Roman" w:hAnsi="Times New Roman"/>
          <w:sz w:val="24"/>
          <w:szCs w:val="24"/>
          <w:lang w:eastAsia="es-ES"/>
        </w:rPr>
        <w:t>án al servicio de aquellos</w:t>
      </w:r>
      <w:r w:rsidRPr="00C70286">
        <w:rPr>
          <w:rFonts w:ascii="Times New Roman" w:eastAsia="Times New Roman" w:hAnsi="Times New Roman"/>
          <w:sz w:val="24"/>
          <w:szCs w:val="24"/>
          <w:lang w:eastAsia="es-ES"/>
        </w:rPr>
        <w:t xml:space="preserve"> a los que la crisis económica provoque depresión o ansiedad, por pérdida de empleo, problemas económicos o tensiones familiares.</w:t>
      </w:r>
      <w:r>
        <w:rPr>
          <w:rFonts w:ascii="Times New Roman" w:eastAsia="Times New Roman" w:hAnsi="Times New Roman"/>
          <w:sz w:val="24"/>
          <w:szCs w:val="24"/>
          <w:lang w:eastAsia="es-ES"/>
        </w:rPr>
        <w:t xml:space="preserve"> ¿Irán los “mejores talentos” al diván de la Sanidad Pública? ¿Aprovecharan el viaje los líderes del G ¡Je! - 20? Al menos, para algo sirve la “tercera vía” de Blair. ¿Remember? </w:t>
      </w:r>
    </w:p>
    <w:p w:rsidR="002F07D4" w:rsidRDefault="002F07D4" w:rsidP="002F07D4">
      <w:pPr>
        <w:jc w:val="both"/>
        <w:rPr>
          <w:rFonts w:ascii="Times New Roman" w:hAnsi="Times New Roman"/>
          <w:b/>
          <w:sz w:val="24"/>
          <w:szCs w:val="24"/>
        </w:rPr>
      </w:pPr>
      <w:r w:rsidRPr="00D85722">
        <w:rPr>
          <w:rFonts w:ascii="Times New Roman" w:hAnsi="Times New Roman"/>
          <w:sz w:val="24"/>
          <w:szCs w:val="24"/>
        </w:rPr>
        <w:t>Del Paper -</w:t>
      </w:r>
      <w:r>
        <w:rPr>
          <w:rFonts w:ascii="Times New Roman" w:hAnsi="Times New Roman"/>
          <w:b/>
          <w:sz w:val="24"/>
          <w:szCs w:val="24"/>
        </w:rPr>
        <w:t>Goldman Sachs: El “vampiro” de la crisis</w:t>
      </w:r>
      <w:r>
        <w:rPr>
          <w:rFonts w:ascii="Times New Roman" w:hAnsi="Times New Roman"/>
          <w:sz w:val="24"/>
          <w:szCs w:val="24"/>
        </w:rPr>
        <w:t>, publicado el 15/3/10</w:t>
      </w:r>
    </w:p>
    <w:p w:rsidR="002F07D4" w:rsidRDefault="002F07D4" w:rsidP="002F07D4">
      <w:pPr>
        <w:jc w:val="both"/>
        <w:rPr>
          <w:rFonts w:ascii="Times New Roman" w:hAnsi="Times New Roman"/>
          <w:b/>
          <w:sz w:val="24"/>
          <w:szCs w:val="24"/>
        </w:rPr>
      </w:pPr>
      <w:r>
        <w:rPr>
          <w:rFonts w:ascii="Times New Roman" w:hAnsi="Times New Roman"/>
          <w:b/>
          <w:sz w:val="24"/>
          <w:szCs w:val="24"/>
        </w:rPr>
        <w:t xml:space="preserve">El “rostro inaceptable” del capitalismo (de la “relajación cuantitativa” a la “relajación cualitativa”) </w:t>
      </w:r>
    </w:p>
    <w:p w:rsidR="002F07D4" w:rsidRDefault="002F07D4" w:rsidP="002F07D4">
      <w:pPr>
        <w:spacing w:line="240" w:lineRule="auto"/>
        <w:jc w:val="both"/>
        <w:rPr>
          <w:rFonts w:ascii="Times New Roman" w:hAnsi="Times New Roman"/>
          <w:sz w:val="24"/>
          <w:szCs w:val="24"/>
          <w:u w:val="single"/>
          <w:lang w:val="en-US"/>
        </w:rPr>
      </w:pPr>
      <w:r>
        <w:rPr>
          <w:rFonts w:ascii="Times New Roman" w:hAnsi="Times New Roman"/>
          <w:sz w:val="24"/>
          <w:szCs w:val="24"/>
          <w:u w:val="single"/>
          <w:lang w:val="en-US"/>
        </w:rPr>
        <w:t xml:space="preserve">Adagio non troppo: </w:t>
      </w:r>
      <w:r w:rsidRPr="009026D5">
        <w:rPr>
          <w:rFonts w:ascii="Times New Roman" w:hAnsi="Times New Roman"/>
          <w:sz w:val="24"/>
          <w:szCs w:val="24"/>
          <w:u w:val="single"/>
          <w:lang w:val="en-US"/>
        </w:rPr>
        <w:t>Too big or not to be (that is the question…)</w:t>
      </w:r>
    </w:p>
    <w:p w:rsidR="002F07D4" w:rsidRDefault="002F07D4" w:rsidP="002F07D4">
      <w:pPr>
        <w:spacing w:line="240" w:lineRule="auto"/>
        <w:jc w:val="both"/>
        <w:rPr>
          <w:rFonts w:ascii="Times New Roman" w:hAnsi="Times New Roman"/>
          <w:sz w:val="24"/>
          <w:szCs w:val="24"/>
        </w:rPr>
      </w:pPr>
      <w:r w:rsidRPr="005577C3">
        <w:rPr>
          <w:rFonts w:ascii="Times New Roman" w:hAnsi="Times New Roman"/>
          <w:sz w:val="24"/>
          <w:szCs w:val="24"/>
        </w:rPr>
        <w:t>La industria recibe cinco billones en apoyos de las arcas públicas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Hasta octubre de 2009, sujetar el sistema financiero mundial ha supuesto para los Gobiernos instrumentar más de 5 billones de euros de ayudas de todo tipo: inyecciones de fondos, compra de acciones o participaciones preferentes, adquisiciones temporales de activos, oferta de avales para emitir deuda corporativa…</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Y la impresionante factura corresponde tan sólo a once países examinados por el Banco de Pagos de Basilea, el organismo que fija las recomendaciones en materia de capital seguidas voluntariamente por casi el conjunto de la banca mundial.</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lastRenderedPageBreak/>
        <w:t>Para los mercados estudiados -obviamente incluye los más activos en rescates- la mareante cifra equivale al 18,8% del Producto Interior Bruto (PIB). Algo menos de la mitad, 2 billones de euros, es inoculación directa de fondos procedentes de las arcas públicas.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En Reino Unido las inyecciones de capital representan un 44,1% de la riqueza nacional (PIB) y en Holanda el 16,6%. Frente a ellos, Japón apenas utiliza un montante equivalente al 0,10%, e Italia el 0,6%.</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¿Por qué el auxilio?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Tal hemorragia de fondos a favor de la banca ha despertado cierta perplejidad entre los ciudadanos. De no haber asistido a los grupos financieros, el riesgo de colapso del sistema era tan evidente que los gobiernos acordaron el auxilio para evitar que una cadena de quiebras rompiese el sistema que sustenta los pagos y cobros en toda economía y garantiza la financiación de hogares y tejido productivo.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Intervinieron para evitar que el miedo al colapso provocase una retirada masiva del ahorro de los ciudadanos, afectando en última instancia a la economía real.</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“Too big to fail” (muy grande para caer) era el criterio aplicado en las primeras intervenciones para decidir o no a los bancos en dificultades. Se trataba de evitar colapsos con riesgos de hacer tambalear al conjunto del sistema, que salvaron de la quema a las hipotecarias Fannie Mae o Freddie Mac, a la aseguradora AIG y a bancos como Fortis, Bear Stearns…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Lehman Brothers fue la excepción que cuestionó la regla. Su quiebra puso al límite la resistencia de la banca. Era el 15 de septiembre de 2008. Luego se agolparon las ayudas a mayor discreción…</w:t>
      </w:r>
    </w:p>
    <w:p w:rsidR="002F07D4" w:rsidRPr="009026D5" w:rsidRDefault="002F07D4" w:rsidP="002F07D4">
      <w:pPr>
        <w:spacing w:line="240" w:lineRule="auto"/>
        <w:jc w:val="both"/>
        <w:rPr>
          <w:rFonts w:ascii="Times New Roman" w:hAnsi="Times New Roman"/>
          <w:sz w:val="24"/>
          <w:szCs w:val="24"/>
        </w:rPr>
      </w:pPr>
      <w:r w:rsidRPr="009026D5">
        <w:rPr>
          <w:rFonts w:ascii="Times New Roman" w:hAnsi="Times New Roman"/>
          <w:sz w:val="24"/>
          <w:szCs w:val="24"/>
        </w:rPr>
        <w:t>La crisis divide a los colosos bancarios en posibles compradores y vendedores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El tsunami financiero y la recesión económica dividen, como si se tratase de dos equipos enfrentados, a los titanes de la liga bancaria: unos debilitados por la situación u obligados a reestructurarse por exigencia del guión si precisaron el auxilio de fondos públicos, cuelgan carteles de “se vende” a negocios, filiales y divisiones. Otros, los que evitaron inyecciones del erario y tuvieron el acierto de no sucumbir a las antes tentadoras rentabilidades de las subprime que hoy devoran los balances o lo hicieron con mesura, saltan a las quinielas como potenciales compradores.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A largo plazo, los analistas dan por seguro que asistiremos a una avalancha o goteo masivo de desinversiones en negocios, redes o filiales, que aprovecharán los más fuertes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Mientras tanto la banca ha incrementado su colchón de liquidez con el objetivo de afrontar futuros problemas de recursos susceptibles de ocurrir aún en la fase de salida de la crisis económica. La estrategia es pedir dinero en exceso al BCE o a la FED  y mantenerlo en liquidez. Su coste es muy bajo: sólo del 1% o menos. Luego pueden invertir los fondos en deuda pública y conseguir una rentabilidad superior, con la máxima solvencia de los títulos públicos.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La confección de un colchón de liquidez a base del endeudamiento supone la mejor manera de lograr el objetivo. Existen otras dos vías para lograrlo: reducir el nivel de crédito y la recapitalización preventiva. Pero reducir el crédito puede implicar que se </w:t>
      </w:r>
      <w:r>
        <w:rPr>
          <w:rFonts w:ascii="Times New Roman" w:hAnsi="Times New Roman"/>
          <w:sz w:val="24"/>
          <w:szCs w:val="24"/>
        </w:rPr>
        <w:lastRenderedPageBreak/>
        <w:t xml:space="preserve">impida la realización de proyectos rentables o riesgos para la banca si se decide a proceder a una venta masiva de activos. En lo que se refiere a las recapitalizaciones preventivas, entrañan el riesgo de generar distorsiones de competencia: entre los bancos ayudados con recursos públicos y el resto.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De la “relajación cuantitativa” a la “relajación cualitativa”</w:t>
      </w:r>
    </w:p>
    <w:p w:rsidR="002F07D4" w:rsidRPr="00A14957" w:rsidRDefault="002F07D4" w:rsidP="002F07D4">
      <w:pPr>
        <w:spacing w:line="240" w:lineRule="auto"/>
        <w:jc w:val="both"/>
        <w:rPr>
          <w:rFonts w:ascii="Times New Roman" w:hAnsi="Times New Roman"/>
          <w:color w:val="FF0000"/>
          <w:sz w:val="24"/>
          <w:szCs w:val="24"/>
          <w:u w:val="single"/>
        </w:rPr>
      </w:pPr>
      <w:r w:rsidRPr="00A14957">
        <w:rPr>
          <w:rFonts w:ascii="Times New Roman" w:hAnsi="Times New Roman"/>
          <w:color w:val="FF0000"/>
          <w:sz w:val="24"/>
          <w:szCs w:val="24"/>
          <w:u w:val="single"/>
        </w:rPr>
        <w:t>Ante el excesivo endeudamiento y las malas inversiones acometidas en la etapa del auge, los gobiernos y bancos centrales han decidido no facilitar un proceso deflacionario que implicara la liquidación de esas malas inversiones, y el desapalancamiento generalizado, por miedo a los efectos que esto podría generar. Sin embargo, tarde o temprano, ese proceso tiene que suceder, si se quiere salir de la recesión y entrar de nuevo en la senda del crecimiento.</w:t>
      </w:r>
    </w:p>
    <w:p w:rsidR="002F07D4" w:rsidRPr="00A14957" w:rsidRDefault="002F07D4" w:rsidP="002F07D4">
      <w:pPr>
        <w:spacing w:line="240" w:lineRule="auto"/>
        <w:jc w:val="both"/>
        <w:rPr>
          <w:rFonts w:ascii="Times New Roman" w:hAnsi="Times New Roman"/>
          <w:color w:val="FF0000"/>
          <w:sz w:val="24"/>
          <w:szCs w:val="24"/>
          <w:u w:val="single"/>
        </w:rPr>
      </w:pPr>
      <w:r w:rsidRPr="00A14957">
        <w:rPr>
          <w:rFonts w:ascii="Times New Roman" w:hAnsi="Times New Roman"/>
          <w:color w:val="FF0000"/>
          <w:sz w:val="24"/>
          <w:szCs w:val="24"/>
          <w:u w:val="single"/>
        </w:rPr>
        <w:t>Los agentes económicos vivieron durante años adictos al dinero fácil y abundante, pensando que esas condiciones durarían para siempre. Desde 2007 se han visto los efectos de esas políticas expansivas en forma de crisis, pero se ha preferido no reconocer la realidad, y mantener al adicto sistema al dinero con altas dosis, generadas por la banca central.</w:t>
      </w:r>
    </w:p>
    <w:p w:rsidR="002F07D4" w:rsidRPr="006B4CD2" w:rsidRDefault="002F07D4" w:rsidP="002F07D4">
      <w:pPr>
        <w:spacing w:line="240" w:lineRule="auto"/>
        <w:jc w:val="both"/>
        <w:rPr>
          <w:rFonts w:ascii="Times New Roman" w:hAnsi="Times New Roman"/>
          <w:color w:val="FF0000"/>
          <w:sz w:val="24"/>
          <w:szCs w:val="24"/>
          <w:u w:val="single"/>
        </w:rPr>
      </w:pPr>
      <w:r w:rsidRPr="00A14957">
        <w:rPr>
          <w:rFonts w:ascii="Times New Roman" w:hAnsi="Times New Roman"/>
          <w:color w:val="FF0000"/>
          <w:sz w:val="24"/>
          <w:szCs w:val="24"/>
          <w:u w:val="single"/>
        </w:rPr>
        <w:t>En lugar de quitarle la botella de whisky al alcohólico y dejarle pasar una inevitable, necesaria pero dolorosa resaca, se ha elegido inyectarle por vena nuevas dosis de whisky, con la vana esperanza de que desaparezcan de forma mágica los efectos del exceso de alcohol.</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Primero le apagaron el fuego “gratis” a la banca (agregándoles madera, de ser necesario, para que calmaran sus ansiedades pirómanas), luego le modificaron los reglamentos para exculparla del incendio, después le prestaron dinero a bajo costo para que compraran la madera quemada y finalmente le pagan intereses más altos para que mantengan la madera guardada en los depósitos fiscales. Es el mayor rescate de la Historia del sector privado con fondos del contribuyente. O sea, con nuestros impuestos. </w:t>
      </w:r>
    </w:p>
    <w:p w:rsidR="002F07D4" w:rsidRDefault="002F07D4" w:rsidP="002F07D4">
      <w:pPr>
        <w:spacing w:line="240" w:lineRule="auto"/>
        <w:jc w:val="both"/>
        <w:rPr>
          <w:rFonts w:ascii="Times New Roman" w:hAnsi="Times New Roman"/>
          <w:sz w:val="24"/>
          <w:szCs w:val="24"/>
        </w:rPr>
      </w:pPr>
      <w:r w:rsidRPr="00115622">
        <w:rPr>
          <w:rFonts w:ascii="Times New Roman" w:hAnsi="Times New Roman"/>
          <w:sz w:val="24"/>
          <w:szCs w:val="24"/>
        </w:rPr>
        <w:t>La consecuencia primera y principal de los hercúleos esfuerzos de los gobiernos de todo el mundo por rescatar sus economías ha sido una socialización masiva del riesgo y una privatización de los beneficios.</w:t>
      </w:r>
      <w:r>
        <w:rPr>
          <w:rFonts w:ascii="Times New Roman" w:hAnsi="Times New Roman"/>
          <w:sz w:val="24"/>
          <w:szCs w:val="24"/>
        </w:rPr>
        <w:t xml:space="preserve"> ¡Manos arriba!, esto es un banco. Cosa de locos… ¿o de película? </w:t>
      </w:r>
    </w:p>
    <w:p w:rsidR="002F07D4" w:rsidRPr="009B573A" w:rsidRDefault="002F07D4" w:rsidP="002F07D4">
      <w:pPr>
        <w:spacing w:line="240" w:lineRule="auto"/>
        <w:jc w:val="both"/>
        <w:rPr>
          <w:rFonts w:ascii="Times New Roman" w:hAnsi="Times New Roman"/>
          <w:sz w:val="24"/>
          <w:szCs w:val="24"/>
        </w:rPr>
      </w:pPr>
      <w:r w:rsidRPr="009B573A">
        <w:rPr>
          <w:rFonts w:ascii="Times New Roman" w:hAnsi="Times New Roman"/>
          <w:sz w:val="24"/>
          <w:szCs w:val="24"/>
        </w:rPr>
        <w:t>Don Regan, consejero delegado de Merrill Lynch, permanece al lado del presidente Reagan mientras éste pronuncia un pequeño discurso. Pero debe estar demorándose más de la cuenta, por lo que Don, que comienza a impacientarse, se acerca al presidente de los EEUU con cara seria y le espeta con tono firme: “Date prisa”. Ronald Re</w:t>
      </w:r>
      <w:r>
        <w:rPr>
          <w:rFonts w:ascii="Times New Roman" w:hAnsi="Times New Roman"/>
          <w:sz w:val="24"/>
          <w:szCs w:val="24"/>
        </w:rPr>
        <w:t>a</w:t>
      </w:r>
      <w:r w:rsidRPr="009B573A">
        <w:rPr>
          <w:rFonts w:ascii="Times New Roman" w:hAnsi="Times New Roman"/>
          <w:sz w:val="24"/>
          <w:szCs w:val="24"/>
        </w:rPr>
        <w:t xml:space="preserve">gan asiente y procede, con aire obediente, a agilizar su intervención. La escena puede verse en la última película de Michael Moore, Capitalismo, una historia de amor, que se estrenará el próximo 20 de noviembre en España, y donde el cineasta la utiliza como metáfora de la relación entre el poder financiero y el poder político: unos mandan, otros obedecen. </w:t>
      </w:r>
    </w:p>
    <w:p w:rsidR="002F07D4" w:rsidRPr="005329C8" w:rsidRDefault="002F07D4" w:rsidP="002F07D4">
      <w:pPr>
        <w:spacing w:line="240" w:lineRule="auto"/>
        <w:jc w:val="both"/>
        <w:rPr>
          <w:rFonts w:ascii="Times New Roman" w:hAnsi="Times New Roman"/>
          <w:color w:val="FF0000"/>
          <w:sz w:val="24"/>
          <w:szCs w:val="24"/>
          <w:u w:val="single"/>
        </w:rPr>
      </w:pPr>
      <w:r w:rsidRPr="009B573A">
        <w:rPr>
          <w:rFonts w:ascii="Times New Roman" w:hAnsi="Times New Roman"/>
          <w:sz w:val="24"/>
          <w:szCs w:val="24"/>
        </w:rPr>
        <w:t xml:space="preserve">Pero no se trata sólo de la opinión vertida por un director de cine. Más al contrario, se trata de una creencia que está consolidándose entre amplias capas de la población occidental, especialmente a partir de la crisis y de sus planes de rescate. Desde entonces, son frecuentes las noticias que resaltan las intensas  uniones entre los poderes político y económico. Así, </w:t>
      </w:r>
      <w:r w:rsidRPr="005329C8">
        <w:rPr>
          <w:rFonts w:ascii="Times New Roman" w:hAnsi="Times New Roman"/>
          <w:color w:val="FF0000"/>
          <w:sz w:val="24"/>
          <w:szCs w:val="24"/>
          <w:u w:val="single"/>
        </w:rPr>
        <w:t xml:space="preserve">medios estadounidenses han resaltado cómo el gobierno económico de </w:t>
      </w:r>
      <w:r w:rsidRPr="005329C8">
        <w:rPr>
          <w:rFonts w:ascii="Times New Roman" w:hAnsi="Times New Roman"/>
          <w:color w:val="FF0000"/>
          <w:sz w:val="24"/>
          <w:szCs w:val="24"/>
          <w:u w:val="single"/>
        </w:rPr>
        <w:lastRenderedPageBreak/>
        <w:t xml:space="preserve">Reagan estuvo directamente inspirado por las doctrinas que emanaban de Merril Lynch, cómo muchos altos cargos de los últimos tiempos provienen de Goldman Sachs (es el caso de Henry Paulson, Lawrence Summers o Mark Patterson), cómo hay que haber trabajado en los más influyentes grupos financieros para acceder a un puesto en la Reserva Federal (ocurre con Rick Rubin, Ben Bernanke o Tim Geithner)  o cómo las políticas nacionales están siendo dirigidas más para beneficiar a actores concretos que al propio país. En ese orden, la empresa estrella de las críticas es Goldman Sachs, no sólo por el número de ex directivos suyos que han pasado a formar parte del gobierno de Estados Unidos sino porque se le ha atribuido un papel principal en esta crisis. En un artículo en Rolling Stone, el periodista Matt Taibbi afirmaba que Goldman Sachs ha jugado siempre al mismo juego: situarse en medio de una burbuja especulativa, atrayendo los recursos de la clase media para invertirlos en bienes que sabe que se depreciarán. Y sacando además partido del ciclo contrario: cuando la burbuja explota, presta dinero con interés para remontar la crisis. Lo que ocurre, y en esto radicaba la gravedad de las afirmaciones de Taibbi, es que Goldman lo hacía no sólo gracias a la complicidad del regulador sino con su participación necesaria. Sin el cambio de las normas promovido por los políticos no hubiera sido posible ni la creación de grandes conglomerados bancarios como AIG, Citigroup o Bank of America ni el gran margen de actuación del que gozaron. En definitiva, estaríamos ante hechos que demostrarían cómo, en nuestro mundo, el poder financiero se afirma muy por encima del político. </w:t>
      </w:r>
    </w:p>
    <w:p w:rsidR="002F07D4" w:rsidRPr="00C5164B" w:rsidRDefault="002F07D4" w:rsidP="002F07D4">
      <w:pPr>
        <w:spacing w:line="240" w:lineRule="auto"/>
        <w:jc w:val="both"/>
        <w:rPr>
          <w:rFonts w:ascii="Times New Roman" w:hAnsi="Times New Roman"/>
          <w:b/>
          <w:sz w:val="24"/>
          <w:szCs w:val="24"/>
        </w:rPr>
      </w:pPr>
      <w:r w:rsidRPr="00C5164B">
        <w:rPr>
          <w:rFonts w:ascii="Times New Roman" w:hAnsi="Times New Roman"/>
          <w:b/>
          <w:sz w:val="24"/>
          <w:szCs w:val="24"/>
        </w:rPr>
        <w:t>Finale presto: Goldman &amp; God-man (en busca del dinero “prometido”)</w:t>
      </w:r>
    </w:p>
    <w:p w:rsidR="002F07D4" w:rsidRDefault="002F07D4" w:rsidP="002F07D4">
      <w:pPr>
        <w:spacing w:line="240" w:lineRule="auto"/>
        <w:jc w:val="both"/>
        <w:rPr>
          <w:rFonts w:ascii="Times New Roman" w:hAnsi="Times New Roman"/>
          <w:b/>
          <w:sz w:val="24"/>
          <w:szCs w:val="24"/>
        </w:rPr>
      </w:pPr>
      <w:r w:rsidRPr="00670822">
        <w:rPr>
          <w:rFonts w:ascii="Times New Roman" w:hAnsi="Times New Roman"/>
          <w:b/>
          <w:sz w:val="24"/>
          <w:szCs w:val="24"/>
        </w:rPr>
        <w:t>Goldman ha alcanzado el cénit de su influencia de la mano del que fuera su presidente Hank Paulson, a la sazón Secretario de Tesoro norteamericano hasta el desembarco de Tim Geithner  como parte del equipo de Obama. Tras el colapso financiero, el dinero parecía haberse evaporado. La cacería de Goldman necesitaba nuevas piezas que abatir. Y sólo las podía encontrar allá donde seguro había capital del que alimentarse: las arcas públicas Es en el mayor rescate de la Historia donde la entidad va a hacer patente su influencia. De hecho, no sólo consiguió posicionar a uno de sus chicos en la gestión del Fondo de Rescate sino que se benefició de una serie de decisiones que le han permitido salir casi de rositas de la coyuntura actual. Como entendió perfectamente en su momento Warren Buffett, verdaderamente Goldman is too big to fail. No es de extrañar que haya sido su principal apuesta bancaria en la crisis.</w:t>
      </w:r>
    </w:p>
    <w:p w:rsidR="002F07D4" w:rsidRDefault="002F07D4" w:rsidP="002F07D4">
      <w:pPr>
        <w:spacing w:line="240" w:lineRule="auto"/>
        <w:jc w:val="both"/>
        <w:rPr>
          <w:rFonts w:ascii="Times New Roman" w:hAnsi="Times New Roman"/>
          <w:b/>
          <w:sz w:val="24"/>
          <w:szCs w:val="24"/>
        </w:rPr>
      </w:pPr>
      <w:r w:rsidRPr="004C4AD5">
        <w:rPr>
          <w:rFonts w:ascii="Times New Roman" w:hAnsi="Times New Roman"/>
          <w:b/>
          <w:sz w:val="24"/>
          <w:szCs w:val="24"/>
        </w:rPr>
        <w:t>Y los de Wall Street tienen todos los incentivos necesarios para seguir jugando al mismo juego. Las e</w:t>
      </w:r>
      <w:r>
        <w:rPr>
          <w:rFonts w:ascii="Times New Roman" w:hAnsi="Times New Roman"/>
          <w:b/>
          <w:sz w:val="24"/>
          <w:szCs w:val="24"/>
        </w:rPr>
        <w:t>normes primas que Goldman continúa repartiendo</w:t>
      </w:r>
      <w:r w:rsidRPr="004C4AD5">
        <w:rPr>
          <w:rFonts w:ascii="Times New Roman" w:hAnsi="Times New Roman"/>
          <w:b/>
          <w:sz w:val="24"/>
          <w:szCs w:val="24"/>
        </w:rPr>
        <w:t xml:space="preserve"> ponen de manifiesto que las empresas de altos vuelos del sector financiero siguen funcionando según el sistema de que si sale cara ellas ganan y si sale cruz otros pierden.</w:t>
      </w:r>
    </w:p>
    <w:p w:rsidR="002F07D4" w:rsidRDefault="002F07D4" w:rsidP="002F07D4">
      <w:pPr>
        <w:spacing w:line="240" w:lineRule="auto"/>
        <w:jc w:val="both"/>
        <w:rPr>
          <w:rFonts w:ascii="Times New Roman" w:hAnsi="Times New Roman"/>
          <w:b/>
          <w:sz w:val="24"/>
          <w:szCs w:val="24"/>
        </w:rPr>
      </w:pPr>
      <w:r w:rsidRPr="00694153">
        <w:rPr>
          <w:rFonts w:ascii="Times New Roman" w:hAnsi="Times New Roman"/>
          <w:b/>
          <w:sz w:val="24"/>
          <w:szCs w:val="24"/>
        </w:rPr>
        <w:t>E</w:t>
      </w:r>
      <w:r>
        <w:rPr>
          <w:rFonts w:ascii="Times New Roman" w:hAnsi="Times New Roman"/>
          <w:b/>
          <w:sz w:val="24"/>
          <w:szCs w:val="24"/>
        </w:rPr>
        <w:t>llo e</w:t>
      </w:r>
      <w:r w:rsidRPr="00694153">
        <w:rPr>
          <w:rFonts w:ascii="Times New Roman" w:hAnsi="Times New Roman"/>
          <w:b/>
          <w:sz w:val="24"/>
          <w:szCs w:val="24"/>
        </w:rPr>
        <w:t>n gran parte se debe al enorme poder político que los grandes intereses financieros ejercen sobre el sistema</w:t>
      </w:r>
      <w:r>
        <w:rPr>
          <w:rFonts w:ascii="Times New Roman" w:hAnsi="Times New Roman"/>
          <w:b/>
          <w:sz w:val="24"/>
          <w:szCs w:val="24"/>
        </w:rPr>
        <w:t>…</w:t>
      </w:r>
    </w:p>
    <w:p w:rsidR="002F07D4" w:rsidRPr="00D85722" w:rsidRDefault="002F07D4" w:rsidP="002F07D4">
      <w:pPr>
        <w:spacing w:line="240" w:lineRule="auto"/>
        <w:jc w:val="both"/>
        <w:rPr>
          <w:rFonts w:ascii="Times New Roman" w:hAnsi="Times New Roman"/>
          <w:b/>
          <w:sz w:val="24"/>
          <w:szCs w:val="24"/>
        </w:rPr>
      </w:pPr>
      <w:r w:rsidRPr="00D85722">
        <w:rPr>
          <w:rFonts w:ascii="Times New Roman" w:hAnsi="Times New Roman"/>
          <w:b/>
          <w:sz w:val="24"/>
          <w:szCs w:val="24"/>
        </w:rPr>
        <w:t>El “tráfico” viene de lejos…</w:t>
      </w:r>
    </w:p>
    <w:p w:rsidR="002F07D4" w:rsidRPr="006B6BFB" w:rsidRDefault="002F07D4" w:rsidP="002F07D4">
      <w:pPr>
        <w:spacing w:line="240" w:lineRule="auto"/>
        <w:jc w:val="both"/>
        <w:rPr>
          <w:rFonts w:ascii="Times New Roman" w:hAnsi="Times New Roman"/>
          <w:sz w:val="24"/>
          <w:szCs w:val="24"/>
        </w:rPr>
      </w:pPr>
      <w:r w:rsidRPr="00685B7A">
        <w:rPr>
          <w:rFonts w:ascii="Times New Roman" w:hAnsi="Times New Roman"/>
          <w:sz w:val="24"/>
          <w:szCs w:val="24"/>
        </w:rPr>
        <w:t xml:space="preserve">“Pregunta: ¿Qué tienen en común el artífice del dólar fuerte de los 90 con el hombre al que George W. Bush encargó el martes que reactive su agenda económica? ¿Y el encargado de que el Banco de Italia recupere el prestigio que aniquiló Antonio Fazio con el directivo que el jueves lanzó la mayor consolidación bursátil de la Historia? ¿Y todos ellos con el máximo responsable de la agenda política del presidente de Estados </w:t>
      </w:r>
      <w:r w:rsidRPr="00685B7A">
        <w:rPr>
          <w:rFonts w:ascii="Times New Roman" w:hAnsi="Times New Roman"/>
          <w:sz w:val="24"/>
          <w:szCs w:val="24"/>
        </w:rPr>
        <w:lastRenderedPageBreak/>
        <w:t>Unidos? Respuesta: Todos ellos han llegado a sus actuales cargos desde el banco de inversión Goldman Sachs.”.</w:t>
      </w:r>
      <w:r w:rsidRPr="00676258">
        <w:rPr>
          <w:rFonts w:ascii="Times New Roman" w:hAnsi="Times New Roman"/>
          <w:sz w:val="24"/>
          <w:szCs w:val="24"/>
          <w:u w:val="single"/>
        </w:rPr>
        <w:t>Goldman Sachs, semillero de líderes mundiales</w:t>
      </w:r>
      <w:r>
        <w:rPr>
          <w:rFonts w:ascii="Times New Roman" w:hAnsi="Times New Roman"/>
          <w:sz w:val="24"/>
          <w:szCs w:val="24"/>
        </w:rPr>
        <w:t xml:space="preserve"> (El Mundo - </w:t>
      </w:r>
      <w:r w:rsidRPr="00676258">
        <w:rPr>
          <w:rFonts w:ascii="Times New Roman" w:hAnsi="Times New Roman"/>
          <w:b/>
          <w:sz w:val="24"/>
          <w:szCs w:val="24"/>
        </w:rPr>
        <w:t>4/6/06</w:t>
      </w:r>
      <w:r>
        <w:rPr>
          <w:rFonts w:ascii="Times New Roman" w:hAnsi="Times New Roman"/>
          <w:sz w:val="24"/>
          <w:szCs w:val="24"/>
        </w:rPr>
        <w:t xml:space="preserve"> - Por Pablo Pardo / Washington)</w:t>
      </w:r>
    </w:p>
    <w:p w:rsidR="002F07D4" w:rsidRPr="00685B7A" w:rsidRDefault="002F07D4" w:rsidP="002F07D4">
      <w:pPr>
        <w:spacing w:line="240" w:lineRule="auto"/>
        <w:jc w:val="both"/>
        <w:rPr>
          <w:rFonts w:ascii="Times New Roman" w:hAnsi="Times New Roman"/>
          <w:sz w:val="24"/>
          <w:szCs w:val="24"/>
        </w:rPr>
      </w:pPr>
      <w:r w:rsidRPr="00685B7A">
        <w:rPr>
          <w:rFonts w:ascii="Times New Roman" w:hAnsi="Times New Roman"/>
          <w:sz w:val="24"/>
          <w:szCs w:val="24"/>
        </w:rPr>
        <w:t>Resulta difícil que pasen dos o tres días sin que algún ex Goldman salga en la primera página de la prensa internacional. El martes, el presidente del banco, Henry M. Paulson anunció que se marcha para convertirse en Secretario del Tesoro. Era inevitable comparar la decisión de Paulson con la de Robert Rubin, que en 1994 hizo exactamente el mismo viaje y se convirtió en el inventor del dólar fuerte, que llevó a la divisa estadounidense a rozar las 200 pesetas de la época (un 56% más de lo que hoy vale). La agencia de noticias Bloomberg calificó el nombramiento como la segunda venida de Rubin.</w:t>
      </w:r>
    </w:p>
    <w:p w:rsidR="002F07D4" w:rsidRPr="00685B7A" w:rsidRDefault="002F07D4" w:rsidP="002F07D4">
      <w:pPr>
        <w:spacing w:line="240" w:lineRule="auto"/>
        <w:jc w:val="both"/>
        <w:rPr>
          <w:rFonts w:ascii="Times New Roman" w:hAnsi="Times New Roman"/>
          <w:sz w:val="24"/>
          <w:szCs w:val="24"/>
        </w:rPr>
      </w:pPr>
      <w:r w:rsidRPr="007064A7">
        <w:rPr>
          <w:rFonts w:ascii="Times New Roman" w:hAnsi="Times New Roman"/>
          <w:sz w:val="24"/>
          <w:szCs w:val="24"/>
          <w:u w:val="single"/>
        </w:rPr>
        <w:t>Rubin</w:t>
      </w:r>
      <w:r w:rsidRPr="006B6BFB">
        <w:rPr>
          <w:rFonts w:ascii="Times New Roman" w:hAnsi="Times New Roman"/>
          <w:sz w:val="24"/>
          <w:szCs w:val="24"/>
        </w:rPr>
        <w:t xml:space="preserve"> ha salido hace poco en la primera página de Financial Times, ya que ha lanzado un programa para que los demócratas retomen la iniciativa en política económica. Un plan que, de tener éxito, pondría en aprietos a Joshua Bolten, que desde que en 2000 dejó Goldman Sachs en Londres para asesorar al entonces candidato a la presidencia George W. Bush no ha dejado de ascender en el mundo político, hasta que el 28 de </w:t>
      </w:r>
      <w:r w:rsidRPr="00685B7A">
        <w:rPr>
          <w:rFonts w:ascii="Times New Roman" w:hAnsi="Times New Roman"/>
          <w:sz w:val="24"/>
          <w:szCs w:val="24"/>
        </w:rPr>
        <w:t>marzo se convirtió en el jefe del gabinete del presidente de EEUU y empezó a dirigir un giro al centro en el Gobierno, cuyo último paso ha sido el nombramiento de Paulson.</w:t>
      </w:r>
    </w:p>
    <w:p w:rsidR="002F07D4" w:rsidRPr="00685B7A" w:rsidRDefault="002F07D4" w:rsidP="002F07D4">
      <w:pPr>
        <w:spacing w:line="240" w:lineRule="auto"/>
        <w:jc w:val="both"/>
        <w:rPr>
          <w:rFonts w:ascii="Times New Roman" w:hAnsi="Times New Roman"/>
          <w:sz w:val="24"/>
          <w:szCs w:val="24"/>
        </w:rPr>
      </w:pPr>
      <w:r w:rsidRPr="00685B7A">
        <w:rPr>
          <w:rFonts w:ascii="Times New Roman" w:hAnsi="Times New Roman"/>
          <w:sz w:val="24"/>
          <w:szCs w:val="24"/>
        </w:rPr>
        <w:t>Entretanto, el jueves por la noche, la Bolsa de Nueva York, cuyo consejero delegado es John Thain, anunciaba la compra de Euronext, es decir, de las bolsas de París, Ámsterdam, Bruselas y Lisboa, y del mercado de futuros de Londres. Thain había sido el predecesor de Paulson en la presidencia de Goldman Sachs. A su vez, Thain llegó a la dirección del banco cuando el anterior presidente, John Corzine, dejó el cargo para entrar en política. El 17 de enero, Corzine juró el cargo de gobernador del Estado de Nueva Jersey.</w:t>
      </w:r>
    </w:p>
    <w:p w:rsidR="002F07D4" w:rsidRPr="006B6BFB" w:rsidRDefault="002F07D4" w:rsidP="002F07D4">
      <w:pPr>
        <w:spacing w:line="240" w:lineRule="auto"/>
        <w:jc w:val="both"/>
        <w:rPr>
          <w:rFonts w:ascii="Times New Roman" w:hAnsi="Times New Roman"/>
          <w:sz w:val="24"/>
          <w:szCs w:val="24"/>
        </w:rPr>
      </w:pPr>
      <w:r w:rsidRPr="00685B7A">
        <w:rPr>
          <w:rFonts w:ascii="Times New Roman" w:hAnsi="Times New Roman"/>
          <w:sz w:val="24"/>
          <w:szCs w:val="24"/>
        </w:rPr>
        <w:t>HENRY PAULSON</w:t>
      </w:r>
      <w:r w:rsidRPr="006B6BFB">
        <w:rPr>
          <w:rFonts w:ascii="Times New Roman" w:hAnsi="Times New Roman"/>
          <w:sz w:val="24"/>
          <w:szCs w:val="24"/>
        </w:rPr>
        <w:t xml:space="preserve"> ha</w:t>
      </w:r>
      <w:r>
        <w:rPr>
          <w:rFonts w:ascii="Times New Roman" w:hAnsi="Times New Roman"/>
          <w:sz w:val="24"/>
          <w:szCs w:val="24"/>
        </w:rPr>
        <w:t xml:space="preserve"> convertido a Goldman Sachs en “</w:t>
      </w:r>
      <w:r w:rsidRPr="006B6BFB">
        <w:rPr>
          <w:rFonts w:ascii="Times New Roman" w:hAnsi="Times New Roman"/>
          <w:sz w:val="24"/>
          <w:szCs w:val="24"/>
        </w:rPr>
        <w:t>el epitome</w:t>
      </w:r>
      <w:r>
        <w:rPr>
          <w:rFonts w:ascii="Times New Roman" w:hAnsi="Times New Roman"/>
          <w:sz w:val="24"/>
          <w:szCs w:val="24"/>
        </w:rPr>
        <w:t xml:space="preserve"> del sistema financiero moderno” y con “</w:t>
      </w:r>
      <w:r w:rsidRPr="006B6BFB">
        <w:rPr>
          <w:rFonts w:ascii="Times New Roman" w:hAnsi="Times New Roman"/>
          <w:sz w:val="24"/>
          <w:szCs w:val="24"/>
        </w:rPr>
        <w:t>un poder má</w:t>
      </w:r>
      <w:r>
        <w:rPr>
          <w:rFonts w:ascii="Times New Roman" w:hAnsi="Times New Roman"/>
          <w:sz w:val="24"/>
          <w:szCs w:val="24"/>
        </w:rPr>
        <w:t>gico”</w:t>
      </w:r>
      <w:r w:rsidRPr="006B6BFB">
        <w:rPr>
          <w:rFonts w:ascii="Times New Roman" w:hAnsi="Times New Roman"/>
          <w:sz w:val="24"/>
          <w:szCs w:val="24"/>
        </w:rPr>
        <w:t>, según The Economist. Su reto ahora es lograr el mismo éxito en el Tesoro de EEUU.</w:t>
      </w:r>
    </w:p>
    <w:p w:rsidR="002F07D4" w:rsidRPr="006B6BFB" w:rsidRDefault="002F07D4" w:rsidP="002F07D4">
      <w:pPr>
        <w:spacing w:line="240" w:lineRule="auto"/>
        <w:jc w:val="both"/>
        <w:rPr>
          <w:rFonts w:ascii="Times New Roman" w:hAnsi="Times New Roman"/>
          <w:sz w:val="24"/>
          <w:szCs w:val="24"/>
        </w:rPr>
      </w:pPr>
      <w:r w:rsidRPr="00685B7A">
        <w:rPr>
          <w:rFonts w:ascii="Times New Roman" w:hAnsi="Times New Roman"/>
          <w:sz w:val="24"/>
          <w:szCs w:val="24"/>
        </w:rPr>
        <w:t>JOSHUA BOLTEN</w:t>
      </w:r>
      <w:r w:rsidRPr="006B6BFB">
        <w:rPr>
          <w:rFonts w:ascii="Times New Roman" w:hAnsi="Times New Roman"/>
          <w:sz w:val="24"/>
          <w:szCs w:val="24"/>
        </w:rPr>
        <w:t xml:space="preserve"> llegó de Goldman en Londres a la política estadounidense, y se ha convertido en la mano derecha de Bush. Ha llevado a cabo un drástico giro al centro, aunque no ha logrado que la po</w:t>
      </w:r>
      <w:r>
        <w:rPr>
          <w:rFonts w:ascii="Times New Roman" w:hAnsi="Times New Roman"/>
          <w:sz w:val="24"/>
          <w:szCs w:val="24"/>
        </w:rPr>
        <w:t>pularidad de Bush deje de caer.</w:t>
      </w:r>
    </w:p>
    <w:p w:rsidR="002F07D4" w:rsidRPr="006B6BFB" w:rsidRDefault="002F07D4" w:rsidP="002F07D4">
      <w:pPr>
        <w:spacing w:line="240" w:lineRule="auto"/>
        <w:jc w:val="both"/>
        <w:rPr>
          <w:rFonts w:ascii="Times New Roman" w:hAnsi="Times New Roman"/>
          <w:sz w:val="24"/>
          <w:szCs w:val="24"/>
        </w:rPr>
      </w:pPr>
      <w:r w:rsidRPr="00685B7A">
        <w:rPr>
          <w:rFonts w:ascii="Times New Roman" w:hAnsi="Times New Roman"/>
          <w:sz w:val="24"/>
          <w:szCs w:val="24"/>
        </w:rPr>
        <w:t>MARIO DRAGHI</w:t>
      </w:r>
      <w:r w:rsidRPr="006B6BFB">
        <w:rPr>
          <w:rFonts w:ascii="Times New Roman" w:hAnsi="Times New Roman"/>
          <w:sz w:val="24"/>
          <w:szCs w:val="24"/>
        </w:rPr>
        <w:t>, el nuevo gobernador del Banco de Italia tiene la difícil misión de recuperar el crédito perdido por su antecesor, el polémico Antonio Fazio. Draghi era vicepresidente de Goldman International desde 2002.</w:t>
      </w:r>
    </w:p>
    <w:p w:rsidR="002F07D4" w:rsidRDefault="002F07D4" w:rsidP="002F07D4">
      <w:pPr>
        <w:spacing w:line="240" w:lineRule="auto"/>
        <w:jc w:val="both"/>
        <w:rPr>
          <w:rFonts w:ascii="Times New Roman" w:hAnsi="Times New Roman"/>
          <w:sz w:val="24"/>
          <w:szCs w:val="24"/>
        </w:rPr>
      </w:pPr>
      <w:r w:rsidRPr="00685B7A">
        <w:rPr>
          <w:rFonts w:ascii="Times New Roman" w:hAnsi="Times New Roman"/>
          <w:sz w:val="24"/>
          <w:szCs w:val="24"/>
        </w:rPr>
        <w:t>JOHN A. THAIN</w:t>
      </w:r>
      <w:r w:rsidRPr="006B6BFB">
        <w:rPr>
          <w:rFonts w:ascii="Times New Roman" w:hAnsi="Times New Roman"/>
          <w:sz w:val="24"/>
          <w:szCs w:val="24"/>
        </w:rPr>
        <w:t xml:space="preserve"> asumió las riendas del NYSE en pleno escándalo por la remuneración de su presidente, Richard Grasso. Ha dirigido las dos mayores fusiones de Bolsas del mundo, con Archipelago y con Euronext.</w:t>
      </w:r>
    </w:p>
    <w:p w:rsidR="002F07D4" w:rsidRPr="006B6BFB" w:rsidRDefault="002F07D4" w:rsidP="002F07D4">
      <w:pPr>
        <w:spacing w:line="240" w:lineRule="auto"/>
        <w:jc w:val="both"/>
        <w:rPr>
          <w:rFonts w:ascii="Times New Roman" w:hAnsi="Times New Roman"/>
          <w:sz w:val="24"/>
          <w:szCs w:val="24"/>
        </w:rPr>
      </w:pPr>
      <w:r>
        <w:rPr>
          <w:rFonts w:ascii="Times New Roman" w:hAnsi="Times New Roman"/>
          <w:sz w:val="24"/>
          <w:szCs w:val="24"/>
        </w:rPr>
        <w:t>Como dijo una vez Paulson, “</w:t>
      </w:r>
      <w:r w:rsidRPr="006B6BFB">
        <w:rPr>
          <w:rFonts w:ascii="Times New Roman" w:hAnsi="Times New Roman"/>
          <w:sz w:val="24"/>
          <w:szCs w:val="24"/>
        </w:rPr>
        <w:t>Goldman es un sitio duro para que te admitan, un sitio duro para que te promoci</w:t>
      </w:r>
      <w:r>
        <w:rPr>
          <w:rFonts w:ascii="Times New Roman" w:hAnsi="Times New Roman"/>
          <w:sz w:val="24"/>
          <w:szCs w:val="24"/>
        </w:rPr>
        <w:t>onen y un sitio duro para estar”</w:t>
      </w:r>
      <w:r w:rsidRPr="006B6BFB">
        <w:rPr>
          <w:rFonts w:ascii="Times New Roman" w:hAnsi="Times New Roman"/>
          <w:sz w:val="24"/>
          <w:szCs w:val="24"/>
        </w:rPr>
        <w:t>. Eso sí, los que resisten pueden aspira</w:t>
      </w:r>
      <w:r>
        <w:rPr>
          <w:rFonts w:ascii="Times New Roman" w:hAnsi="Times New Roman"/>
          <w:sz w:val="24"/>
          <w:szCs w:val="24"/>
        </w:rPr>
        <w:t>r a ser secretarios del Tesoro.</w:t>
      </w:r>
    </w:p>
    <w:p w:rsidR="002F07D4" w:rsidRPr="00685B7A" w:rsidRDefault="002F07D4" w:rsidP="002F07D4">
      <w:pPr>
        <w:spacing w:line="240" w:lineRule="auto"/>
        <w:jc w:val="both"/>
        <w:rPr>
          <w:rFonts w:ascii="Times New Roman" w:hAnsi="Times New Roman"/>
          <w:sz w:val="24"/>
          <w:szCs w:val="24"/>
        </w:rPr>
      </w:pPr>
      <w:r w:rsidRPr="00685B7A">
        <w:rPr>
          <w:rFonts w:ascii="Times New Roman" w:hAnsi="Times New Roman"/>
          <w:sz w:val="24"/>
          <w:szCs w:val="24"/>
        </w:rPr>
        <w:t xml:space="preserve">Olvidémonos de las habituales conspiraciones. Lo que dirige el mundo no es un monje albino del Opus Dei asesinando a la gente, como sugiere el éxito cinematográfico El código da Vinci, sino La firma (The Firm), que es el nombre informal del venerable </w:t>
      </w:r>
      <w:r w:rsidRPr="00685B7A">
        <w:rPr>
          <w:rFonts w:ascii="Times New Roman" w:hAnsi="Times New Roman"/>
          <w:sz w:val="24"/>
          <w:szCs w:val="24"/>
        </w:rPr>
        <w:lastRenderedPageBreak/>
        <w:t>banco de inversión fundado en 1869 por el inmigrante judío alemán nacido Marcus Goldman, en el que 23 años después entró su yerno, Sam Sachs.</w:t>
      </w:r>
    </w:p>
    <w:p w:rsidR="002F07D4" w:rsidRPr="00115622" w:rsidRDefault="002F07D4" w:rsidP="002F07D4">
      <w:pPr>
        <w:spacing w:line="240" w:lineRule="auto"/>
        <w:jc w:val="both"/>
        <w:rPr>
          <w:rFonts w:ascii="Times New Roman" w:hAnsi="Times New Roman"/>
          <w:color w:val="FF0000"/>
          <w:sz w:val="24"/>
          <w:szCs w:val="24"/>
          <w:lang w:val="en-US"/>
        </w:rPr>
      </w:pPr>
      <w:r w:rsidRPr="00685B7A">
        <w:rPr>
          <w:rFonts w:ascii="Times New Roman" w:hAnsi="Times New Roman"/>
          <w:sz w:val="24"/>
          <w:szCs w:val="24"/>
        </w:rPr>
        <w:t xml:space="preserve">“Goldman Sachs, JP Morgan y Credit Suisse están emergiendo de los escombros de la recesión global como los grandes ganadores en la banca de inversión, seguidos de cerca por Deutsche Bank y Barclays Capital. Este nuevo grupo de entidades encamina sus pasos hacia los grandes beneficios y no titubea a la hora de robar los talentos que se hallan estancados entre las plantillas de directivos de las compañías rivales”. </w:t>
      </w:r>
      <w:r w:rsidRPr="00685B7A">
        <w:rPr>
          <w:rFonts w:ascii="Times New Roman" w:hAnsi="Times New Roman"/>
          <w:sz w:val="24"/>
          <w:szCs w:val="24"/>
          <w:u w:val="single"/>
          <w:lang w:val="en-US"/>
        </w:rPr>
        <w:t>Nuevos Reyes en Wall Street: Goldman Sachs, JP Morgan, Credit Suisse, Deutsche Bank y Barclays</w:t>
      </w:r>
      <w:r w:rsidRPr="00685B7A">
        <w:rPr>
          <w:rFonts w:ascii="Times New Roman" w:hAnsi="Times New Roman"/>
          <w:sz w:val="24"/>
          <w:szCs w:val="24"/>
          <w:lang w:val="en-US"/>
        </w:rPr>
        <w:t xml:space="preserve"> (El Economista - </w:t>
      </w:r>
      <w:r w:rsidRPr="00685B7A">
        <w:rPr>
          <w:rFonts w:ascii="Times New Roman" w:hAnsi="Times New Roman"/>
          <w:b/>
          <w:sz w:val="24"/>
          <w:szCs w:val="24"/>
          <w:lang w:val="en-US"/>
        </w:rPr>
        <w:t>27/6/09</w:t>
      </w:r>
      <w:r>
        <w:rPr>
          <w:rFonts w:ascii="Times New Roman" w:hAnsi="Times New Roman"/>
          <w:sz w:val="24"/>
          <w:szCs w:val="24"/>
          <w:lang w:val="en-US"/>
        </w:rPr>
        <w:t xml:space="preserve"> - Por Iain Dey /</w:t>
      </w:r>
      <w:r w:rsidRPr="00685B7A">
        <w:rPr>
          <w:rFonts w:ascii="Times New Roman" w:hAnsi="Times New Roman"/>
          <w:sz w:val="24"/>
          <w:szCs w:val="24"/>
          <w:lang w:val="en-US"/>
        </w:rPr>
        <w:t xml:space="preserve"> Sunday Times)  </w:t>
      </w:r>
    </w:p>
    <w:p w:rsidR="002F07D4" w:rsidRPr="00785FCE" w:rsidRDefault="002F07D4" w:rsidP="002F07D4">
      <w:pPr>
        <w:spacing w:line="240" w:lineRule="auto"/>
        <w:jc w:val="both"/>
        <w:rPr>
          <w:rFonts w:ascii="Times New Roman" w:hAnsi="Times New Roman"/>
          <w:sz w:val="24"/>
          <w:szCs w:val="24"/>
        </w:rPr>
      </w:pPr>
      <w:r w:rsidRPr="00E34AA1">
        <w:rPr>
          <w:rFonts w:ascii="Times New Roman" w:hAnsi="Times New Roman"/>
          <w:sz w:val="24"/>
          <w:szCs w:val="24"/>
        </w:rPr>
        <w:t>Los analistas creen que en los próximos dos años es</w:t>
      </w:r>
      <w:r>
        <w:rPr>
          <w:rFonts w:ascii="Times New Roman" w:hAnsi="Times New Roman"/>
          <w:sz w:val="24"/>
          <w:szCs w:val="24"/>
        </w:rPr>
        <w:t>tos cinco bancos dirigirán la sú</w:t>
      </w:r>
      <w:r w:rsidRPr="00E34AA1">
        <w:rPr>
          <w:rFonts w:ascii="Times New Roman" w:hAnsi="Times New Roman"/>
          <w:sz w:val="24"/>
          <w:szCs w:val="24"/>
        </w:rPr>
        <w:t>per liga de los gigantes financieros, obteniendo miles de millones por las continuas tensiones de los mercados financieros. De hecho, a estos bancos no se les ha dudado en apodar como lo</w:t>
      </w:r>
      <w:r>
        <w:rPr>
          <w:rFonts w:ascii="Times New Roman" w:hAnsi="Times New Roman"/>
          <w:sz w:val="24"/>
          <w:szCs w:val="24"/>
        </w:rPr>
        <w:t>s nuevos reyes de Wall Street</w:t>
      </w:r>
      <w:r w:rsidRPr="00785FCE">
        <w:rPr>
          <w:rFonts w:ascii="Times New Roman" w:hAnsi="Times New Roman"/>
          <w:sz w:val="24"/>
          <w:szCs w:val="24"/>
        </w:rPr>
        <w:t>. “Aquellos bancos que han salido de esta crisis con sus marcas intactas, la reputación de su gestión intacta y sin ser propiedad del gobierno, se han encontrado con una enorme ventaja”, asevera un alto directivo de uno de los bancos más grandes del mundo.</w:t>
      </w:r>
    </w:p>
    <w:p w:rsidR="002F07D4" w:rsidRPr="00785FCE" w:rsidRDefault="002F07D4" w:rsidP="002F07D4">
      <w:pPr>
        <w:spacing w:line="240" w:lineRule="auto"/>
        <w:jc w:val="both"/>
        <w:rPr>
          <w:rFonts w:ascii="Times New Roman" w:hAnsi="Times New Roman"/>
          <w:sz w:val="24"/>
          <w:szCs w:val="24"/>
        </w:rPr>
      </w:pPr>
      <w:r w:rsidRPr="00785FCE">
        <w:rPr>
          <w:rFonts w:ascii="Times New Roman" w:hAnsi="Times New Roman"/>
          <w:sz w:val="24"/>
          <w:szCs w:val="24"/>
        </w:rPr>
        <w:t>Lloyd Blankfein, presidente de Goldman Sachs, pasó un humilde memorándum entre sus directivos la semana pasada, después de confirmar que el banco iba a devolver los 10.000 millones de dólares que se vio obligado a tomar prestados del Gobierno americano, justo en el momento álgido de la crisis crediticia el pasado otoño.</w:t>
      </w:r>
    </w:p>
    <w:p w:rsidR="002F07D4" w:rsidRPr="00E34AA1" w:rsidRDefault="002F07D4" w:rsidP="002F07D4">
      <w:pPr>
        <w:spacing w:line="240" w:lineRule="auto"/>
        <w:jc w:val="both"/>
        <w:rPr>
          <w:rFonts w:ascii="Times New Roman" w:hAnsi="Times New Roman"/>
          <w:sz w:val="24"/>
          <w:szCs w:val="24"/>
        </w:rPr>
      </w:pPr>
      <w:r w:rsidRPr="00E34AA1">
        <w:rPr>
          <w:rFonts w:ascii="Times New Roman" w:hAnsi="Times New Roman"/>
          <w:sz w:val="24"/>
          <w:szCs w:val="24"/>
        </w:rPr>
        <w:t>Aunque Goldman nunca había necesitado efectivo de emergencia, Blankfein reconoció que la emp</w:t>
      </w:r>
      <w:r>
        <w:rPr>
          <w:rFonts w:ascii="Times New Roman" w:hAnsi="Times New Roman"/>
          <w:sz w:val="24"/>
          <w:szCs w:val="24"/>
        </w:rPr>
        <w:t>resa estaba “agradecida”</w:t>
      </w:r>
      <w:r w:rsidRPr="00E34AA1">
        <w:rPr>
          <w:rFonts w:ascii="Times New Roman" w:hAnsi="Times New Roman"/>
          <w:sz w:val="24"/>
          <w:szCs w:val="24"/>
        </w:rPr>
        <w:t xml:space="preserve"> por todo lo que el Gobierno había hec</w:t>
      </w:r>
      <w:r>
        <w:rPr>
          <w:rFonts w:ascii="Times New Roman" w:hAnsi="Times New Roman"/>
          <w:sz w:val="24"/>
          <w:szCs w:val="24"/>
        </w:rPr>
        <w:t>ho por estabilizar el sistema. “</w:t>
      </w:r>
      <w:r w:rsidRPr="00E34AA1">
        <w:rPr>
          <w:rFonts w:ascii="Times New Roman" w:hAnsi="Times New Roman"/>
          <w:sz w:val="24"/>
          <w:szCs w:val="24"/>
        </w:rPr>
        <w:t>Pero la estabilidad real sólo puede volver si nuestra industria acepta que ciert</w:t>
      </w:r>
      <w:r>
        <w:rPr>
          <w:rFonts w:ascii="Times New Roman" w:hAnsi="Times New Roman"/>
          <w:sz w:val="24"/>
          <w:szCs w:val="24"/>
        </w:rPr>
        <w:t>as prácticas no eran saludables”</w:t>
      </w:r>
      <w:r w:rsidRPr="00E34AA1">
        <w:rPr>
          <w:rFonts w:ascii="Times New Roman" w:hAnsi="Times New Roman"/>
          <w:sz w:val="24"/>
          <w:szCs w:val="24"/>
        </w:rPr>
        <w:t>, escribió el presidente de la firma.</w:t>
      </w:r>
    </w:p>
    <w:p w:rsidR="002F07D4" w:rsidRDefault="002F07D4" w:rsidP="002F07D4">
      <w:pPr>
        <w:spacing w:line="240" w:lineRule="auto"/>
        <w:jc w:val="both"/>
        <w:rPr>
          <w:rFonts w:ascii="Times New Roman" w:hAnsi="Times New Roman"/>
          <w:sz w:val="24"/>
          <w:szCs w:val="24"/>
        </w:rPr>
      </w:pPr>
      <w:r w:rsidRPr="00E34AA1">
        <w:rPr>
          <w:rFonts w:ascii="Times New Roman" w:hAnsi="Times New Roman"/>
          <w:sz w:val="24"/>
          <w:szCs w:val="24"/>
        </w:rPr>
        <w:t>Blankfein podría permitirse semejante crítica, sobre todo porque Goldman anunció un aumento de beneficios del 20% en el primer trimestre de 2009, estimulado por un rendimiento sin precedentes de sus ingresos fijos, divisas y negocios de comercio de materias primas. Y de hecho, hay indicios de que el segundo trimestre la situació</w:t>
      </w:r>
      <w:r>
        <w:rPr>
          <w:rFonts w:ascii="Times New Roman" w:hAnsi="Times New Roman"/>
          <w:sz w:val="24"/>
          <w:szCs w:val="24"/>
        </w:rPr>
        <w:t>n continuará en la misma línea.</w:t>
      </w:r>
    </w:p>
    <w:p w:rsidR="002F07D4" w:rsidRPr="00D85722" w:rsidRDefault="002F07D4" w:rsidP="002F07D4">
      <w:pPr>
        <w:spacing w:line="240" w:lineRule="auto"/>
        <w:jc w:val="both"/>
        <w:rPr>
          <w:rFonts w:ascii="Times New Roman" w:hAnsi="Times New Roman"/>
          <w:b/>
          <w:sz w:val="24"/>
          <w:szCs w:val="24"/>
        </w:rPr>
      </w:pPr>
      <w:r w:rsidRPr="00D85722">
        <w:rPr>
          <w:rFonts w:ascii="Times New Roman" w:hAnsi="Times New Roman"/>
          <w:b/>
          <w:sz w:val="24"/>
          <w:szCs w:val="24"/>
        </w:rPr>
        <w:t>… pero de muy lejos</w:t>
      </w:r>
    </w:p>
    <w:p w:rsidR="002F07D4" w:rsidRPr="00385451" w:rsidRDefault="002F07D4" w:rsidP="002F07D4">
      <w:pPr>
        <w:spacing w:line="240" w:lineRule="auto"/>
        <w:jc w:val="both"/>
        <w:rPr>
          <w:rFonts w:ascii="Times New Roman" w:hAnsi="Times New Roman"/>
          <w:sz w:val="24"/>
          <w:szCs w:val="24"/>
        </w:rPr>
      </w:pPr>
      <w:r w:rsidRPr="00385451">
        <w:rPr>
          <w:rFonts w:ascii="Times New Roman" w:hAnsi="Times New Roman"/>
          <w:sz w:val="24"/>
          <w:szCs w:val="24"/>
        </w:rPr>
        <w:t>“En su edición del mes de julio, la revista Rolling Stone recoge una pieza absolutamente demoledora acerca del papel jugado por Goldman Sachs en la formación y posterior estallido de las distintas burbujas que se han producido en los mercados a lo largo del último siglo, desde la Gran Depresión a nuestros días. Y no sólo eso. El artículo, firmado por Matt Taibbi y que se ha filtrado antes de su publicación, constata el poder acumulado con el paso del tiempo por los distintos banqueros de la Casa, estratégicamente situados hoy día en puestos de influencia financiera alrededor del Planeta; ahonda en el aprovechamiento en interés propio de los sucesivos fenómenos de pánico y euforia, a cuya gestación el banco de inversión habría decididamente contribuido; y alimenta las sospechas acerca del protagonismo que está jugando la entidad en la gestación del siguiente gran descalabro… para todos menos para ella.”</w:t>
      </w:r>
      <w:r w:rsidRPr="00E03731">
        <w:rPr>
          <w:rFonts w:ascii="Times New Roman" w:hAnsi="Times New Roman"/>
          <w:sz w:val="24"/>
          <w:szCs w:val="24"/>
          <w:u w:val="single"/>
        </w:rPr>
        <w:t>Goldman Sachs, vampiro del Capitalismo</w:t>
      </w:r>
      <w:r>
        <w:rPr>
          <w:rFonts w:ascii="Times New Roman" w:hAnsi="Times New Roman"/>
          <w:sz w:val="24"/>
          <w:szCs w:val="24"/>
        </w:rPr>
        <w:t xml:space="preserve"> (El Confidencial - </w:t>
      </w:r>
      <w:r w:rsidRPr="00E03731">
        <w:rPr>
          <w:rFonts w:ascii="Times New Roman" w:hAnsi="Times New Roman"/>
          <w:b/>
          <w:sz w:val="24"/>
          <w:szCs w:val="24"/>
        </w:rPr>
        <w:t>30/6/09</w:t>
      </w:r>
      <w:r>
        <w:rPr>
          <w:rFonts w:ascii="Times New Roman" w:hAnsi="Times New Roman"/>
          <w:sz w:val="24"/>
          <w:szCs w:val="24"/>
        </w:rPr>
        <w:t xml:space="preserve"> - Por S. McCoy) </w:t>
      </w:r>
    </w:p>
    <w:p w:rsidR="002F07D4" w:rsidRPr="002602B3" w:rsidRDefault="002F07D4" w:rsidP="002F07D4">
      <w:pPr>
        <w:spacing w:line="240" w:lineRule="auto"/>
        <w:jc w:val="both"/>
        <w:rPr>
          <w:rFonts w:ascii="Times New Roman" w:hAnsi="Times New Roman"/>
          <w:sz w:val="24"/>
          <w:szCs w:val="24"/>
        </w:rPr>
      </w:pPr>
      <w:r w:rsidRPr="00385451">
        <w:rPr>
          <w:rFonts w:ascii="Times New Roman" w:hAnsi="Times New Roman"/>
          <w:sz w:val="24"/>
          <w:szCs w:val="24"/>
        </w:rPr>
        <w:lastRenderedPageBreak/>
        <w:t>El documento es extraordinario y no deja lugar a dudas de su posicionamiento desde el primer párrafo, donde califica a la firma de vampiro que clava sus colmillos allá donde hay un dólar que ganar. Se extiende a lo largo de doce páginas, que no tienen desperdicio. Así, el autor no duda en afirmar que mientras América da vueltas alrededor del sumidero, Goldman Sachs ha encontrado el camino para ser él mismo ese sumidero: un desafortunado agujero en el sistema capitalista democrático occidental que nunca imaginó que, en una sociedad pasivamente gobernada por la libertad de mercado y deelección, la ambición organizada siempre prevalece sobre la democracia desorganizada.</w:t>
      </w:r>
      <w:r w:rsidRPr="002602B3">
        <w:rPr>
          <w:rFonts w:ascii="Times New Roman" w:hAnsi="Times New Roman"/>
          <w:sz w:val="24"/>
          <w:szCs w:val="24"/>
        </w:rPr>
        <w:t xml:space="preserve"> Un análisis interesante que pudiera parecer reduccionista, toda vez que carga las tintas sobre la desmedida avaricia de los banqueros y se olvida de otros responsables de la situación actual como políticos, reguladores, agencias de rating, banqueros centrales e, incluso, los propios ciudadanos. No es de extrañar cuando se considera a gran parte de tales actores como parte del universo Goldman.</w:t>
      </w:r>
    </w:p>
    <w:p w:rsidR="002F07D4" w:rsidRPr="00385451" w:rsidRDefault="002F07D4" w:rsidP="002F07D4">
      <w:pPr>
        <w:spacing w:line="240" w:lineRule="auto"/>
        <w:jc w:val="both"/>
        <w:rPr>
          <w:rFonts w:ascii="Times New Roman" w:hAnsi="Times New Roman"/>
          <w:sz w:val="24"/>
          <w:szCs w:val="24"/>
        </w:rPr>
      </w:pPr>
      <w:r w:rsidRPr="00385451">
        <w:rPr>
          <w:rFonts w:ascii="Times New Roman" w:hAnsi="Times New Roman"/>
          <w:sz w:val="24"/>
          <w:szCs w:val="24"/>
        </w:rPr>
        <w:t xml:space="preserve">Su crítica no queda ahí, sino que aterriza desde lo genérico en lo específico: todo el dinero que usted pierde va a algún sitio y, tanto en sentido literal como figurativo, se puede decir que el destinatario es Goldman. El banco se ha convertido en una gigantesca y sofisticada máquina de convertir la riqueza de la sociedad en beneficio para sus arcas (…) La fórmula es relativamente simple: el banco de inversión se posiciona en mitad de una burbuja especulativa, y vende productos que sabe que son basura. Con la ayuda de una Administración adecuadamente engrasada con sus donativos, consigue cantidades ingentes de dinero de los incautos inversores. Cuando estalla la situación se presenta como aquel benefactor que puede aliviar la difícil situación de los sufridos ciudadanos. </w:t>
      </w:r>
    </w:p>
    <w:p w:rsidR="002F07D4" w:rsidRPr="00385451" w:rsidRDefault="002F07D4" w:rsidP="002F07D4">
      <w:pPr>
        <w:spacing w:line="240" w:lineRule="auto"/>
        <w:jc w:val="both"/>
        <w:rPr>
          <w:rFonts w:ascii="Times New Roman" w:hAnsi="Times New Roman"/>
          <w:sz w:val="24"/>
          <w:szCs w:val="24"/>
        </w:rPr>
      </w:pPr>
      <w:r w:rsidRPr="00385451">
        <w:rPr>
          <w:rFonts w:ascii="Times New Roman" w:hAnsi="Times New Roman"/>
          <w:sz w:val="24"/>
          <w:szCs w:val="24"/>
        </w:rPr>
        <w:t>Así, Taibbi enumera hasta cinco ocasiones en las que la actuación de Goldman habría sido, cuando menos, cuestionable… para lucro de sus directivos y/o empleados</w:t>
      </w:r>
      <w:r>
        <w:rPr>
          <w:rFonts w:ascii="Times New Roman" w:hAnsi="Times New Roman"/>
          <w:sz w:val="24"/>
          <w:szCs w:val="24"/>
        </w:rPr>
        <w:t>.</w:t>
      </w:r>
      <w:r w:rsidRPr="00385451">
        <w:rPr>
          <w:rFonts w:ascii="Times New Roman" w:hAnsi="Times New Roman"/>
          <w:sz w:val="24"/>
          <w:szCs w:val="24"/>
        </w:rPr>
        <w:t xml:space="preserve"> En primer lugar, el reportero habla de la participación de Goldman en los Investment Trust que tan de moda estuvieron en los felices años 20 y cuyo colapso acentuó la caída bursátil de finales de la década. 475.000 millones de agujero a valor de hoy. Tras un impasse de cerca de 70 años, en los que la entidad adopta un modelo de banca a largo plazo, es con la llegada de su empleado Robert Rubin a la Casa Blanca, y con el cambio que impulsa de las reglas que hasta entonces regían los mercados financieros, que Goldman vuelve a orientarse hacia el pan para hoy, con independencia de lo que traiga el mañana. Una tarea a la que contribuyeron otros reputados miembros de la firma, citados adecuadamente a lo largo del texto.</w:t>
      </w:r>
    </w:p>
    <w:p w:rsidR="002F07D4" w:rsidRPr="00385451" w:rsidRDefault="002F07D4" w:rsidP="002F07D4">
      <w:pPr>
        <w:spacing w:line="240" w:lineRule="auto"/>
        <w:jc w:val="both"/>
        <w:rPr>
          <w:rFonts w:ascii="Times New Roman" w:hAnsi="Times New Roman"/>
          <w:sz w:val="24"/>
          <w:szCs w:val="24"/>
        </w:rPr>
      </w:pPr>
      <w:r w:rsidRPr="00385451">
        <w:rPr>
          <w:rFonts w:ascii="Times New Roman" w:hAnsi="Times New Roman"/>
          <w:sz w:val="24"/>
          <w:szCs w:val="24"/>
        </w:rPr>
        <w:t>A partir de ese momento el banco vive sus momentos de mayor espl</w:t>
      </w:r>
      <w:r>
        <w:rPr>
          <w:rFonts w:ascii="Times New Roman" w:hAnsi="Times New Roman"/>
          <w:sz w:val="24"/>
          <w:szCs w:val="24"/>
        </w:rPr>
        <w:t>endor, según el autor</w:t>
      </w:r>
      <w:r w:rsidRPr="00385451">
        <w:rPr>
          <w:rFonts w:ascii="Times New Roman" w:hAnsi="Times New Roman"/>
          <w:sz w:val="24"/>
          <w:szCs w:val="24"/>
        </w:rPr>
        <w:t>: manipulando valoraciones y precios en las OPVs de los años dorados de las compañías de Internet (cinco billones de dólares de riqueza evaporada sólo en el Nasdaq), gracias a la violación de la norma no escrita que limitaba las salidas a bolsa a empresas rentables; fomentando la titulización y aseguramiento de hipotecas de baja calidad con el despegue del mercado inmobiliario, a la vez que apostaba por su hundimiento hasta el punto de ser de las pocas sociedades que se beneficiaron con su caída mediante la utilización de instrumentos derivados; alentando la inversión financiera en materias primas como el petróleo -cuyo precio se disparó hasta cerca de los 150 dólares gracias a que un barril se negociaba en 2008 hasta 27 veces, de media, antes de que fuera entregado y consumido- que tomaban como referencia índices creados por la propia Goldman, actividad que explotó igualmente gracias a un cambio normativo.</w:t>
      </w:r>
    </w:p>
    <w:p w:rsidR="002F07D4" w:rsidRDefault="002F07D4" w:rsidP="002F07D4">
      <w:pPr>
        <w:spacing w:line="240" w:lineRule="auto"/>
        <w:jc w:val="both"/>
        <w:rPr>
          <w:rFonts w:ascii="Times New Roman" w:hAnsi="Times New Roman"/>
          <w:sz w:val="24"/>
          <w:szCs w:val="24"/>
        </w:rPr>
      </w:pPr>
      <w:r w:rsidRPr="00385451">
        <w:rPr>
          <w:rFonts w:ascii="Times New Roman" w:hAnsi="Times New Roman"/>
          <w:sz w:val="24"/>
          <w:szCs w:val="24"/>
        </w:rPr>
        <w:lastRenderedPageBreak/>
        <w:t>Una panoplia de actuaciones que pondrían de manifiesto el poder oculto de Goldman y su influencia en la construcción de la peor cara del capitalismo financiero, rostro sobre el que ahora se quiere verter una pesada capa de maquillaje de carácter social y de adecuación a su fundamento originario que es la economía productiva. Grave responsabilidad que, sin embargo, no le ha hecho perder ni un ápice de su relevancia.</w:t>
      </w:r>
    </w:p>
    <w:p w:rsidR="002F07D4" w:rsidRPr="008A078A" w:rsidRDefault="002F07D4" w:rsidP="002F07D4">
      <w:pPr>
        <w:spacing w:line="240" w:lineRule="auto"/>
        <w:jc w:val="both"/>
        <w:rPr>
          <w:rFonts w:ascii="Times New Roman" w:hAnsi="Times New Roman"/>
          <w:sz w:val="24"/>
          <w:szCs w:val="24"/>
        </w:rPr>
      </w:pPr>
      <w:r w:rsidRPr="008A078A">
        <w:rPr>
          <w:rFonts w:ascii="Times New Roman" w:hAnsi="Times New Roman"/>
          <w:sz w:val="24"/>
          <w:szCs w:val="24"/>
        </w:rPr>
        <w:t>La importancia actual de Goldman en la gestión de la crisis y en la, a juicio de Taibbi, siguiente burbuja que está por llegar y que ya se está gestando. Un modo de actuación que define de modo brillante Simon Johnson, al que cita Taibbi, en The Atlantic como El Golpe de Estado Silencioso, análisis éste de imprescindible lectura.</w:t>
      </w:r>
    </w:p>
    <w:p w:rsidR="002F07D4" w:rsidRPr="008A078A" w:rsidRDefault="002F07D4" w:rsidP="002F07D4">
      <w:pPr>
        <w:spacing w:line="240" w:lineRule="auto"/>
        <w:jc w:val="both"/>
        <w:rPr>
          <w:rFonts w:ascii="Times New Roman" w:hAnsi="Times New Roman"/>
          <w:sz w:val="24"/>
          <w:szCs w:val="24"/>
        </w:rPr>
      </w:pPr>
      <w:r w:rsidRPr="008A078A">
        <w:rPr>
          <w:rFonts w:ascii="Times New Roman" w:hAnsi="Times New Roman"/>
          <w:sz w:val="24"/>
          <w:szCs w:val="24"/>
        </w:rPr>
        <w:t>Señala el reportero que Goldman ha alcanzado el cénit de su influencia de la mano del que fuera su presidente Hank Paulson, a la sazón Secretario de Tesoro norteamericano hasta el desembarco de Tim Geithner  como parte del equipo de Obama. Tras el colapso financiero, el dinero parecía haberse evaporado. La cacería de Goldman necesitaba nuevas piezas que abatir. Y sólo las podía encontrar allá donde seguro había capital del que alimentarse: las arcas públicas Es en el mayor rescate de la Historia donde la entidad va a hacer patente su influencia. De hecho, no sólo consiguió posicionar a uno de sus chicos en la gestión del Fondo de Rescate sino que se benefició de una serie de decisiones que le han permitido salir casi de rositas de la coyuntura actual. Como entendió perfectamente en su momento Warren Buffett, verdaderamente Goldman is too big to fail. No es de extrañar que haya sido su principal apuesta bancaria en la crisis.</w:t>
      </w:r>
    </w:p>
    <w:p w:rsidR="002F07D4" w:rsidRPr="008A078A" w:rsidRDefault="002F07D4" w:rsidP="002F07D4">
      <w:pPr>
        <w:spacing w:line="240" w:lineRule="auto"/>
        <w:jc w:val="both"/>
        <w:rPr>
          <w:rFonts w:ascii="Times New Roman" w:hAnsi="Times New Roman"/>
          <w:sz w:val="24"/>
          <w:szCs w:val="24"/>
        </w:rPr>
      </w:pPr>
      <w:r w:rsidRPr="008A078A">
        <w:rPr>
          <w:rFonts w:ascii="Times New Roman" w:hAnsi="Times New Roman"/>
          <w:sz w:val="24"/>
          <w:szCs w:val="24"/>
        </w:rPr>
        <w:t>Maquillaje de resultados gracias al aparcamiento de pérdidas en meses fantasma, por cambio de calendario de publicación, como diciembre de 2008; conversión en banca comercial que les permite recalar bajo la supervisión de otro ex Goldman, Stephen Friedman; beneficios extra derivados del rescate de AIG que evita que tenga que provisionar sus contrapartidas, mientras que se deja morir a un competidor directo como Lehman; sospechas de información privilegiada en relación con los stress tests; uso de tasas impositivas sorprendentemente bajas, etcétera, son la pléyade de acusaciones documentadas que el texto recoge y que evocan, a juicio de distintos agentes del mercado consultados por Taibbi, que se ha perdido el pudor y se ha pasado de una ayuda implícita comúnmente aceptada, y derivada de la incorporación del talento creado en el seno de la entidad a las finanzas públicas, a otra explícita que tiene por objeto consolidar la posición del banco de inversión y conservar su capacidad de maniobra.</w:t>
      </w:r>
    </w:p>
    <w:p w:rsidR="002F07D4" w:rsidRPr="008A078A" w:rsidRDefault="002F07D4" w:rsidP="002F07D4">
      <w:pPr>
        <w:spacing w:line="240" w:lineRule="auto"/>
        <w:jc w:val="both"/>
        <w:rPr>
          <w:rFonts w:ascii="Times New Roman" w:hAnsi="Times New Roman"/>
          <w:sz w:val="24"/>
          <w:szCs w:val="24"/>
        </w:rPr>
      </w:pPr>
      <w:r w:rsidRPr="008A078A">
        <w:rPr>
          <w:rFonts w:ascii="Times New Roman" w:hAnsi="Times New Roman"/>
          <w:sz w:val="24"/>
          <w:szCs w:val="24"/>
        </w:rPr>
        <w:t>Pero Goldman no duerme. No puede hacerlo, concluye el autor. Así, sus empleados se convirtieron en los principales donantes privados de la campaña electoral a la presidencia de Estados Unidos de Obama con cerca de un millón de dólares.</w:t>
      </w:r>
      <w:r w:rsidRPr="001E7A47">
        <w:rPr>
          <w:rFonts w:ascii="Times New Roman" w:hAnsi="Times New Roman"/>
          <w:sz w:val="24"/>
          <w:szCs w:val="24"/>
        </w:rPr>
        <w:t xml:space="preserve"> Tras haber atravesado el campo de minas del rescate bancario de manera exitosa, Goldman ha vuelto una vez más a sus viejos hábitos y trata de colocar a sus peones dentro de la Administración a fin de beneficiarse de los agujeros que, en la renovada actividad pública, se puedan vislumbrar (…) </w:t>
      </w:r>
      <w:r w:rsidRPr="008A078A">
        <w:rPr>
          <w:rFonts w:ascii="Times New Roman" w:hAnsi="Times New Roman"/>
          <w:sz w:val="24"/>
          <w:szCs w:val="24"/>
        </w:rPr>
        <w:t>Y la nueva apuesta de la entidad se llama derechos de emisión o carbon credits, un mercado de un billón de dólares que apenas existe a día de hoy pero que forma parte principal de la Ley Energética aprobada por el Congreso el pasado viernes. Con una particularidad, señala: el hecho de que el límite de derechos a subastar fijado por el Gobierno caiga anualmente implica que Goldman ni siquiera se va a tener que pringar en hacer que los precios suban.</w:t>
      </w:r>
    </w:p>
    <w:p w:rsidR="002F07D4" w:rsidRDefault="002F07D4" w:rsidP="002F07D4">
      <w:pPr>
        <w:spacing w:line="240" w:lineRule="auto"/>
        <w:jc w:val="both"/>
        <w:rPr>
          <w:rFonts w:ascii="Times New Roman" w:hAnsi="Times New Roman"/>
          <w:sz w:val="24"/>
          <w:szCs w:val="24"/>
        </w:rPr>
      </w:pPr>
      <w:r w:rsidRPr="008A078A">
        <w:rPr>
          <w:rFonts w:ascii="Times New Roman" w:hAnsi="Times New Roman"/>
          <w:sz w:val="24"/>
          <w:szCs w:val="24"/>
        </w:rPr>
        <w:t xml:space="preserve">De momento, de acuerdo con Taibbi, la firma financiera habría ido engrasando la maquinaria con las oportunas contribuciones a los diferentes lobbies, la inversión directa en compañías productoras de energías renovables, la adquisición del 10% del </w:t>
      </w:r>
      <w:r w:rsidRPr="008A078A">
        <w:rPr>
          <w:rFonts w:ascii="Times New Roman" w:hAnsi="Times New Roman"/>
          <w:sz w:val="24"/>
          <w:szCs w:val="24"/>
        </w:rPr>
        <w:lastRenderedPageBreak/>
        <w:t>Mercado de Chicago en el que los derechos se van a negociar, la compra de un pequeño trader que se dedica ya a tal actividad y así sucesivament</w:t>
      </w:r>
      <w:r>
        <w:rPr>
          <w:rFonts w:ascii="Times New Roman" w:hAnsi="Times New Roman"/>
          <w:sz w:val="24"/>
          <w:szCs w:val="24"/>
        </w:rPr>
        <w:t>e.</w:t>
      </w:r>
      <w:r w:rsidRPr="001E7A47">
        <w:rPr>
          <w:rFonts w:ascii="Times New Roman" w:hAnsi="Times New Roman"/>
          <w:sz w:val="24"/>
          <w:szCs w:val="24"/>
        </w:rPr>
        <w:t xml:space="preserve"> Cualquiera podría afirmar que se trata de un ejercicio de buena gestión, de anticipación de </w:t>
      </w:r>
      <w:r>
        <w:rPr>
          <w:rFonts w:ascii="Times New Roman" w:hAnsi="Times New Roman"/>
          <w:sz w:val="24"/>
          <w:szCs w:val="24"/>
        </w:rPr>
        <w:t>cara al futuro</w:t>
      </w:r>
      <w:r w:rsidRPr="001E7A47">
        <w:rPr>
          <w:rFonts w:ascii="Times New Roman" w:hAnsi="Times New Roman"/>
          <w:sz w:val="24"/>
          <w:szCs w:val="24"/>
        </w:rPr>
        <w:t>, pero a estas alturas de la película el autor ya no concede a la entidad el beneficio de la duda. Puede incluso que al final la actividad real, como ocurre en Europa, sea mucho menos que la inicialmente predicada y que los precios se mantengan bajo mínimos. No importa</w:t>
      </w:r>
      <w:r w:rsidRPr="008A078A">
        <w:rPr>
          <w:rFonts w:ascii="Times New Roman" w:hAnsi="Times New Roman"/>
          <w:sz w:val="24"/>
          <w:szCs w:val="24"/>
        </w:rPr>
        <w:t xml:space="preserve">,  de lo que se trata es de denunciar el papel del banco y añadir argumentos a su condena. Su conclusión, de hecho, no admite dudas: Así es </w:t>
      </w:r>
      <w:r w:rsidR="00FD69A7" w:rsidRPr="008A078A">
        <w:rPr>
          <w:rFonts w:ascii="Times New Roman" w:hAnsi="Times New Roman"/>
          <w:sz w:val="24"/>
          <w:szCs w:val="24"/>
        </w:rPr>
        <w:t>cómo</w:t>
      </w:r>
      <w:r w:rsidRPr="008A078A">
        <w:rPr>
          <w:rFonts w:ascii="Times New Roman" w:hAnsi="Times New Roman"/>
          <w:sz w:val="24"/>
          <w:szCs w:val="24"/>
        </w:rPr>
        <w:t xml:space="preserve"> funcionan las cosas. </w:t>
      </w:r>
    </w:p>
    <w:p w:rsidR="002F07D4" w:rsidRPr="008A078A" w:rsidRDefault="002F07D4" w:rsidP="002F07D4">
      <w:pPr>
        <w:spacing w:line="240" w:lineRule="auto"/>
        <w:jc w:val="both"/>
        <w:rPr>
          <w:rFonts w:ascii="Times New Roman" w:hAnsi="Times New Roman"/>
          <w:sz w:val="24"/>
          <w:szCs w:val="24"/>
        </w:rPr>
      </w:pPr>
      <w:r w:rsidRPr="007A59EB">
        <w:rPr>
          <w:rFonts w:ascii="Times New Roman" w:hAnsi="Times New Roman"/>
          <w:sz w:val="24"/>
          <w:szCs w:val="24"/>
        </w:rPr>
        <w:t>Con todo esto, ¿a alguien le extraña la inversión de Buffett en la compañía? Es fácil comprender, a la luz de esta lectura, de qué va este negocio, condición primera y principal impuesta por el Oráculo de Omaha para cometer cualquier inversión. Y en finanzas, Goldman es y ¿será? la apuesta ganadora.</w:t>
      </w:r>
    </w:p>
    <w:p w:rsidR="002F07D4" w:rsidRPr="008A078A" w:rsidRDefault="002F07D4" w:rsidP="002F07D4">
      <w:pPr>
        <w:spacing w:line="240" w:lineRule="auto"/>
        <w:jc w:val="both"/>
        <w:rPr>
          <w:rFonts w:ascii="Times New Roman" w:hAnsi="Times New Roman"/>
          <w:sz w:val="24"/>
          <w:szCs w:val="24"/>
        </w:rPr>
      </w:pPr>
      <w:r w:rsidRPr="008A078A">
        <w:rPr>
          <w:rFonts w:ascii="Times New Roman" w:hAnsi="Times New Roman"/>
          <w:sz w:val="24"/>
          <w:szCs w:val="24"/>
        </w:rPr>
        <w:t xml:space="preserve">Este es el mundo en que vivimos, donde algunos tenemos que respetar las reglas mientras que otros no sólo se ven excusados de ajustarse a ellas sino que reciben dinero por hacerlo. Un esquema mafioso en el que uno no se puede fiar de los precios y donde hay peajes ocultos en cada dólar de impuestos que pagas. Quizá no podamos pararlo pero, al menos, tenemos la obligación de denunciarlo. </w:t>
      </w:r>
    </w:p>
    <w:p w:rsidR="002F07D4" w:rsidRPr="00147B2E" w:rsidRDefault="002F07D4" w:rsidP="002F07D4">
      <w:pPr>
        <w:spacing w:line="240" w:lineRule="auto"/>
        <w:jc w:val="both"/>
        <w:rPr>
          <w:rFonts w:ascii="Times New Roman" w:hAnsi="Times New Roman"/>
          <w:color w:val="FF0000"/>
          <w:sz w:val="24"/>
          <w:szCs w:val="24"/>
          <w:u w:val="single"/>
        </w:rPr>
      </w:pPr>
      <w:r w:rsidRPr="001E7A47">
        <w:rPr>
          <w:rFonts w:ascii="Times New Roman" w:hAnsi="Times New Roman"/>
          <w:sz w:val="24"/>
          <w:szCs w:val="24"/>
        </w:rPr>
        <w:t>Un alegato demoledor que pone en tela de juicio las prácticas llevadas a cabo por la entidad a lo largo del último siglo de actividad financiera y quecuestiona el enorme poder acumulado por la firma con el paso del tiempo y, en especial, desde la incorporación de su directivo Robert Rubin a la Administración Clinton en la década de los 90</w:t>
      </w:r>
      <w:r>
        <w:rPr>
          <w:rFonts w:ascii="Times New Roman" w:hAnsi="Times New Roman"/>
          <w:sz w:val="24"/>
          <w:szCs w:val="24"/>
        </w:rPr>
        <w:t>…</w:t>
      </w:r>
    </w:p>
    <w:p w:rsidR="002F07D4" w:rsidRPr="0096019D" w:rsidRDefault="002F07D4" w:rsidP="002F07D4">
      <w:pPr>
        <w:pStyle w:val="NormalWeb"/>
        <w:shd w:val="clear" w:color="auto" w:fill="FFFFFF"/>
        <w:jc w:val="both"/>
        <w:rPr>
          <w:b/>
        </w:rPr>
      </w:pPr>
      <w:r w:rsidRPr="0096019D">
        <w:rPr>
          <w:b/>
        </w:rPr>
        <w:t>El “círculo” de Geihtner</w:t>
      </w:r>
    </w:p>
    <w:p w:rsidR="002F07D4" w:rsidRPr="00B6422E" w:rsidRDefault="002F07D4" w:rsidP="002F07D4">
      <w:pPr>
        <w:spacing w:line="240" w:lineRule="auto"/>
        <w:jc w:val="both"/>
        <w:rPr>
          <w:rFonts w:ascii="Times New Roman" w:hAnsi="Times New Roman"/>
          <w:sz w:val="24"/>
          <w:szCs w:val="24"/>
        </w:rPr>
      </w:pPr>
      <w:r w:rsidRPr="00B6422E">
        <w:rPr>
          <w:rFonts w:ascii="Times New Roman" w:hAnsi="Times New Roman"/>
          <w:sz w:val="24"/>
          <w:szCs w:val="24"/>
        </w:rPr>
        <w:t>“Algunos de los ayudantes más cercanos de Timothy Geithner, secretario del Tesoro, han ganado millones de dólares al año trabajando para bancos como Citigroup y Goldman Sachs, hedge funds y firmas de capital privado como Blackstone, según recoge Bloomberg. Y han accedido al cargo sin pasar por el escrutinio del Senado.</w:t>
      </w:r>
    </w:p>
    <w:p w:rsidR="002F07D4" w:rsidRPr="00B6422E" w:rsidRDefault="002F07D4" w:rsidP="002F07D4">
      <w:pPr>
        <w:spacing w:line="240" w:lineRule="auto"/>
        <w:jc w:val="both"/>
        <w:rPr>
          <w:rFonts w:ascii="Times New Roman" w:hAnsi="Times New Roman"/>
          <w:color w:val="FF0000"/>
          <w:sz w:val="24"/>
          <w:szCs w:val="24"/>
        </w:rPr>
      </w:pPr>
      <w:r w:rsidRPr="00B6422E">
        <w:rPr>
          <w:rFonts w:ascii="Times New Roman" w:hAnsi="Times New Roman"/>
          <w:sz w:val="24"/>
          <w:szCs w:val="24"/>
        </w:rPr>
        <w:t>Entre estos asesores, que cobran del Tesoro pero que no necesitan ser confirmados por el Senado, se encuentra Gene Sperling, que el año pasado cobró 887.727 dólares de Goldman Sachs y 158.000 más de otras compañías financieras a las que ofreció charlas, firmas entre las que se encontraba la del estafador Allen Stanford. Otro de los ayudantes de Geithner, Lee Sachs, cobró un salario de más de 3 millones de dólares de Mariner Investment, un hedge fund de Nueva York”.</w:t>
      </w:r>
      <w:r w:rsidRPr="00187FFC">
        <w:rPr>
          <w:rFonts w:ascii="Times New Roman" w:hAnsi="Times New Roman"/>
          <w:sz w:val="24"/>
          <w:szCs w:val="24"/>
          <w:u w:val="single"/>
        </w:rPr>
        <w:t>Geithner se rodea de ex empleados de Wall Street en el Tesoro</w:t>
      </w:r>
      <w:r>
        <w:rPr>
          <w:rFonts w:ascii="Times New Roman" w:hAnsi="Times New Roman"/>
          <w:sz w:val="24"/>
          <w:szCs w:val="24"/>
        </w:rPr>
        <w:t xml:space="preserve"> (El Economista - </w:t>
      </w:r>
      <w:r w:rsidRPr="00187FFC">
        <w:rPr>
          <w:rFonts w:ascii="Times New Roman" w:hAnsi="Times New Roman"/>
          <w:b/>
          <w:sz w:val="24"/>
          <w:szCs w:val="24"/>
        </w:rPr>
        <w:t>14/10/09</w:t>
      </w:r>
      <w:r>
        <w:rPr>
          <w:rFonts w:ascii="Times New Roman" w:hAnsi="Times New Roman"/>
          <w:sz w:val="24"/>
          <w:szCs w:val="24"/>
        </w:rPr>
        <w:t xml:space="preserve">) </w:t>
      </w:r>
    </w:p>
    <w:p w:rsidR="002F07D4" w:rsidRPr="00B6422E" w:rsidRDefault="002F07D4" w:rsidP="002F07D4">
      <w:pPr>
        <w:spacing w:line="240" w:lineRule="auto"/>
        <w:jc w:val="both"/>
        <w:rPr>
          <w:rFonts w:ascii="Times New Roman" w:hAnsi="Times New Roman"/>
          <w:sz w:val="24"/>
          <w:szCs w:val="24"/>
        </w:rPr>
      </w:pPr>
      <w:r w:rsidRPr="00B6422E">
        <w:rPr>
          <w:rFonts w:ascii="Times New Roman" w:hAnsi="Times New Roman"/>
          <w:sz w:val="24"/>
          <w:szCs w:val="24"/>
        </w:rPr>
        <w:t>Como parte del grupo de asistentes de Geithner, Sperling y Sachs también supervisan los 700.000 millones de dólares de ayuda a los bancos y deciden sobre las normas sobre los pagos a los ejecutivos y la reforma financiera que quiere implantar el Tesoro.</w:t>
      </w:r>
    </w:p>
    <w:p w:rsidR="002F07D4" w:rsidRPr="00187FFC" w:rsidRDefault="002F07D4" w:rsidP="002F07D4">
      <w:pPr>
        <w:spacing w:line="240" w:lineRule="auto"/>
        <w:jc w:val="both"/>
        <w:rPr>
          <w:rFonts w:ascii="Times New Roman" w:hAnsi="Times New Roman"/>
          <w:sz w:val="24"/>
          <w:szCs w:val="24"/>
        </w:rPr>
      </w:pPr>
      <w:r w:rsidRPr="00187FFC">
        <w:rPr>
          <w:rFonts w:ascii="Times New Roman" w:hAnsi="Times New Roman"/>
          <w:sz w:val="24"/>
          <w:szCs w:val="24"/>
        </w:rPr>
        <w:t>Aunque es habitual que funcionarios del Tesoro vengan de la industria financiera, choca con las declaraciones de Obama y su gobierno, acusando a Wall Street de prácticas que han provocado la crisis financiera. Además, el presidente ha prometido cambiar Washing</w:t>
      </w:r>
      <w:r>
        <w:rPr>
          <w:rFonts w:ascii="Times New Roman" w:hAnsi="Times New Roman"/>
          <w:sz w:val="24"/>
          <w:szCs w:val="24"/>
        </w:rPr>
        <w:t>ton alejando a los “lobbystas”.</w:t>
      </w:r>
    </w:p>
    <w:p w:rsidR="002F07D4" w:rsidRPr="00B6422E" w:rsidRDefault="002F07D4" w:rsidP="002F07D4">
      <w:pPr>
        <w:spacing w:line="240" w:lineRule="auto"/>
        <w:jc w:val="both"/>
        <w:rPr>
          <w:rFonts w:ascii="Times New Roman" w:hAnsi="Times New Roman"/>
          <w:sz w:val="24"/>
          <w:szCs w:val="24"/>
        </w:rPr>
      </w:pPr>
      <w:r w:rsidRPr="00B6422E">
        <w:rPr>
          <w:rFonts w:ascii="Times New Roman" w:hAnsi="Times New Roman"/>
          <w:sz w:val="24"/>
          <w:szCs w:val="24"/>
        </w:rPr>
        <w:t xml:space="preserve">Aparte de Sperling y Sachs, dentro del círculo de consejeros de Geithner se encuentra Lewis Alexander, antiguo economista jefe de Citigroup. Además, en otros cargos que </w:t>
      </w:r>
      <w:r w:rsidRPr="00B6422E">
        <w:rPr>
          <w:rFonts w:ascii="Times New Roman" w:hAnsi="Times New Roman"/>
          <w:sz w:val="24"/>
          <w:szCs w:val="24"/>
        </w:rPr>
        <w:lastRenderedPageBreak/>
        <w:t>no requieren confirmación se encuentran Matthew Kabaker, que trabajaba para la firma de capital privad</w:t>
      </w:r>
      <w:r>
        <w:rPr>
          <w:rFonts w:ascii="Times New Roman" w:hAnsi="Times New Roman"/>
          <w:sz w:val="24"/>
          <w:szCs w:val="24"/>
        </w:rPr>
        <w:t>o Blackstone y Mark Patterson, “lobbysta”</w:t>
      </w:r>
      <w:r w:rsidRPr="00B6422E">
        <w:rPr>
          <w:rFonts w:ascii="Times New Roman" w:hAnsi="Times New Roman"/>
          <w:sz w:val="24"/>
          <w:szCs w:val="24"/>
        </w:rPr>
        <w:t xml:space="preserve"> de Goldman Sachs.</w:t>
      </w:r>
    </w:p>
    <w:p w:rsidR="002F07D4" w:rsidRPr="00B6422E" w:rsidRDefault="002F07D4" w:rsidP="002F07D4">
      <w:pPr>
        <w:spacing w:line="240" w:lineRule="auto"/>
        <w:jc w:val="both"/>
        <w:rPr>
          <w:rFonts w:ascii="Times New Roman" w:hAnsi="Times New Roman"/>
          <w:sz w:val="24"/>
          <w:szCs w:val="24"/>
        </w:rPr>
      </w:pPr>
      <w:r w:rsidRPr="00B6422E">
        <w:rPr>
          <w:rFonts w:ascii="Times New Roman" w:hAnsi="Times New Roman"/>
          <w:sz w:val="24"/>
          <w:szCs w:val="24"/>
        </w:rPr>
        <w:t>Alexander dejó Citigroup en marzo para unirse al Tesoro y recibió 2,4 millones del banco en 2008 y los primeros meses de 2008. Es asesor de Geithner en economía e investiga los mercados financieros. Kabaker trabaja en política financiera doméstica y ha participado en el plan para que los bancos se deshicieran de sus activos tóxicos, y ganó 5,8 millones en Blackstone en 2008 antes de incorporarse al Tesoro a finales de enero de 2009.</w:t>
      </w:r>
    </w:p>
    <w:p w:rsidR="002F07D4" w:rsidRPr="00B6422E" w:rsidRDefault="002F07D4" w:rsidP="002F07D4">
      <w:pPr>
        <w:spacing w:line="240" w:lineRule="auto"/>
        <w:jc w:val="both"/>
        <w:rPr>
          <w:rFonts w:ascii="Times New Roman" w:hAnsi="Times New Roman"/>
          <w:sz w:val="24"/>
          <w:szCs w:val="24"/>
        </w:rPr>
      </w:pPr>
      <w:r w:rsidRPr="00B6422E">
        <w:rPr>
          <w:rFonts w:ascii="Times New Roman" w:hAnsi="Times New Roman"/>
          <w:sz w:val="24"/>
          <w:szCs w:val="24"/>
        </w:rPr>
        <w:t>Sperling, por su parte, complementó su salario en Goldman con una gran variedad de trabajos de consultor, asientos en consejos y otros, hasta ganar 2,2 millones de dólares en los 13 meses anteriores a enero. Entre otras trabajó para el Philadelphia Stock Exchange, para dos hedge funds (Brevan Howard Asset Management y Sterling Stamos Capital Management) y para la agencia Bloomberg, donde era columnista y aparecía en la televisión de la agencia financiera.</w:t>
      </w:r>
    </w:p>
    <w:p w:rsidR="002F07D4" w:rsidRPr="00B6422E" w:rsidRDefault="002F07D4" w:rsidP="002F07D4">
      <w:pPr>
        <w:spacing w:line="240" w:lineRule="auto"/>
        <w:jc w:val="both"/>
        <w:rPr>
          <w:rFonts w:ascii="Times New Roman" w:hAnsi="Times New Roman"/>
          <w:sz w:val="24"/>
          <w:szCs w:val="24"/>
        </w:rPr>
      </w:pPr>
      <w:r w:rsidRPr="00B6422E">
        <w:rPr>
          <w:rFonts w:ascii="Times New Roman" w:hAnsi="Times New Roman"/>
          <w:sz w:val="24"/>
          <w:szCs w:val="24"/>
        </w:rPr>
        <w:t xml:space="preserve">Goldman le pagaba 887.727 por ser consejero en temas benéficos, mientras que Patterson, que es jefe de personal de Geithner, recibió 637.492 dólares del banco </w:t>
      </w:r>
      <w:r>
        <w:rPr>
          <w:rFonts w:ascii="Times New Roman" w:hAnsi="Times New Roman"/>
          <w:sz w:val="24"/>
          <w:szCs w:val="24"/>
        </w:rPr>
        <w:t>de inversión por su trabajo de “lobbysta”</w:t>
      </w:r>
      <w:r w:rsidRPr="00B6422E">
        <w:rPr>
          <w:rFonts w:ascii="Times New Roman" w:hAnsi="Times New Roman"/>
          <w:sz w:val="24"/>
          <w:szCs w:val="24"/>
        </w:rPr>
        <w:t xml:space="preserve"> a tiempo completo.</w:t>
      </w:r>
    </w:p>
    <w:p w:rsidR="002F07D4" w:rsidRPr="00B6422E" w:rsidRDefault="002F07D4" w:rsidP="002F07D4">
      <w:pPr>
        <w:spacing w:line="240" w:lineRule="auto"/>
        <w:jc w:val="both"/>
        <w:rPr>
          <w:rFonts w:ascii="Times New Roman" w:hAnsi="Times New Roman"/>
          <w:sz w:val="24"/>
          <w:szCs w:val="24"/>
        </w:rPr>
      </w:pPr>
      <w:r w:rsidRPr="00B6422E">
        <w:rPr>
          <w:rFonts w:ascii="Times New Roman" w:hAnsi="Times New Roman"/>
          <w:sz w:val="24"/>
          <w:szCs w:val="24"/>
        </w:rPr>
        <w:t>Este grupo de financieros están aplicando el plan de rescate que aprobó el antecesor de Geithner, Henry Paulson, y están diseñando las reformas que determinarán el futuro de Wall Street en los próximos años. Varios senadores han acusado a Geithner de estar beneficiando a una industria que considera como propia.</w:t>
      </w:r>
    </w:p>
    <w:p w:rsidR="002F07D4" w:rsidRPr="000B5F41" w:rsidRDefault="002F07D4" w:rsidP="002F07D4">
      <w:pPr>
        <w:spacing w:line="240" w:lineRule="auto"/>
        <w:jc w:val="both"/>
        <w:rPr>
          <w:rFonts w:ascii="Times New Roman" w:hAnsi="Times New Roman"/>
          <w:sz w:val="24"/>
          <w:szCs w:val="24"/>
        </w:rPr>
      </w:pPr>
      <w:r w:rsidRPr="000B5F41">
        <w:rPr>
          <w:rFonts w:ascii="Times New Roman" w:hAnsi="Times New Roman"/>
          <w:sz w:val="24"/>
          <w:szCs w:val="24"/>
        </w:rPr>
        <w:t>El pasado noviembre, en el Congreso, y durante su comparecencia frente al Grupo de Fiscalización del fondo de rescate bancario, Geithner tuvo que soportar que un grupo de personas mostraran carteles contra el empleo del dinero de los contri</w:t>
      </w:r>
      <w:r>
        <w:rPr>
          <w:rFonts w:ascii="Times New Roman" w:hAnsi="Times New Roman"/>
          <w:sz w:val="24"/>
          <w:szCs w:val="24"/>
        </w:rPr>
        <w:t>buyentes para dichos rescates: “Devuélvenos la pasta”</w:t>
      </w:r>
      <w:r w:rsidRPr="000B5F41">
        <w:rPr>
          <w:rFonts w:ascii="Times New Roman" w:hAnsi="Times New Roman"/>
          <w:sz w:val="24"/>
          <w:szCs w:val="24"/>
        </w:rPr>
        <w:t>.</w:t>
      </w:r>
    </w:p>
    <w:p w:rsidR="002F07D4" w:rsidRPr="003B62E4" w:rsidRDefault="002F07D4" w:rsidP="002F07D4">
      <w:pPr>
        <w:spacing w:line="240" w:lineRule="auto"/>
        <w:jc w:val="both"/>
        <w:rPr>
          <w:rFonts w:ascii="Times New Roman" w:hAnsi="Times New Roman"/>
          <w:sz w:val="24"/>
          <w:szCs w:val="24"/>
          <w:u w:val="single"/>
        </w:rPr>
      </w:pPr>
      <w:r w:rsidRPr="003B62E4">
        <w:rPr>
          <w:rFonts w:ascii="Times New Roman" w:hAnsi="Times New Roman"/>
          <w:sz w:val="24"/>
          <w:szCs w:val="24"/>
          <w:u w:val="single"/>
        </w:rPr>
        <w:t>Geithner ha llegado a negar de forma explícita que b</w:t>
      </w:r>
      <w:r>
        <w:rPr>
          <w:rFonts w:ascii="Times New Roman" w:hAnsi="Times New Roman"/>
          <w:sz w:val="24"/>
          <w:szCs w:val="24"/>
          <w:u w:val="single"/>
        </w:rPr>
        <w:t>eneficie a Goldman Sachs en particular. “</w:t>
      </w:r>
      <w:r w:rsidRPr="003B62E4">
        <w:rPr>
          <w:rFonts w:ascii="Times New Roman" w:hAnsi="Times New Roman"/>
          <w:sz w:val="24"/>
          <w:szCs w:val="24"/>
          <w:u w:val="single"/>
        </w:rPr>
        <w:t>Hemos sido obligados a hacer cosas extraordinarias y agresivas par</w:t>
      </w:r>
      <w:r>
        <w:rPr>
          <w:rFonts w:ascii="Times New Roman" w:hAnsi="Times New Roman"/>
          <w:sz w:val="24"/>
          <w:szCs w:val="24"/>
          <w:u w:val="single"/>
        </w:rPr>
        <w:t>a ayudar a salvar a la economía”</w:t>
      </w:r>
      <w:r w:rsidRPr="003B62E4">
        <w:rPr>
          <w:rFonts w:ascii="Times New Roman" w:hAnsi="Times New Roman"/>
          <w:sz w:val="24"/>
          <w:szCs w:val="24"/>
          <w:u w:val="single"/>
        </w:rPr>
        <w:t>, dijo Geithner en una entrevista al diario estadounidense Wall Street Journal y a Digg, una página web donde millones de usuarios comparten y califican artículos.</w:t>
      </w:r>
    </w:p>
    <w:p w:rsidR="002F07D4" w:rsidRPr="009C01C4" w:rsidRDefault="002F07D4" w:rsidP="002F07D4">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3B62E4">
        <w:rPr>
          <w:rFonts w:ascii="Times New Roman" w:hAnsi="Times New Roman"/>
          <w:sz w:val="24"/>
          <w:szCs w:val="24"/>
          <w:u w:val="single"/>
        </w:rPr>
        <w:t>Estoy completamente seguro de que ninguna de esas decisiones (...) tuvieron nada que ver con los intereses específicos de ninguna empresa individual</w:t>
      </w:r>
      <w:r>
        <w:rPr>
          <w:rFonts w:ascii="Times New Roman" w:hAnsi="Times New Roman"/>
          <w:sz w:val="24"/>
          <w:szCs w:val="24"/>
          <w:u w:val="single"/>
        </w:rPr>
        <w:t>, mucho menos con Goldman Sachs”</w:t>
      </w:r>
      <w:r w:rsidRPr="003B62E4">
        <w:rPr>
          <w:rFonts w:ascii="Times New Roman" w:hAnsi="Times New Roman"/>
          <w:sz w:val="24"/>
          <w:szCs w:val="24"/>
          <w:u w:val="single"/>
        </w:rPr>
        <w:t>, dijo Geithner.</w:t>
      </w:r>
    </w:p>
    <w:p w:rsidR="002F07D4" w:rsidRPr="000B5F41" w:rsidRDefault="002F07D4" w:rsidP="002F07D4">
      <w:pPr>
        <w:spacing w:line="240" w:lineRule="auto"/>
        <w:jc w:val="both"/>
        <w:rPr>
          <w:rFonts w:ascii="Times New Roman" w:hAnsi="Times New Roman"/>
          <w:sz w:val="24"/>
          <w:szCs w:val="24"/>
        </w:rPr>
      </w:pPr>
      <w:r w:rsidRPr="000B5F41">
        <w:rPr>
          <w:rFonts w:ascii="Times New Roman" w:hAnsi="Times New Roman"/>
          <w:sz w:val="24"/>
          <w:szCs w:val="24"/>
        </w:rPr>
        <w:t>En más de una ocasión Geithner ha garantizado la completa integridad que se exige a los oficiales de</w:t>
      </w:r>
      <w:r>
        <w:rPr>
          <w:rFonts w:ascii="Times New Roman" w:hAnsi="Times New Roman"/>
          <w:sz w:val="24"/>
          <w:szCs w:val="24"/>
        </w:rPr>
        <w:t xml:space="preserve"> las agencias públicas. Éstos, “gente honorable”</w:t>
      </w:r>
      <w:r w:rsidRPr="000B5F41">
        <w:rPr>
          <w:rFonts w:ascii="Times New Roman" w:hAnsi="Times New Roman"/>
          <w:sz w:val="24"/>
          <w:szCs w:val="24"/>
        </w:rPr>
        <w:t xml:space="preserve"> que, como Henry Paulson -anterior Se</w:t>
      </w:r>
      <w:r>
        <w:rPr>
          <w:rFonts w:ascii="Times New Roman" w:hAnsi="Times New Roman"/>
          <w:sz w:val="24"/>
          <w:szCs w:val="24"/>
        </w:rPr>
        <w:t>cretario del Tesoro-, hicieron “grandes cosas para el país”</w:t>
      </w:r>
      <w:r w:rsidRPr="000B5F41">
        <w:rPr>
          <w:rFonts w:ascii="Times New Roman" w:hAnsi="Times New Roman"/>
          <w:sz w:val="24"/>
          <w:szCs w:val="24"/>
        </w:rPr>
        <w:t xml:space="preserve"> y actúan siempre por el interés de la comunidad financiera, y no de empresas concretas. Pese a ello, Geithner</w:t>
      </w:r>
      <w:r>
        <w:rPr>
          <w:rFonts w:ascii="Times New Roman" w:hAnsi="Times New Roman"/>
          <w:sz w:val="24"/>
          <w:szCs w:val="24"/>
        </w:rPr>
        <w:t xml:space="preserve"> se</w:t>
      </w:r>
      <w:r w:rsidRPr="000B5F41">
        <w:rPr>
          <w:rFonts w:ascii="Times New Roman" w:hAnsi="Times New Roman"/>
          <w:sz w:val="24"/>
          <w:szCs w:val="24"/>
        </w:rPr>
        <w:t xml:space="preserve"> excusó diciendo que éstos son trabajos muy complicados, y más aún en tiempos de crisis financiera.</w:t>
      </w:r>
    </w:p>
    <w:p w:rsidR="002F07D4" w:rsidRDefault="002F07D4" w:rsidP="002F07D4">
      <w:pPr>
        <w:spacing w:line="240" w:lineRule="auto"/>
        <w:jc w:val="both"/>
        <w:rPr>
          <w:rFonts w:ascii="Times New Roman" w:hAnsi="Times New Roman"/>
          <w:sz w:val="24"/>
          <w:szCs w:val="24"/>
        </w:rPr>
      </w:pPr>
      <w:r w:rsidRPr="009C01C4">
        <w:rPr>
          <w:rFonts w:ascii="Times New Roman" w:hAnsi="Times New Roman"/>
          <w:sz w:val="24"/>
          <w:szCs w:val="24"/>
        </w:rPr>
        <w:t xml:space="preserve">A pesar de la confianza que Geithner deposita sobre los oficiales públicos, el secretario del Tesoro no quiere hablar de una auditoria a la Reserva Federal por el reparto de los fondos públicos. Rechazó en varias ocasiones la resolución del Congreso promovida por Ron Paul, que abogaba por una auditoría y supervisión exhaustiva de la Reserva </w:t>
      </w:r>
      <w:r w:rsidRPr="009C01C4">
        <w:rPr>
          <w:rFonts w:ascii="Times New Roman" w:hAnsi="Times New Roman"/>
          <w:sz w:val="24"/>
          <w:szCs w:val="24"/>
        </w:rPr>
        <w:lastRenderedPageBreak/>
        <w:t>Federal. Esta iniciativa había cosechado gran éxito no sólo en el mismo Congreso de EEUU, sino entre diversos movimientos ciudadanos y civiles</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p>
    <w:p w:rsidR="002F07D4" w:rsidRPr="0096019D" w:rsidRDefault="002F07D4" w:rsidP="002F07D4">
      <w:pPr>
        <w:spacing w:line="240" w:lineRule="auto"/>
        <w:jc w:val="both"/>
        <w:rPr>
          <w:rFonts w:ascii="Times New Roman" w:hAnsi="Times New Roman"/>
          <w:b/>
          <w:sz w:val="24"/>
          <w:szCs w:val="24"/>
        </w:rPr>
      </w:pPr>
      <w:r w:rsidRPr="0096019D">
        <w:rPr>
          <w:rFonts w:ascii="Times New Roman" w:hAnsi="Times New Roman"/>
          <w:b/>
          <w:sz w:val="24"/>
          <w:szCs w:val="24"/>
        </w:rPr>
        <w:t>El amor en los tiempos de “cólera”</w:t>
      </w:r>
    </w:p>
    <w:p w:rsidR="002F07D4" w:rsidRPr="009C01C4" w:rsidRDefault="002F07D4" w:rsidP="002F07D4">
      <w:pPr>
        <w:spacing w:line="240" w:lineRule="auto"/>
        <w:jc w:val="both"/>
        <w:rPr>
          <w:rFonts w:ascii="Times New Roman" w:hAnsi="Times New Roman"/>
          <w:sz w:val="24"/>
          <w:szCs w:val="24"/>
        </w:rPr>
      </w:pPr>
      <w:r w:rsidRPr="009C01C4">
        <w:rPr>
          <w:rFonts w:ascii="Times New Roman" w:hAnsi="Times New Roman"/>
          <w:sz w:val="24"/>
          <w:szCs w:val="24"/>
        </w:rPr>
        <w:t>“Para bien o para mal, de vez en cuando una empresa es elegida por el destino para representar “el rostro inaceptable del capitalismo”, un término acuñado por el fallecido primer ministro británico Edward Heath. Para mucha gente, Goldman Sachs es hoy ese rostro.</w:t>
      </w:r>
    </w:p>
    <w:p w:rsidR="002F07D4" w:rsidRPr="00E27BFB" w:rsidRDefault="002F07D4" w:rsidP="002F07D4">
      <w:pPr>
        <w:spacing w:line="240" w:lineRule="auto"/>
        <w:jc w:val="both"/>
        <w:rPr>
          <w:rFonts w:ascii="Times New Roman" w:hAnsi="Times New Roman"/>
          <w:sz w:val="24"/>
          <w:szCs w:val="24"/>
          <w:u w:val="single"/>
          <w:lang w:val="es-ES_tradnl"/>
        </w:rPr>
      </w:pPr>
      <w:r w:rsidRPr="009C01C4">
        <w:rPr>
          <w:rFonts w:ascii="Times New Roman" w:hAnsi="Times New Roman"/>
          <w:sz w:val="24"/>
          <w:szCs w:val="24"/>
        </w:rPr>
        <w:t>Los chistes más suaves se refieren a la legendaria firma de inversión como "Gobierno Sachs", debido a sus conexiones con el ex secretario del Departamento del Tesoro de Estados Unidos Henry Paulson (que en su momento fue presidente ejecutivo de Goldman) y otros ex alumnos, quienes, al desempeñarse como funcionarios en Washington, participaron en el rescate financiero del año pasado. Algo menos amable, un periodista de la revista Rolling Stone comparó a Goldman con un "gran calamar vampiro que envuelve la cara de la humanidad y que dirige sus tentáculos de forma implacable hacia cualquier cosa que huela a dinero”.</w:t>
      </w:r>
      <w:r w:rsidRPr="00E27BFB">
        <w:rPr>
          <w:rFonts w:ascii="Times New Roman" w:hAnsi="Times New Roman"/>
          <w:sz w:val="24"/>
          <w:szCs w:val="24"/>
          <w:u w:val="single"/>
          <w:lang w:val="es-ES_tradnl"/>
        </w:rPr>
        <w:t xml:space="preserve">Goldman </w:t>
      </w:r>
      <w:proofErr w:type="spellStart"/>
      <w:r w:rsidRPr="00E27BFB">
        <w:rPr>
          <w:rFonts w:ascii="Times New Roman" w:hAnsi="Times New Roman"/>
          <w:sz w:val="24"/>
          <w:szCs w:val="24"/>
          <w:u w:val="single"/>
          <w:lang w:val="es-ES_tradnl"/>
        </w:rPr>
        <w:t>Sachs</w:t>
      </w:r>
      <w:proofErr w:type="spellEnd"/>
      <w:r w:rsidRPr="00E27BFB">
        <w:rPr>
          <w:rFonts w:ascii="Times New Roman" w:hAnsi="Times New Roman"/>
          <w:sz w:val="24"/>
          <w:szCs w:val="24"/>
          <w:u w:val="single"/>
          <w:lang w:val="es-ES_tradnl"/>
        </w:rPr>
        <w:t>, una historia de amor y odio</w:t>
      </w:r>
      <w:r w:rsidRPr="00E27BFB">
        <w:rPr>
          <w:rFonts w:ascii="Times New Roman" w:hAnsi="Times New Roman"/>
          <w:sz w:val="24"/>
          <w:szCs w:val="24"/>
          <w:lang w:val="es-ES_tradnl"/>
        </w:rPr>
        <w:t xml:space="preserve"> (</w:t>
      </w:r>
      <w:proofErr w:type="spellStart"/>
      <w:r w:rsidRPr="00E27BFB">
        <w:rPr>
          <w:rFonts w:ascii="Times New Roman" w:hAnsi="Times New Roman"/>
          <w:sz w:val="24"/>
          <w:szCs w:val="24"/>
          <w:lang w:val="es-ES_tradnl"/>
        </w:rPr>
        <w:t>The</w:t>
      </w:r>
      <w:proofErr w:type="spellEnd"/>
      <w:r w:rsidRPr="00E27BFB">
        <w:rPr>
          <w:rFonts w:ascii="Times New Roman" w:hAnsi="Times New Roman"/>
          <w:sz w:val="24"/>
          <w:szCs w:val="24"/>
          <w:lang w:val="es-ES_tradnl"/>
        </w:rPr>
        <w:t xml:space="preserve"> Wall </w:t>
      </w:r>
      <w:proofErr w:type="spellStart"/>
      <w:r w:rsidRPr="00E27BFB">
        <w:rPr>
          <w:rFonts w:ascii="Times New Roman" w:hAnsi="Times New Roman"/>
          <w:sz w:val="24"/>
          <w:szCs w:val="24"/>
          <w:lang w:val="es-ES_tradnl"/>
        </w:rPr>
        <w:t>Street</w:t>
      </w:r>
      <w:proofErr w:type="spellEnd"/>
      <w:r w:rsidRPr="00E27BFB">
        <w:rPr>
          <w:rFonts w:ascii="Times New Roman" w:hAnsi="Times New Roman"/>
          <w:sz w:val="24"/>
          <w:szCs w:val="24"/>
          <w:lang w:val="es-ES_tradnl"/>
        </w:rPr>
        <w:t xml:space="preserve"> </w:t>
      </w:r>
      <w:proofErr w:type="spellStart"/>
      <w:r w:rsidRPr="00E27BFB">
        <w:rPr>
          <w:rFonts w:ascii="Times New Roman" w:hAnsi="Times New Roman"/>
          <w:sz w:val="24"/>
          <w:szCs w:val="24"/>
          <w:lang w:val="es-ES_tradnl"/>
        </w:rPr>
        <w:t>Journal</w:t>
      </w:r>
      <w:proofErr w:type="spellEnd"/>
      <w:r w:rsidRPr="00E27BFB">
        <w:rPr>
          <w:rFonts w:ascii="Times New Roman" w:hAnsi="Times New Roman"/>
          <w:sz w:val="24"/>
          <w:szCs w:val="24"/>
          <w:lang w:val="es-ES_tradnl"/>
        </w:rPr>
        <w:t xml:space="preserve"> -</w:t>
      </w:r>
      <w:r w:rsidRPr="00E27BFB">
        <w:rPr>
          <w:rFonts w:ascii="Times New Roman" w:hAnsi="Times New Roman"/>
          <w:b/>
          <w:sz w:val="24"/>
          <w:szCs w:val="24"/>
          <w:lang w:val="es-ES_tradnl"/>
        </w:rPr>
        <w:t>20/10/09</w:t>
      </w:r>
      <w:r w:rsidRPr="00E27BFB">
        <w:rPr>
          <w:rFonts w:ascii="Times New Roman" w:hAnsi="Times New Roman"/>
          <w:sz w:val="24"/>
          <w:szCs w:val="24"/>
          <w:lang w:val="es-ES_tradnl"/>
        </w:rPr>
        <w:t xml:space="preserve"> - Por </w:t>
      </w:r>
      <w:proofErr w:type="spellStart"/>
      <w:r w:rsidRPr="00E27BFB">
        <w:rPr>
          <w:rFonts w:ascii="Times New Roman" w:hAnsi="Times New Roman"/>
          <w:sz w:val="24"/>
          <w:szCs w:val="24"/>
          <w:lang w:val="es-ES_tradnl"/>
        </w:rPr>
        <w:t>Holman</w:t>
      </w:r>
      <w:proofErr w:type="spellEnd"/>
      <w:r w:rsidRPr="00E27BFB">
        <w:rPr>
          <w:rFonts w:ascii="Times New Roman" w:hAnsi="Times New Roman"/>
          <w:sz w:val="24"/>
          <w:szCs w:val="24"/>
          <w:lang w:val="es-ES_tradnl"/>
        </w:rPr>
        <w:t xml:space="preserve"> W. Jenkins </w:t>
      </w:r>
      <w:proofErr w:type="spellStart"/>
      <w:r w:rsidRPr="00E27BFB">
        <w:rPr>
          <w:rFonts w:ascii="Times New Roman" w:hAnsi="Times New Roman"/>
          <w:sz w:val="24"/>
          <w:szCs w:val="24"/>
          <w:lang w:val="es-ES_tradnl"/>
        </w:rPr>
        <w:t>Jr.</w:t>
      </w:r>
      <w:proofErr w:type="spellEnd"/>
      <w:r w:rsidRPr="00E27BFB">
        <w:rPr>
          <w:rFonts w:ascii="Times New Roman" w:hAnsi="Times New Roman"/>
          <w:sz w:val="24"/>
          <w:szCs w:val="24"/>
          <w:lang w:val="es-ES_tradnl"/>
        </w:rPr>
        <w:t>)</w:t>
      </w:r>
    </w:p>
    <w:p w:rsidR="002F07D4" w:rsidRPr="009C01C4" w:rsidRDefault="002F07D4" w:rsidP="002F07D4">
      <w:pPr>
        <w:spacing w:line="240" w:lineRule="auto"/>
        <w:jc w:val="both"/>
        <w:rPr>
          <w:rFonts w:ascii="Times New Roman" w:hAnsi="Times New Roman"/>
          <w:sz w:val="24"/>
          <w:szCs w:val="24"/>
        </w:rPr>
      </w:pPr>
      <w:r w:rsidRPr="009C01C4">
        <w:rPr>
          <w:rFonts w:ascii="Times New Roman" w:hAnsi="Times New Roman"/>
          <w:sz w:val="24"/>
          <w:szCs w:val="24"/>
        </w:rPr>
        <w:t>De los cinco mayores bancos de inversión que existían hace poco más de un año, sólo sobreviven dos: Goldman y Morgan Stanley. Lehman está muerto; Bear Stearns y Merrill fueron absorbidos por bancos comerciales. Incluso al sobrevivir, el precio en reputación para Goldman fue sin dudas, y oscuramente, mayor que para el otro sobreviviente.</w:t>
      </w:r>
    </w:p>
    <w:p w:rsidR="002F07D4" w:rsidRPr="00403477" w:rsidRDefault="002F07D4" w:rsidP="002F07D4">
      <w:pPr>
        <w:spacing w:line="240" w:lineRule="auto"/>
        <w:jc w:val="both"/>
        <w:rPr>
          <w:rFonts w:ascii="Times New Roman" w:hAnsi="Times New Roman"/>
          <w:sz w:val="24"/>
          <w:szCs w:val="24"/>
        </w:rPr>
      </w:pPr>
      <w:r w:rsidRPr="009C01C4">
        <w:rPr>
          <w:rFonts w:ascii="Times New Roman" w:hAnsi="Times New Roman"/>
          <w:sz w:val="24"/>
          <w:szCs w:val="24"/>
        </w:rPr>
        <w:t>Sentado en su oficina en el piso 30 de la sede central de la empresa en Manhattan, el presidente ejecutivo de Goldman, Lloyd Blankfein, asegura estar más perplejo que lastimado por las críticas</w:t>
      </w:r>
      <w:r>
        <w:rPr>
          <w:rFonts w:ascii="Times New Roman" w:hAnsi="Times New Roman"/>
          <w:sz w:val="24"/>
          <w:szCs w:val="24"/>
        </w:rPr>
        <w:t>. Es de suponer</w:t>
      </w:r>
      <w:r w:rsidRPr="00403477">
        <w:rPr>
          <w:rFonts w:ascii="Times New Roman" w:hAnsi="Times New Roman"/>
          <w:sz w:val="24"/>
          <w:szCs w:val="24"/>
        </w:rPr>
        <w:t xml:space="preserve"> que su serenidad se debe a que </w:t>
      </w:r>
      <w:r>
        <w:rPr>
          <w:rFonts w:ascii="Times New Roman" w:hAnsi="Times New Roman"/>
          <w:sz w:val="24"/>
          <w:szCs w:val="24"/>
        </w:rPr>
        <w:t>los hechos de los que hablamos -</w:t>
      </w:r>
      <w:r w:rsidRPr="00403477">
        <w:rPr>
          <w:rFonts w:ascii="Times New Roman" w:hAnsi="Times New Roman"/>
          <w:sz w:val="24"/>
          <w:szCs w:val="24"/>
        </w:rPr>
        <w:t>el co</w:t>
      </w:r>
      <w:r>
        <w:rPr>
          <w:rFonts w:ascii="Times New Roman" w:hAnsi="Times New Roman"/>
          <w:sz w:val="24"/>
          <w:szCs w:val="24"/>
        </w:rPr>
        <w:t>queteo de Goldman con la muerte-</w:t>
      </w:r>
      <w:r w:rsidRPr="00403477">
        <w:rPr>
          <w:rFonts w:ascii="Times New Roman" w:hAnsi="Times New Roman"/>
          <w:sz w:val="24"/>
          <w:szCs w:val="24"/>
        </w:rPr>
        <w:t xml:space="preserve"> parecen haber quedado en el pasado.</w:t>
      </w:r>
    </w:p>
    <w:p w:rsidR="002F07D4" w:rsidRPr="007511C7" w:rsidRDefault="002F07D4" w:rsidP="002F07D4">
      <w:pPr>
        <w:spacing w:line="240" w:lineRule="auto"/>
        <w:jc w:val="both"/>
        <w:rPr>
          <w:rFonts w:ascii="Times New Roman" w:hAnsi="Times New Roman"/>
          <w:sz w:val="24"/>
          <w:szCs w:val="24"/>
        </w:rPr>
      </w:pPr>
      <w:r w:rsidRPr="007511C7">
        <w:rPr>
          <w:rFonts w:ascii="Times New Roman" w:hAnsi="Times New Roman"/>
          <w:sz w:val="24"/>
          <w:szCs w:val="24"/>
        </w:rPr>
        <w:t>Defiende todo lo que considera ejemplar sobre su firma: su disciplina para correr riesgos; que el 90% de sus ingresos y ganancias proviene de servicios a los clientes; que no es sólo un fondo de cobertura gigante; que juega un rol social vital para enlazar a quienes tienen capital y quienes lo necesitan; que sus altos ejecutivos se suelen jubilar jóvenes y dedicarse a la filantropía o el servicio público.</w:t>
      </w:r>
    </w:p>
    <w:p w:rsidR="002F07D4" w:rsidRPr="007511C7" w:rsidRDefault="002F07D4" w:rsidP="002F07D4">
      <w:pPr>
        <w:spacing w:line="240" w:lineRule="auto"/>
        <w:jc w:val="both"/>
        <w:rPr>
          <w:rFonts w:ascii="Times New Roman" w:hAnsi="Times New Roman"/>
          <w:sz w:val="24"/>
          <w:szCs w:val="24"/>
        </w:rPr>
      </w:pPr>
      <w:r w:rsidRPr="007511C7">
        <w:rPr>
          <w:rFonts w:ascii="Times New Roman" w:hAnsi="Times New Roman"/>
          <w:sz w:val="24"/>
          <w:szCs w:val="24"/>
        </w:rPr>
        <w:t>Sí, admite,</w:t>
      </w:r>
      <w:r>
        <w:rPr>
          <w:rFonts w:ascii="Times New Roman" w:hAnsi="Times New Roman"/>
          <w:sz w:val="24"/>
          <w:szCs w:val="24"/>
        </w:rPr>
        <w:t xml:space="preserve"> que</w:t>
      </w:r>
      <w:r w:rsidRPr="007511C7">
        <w:rPr>
          <w:rFonts w:ascii="Times New Roman" w:hAnsi="Times New Roman"/>
          <w:sz w:val="24"/>
          <w:szCs w:val="24"/>
        </w:rPr>
        <w:t xml:space="preserve"> la presencia de tantos ex ejecutivos de Goldman en puestos altos del gobierno a algunos les da la impresión de que la firma está moviendo conex</w:t>
      </w:r>
      <w:r>
        <w:rPr>
          <w:rFonts w:ascii="Times New Roman" w:hAnsi="Times New Roman"/>
          <w:sz w:val="24"/>
          <w:szCs w:val="24"/>
        </w:rPr>
        <w:t>iones (algo que él desmiente). “Pero”</w:t>
      </w:r>
      <w:r w:rsidRPr="007511C7">
        <w:rPr>
          <w:rFonts w:ascii="Times New Roman" w:hAnsi="Times New Roman"/>
          <w:sz w:val="24"/>
          <w:szCs w:val="24"/>
        </w:rPr>
        <w:t>, s</w:t>
      </w:r>
      <w:r>
        <w:rPr>
          <w:rFonts w:ascii="Times New Roman" w:hAnsi="Times New Roman"/>
          <w:sz w:val="24"/>
          <w:szCs w:val="24"/>
        </w:rPr>
        <w:t>eñala, “</w:t>
      </w:r>
      <w:r w:rsidRPr="007511C7">
        <w:rPr>
          <w:rFonts w:ascii="Times New Roman" w:hAnsi="Times New Roman"/>
          <w:sz w:val="24"/>
          <w:szCs w:val="24"/>
        </w:rPr>
        <w:t>apuesto a que cuando las aguas se calmen, volverá a considerarse como algo positivo que la gente deje de lado su búsqueda de riqueza personal y</w:t>
      </w:r>
      <w:r>
        <w:rPr>
          <w:rFonts w:ascii="Times New Roman" w:hAnsi="Times New Roman"/>
          <w:sz w:val="24"/>
          <w:szCs w:val="24"/>
        </w:rPr>
        <w:t xml:space="preserve"> se dedique al servicio público”</w:t>
      </w:r>
      <w:r w:rsidRPr="007511C7">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sidRPr="007511C7">
        <w:rPr>
          <w:rFonts w:ascii="Times New Roman" w:hAnsi="Times New Roman"/>
          <w:sz w:val="24"/>
          <w:szCs w:val="24"/>
        </w:rPr>
        <w:t>Sin embargo, la pregunta de si él y sus</w:t>
      </w:r>
      <w:r>
        <w:rPr>
          <w:rFonts w:ascii="Times New Roman" w:hAnsi="Times New Roman"/>
          <w:sz w:val="24"/>
          <w:szCs w:val="24"/>
        </w:rPr>
        <w:t xml:space="preserve"> colegas le deben sus fortunas -que se han vuelto a expandir-</w:t>
      </w:r>
      <w:r w:rsidRPr="007511C7">
        <w:rPr>
          <w:rFonts w:ascii="Times New Roman" w:hAnsi="Times New Roman"/>
          <w:sz w:val="24"/>
          <w:szCs w:val="24"/>
        </w:rPr>
        <w:t xml:space="preserve"> al rescate gubernamental, no es fácil, ni para él ni para nosotros</w:t>
      </w:r>
      <w:r>
        <w:rPr>
          <w:rFonts w:ascii="Times New Roman" w:hAnsi="Times New Roman"/>
          <w:sz w:val="24"/>
          <w:szCs w:val="24"/>
        </w:rPr>
        <w:t xml:space="preserve"> (dice el reportero del periódico citado)</w:t>
      </w:r>
      <w:r w:rsidRPr="007511C7">
        <w:rPr>
          <w:rFonts w:ascii="Times New Roman" w:hAnsi="Times New Roman"/>
          <w:sz w:val="24"/>
          <w:szCs w:val="24"/>
        </w:rPr>
        <w:t>.</w:t>
      </w:r>
    </w:p>
    <w:p w:rsidR="002F07D4" w:rsidRPr="007511C7" w:rsidRDefault="002F07D4" w:rsidP="002F07D4">
      <w:pPr>
        <w:spacing w:line="240" w:lineRule="auto"/>
        <w:jc w:val="both"/>
        <w:rPr>
          <w:rFonts w:ascii="Times New Roman" w:hAnsi="Times New Roman"/>
          <w:sz w:val="24"/>
          <w:szCs w:val="24"/>
        </w:rPr>
      </w:pPr>
      <w:r w:rsidRPr="007511C7">
        <w:rPr>
          <w:rFonts w:ascii="Times New Roman" w:hAnsi="Times New Roman"/>
          <w:sz w:val="24"/>
          <w:szCs w:val="24"/>
        </w:rPr>
        <w:t xml:space="preserve">Blankfein afirma que agradece las intervenciones del gobierno que estabilizaron la crisis, pero se resiste a llegar al corolario obvio, que se ha vuelto aún más evidente en </w:t>
      </w:r>
      <w:r w:rsidRPr="007511C7">
        <w:rPr>
          <w:rFonts w:ascii="Times New Roman" w:hAnsi="Times New Roman"/>
          <w:sz w:val="24"/>
          <w:szCs w:val="24"/>
        </w:rPr>
        <w:lastRenderedPageBreak/>
        <w:t>medio de las recientes revelaciones sobre cuán vigorosos fueron los esfuerzos de Washington para mantener vivo a Goldman.</w:t>
      </w:r>
    </w:p>
    <w:p w:rsidR="002F07D4" w:rsidRPr="007511C7" w:rsidRDefault="002F07D4" w:rsidP="002F07D4">
      <w:pPr>
        <w:spacing w:line="240" w:lineRule="auto"/>
        <w:jc w:val="both"/>
        <w:rPr>
          <w:rFonts w:ascii="Times New Roman" w:hAnsi="Times New Roman"/>
          <w:sz w:val="24"/>
          <w:szCs w:val="24"/>
        </w:rPr>
      </w:pPr>
      <w:r w:rsidRPr="007511C7">
        <w:rPr>
          <w:rFonts w:ascii="Times New Roman" w:hAnsi="Times New Roman"/>
          <w:sz w:val="24"/>
          <w:szCs w:val="24"/>
        </w:rPr>
        <w:t>El corolario: por ahora, Washington considera que Goldman es “demasiado grande para quebrar”, y puso una garantía efectiva con dinero de los contribuyentes tras la firma, bonificaciones opulentas incluidas.</w:t>
      </w:r>
    </w:p>
    <w:p w:rsidR="002F07D4" w:rsidRPr="007511C7" w:rsidRDefault="002F07D4" w:rsidP="002F07D4">
      <w:pPr>
        <w:spacing w:line="240" w:lineRule="auto"/>
        <w:jc w:val="both"/>
        <w:rPr>
          <w:rFonts w:ascii="Times New Roman" w:hAnsi="Times New Roman"/>
          <w:sz w:val="24"/>
          <w:szCs w:val="24"/>
        </w:rPr>
      </w:pPr>
      <w:r w:rsidRPr="007511C7">
        <w:rPr>
          <w:rFonts w:ascii="Times New Roman" w:hAnsi="Times New Roman"/>
          <w:sz w:val="24"/>
          <w:szCs w:val="24"/>
        </w:rPr>
        <w:t>Si el sistema financiero hubiera colapsado, Blankfein admite sin dudarlo, “nos hubiéramos desbarrancado con el resto. Sería ridículo decir lo contrario. Como miembros del sistema, todos corríamos peligro... Si usted hubiera sabido lo que yo sabía, habría estado tan asustado como yo” (le dice al autor de la nota). Pero insiste que Goldman no estaba en un riesgo particular.</w:t>
      </w:r>
    </w:p>
    <w:p w:rsidR="002F07D4" w:rsidRPr="007511C7" w:rsidRDefault="002F07D4" w:rsidP="002F07D4">
      <w:pPr>
        <w:spacing w:line="240" w:lineRule="auto"/>
        <w:jc w:val="both"/>
        <w:rPr>
          <w:rFonts w:ascii="Times New Roman" w:hAnsi="Times New Roman"/>
          <w:sz w:val="24"/>
          <w:szCs w:val="24"/>
        </w:rPr>
      </w:pPr>
      <w:r w:rsidRPr="007511C7">
        <w:rPr>
          <w:rFonts w:ascii="Times New Roman" w:hAnsi="Times New Roman"/>
          <w:sz w:val="24"/>
          <w:szCs w:val="24"/>
        </w:rPr>
        <w:t>Lo que llama la atención hoy es la importancia acumulativa de esos esfuerzos. Al intentar salvar al sistema, el gobierno buscaba salvar a Goldman; al intentar salvar a Goldman, buscaba salvar al sistema. Goldman = sistema, es un buen resumen.</w:t>
      </w:r>
    </w:p>
    <w:p w:rsidR="002F07D4" w:rsidRPr="007511C7" w:rsidRDefault="002F07D4" w:rsidP="002F07D4">
      <w:pPr>
        <w:spacing w:line="240" w:lineRule="auto"/>
        <w:jc w:val="both"/>
        <w:rPr>
          <w:rFonts w:ascii="Times New Roman" w:hAnsi="Times New Roman"/>
          <w:sz w:val="24"/>
          <w:szCs w:val="24"/>
        </w:rPr>
      </w:pPr>
      <w:r w:rsidRPr="007511C7">
        <w:rPr>
          <w:rFonts w:ascii="Times New Roman" w:hAnsi="Times New Roman"/>
          <w:sz w:val="24"/>
          <w:szCs w:val="24"/>
        </w:rPr>
        <w:t>Blankfein prefiere enfatizar el rol de las iniciativas de auto-ayuda de Goldman, como acelerar las gestiones para que la firma actuara como un holding bancario y pasara de la órbita de regulación de la Comisión de Bolsa y Valores (SEC) a la de la Reserva Federal.</w:t>
      </w:r>
    </w:p>
    <w:p w:rsidR="002F07D4" w:rsidRDefault="002F07D4" w:rsidP="002F07D4">
      <w:pPr>
        <w:spacing w:line="240" w:lineRule="auto"/>
        <w:jc w:val="both"/>
        <w:rPr>
          <w:rFonts w:ascii="Times New Roman" w:hAnsi="Times New Roman"/>
          <w:sz w:val="24"/>
          <w:szCs w:val="24"/>
        </w:rPr>
      </w:pPr>
      <w:r w:rsidRPr="007511C7">
        <w:rPr>
          <w:rFonts w:ascii="Times New Roman" w:hAnsi="Times New Roman"/>
          <w:sz w:val="24"/>
          <w:szCs w:val="24"/>
        </w:rPr>
        <w:t>Dos días después de lograrlo, Blankfein captó US$5.000 millones de Warren Buffet, seguido de una venta de US$5.000 millones en acciones de Goldman en el mercadobursátil. El impacto en la confianza de los clientes e inversionistas, agrega Blan</w:t>
      </w:r>
      <w:r>
        <w:rPr>
          <w:rFonts w:ascii="Times New Roman" w:hAnsi="Times New Roman"/>
          <w:sz w:val="24"/>
          <w:szCs w:val="24"/>
        </w:rPr>
        <w:t>kfein, fue “enorme”</w:t>
      </w:r>
      <w:r w:rsidRPr="007511C7">
        <w:rPr>
          <w:rFonts w:ascii="Times New Roman" w:hAnsi="Times New Roman"/>
          <w:sz w:val="24"/>
          <w:szCs w:val="24"/>
        </w:rPr>
        <w:t xml:space="preserve"> e instantáneo.</w:t>
      </w:r>
    </w:p>
    <w:p w:rsidR="002F07D4" w:rsidRPr="005A6233" w:rsidRDefault="002F07D4" w:rsidP="002F07D4">
      <w:pPr>
        <w:spacing w:line="240" w:lineRule="auto"/>
        <w:jc w:val="both"/>
        <w:rPr>
          <w:rFonts w:ascii="Times New Roman" w:hAnsi="Times New Roman"/>
          <w:sz w:val="24"/>
          <w:szCs w:val="24"/>
        </w:rPr>
      </w:pPr>
      <w:r w:rsidRPr="005A6233">
        <w:rPr>
          <w:rFonts w:ascii="Times New Roman" w:hAnsi="Times New Roman"/>
          <w:sz w:val="24"/>
          <w:szCs w:val="24"/>
        </w:rPr>
        <w:t>Luego está el tema de AIG, fuente de recriminaciones incluso entre los hermanos de Goldman en Wall Street. Si AIG, un jugador enorme en toda clase de mercados, hubiera quebrado, el impacto en la economía hubiera sido incalculable. Al día de hoy, se afirma que el rescate de AIG era un rescate encubierto de Goldman.</w:t>
      </w:r>
    </w:p>
    <w:p w:rsidR="002F07D4" w:rsidRPr="005A6233" w:rsidRDefault="002F07D4" w:rsidP="002F07D4">
      <w:pPr>
        <w:spacing w:line="240" w:lineRule="auto"/>
        <w:jc w:val="both"/>
        <w:rPr>
          <w:rFonts w:ascii="Times New Roman" w:hAnsi="Times New Roman"/>
          <w:sz w:val="24"/>
          <w:szCs w:val="24"/>
        </w:rPr>
      </w:pPr>
      <w:r w:rsidRPr="005A6233">
        <w:rPr>
          <w:rFonts w:ascii="Times New Roman" w:hAnsi="Times New Roman"/>
          <w:sz w:val="24"/>
          <w:szCs w:val="24"/>
        </w:rPr>
        <w:t>AIG había emitido gran cantidad de garantías respaldadas por hipotecas de alto riesgo; Goldman había comprado gran cantidad de esas garantías. AIG fue rescatada, aunque eso quiso decir que el dinero de los contribuyentes, en cierto sentido, fue a parar al bolsillo de Goldman para cumplir con las obligaciones de colateral de AIG.</w:t>
      </w:r>
    </w:p>
    <w:p w:rsidR="002F07D4" w:rsidRDefault="002F07D4" w:rsidP="002F07D4">
      <w:pPr>
        <w:spacing w:line="240" w:lineRule="auto"/>
        <w:jc w:val="both"/>
        <w:rPr>
          <w:rFonts w:ascii="Times New Roman" w:hAnsi="Times New Roman"/>
          <w:sz w:val="24"/>
          <w:szCs w:val="24"/>
        </w:rPr>
      </w:pPr>
      <w:r w:rsidRPr="005A6233">
        <w:rPr>
          <w:rFonts w:ascii="Times New Roman" w:hAnsi="Times New Roman"/>
          <w:sz w:val="24"/>
          <w:szCs w:val="24"/>
        </w:rPr>
        <w:t>Las teorías de la conspiración siempre surgen cuando ocurren eventos de grandes consecuencias. No cabe duda que Blankfein estaba cuidando su firma y que Paulson y compañía intentaban evitar un colapso económico. Lehman, Bear, AIG, y otras firmas estaban al mando de ejecutivos con fortunas significativas ligadas a sus acciones en las empresas. Y aun así explotaron. Mientras, los acreedores fueron rescatados, es decir los mismos que aportaron el apalancamiento que permitió que los bancos crecieran demasiado para caer, y quizá lo volverían a hacer. Goldman no tiene la culpa de eso. Sólo Washington puede hacer algo al respecto</w:t>
      </w:r>
      <w:r>
        <w:rPr>
          <w:rFonts w:ascii="Times New Roman" w:hAnsi="Times New Roman"/>
          <w:sz w:val="24"/>
          <w:szCs w:val="24"/>
        </w:rPr>
        <w:t>…</w:t>
      </w:r>
    </w:p>
    <w:p w:rsidR="002F07D4" w:rsidRPr="0096019D" w:rsidRDefault="002F07D4" w:rsidP="002F07D4">
      <w:pPr>
        <w:spacing w:line="240" w:lineRule="auto"/>
        <w:jc w:val="both"/>
        <w:rPr>
          <w:rFonts w:ascii="Times New Roman" w:hAnsi="Times New Roman"/>
          <w:b/>
          <w:color w:val="FF0000"/>
          <w:sz w:val="24"/>
          <w:szCs w:val="24"/>
        </w:rPr>
      </w:pPr>
      <w:r w:rsidRPr="0096019D">
        <w:rPr>
          <w:rFonts w:ascii="Times New Roman" w:hAnsi="Times New Roman"/>
          <w:b/>
          <w:sz w:val="24"/>
          <w:szCs w:val="24"/>
        </w:rPr>
        <w:t>¿Goldman hace el trabajo de Dios…o de Yahvéh? ¿Será por  la “contabilidad creativa”?</w:t>
      </w:r>
    </w:p>
    <w:p w:rsidR="002F07D4" w:rsidRPr="00ED60D6"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ED60D6">
        <w:rPr>
          <w:rFonts w:ascii="Times New Roman" w:hAnsi="Times New Roman"/>
          <w:sz w:val="24"/>
          <w:szCs w:val="24"/>
        </w:rPr>
        <w:t>El presidente ejecutivo de Goldman Sachs, Lloyd Blankfein, defendió la política de bonus de los banqueros y afirmó que el regreso a los grandes beneficios debería ser bien recibido por la gente, como prueba de que l</w:t>
      </w:r>
      <w:r>
        <w:rPr>
          <w:rFonts w:ascii="Times New Roman" w:hAnsi="Times New Roman"/>
          <w:sz w:val="24"/>
          <w:szCs w:val="24"/>
        </w:rPr>
        <w:t xml:space="preserve">a economía se está recuperando”. </w:t>
      </w:r>
      <w:r>
        <w:rPr>
          <w:rFonts w:ascii="Times New Roman" w:hAnsi="Times New Roman"/>
          <w:sz w:val="24"/>
          <w:szCs w:val="24"/>
          <w:u w:val="single"/>
        </w:rPr>
        <w:t xml:space="preserve">El jefe de </w:t>
      </w:r>
      <w:r>
        <w:rPr>
          <w:rFonts w:ascii="Times New Roman" w:hAnsi="Times New Roman"/>
          <w:sz w:val="24"/>
          <w:szCs w:val="24"/>
          <w:u w:val="single"/>
        </w:rPr>
        <w:lastRenderedPageBreak/>
        <w:t>Goldman Sachs: “</w:t>
      </w:r>
      <w:r w:rsidRPr="00ED60D6">
        <w:rPr>
          <w:rFonts w:ascii="Times New Roman" w:hAnsi="Times New Roman"/>
          <w:sz w:val="24"/>
          <w:szCs w:val="24"/>
          <w:u w:val="single"/>
        </w:rPr>
        <w:t>Los banqueros hacen el trabajo de Dios</w:t>
      </w:r>
      <w:r>
        <w:rPr>
          <w:rFonts w:ascii="Times New Roman" w:hAnsi="Times New Roman"/>
          <w:sz w:val="24"/>
          <w:szCs w:val="24"/>
          <w:u w:val="single"/>
        </w:rPr>
        <w:t>”</w:t>
      </w:r>
      <w:r>
        <w:rPr>
          <w:rFonts w:ascii="Times New Roman" w:hAnsi="Times New Roman"/>
          <w:sz w:val="24"/>
          <w:szCs w:val="24"/>
        </w:rPr>
        <w:t xml:space="preserve"> (Libertad Digital - </w:t>
      </w:r>
      <w:r w:rsidRPr="00ED60D6">
        <w:rPr>
          <w:rFonts w:ascii="Times New Roman" w:hAnsi="Times New Roman"/>
          <w:b/>
          <w:sz w:val="24"/>
          <w:szCs w:val="24"/>
        </w:rPr>
        <w:t>11/11/09</w:t>
      </w:r>
      <w:r>
        <w:rPr>
          <w:rFonts w:ascii="Times New Roman" w:hAnsi="Times New Roman"/>
          <w:sz w:val="24"/>
          <w:szCs w:val="24"/>
        </w:rPr>
        <w:t xml:space="preserve"> - Por </w:t>
      </w:r>
      <w:r w:rsidRPr="00ED60D6">
        <w:rPr>
          <w:rFonts w:ascii="Times New Roman" w:hAnsi="Times New Roman"/>
          <w:sz w:val="24"/>
          <w:szCs w:val="24"/>
        </w:rPr>
        <w:t>Ángel Martín</w:t>
      </w:r>
      <w:r>
        <w:rPr>
          <w:rFonts w:ascii="Times New Roman" w:hAnsi="Times New Roman"/>
          <w:sz w:val="24"/>
          <w:szCs w:val="24"/>
        </w:rPr>
        <w:t>)</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La percepción popular de las grandes entidades financieras no ha salido bien parada tras la crisis. De manera justa o no, buena parte de las culpas de los problemas actuales se atribuyen a la irresponsabilidad y avaricia de grandes ejecutivos y banqueros estadounidenses, que jugaron con fuegos altamente peligrosos y finalme</w:t>
      </w:r>
      <w:r>
        <w:rPr>
          <w:rFonts w:ascii="Times New Roman" w:hAnsi="Times New Roman"/>
          <w:sz w:val="24"/>
          <w:szCs w:val="24"/>
        </w:rPr>
        <w:t>nte no só</w:t>
      </w:r>
      <w:r w:rsidRPr="00ED60D6">
        <w:rPr>
          <w:rFonts w:ascii="Times New Roman" w:hAnsi="Times New Roman"/>
          <w:sz w:val="24"/>
          <w:szCs w:val="24"/>
        </w:rPr>
        <w:t>lo se quemaron ellos, sino que difundieron el fuego hacia todo el país, y en consecuencia hacia todo el mundo.</w:t>
      </w:r>
    </w:p>
    <w:p w:rsidR="002F07D4" w:rsidRPr="00ED60D6" w:rsidRDefault="002F07D4" w:rsidP="002F07D4">
      <w:pPr>
        <w:spacing w:line="240" w:lineRule="auto"/>
        <w:jc w:val="both"/>
        <w:rPr>
          <w:rFonts w:ascii="Times New Roman" w:hAnsi="Times New Roman"/>
          <w:sz w:val="24"/>
          <w:szCs w:val="24"/>
        </w:rPr>
      </w:pPr>
      <w:r>
        <w:rPr>
          <w:rFonts w:ascii="Times New Roman" w:hAnsi="Times New Roman"/>
          <w:sz w:val="24"/>
          <w:szCs w:val="24"/>
        </w:rPr>
        <w:t>Goldman Sachs</w:t>
      </w:r>
      <w:r w:rsidRPr="00ED60D6">
        <w:rPr>
          <w:rFonts w:ascii="Times New Roman" w:hAnsi="Times New Roman"/>
          <w:sz w:val="24"/>
          <w:szCs w:val="24"/>
        </w:rPr>
        <w:t xml:space="preserve"> es uno de esos casos, especialmente si unimos el hecho de que hay amplias sospechas de su estrecha relación entre el Tesoro norteamericano y la Reserva Federal de Nueva York para recibir fondos públicos a costa del contribuyente. Sin embargo, al principal responsable de la entidad no parece importarle demasiado la mala imagen pública, a tenor de sus últimas declaraciones al Times británico, donde muestra e</w:t>
      </w:r>
      <w:r>
        <w:rPr>
          <w:rFonts w:ascii="Times New Roman" w:hAnsi="Times New Roman"/>
          <w:sz w:val="24"/>
          <w:szCs w:val="24"/>
        </w:rPr>
        <w:t>scasa sensibilidad diplomática.</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El diario británico Telegraph se hacía eco de estas declaraciones: “El jefe de Goldman Sachs: ‘los banqueros hacen el trabajo de Dios’”, titulaba, nada más y nada menos, este rotativo. Lloyd Blankfein, CEO de la compañía, no tuvo ningún reparo en afirmar que la vuelta a los grandes beneficios y a los bonus para los banqueros debería ser bien recibido por la gente, como prueba de que la economía se está recuperando.</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En este sentido se manifestó recientemente otro alto cargo de la compañía, Lord Griffiths, quien sostuvo que “no deberíamos estar avergonzados de ofrecer compensaciones” a los banqueros, añadiendo su opinión al debate acerca de la legitimid</w:t>
      </w:r>
      <w:r>
        <w:rPr>
          <w:rFonts w:ascii="Times New Roman" w:hAnsi="Times New Roman"/>
          <w:sz w:val="24"/>
          <w:szCs w:val="24"/>
        </w:rPr>
        <w:t>ad y deseabilidad de los bonus.</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No obstante, los grandes beneficios de los bancos podrían estar, en buena parte de los casos, inflados y no basados en la realidad. Esta “contabilidad creativa” parcialmente se debe a las reformas recientes en los estándares contables a nivel internacional, mediante las cuales se sustituía el coste histórico por el llamado valor razonable (algo así como el valor de mercado) en la valoración de los activos. De esta manera, si los pisos subían un 50%, los activos de los bancos se revalo</w:t>
      </w:r>
      <w:r>
        <w:rPr>
          <w:rFonts w:ascii="Times New Roman" w:hAnsi="Times New Roman"/>
          <w:sz w:val="24"/>
          <w:szCs w:val="24"/>
        </w:rPr>
        <w:t>rizaban en la misma proporción.</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Esta reforma fue criticada por eminentes economistas, como el caso del catedrático de economía política Jesús Huerta De Soto, quien ya en 2003 alertaba sobre los efectos pro-cíclicos de esta reforma. Tras el estallido de la crisis se ha reafirmado en su posición en recientes artículos.</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Tampoco parece excesivam</w:t>
      </w:r>
      <w:r>
        <w:rPr>
          <w:rFonts w:ascii="Times New Roman" w:hAnsi="Times New Roman"/>
          <w:sz w:val="24"/>
          <w:szCs w:val="24"/>
        </w:rPr>
        <w:t>ente acertado el ejecutivo de Goldman Sachs</w:t>
      </w:r>
      <w:r w:rsidRPr="00ED60D6">
        <w:rPr>
          <w:rFonts w:ascii="Times New Roman" w:hAnsi="Times New Roman"/>
          <w:sz w:val="24"/>
          <w:szCs w:val="24"/>
        </w:rPr>
        <w:t xml:space="preserve"> cuando afirma que la economía se está recuperando. En el caso de EEUU, los datos positivos se deben principalmente al gasto público, y la angustia en la economía norteamericana apenas se ha reducido, además de que numerosos analistas alertan del empeoramiento de las condiciones e</w:t>
      </w:r>
      <w:r>
        <w:rPr>
          <w:rFonts w:ascii="Times New Roman" w:hAnsi="Times New Roman"/>
          <w:sz w:val="24"/>
          <w:szCs w:val="24"/>
        </w:rPr>
        <w:t>conómicas en un futuro cercano.</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Un elemento de notable preocupación es la salud del balance de la Reserva Federal, que a fuerza de salvar a los bancos privados comprándoles activos malos, ella misma está ahora en una posición muy delicada.</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 xml:space="preserve">En declaraciones a The Sunday Times, Blankfein daba gran importancia a los bancos como motor del crecimiento económico al ayudar a las empresas a captar capital y así generar riqueza: “Nosotros tenemos un propósito social”, afirmaba. Y aunque decía </w:t>
      </w:r>
      <w:r w:rsidRPr="00ED60D6">
        <w:rPr>
          <w:rFonts w:ascii="Times New Roman" w:hAnsi="Times New Roman"/>
          <w:sz w:val="24"/>
          <w:szCs w:val="24"/>
        </w:rPr>
        <w:lastRenderedPageBreak/>
        <w:t xml:space="preserve">entender el enfado de la gente ante los bancos, no se cortó y dijo que “Todos deberían estar felices. Las compañías están creciendo de nuevo y captando dinero”, aunque reconocía que “El sistema financiero puede habernos conducido a </w:t>
      </w:r>
      <w:r>
        <w:rPr>
          <w:rFonts w:ascii="Times New Roman" w:hAnsi="Times New Roman"/>
          <w:sz w:val="24"/>
          <w:szCs w:val="24"/>
        </w:rPr>
        <w:t>la crisis pero él nos sacará”.</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La entidad ha capeado mejor que otros competidores la crisis financiera y las turbulencias bancarias, aunque algunos apuntan a que las administraciones públicas les han echado una generosa mano. Tan buena parece ser la posición de Goldman Sachs, que, recientemente, consideraron donar 1.000 millones de dólares a caridad, con el objetivo de acallar las críticas que penden sobre ella.</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La web de análisis Daily Bell respondía a las declaraciones de Blankfein con severas críticas. Situaba éstas en el contexto de anteriores afirmaciones en el mundo bancario, como la de altos cargos del Banco de Inglaterra al culpar del desastre económico a la fusión entre los bancos de inversión y comerciales, o las de John Reed, anteriormente en Citigroup, quien se lamentó de haber construido u</w:t>
      </w:r>
      <w:r>
        <w:rPr>
          <w:rFonts w:ascii="Times New Roman" w:hAnsi="Times New Roman"/>
          <w:sz w:val="24"/>
          <w:szCs w:val="24"/>
        </w:rPr>
        <w:t xml:space="preserve">na firma financiera tan grande. </w:t>
      </w:r>
      <w:r w:rsidRPr="00ED60D6">
        <w:rPr>
          <w:rFonts w:ascii="Times New Roman" w:hAnsi="Times New Roman"/>
          <w:sz w:val="24"/>
          <w:szCs w:val="24"/>
        </w:rPr>
        <w:t>Para estos analistas lo que hace Goldman Sachs es mantener y “operar en el centro del mercantilismo americano”. Un particular sistema en el que “grandes empresas líderes usan las relaciones con el Gobierno para eliminar la competencia y ganar ventajas competitivas que de otra manera no serían capaces de asegurarse”.</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Así, esta firma se beneficia, no por casualidad, de las leyes y relaciones con el Gobierno, hipótesis que apoyan con la recurrente presencia de importantes miembros de Goldman en altos cargos en el Tesoro y otras plaza</w:t>
      </w:r>
      <w:r>
        <w:rPr>
          <w:rFonts w:ascii="Times New Roman" w:hAnsi="Times New Roman"/>
          <w:sz w:val="24"/>
          <w:szCs w:val="24"/>
        </w:rPr>
        <w:t>s del Ejecutivo estadounidense.</w:t>
      </w:r>
    </w:p>
    <w:p w:rsidR="002F07D4" w:rsidRPr="00ED60D6"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 xml:space="preserve">Además de aprovechar estas ventajas, también les acusan de beneficiarse y favorecer las expansiones crediticias de los bancos centrales, causando un auge artificial e insostenible que reporta pingües beneficios, especialmente, a </w:t>
      </w:r>
      <w:r>
        <w:rPr>
          <w:rFonts w:ascii="Times New Roman" w:hAnsi="Times New Roman"/>
          <w:sz w:val="24"/>
          <w:szCs w:val="24"/>
        </w:rPr>
        <w:t>las firmas financieras como Goldman Sachs.</w:t>
      </w:r>
    </w:p>
    <w:p w:rsidR="002F07D4" w:rsidRDefault="002F07D4" w:rsidP="002F07D4">
      <w:pPr>
        <w:spacing w:line="240" w:lineRule="auto"/>
        <w:jc w:val="both"/>
        <w:rPr>
          <w:rFonts w:ascii="Times New Roman" w:hAnsi="Times New Roman"/>
          <w:sz w:val="24"/>
          <w:szCs w:val="24"/>
        </w:rPr>
      </w:pPr>
      <w:r w:rsidRPr="00ED60D6">
        <w:rPr>
          <w:rFonts w:ascii="Times New Roman" w:hAnsi="Times New Roman"/>
          <w:sz w:val="24"/>
          <w:szCs w:val="24"/>
        </w:rPr>
        <w:t>En cambio, cuando llegan los tiempos malos, los gobiernos y bancos centrales suelen acudir en su ayuda, haciendo así que las ganancias sean privadas mientras que las pérdidas se distribuyan entre los contribuyentes. Un negocio redondo para cualquiera con cierta perspicacia y no demasiados escrúpulos morales</w:t>
      </w:r>
      <w:r>
        <w:rPr>
          <w:rFonts w:ascii="Times New Roman" w:hAnsi="Times New Roman"/>
          <w:sz w:val="24"/>
          <w:szCs w:val="24"/>
        </w:rPr>
        <w:t>…</w:t>
      </w:r>
    </w:p>
    <w:p w:rsidR="002F07D4" w:rsidRPr="0096019D"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96019D">
        <w:rPr>
          <w:rFonts w:ascii="Times New Roman" w:eastAsia="Times New Roman" w:hAnsi="Times New Roman"/>
          <w:b/>
          <w:sz w:val="24"/>
          <w:szCs w:val="24"/>
          <w:lang w:eastAsia="es-ES"/>
        </w:rPr>
        <w:t>El lamento de Portnoy (el cinismo va por los barrios)</w:t>
      </w:r>
    </w:p>
    <w:p w:rsidR="002F07D4" w:rsidRPr="00FB1989"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FB1989">
        <w:rPr>
          <w:rFonts w:ascii="Times New Roman" w:hAnsi="Times New Roman"/>
          <w:sz w:val="24"/>
          <w:szCs w:val="24"/>
        </w:rPr>
        <w:t>Lloyd Blankfein, el consejero delegado de Goldman Sachs ha arremetido contra algunos productos de banca de inversión calificándolos de socialmente inútiles, y ha asegurado que la polémica que se ha generado en torno a los salarios de los banqueros es comprensible y apropiada.</w:t>
      </w:r>
    </w:p>
    <w:p w:rsidR="002F07D4" w:rsidRDefault="002F07D4" w:rsidP="002F07D4">
      <w:pPr>
        <w:spacing w:line="240" w:lineRule="auto"/>
        <w:jc w:val="both"/>
        <w:rPr>
          <w:rFonts w:ascii="Times New Roman" w:hAnsi="Times New Roman"/>
          <w:sz w:val="24"/>
          <w:szCs w:val="24"/>
        </w:rPr>
      </w:pPr>
      <w:r w:rsidRPr="00FB1989">
        <w:rPr>
          <w:rFonts w:ascii="Times New Roman" w:hAnsi="Times New Roman"/>
          <w:sz w:val="24"/>
          <w:szCs w:val="24"/>
        </w:rPr>
        <w:t>En un discurso en la conferencia bancaria organizada por el diario Handelsblatt en Fráncfort el miércoles, Blankfein señaló: “La industria permitió que el crecimiento y la complejidad de los nuevos instrumentos sobrepasaran su utilidad económica y social así como su capacidad operativa para gestionarlos”.</w:t>
      </w:r>
      <w:r w:rsidRPr="00A94951">
        <w:rPr>
          <w:rFonts w:ascii="Times New Roman" w:hAnsi="Times New Roman"/>
          <w:sz w:val="24"/>
          <w:szCs w:val="24"/>
          <w:u w:val="single"/>
        </w:rPr>
        <w:t>El consejero delegado de Goldman critica los bonus de los banqueros</w:t>
      </w:r>
      <w:r>
        <w:rPr>
          <w:rFonts w:ascii="Times New Roman" w:hAnsi="Times New Roman"/>
          <w:sz w:val="24"/>
          <w:szCs w:val="24"/>
        </w:rPr>
        <w:t xml:space="preserve"> (Expansión - </w:t>
      </w:r>
      <w:r w:rsidRPr="00A94951">
        <w:rPr>
          <w:rFonts w:ascii="Times New Roman" w:hAnsi="Times New Roman"/>
          <w:b/>
          <w:sz w:val="24"/>
          <w:szCs w:val="24"/>
        </w:rPr>
        <w:t>9/9/09</w:t>
      </w:r>
      <w:r>
        <w:rPr>
          <w:rFonts w:ascii="Times New Roman" w:hAnsi="Times New Roman"/>
          <w:sz w:val="24"/>
          <w:szCs w:val="24"/>
        </w:rPr>
        <w:t>- P</w:t>
      </w:r>
      <w:r w:rsidRPr="00A94951">
        <w:rPr>
          <w:rFonts w:ascii="Times New Roman" w:hAnsi="Times New Roman"/>
          <w:sz w:val="24"/>
          <w:szCs w:val="24"/>
        </w:rPr>
        <w:t>or Patrick Jenkins</w:t>
      </w:r>
      <w:r>
        <w:rPr>
          <w:rFonts w:ascii="Times New Roman" w:hAnsi="Times New Roman"/>
          <w:sz w:val="24"/>
          <w:szCs w:val="24"/>
        </w:rPr>
        <w:t xml:space="preserve"> / </w:t>
      </w:r>
      <w:r w:rsidRPr="00194D51">
        <w:rPr>
          <w:rFonts w:ascii="Times New Roman" w:hAnsi="Times New Roman"/>
          <w:sz w:val="24"/>
          <w:szCs w:val="24"/>
        </w:rPr>
        <w:t>The Financial Times</w:t>
      </w:r>
      <w:r>
        <w:rPr>
          <w:rFonts w:ascii="Times New Roman" w:hAnsi="Times New Roman"/>
          <w:sz w:val="24"/>
          <w:szCs w:val="24"/>
        </w:rPr>
        <w:t>)</w:t>
      </w:r>
    </w:p>
    <w:p w:rsidR="002F07D4" w:rsidRPr="00FB1989" w:rsidRDefault="002F07D4" w:rsidP="002F07D4">
      <w:pPr>
        <w:spacing w:line="240" w:lineRule="auto"/>
        <w:jc w:val="both"/>
        <w:rPr>
          <w:rFonts w:ascii="Times New Roman" w:hAnsi="Times New Roman"/>
          <w:sz w:val="24"/>
          <w:szCs w:val="24"/>
        </w:rPr>
      </w:pPr>
      <w:r w:rsidRPr="00A94951">
        <w:rPr>
          <w:rFonts w:ascii="Times New Roman" w:hAnsi="Times New Roman"/>
          <w:sz w:val="24"/>
          <w:szCs w:val="24"/>
        </w:rPr>
        <w:t xml:space="preserve">El mensaje sigue la línea de las declaraciones de Lord Turner, el presidente de la Autoridad de Servicios Financieros, el regulador británico, que despertó la polémica en </w:t>
      </w:r>
      <w:r w:rsidRPr="00A94951">
        <w:rPr>
          <w:rFonts w:ascii="Times New Roman" w:hAnsi="Times New Roman"/>
          <w:sz w:val="24"/>
          <w:szCs w:val="24"/>
        </w:rPr>
        <w:lastRenderedPageBreak/>
        <w:t xml:space="preserve">la industria bancaria el mes pasado cuando puso en duda el valor social de gran </w:t>
      </w:r>
      <w:r>
        <w:rPr>
          <w:rFonts w:ascii="Times New Roman" w:hAnsi="Times New Roman"/>
          <w:sz w:val="24"/>
          <w:szCs w:val="24"/>
        </w:rPr>
        <w:t>parte de la banca de inversión.</w:t>
      </w:r>
    </w:p>
    <w:p w:rsidR="002F07D4" w:rsidRPr="00FB1989" w:rsidRDefault="002F07D4" w:rsidP="002F07D4">
      <w:pPr>
        <w:spacing w:line="240" w:lineRule="auto"/>
        <w:jc w:val="both"/>
        <w:rPr>
          <w:rFonts w:ascii="Times New Roman" w:hAnsi="Times New Roman"/>
          <w:sz w:val="24"/>
          <w:szCs w:val="24"/>
        </w:rPr>
      </w:pPr>
      <w:r w:rsidRPr="00FB1989">
        <w:rPr>
          <w:rFonts w:ascii="Times New Roman" w:hAnsi="Times New Roman"/>
          <w:sz w:val="24"/>
          <w:szCs w:val="24"/>
        </w:rPr>
        <w:t xml:space="preserve">Blankfein aseguró que deberían prohibirse los bonus </w:t>
      </w:r>
      <w:r>
        <w:rPr>
          <w:rFonts w:ascii="Times New Roman" w:hAnsi="Times New Roman"/>
          <w:sz w:val="24"/>
          <w:szCs w:val="24"/>
        </w:rPr>
        <w:t>ligados a los objetivos a medio</w:t>
      </w:r>
      <w:r w:rsidRPr="00FB1989">
        <w:rPr>
          <w:rFonts w:ascii="Times New Roman" w:hAnsi="Times New Roman"/>
          <w:sz w:val="24"/>
          <w:szCs w:val="24"/>
        </w:rPr>
        <w:t>plazo y que los dirigentes deberían recibir gran parte de su salario en acciones, y no en líquido. Además, habría que obligar a los altos cargos a mantener la mayoría de esas acciones hasta su jubilación.</w:t>
      </w:r>
    </w:p>
    <w:p w:rsidR="002F07D4" w:rsidRPr="00A94951" w:rsidRDefault="002F07D4" w:rsidP="002F07D4">
      <w:pPr>
        <w:spacing w:line="240" w:lineRule="auto"/>
        <w:jc w:val="both"/>
        <w:rPr>
          <w:rFonts w:ascii="Times New Roman" w:hAnsi="Times New Roman"/>
          <w:sz w:val="24"/>
          <w:szCs w:val="24"/>
        </w:rPr>
      </w:pPr>
      <w:r w:rsidRPr="00A94951">
        <w:rPr>
          <w:rFonts w:ascii="Times New Roman" w:hAnsi="Times New Roman"/>
          <w:sz w:val="24"/>
          <w:szCs w:val="24"/>
        </w:rPr>
        <w:t>Es probable que sus rivales critiquen estas declaraciones calificándolas de interesadas. Goldman ha rechazado las garantías de bonus vinculados a objetivos en un momento en el que sus rivales contratan nuevos trabajador</w:t>
      </w:r>
      <w:r>
        <w:rPr>
          <w:rFonts w:ascii="Times New Roman" w:hAnsi="Times New Roman"/>
          <w:sz w:val="24"/>
          <w:szCs w:val="24"/>
        </w:rPr>
        <w:t>es recurriendo a esas promesas.</w:t>
      </w:r>
    </w:p>
    <w:p w:rsidR="002F07D4" w:rsidRDefault="002F07D4" w:rsidP="002F07D4">
      <w:pPr>
        <w:spacing w:line="240" w:lineRule="auto"/>
        <w:jc w:val="both"/>
        <w:rPr>
          <w:rFonts w:ascii="Times New Roman" w:hAnsi="Times New Roman"/>
          <w:sz w:val="24"/>
          <w:szCs w:val="24"/>
        </w:rPr>
      </w:pPr>
      <w:r w:rsidRPr="00A94951">
        <w:rPr>
          <w:rFonts w:ascii="Times New Roman" w:hAnsi="Times New Roman"/>
          <w:sz w:val="24"/>
          <w:szCs w:val="24"/>
        </w:rPr>
        <w:t>Pero es muy posible que el apoyo explícito de Blankfein a las reformas globales en la regulación influya en sus homólogos y goce de un buen recibimiento entre políticos y reguladores.</w:t>
      </w:r>
    </w:p>
    <w:p w:rsidR="002F07D4" w:rsidRPr="00194D51" w:rsidRDefault="002F07D4" w:rsidP="002F07D4">
      <w:pPr>
        <w:spacing w:line="240" w:lineRule="auto"/>
        <w:jc w:val="both"/>
        <w:rPr>
          <w:rFonts w:ascii="Times New Roman" w:hAnsi="Times New Roman"/>
          <w:color w:val="FF0000"/>
          <w:sz w:val="24"/>
          <w:szCs w:val="24"/>
        </w:rPr>
      </w:pPr>
      <w:r w:rsidRPr="00194D51">
        <w:rPr>
          <w:rFonts w:ascii="Times New Roman" w:hAnsi="Times New Roman"/>
          <w:sz w:val="24"/>
          <w:szCs w:val="24"/>
        </w:rPr>
        <w:t>El hecho de que pusiera en duda la utilidad de algunos productos financieros y las remuneraciones injustificadas puede servir para rellenar algunos titulares, pero poco más.</w:t>
      </w:r>
      <w:r w:rsidRPr="00AF4392">
        <w:rPr>
          <w:rFonts w:ascii="Times New Roman" w:hAnsi="Times New Roman"/>
          <w:sz w:val="24"/>
          <w:szCs w:val="24"/>
          <w:u w:val="single"/>
        </w:rPr>
        <w:t>El lamento de Blankfein</w:t>
      </w:r>
      <w:r>
        <w:rPr>
          <w:rFonts w:ascii="Times New Roman" w:hAnsi="Times New Roman"/>
          <w:sz w:val="24"/>
          <w:szCs w:val="24"/>
        </w:rPr>
        <w:t xml:space="preserve"> (Expansión - </w:t>
      </w:r>
      <w:r w:rsidRPr="00AF4392">
        <w:rPr>
          <w:rFonts w:ascii="Times New Roman" w:hAnsi="Times New Roman"/>
          <w:b/>
          <w:sz w:val="24"/>
          <w:szCs w:val="24"/>
        </w:rPr>
        <w:t>10/9/09</w:t>
      </w:r>
      <w:r>
        <w:rPr>
          <w:rFonts w:ascii="Times New Roman" w:hAnsi="Times New Roman"/>
          <w:sz w:val="24"/>
          <w:szCs w:val="24"/>
        </w:rPr>
        <w:t xml:space="preserve"> - P</w:t>
      </w:r>
      <w:r w:rsidRPr="00AF4392">
        <w:rPr>
          <w:rFonts w:ascii="Times New Roman" w:hAnsi="Times New Roman"/>
          <w:sz w:val="24"/>
          <w:szCs w:val="24"/>
        </w:rPr>
        <w:t>or Lex. Financial Times</w:t>
      </w:r>
      <w:r>
        <w:rPr>
          <w:rFonts w:ascii="Times New Roman" w:hAnsi="Times New Roman"/>
          <w:sz w:val="24"/>
          <w:szCs w:val="24"/>
        </w:rPr>
        <w:t>)</w:t>
      </w:r>
    </w:p>
    <w:p w:rsidR="002F07D4" w:rsidRPr="00194D51" w:rsidRDefault="002F07D4" w:rsidP="002F07D4">
      <w:pPr>
        <w:spacing w:line="240" w:lineRule="auto"/>
        <w:jc w:val="both"/>
        <w:rPr>
          <w:rFonts w:ascii="Times New Roman" w:hAnsi="Times New Roman"/>
          <w:sz w:val="24"/>
          <w:szCs w:val="24"/>
        </w:rPr>
      </w:pPr>
      <w:r w:rsidRPr="00194D51">
        <w:rPr>
          <w:rFonts w:ascii="Times New Roman" w:hAnsi="Times New Roman"/>
          <w:sz w:val="24"/>
          <w:szCs w:val="24"/>
        </w:rPr>
        <w:t>Los bancos, al igual que el resto de empresas, se han gestionado pensando en multiplicar las ganancias de la compañía, sus accionistas y empleados. No cambiarán. Más interesante resulta el reconocimiento tácito por parte de Goldman de que la enorme complejidad en pleno boom se utilizó para comercializar sus servicios a clientes cuando habría sido suficiente aplicar soluciones más sencillas. Son muchos los sectores que siguen esta tendencia; basta pensar en los abogados o en los fontaneros.</w:t>
      </w:r>
    </w:p>
    <w:p w:rsidR="002F07D4" w:rsidRPr="00194D51" w:rsidRDefault="002F07D4" w:rsidP="002F07D4">
      <w:pPr>
        <w:spacing w:line="240" w:lineRule="auto"/>
        <w:jc w:val="both"/>
        <w:rPr>
          <w:rFonts w:ascii="Times New Roman" w:hAnsi="Times New Roman"/>
          <w:sz w:val="24"/>
          <w:szCs w:val="24"/>
        </w:rPr>
      </w:pPr>
      <w:r w:rsidRPr="00194D51">
        <w:rPr>
          <w:rFonts w:ascii="Times New Roman" w:hAnsi="Times New Roman"/>
          <w:sz w:val="24"/>
          <w:szCs w:val="24"/>
        </w:rPr>
        <w:t>No obstante, sean cuales sean los términos o técnicas utilizados, tanto el fontanero como su jefe entienden de cañerías y de los riesgos que conlleva, por ejemplo, no ajustarlas bien. Evidentemente, los directivos bancarios desconocían sus productos. De ahí que Blankfein haga hincapié en una gestión de riesgos eficaz, sin la cual, las reformas de las compensaciones o las inyecciones de capital dejan de tener sentido. Sobre la primera cuestión, Goldman sigue justificando las retribuciones variables siempre que se obtengan resultados excepcionales.</w:t>
      </w:r>
    </w:p>
    <w:p w:rsidR="002F07D4" w:rsidRPr="00194D51"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194D51">
        <w:rPr>
          <w:rFonts w:ascii="Times New Roman" w:hAnsi="Times New Roman"/>
          <w:sz w:val="24"/>
          <w:szCs w:val="24"/>
        </w:rPr>
        <w:t>En cuanto al segundo punto, la entidad no se pronuncia, hasta el punto de que la palabra “apalancamiento” brilla por su ausencia en el discurso de Blankfein. Es cierto que el riesgo seguirá siendo una condición sine qua non en el entorno bancario, independientemente de lo que hagan los reguladores</w:t>
      </w:r>
    </w:p>
    <w:p w:rsidR="002F07D4" w:rsidRPr="00B82104" w:rsidRDefault="002F07D4" w:rsidP="002F07D4">
      <w:pPr>
        <w:shd w:val="clear" w:color="auto" w:fill="FFFFFF"/>
        <w:spacing w:after="0" w:line="240" w:lineRule="auto"/>
        <w:jc w:val="both"/>
        <w:rPr>
          <w:rFonts w:ascii="Times New Roman" w:eastAsia="Times New Roman" w:hAnsi="Times New Roman"/>
          <w:color w:val="161514"/>
          <w:sz w:val="24"/>
          <w:szCs w:val="24"/>
          <w:lang w:eastAsia="es-ES"/>
        </w:rPr>
      </w:pPr>
      <w:r>
        <w:rPr>
          <w:rFonts w:ascii="Times New Roman" w:eastAsia="Times New Roman" w:hAnsi="Times New Roman"/>
          <w:color w:val="161514"/>
          <w:sz w:val="24"/>
          <w:szCs w:val="24"/>
          <w:lang w:eastAsia="es-ES"/>
        </w:rPr>
        <w:t>“</w:t>
      </w:r>
      <w:r w:rsidRPr="00194D51">
        <w:rPr>
          <w:rFonts w:ascii="Times New Roman" w:eastAsia="Times New Roman" w:hAnsi="Times New Roman"/>
          <w:color w:val="161514"/>
          <w:sz w:val="24"/>
          <w:szCs w:val="24"/>
          <w:lang w:eastAsia="es-ES"/>
        </w:rPr>
        <w:t>Si bien es cierto que solo en Nueva York el sector financiero ha perdido 16.000 empleos en lo que va de año, también es cierto que todo apunta a que este año un buen número de grandes bancos repartirán cheques con bonus más generosos que el año pasado a sus trabajadores. El 25% de los que así lo esperan cr</w:t>
      </w:r>
      <w:r>
        <w:rPr>
          <w:rFonts w:ascii="Times New Roman" w:eastAsia="Times New Roman" w:hAnsi="Times New Roman"/>
          <w:color w:val="161514"/>
          <w:sz w:val="24"/>
          <w:szCs w:val="24"/>
          <w:lang w:eastAsia="es-ES"/>
        </w:rPr>
        <w:t xml:space="preserve">ee que verán una subida del 10%”. </w:t>
      </w:r>
      <w:r>
        <w:rPr>
          <w:rFonts w:ascii="Times New Roman" w:eastAsia="Times New Roman" w:hAnsi="Times New Roman"/>
          <w:color w:val="161514"/>
          <w:sz w:val="24"/>
          <w:szCs w:val="24"/>
          <w:u w:val="single"/>
          <w:lang w:eastAsia="es-ES"/>
        </w:rPr>
        <w:t>La cultura del “bonus”</w:t>
      </w:r>
      <w:r w:rsidRPr="00B82104">
        <w:rPr>
          <w:rFonts w:ascii="Times New Roman" w:eastAsia="Times New Roman" w:hAnsi="Times New Roman"/>
          <w:color w:val="161514"/>
          <w:sz w:val="24"/>
          <w:szCs w:val="24"/>
          <w:u w:val="single"/>
          <w:lang w:eastAsia="es-ES"/>
        </w:rPr>
        <w:t xml:space="preserve"> generoso regresa a Wall Street</w:t>
      </w:r>
      <w:r w:rsidRPr="00B82104">
        <w:rPr>
          <w:rFonts w:ascii="Times New Roman" w:eastAsia="Times New Roman" w:hAnsi="Times New Roman"/>
          <w:color w:val="161514"/>
          <w:sz w:val="24"/>
          <w:szCs w:val="24"/>
          <w:lang w:eastAsia="es-ES"/>
        </w:rPr>
        <w:t xml:space="preserve"> (Negocios </w:t>
      </w:r>
      <w:r>
        <w:rPr>
          <w:rFonts w:ascii="Times New Roman" w:eastAsia="Times New Roman" w:hAnsi="Times New Roman"/>
          <w:color w:val="161514"/>
          <w:sz w:val="24"/>
          <w:szCs w:val="24"/>
          <w:lang w:eastAsia="es-ES"/>
        </w:rPr>
        <w:t>-</w:t>
      </w:r>
      <w:r w:rsidRPr="00B82104">
        <w:rPr>
          <w:rFonts w:ascii="Times New Roman" w:eastAsia="Times New Roman" w:hAnsi="Times New Roman"/>
          <w:b/>
          <w:color w:val="161514"/>
          <w:sz w:val="24"/>
          <w:szCs w:val="24"/>
          <w:lang w:eastAsia="es-ES"/>
        </w:rPr>
        <w:t>9/10/09</w:t>
      </w:r>
      <w:r>
        <w:rPr>
          <w:rFonts w:ascii="Times New Roman" w:eastAsia="Times New Roman" w:hAnsi="Times New Roman"/>
          <w:color w:val="161514"/>
          <w:sz w:val="24"/>
          <w:szCs w:val="24"/>
          <w:lang w:eastAsia="es-ES"/>
        </w:rPr>
        <w:t xml:space="preserve"> - Por </w:t>
      </w:r>
      <w:r w:rsidRPr="00B82104">
        <w:rPr>
          <w:rFonts w:ascii="Times New Roman" w:eastAsia="Times New Roman" w:hAnsi="Times New Roman"/>
          <w:color w:val="161514"/>
          <w:sz w:val="24"/>
          <w:szCs w:val="24"/>
          <w:lang w:eastAsia="es-ES"/>
        </w:rPr>
        <w:t>Ana B.</w:t>
      </w:r>
      <w:r>
        <w:rPr>
          <w:rFonts w:ascii="Times New Roman" w:eastAsia="Times New Roman" w:hAnsi="Times New Roman"/>
          <w:color w:val="161514"/>
          <w:sz w:val="24"/>
          <w:szCs w:val="24"/>
          <w:lang w:eastAsia="es-ES"/>
        </w:rPr>
        <w:t xml:space="preserve"> Nieto / Nueva York)</w:t>
      </w:r>
    </w:p>
    <w:p w:rsidR="002F07D4" w:rsidRDefault="002F07D4" w:rsidP="002F07D4">
      <w:pPr>
        <w:shd w:val="clear" w:color="auto" w:fill="FFFFFF"/>
        <w:spacing w:after="0" w:line="240" w:lineRule="auto"/>
        <w:jc w:val="both"/>
        <w:rPr>
          <w:rFonts w:ascii="Times New Roman" w:eastAsia="Times New Roman" w:hAnsi="Times New Roman"/>
          <w:color w:val="161514"/>
          <w:sz w:val="24"/>
          <w:szCs w:val="24"/>
          <w:lang w:eastAsia="es-ES"/>
        </w:rPr>
      </w:pPr>
    </w:p>
    <w:p w:rsidR="002F07D4" w:rsidRDefault="002F07D4" w:rsidP="002F07D4">
      <w:pPr>
        <w:shd w:val="clear" w:color="auto" w:fill="FFFFFF"/>
        <w:spacing w:after="0" w:line="240" w:lineRule="auto"/>
        <w:jc w:val="both"/>
        <w:rPr>
          <w:rFonts w:ascii="Times New Roman" w:eastAsia="Times New Roman" w:hAnsi="Times New Roman"/>
          <w:color w:val="161514"/>
          <w:sz w:val="24"/>
          <w:szCs w:val="24"/>
          <w:lang w:eastAsia="es-ES"/>
        </w:rPr>
      </w:pPr>
      <w:r w:rsidRPr="00194D51">
        <w:rPr>
          <w:rFonts w:ascii="Times New Roman" w:eastAsia="Times New Roman" w:hAnsi="Times New Roman"/>
          <w:color w:val="161514"/>
          <w:sz w:val="24"/>
          <w:szCs w:val="24"/>
          <w:lang w:eastAsia="es-ES"/>
        </w:rPr>
        <w:t>La cultura del bonus vuelve así después de un año a recuperar fuerza, pese a las críticas políticas, las resoluciones del G20 y el clamor público contra unos pagos que se perciben como el motor de la toma de un riesgo desproporcionado, que permitió beneficios a corto que se han revelado muy dañinos. En 2007, Wall Street repartió 22.248 millones de euros en cash.</w:t>
      </w:r>
    </w:p>
    <w:p w:rsidR="002F07D4" w:rsidRPr="00194D51" w:rsidRDefault="002F07D4" w:rsidP="002F07D4">
      <w:pPr>
        <w:shd w:val="clear" w:color="auto" w:fill="FFFFFF"/>
        <w:spacing w:after="0" w:line="240" w:lineRule="auto"/>
        <w:jc w:val="both"/>
        <w:rPr>
          <w:rFonts w:ascii="Times New Roman" w:eastAsia="Times New Roman" w:hAnsi="Times New Roman"/>
          <w:color w:val="161514"/>
          <w:sz w:val="24"/>
          <w:szCs w:val="24"/>
          <w:lang w:eastAsia="es-ES"/>
        </w:rPr>
      </w:pP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lang w:eastAsia="es-ES"/>
        </w:rPr>
      </w:pPr>
      <w:r w:rsidRPr="00B82104">
        <w:rPr>
          <w:rFonts w:ascii="Times New Roman" w:eastAsia="Times New Roman" w:hAnsi="Times New Roman"/>
          <w:color w:val="161514"/>
          <w:sz w:val="24"/>
          <w:szCs w:val="24"/>
          <w:lang w:eastAsia="es-ES"/>
        </w:rPr>
        <w:t xml:space="preserve">Algunas firmas han cambiado su estructura de retribución tras la crisis. Además de suprimir los bonus multiaños garantizados, algo que hasta Lloyd Blankfein, responsable de Goldman Sachs, ha criticado, están tendiendo a pagar más con acciones, en vez de dinero. Además, están teniendo en cuenta para calcular el monto un periodo más largo para computar los resultados. No obstante, </w:t>
      </w:r>
      <w:r w:rsidRPr="00C02249">
        <w:rPr>
          <w:rFonts w:ascii="Times New Roman" w:eastAsia="Times New Roman" w:hAnsi="Times New Roman"/>
          <w:sz w:val="24"/>
          <w:szCs w:val="24"/>
          <w:lang w:eastAsia="es-ES"/>
        </w:rPr>
        <w:t>según eFinancialCareers, el 60% de quienes toman riesgos dicen que los cambios no han tenido impacto en su labor y el 12% cree que se les anima a que tomen más.</w:t>
      </w: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lang w:eastAsia="es-ES"/>
        </w:rPr>
      </w:pP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lang w:eastAsia="es-ES"/>
        </w:rPr>
      </w:pPr>
      <w:r w:rsidRPr="00C02249">
        <w:rPr>
          <w:rFonts w:ascii="Times New Roman" w:eastAsia="Times New Roman" w:hAnsi="Times New Roman"/>
          <w:sz w:val="24"/>
          <w:szCs w:val="24"/>
          <w:lang w:eastAsia="es-ES"/>
        </w:rPr>
        <w:t>El bonus es la columna vertebral de Wall Street porque los salarios base no suelen ser elevados y la mayor parte de la retribución es variable. Ese cheque de fin de año determina la elección laboral de muchos financieros y de hecho, ahora, el destino más popular para trabajar, además del capital riesgo, es Goldman Sachs y uno de los que menos Citigroup. Toda esta cultura ha sido, en parte, fruto de las consecuencias no deseadas de una reforma fiscal que penalizó salarios base de más de un millón de dólares. A estas alturas, hablar de un salario fijo es casi ciencia ficción, porque aunque cada vez está má</w:t>
      </w:r>
      <w:r>
        <w:rPr>
          <w:rFonts w:ascii="Times New Roman" w:eastAsia="Times New Roman" w:hAnsi="Times New Roman"/>
          <w:sz w:val="24"/>
          <w:szCs w:val="24"/>
          <w:lang w:eastAsia="es-ES"/>
        </w:rPr>
        <w:t>s disputado, se considera que só</w:t>
      </w:r>
      <w:r w:rsidRPr="00C02249">
        <w:rPr>
          <w:rFonts w:ascii="Times New Roman" w:eastAsia="Times New Roman" w:hAnsi="Times New Roman"/>
          <w:sz w:val="24"/>
          <w:szCs w:val="24"/>
          <w:lang w:eastAsia="es-ES"/>
        </w:rPr>
        <w:t>lo con un buen bonus se puede incentivar el trabajo, se reconoce la labor de cada persona y se concede flexibilidad en los años malos. Todo indica que 2009 no sea uno de los peores.</w:t>
      </w: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lang w:eastAsia="es-ES"/>
        </w:rPr>
      </w:pP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lang w:eastAsia="es-ES"/>
        </w:rPr>
      </w:pPr>
      <w:r w:rsidRPr="00C02249">
        <w:rPr>
          <w:rFonts w:ascii="Times New Roman" w:eastAsia="Times New Roman" w:hAnsi="Times New Roman"/>
          <w:sz w:val="24"/>
          <w:szCs w:val="24"/>
          <w:lang w:eastAsia="es-ES"/>
        </w:rPr>
        <w:t>Parte del furor contra los bonus es que la dramática retrospectiva que ofrece la crisis lleva a concluir que se ha compensado millonariamente un gran fracaso y ha habido una fuerte desconexión con la realidad. La actual situación económica vuelve así a abrir un debate que nunca se ha cerrado del todo</w:t>
      </w:r>
    </w:p>
    <w:p w:rsidR="002F07D4" w:rsidRPr="0096019D" w:rsidRDefault="002F07D4" w:rsidP="002F07D4">
      <w:pPr>
        <w:shd w:val="clear" w:color="auto" w:fill="FFFFFF"/>
        <w:spacing w:before="100" w:beforeAutospacing="1" w:after="100" w:afterAutospacing="1" w:line="240" w:lineRule="auto"/>
        <w:jc w:val="both"/>
        <w:rPr>
          <w:rFonts w:ascii="Times New Roman" w:eastAsia="Times New Roman" w:hAnsi="Times New Roman"/>
          <w:b/>
          <w:sz w:val="24"/>
          <w:szCs w:val="24"/>
          <w:lang w:eastAsia="es-ES"/>
        </w:rPr>
      </w:pPr>
      <w:r w:rsidRPr="0096019D">
        <w:rPr>
          <w:rFonts w:ascii="Times New Roman" w:eastAsia="Times New Roman" w:hAnsi="Times New Roman"/>
          <w:b/>
          <w:sz w:val="24"/>
          <w:szCs w:val="24"/>
          <w:lang w:eastAsia="es-ES"/>
        </w:rPr>
        <w:t>Los bonus van camino a batir su propio record (como si nada hubiera pasado)</w:t>
      </w: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C02249">
        <w:rPr>
          <w:rFonts w:ascii="Times New Roman" w:eastAsia="Times New Roman" w:hAnsi="Times New Roman"/>
          <w:sz w:val="24"/>
          <w:szCs w:val="24"/>
          <w:lang w:eastAsia="es-ES"/>
        </w:rPr>
        <w:t>Los mayores bancos y firmas de valores de Estados Unidos se encaminan a pagarles a sus empleados unos US$140.000 millones este año, un récord que demuestra la velocidad con la que se están recuperando las remuneraciones a pesar del escrutinio regulatorio.</w:t>
      </w:r>
      <w:r w:rsidRPr="00C02249">
        <w:rPr>
          <w:rFonts w:ascii="Times New Roman" w:eastAsia="Times New Roman" w:hAnsi="Times New Roman"/>
          <w:sz w:val="24"/>
          <w:szCs w:val="24"/>
          <w:lang w:eastAsia="es-ES"/>
        </w:rPr>
        <w:cr/>
      </w:r>
    </w:p>
    <w:p w:rsidR="002F07D4" w:rsidRPr="00FF685C" w:rsidRDefault="002F07D4" w:rsidP="002F07D4">
      <w:pPr>
        <w:shd w:val="clear" w:color="auto" w:fill="FFFFFF"/>
        <w:spacing w:after="0" w:line="240" w:lineRule="auto"/>
        <w:jc w:val="both"/>
        <w:rPr>
          <w:rFonts w:ascii="Times New Roman" w:eastAsia="Times New Roman" w:hAnsi="Times New Roman"/>
          <w:sz w:val="24"/>
          <w:szCs w:val="24"/>
          <w:lang w:eastAsia="es-ES"/>
        </w:rPr>
      </w:pPr>
      <w:r w:rsidRPr="00C02249">
        <w:rPr>
          <w:rFonts w:ascii="Times New Roman" w:eastAsia="Times New Roman" w:hAnsi="Times New Roman"/>
          <w:sz w:val="24"/>
          <w:szCs w:val="24"/>
          <w:lang w:eastAsia="es-ES"/>
        </w:rPr>
        <w:t>Según un análisis de documentos oficiales correspondientes al primer semestre de 2009 y estimados de ingresos hasta fin de año realizados por The Wall Street Journal, los empleados de bancos de inversión, fondos de cobertura, gestores de activos y mercados bursátiles y de commodities podrían ganar más que en 2007. Ese fue un año récord para la bolsa y las ganancias de Wall Street aún no habían sido vapuleadas por la crisis financiera</w:t>
      </w:r>
      <w:r>
        <w:rPr>
          <w:rFonts w:ascii="Times New Roman" w:eastAsia="Times New Roman" w:hAnsi="Times New Roman"/>
          <w:sz w:val="24"/>
          <w:szCs w:val="24"/>
          <w:lang w:eastAsia="es-ES"/>
        </w:rPr>
        <w:t>”</w:t>
      </w:r>
      <w:r w:rsidRPr="00C02249">
        <w:rPr>
          <w:rFonts w:ascii="Times New Roman" w:eastAsia="Times New Roman" w:hAnsi="Times New Roman"/>
          <w:sz w:val="24"/>
          <w:szCs w:val="24"/>
          <w:lang w:eastAsia="es-ES"/>
        </w:rPr>
        <w:t>.</w:t>
      </w:r>
      <w:r w:rsidRPr="00FF685C">
        <w:rPr>
          <w:rFonts w:ascii="Times New Roman" w:eastAsia="Times New Roman" w:hAnsi="Times New Roman"/>
          <w:sz w:val="24"/>
          <w:szCs w:val="24"/>
          <w:u w:val="single"/>
          <w:lang w:eastAsia="es-ES"/>
        </w:rPr>
        <w:t>Las bonificaciones de los ejecutivos en Wall Street van camino a batir récord en 2009</w:t>
      </w:r>
      <w:r>
        <w:rPr>
          <w:rFonts w:ascii="Times New Roman" w:eastAsia="Times New Roman" w:hAnsi="Times New Roman"/>
          <w:sz w:val="24"/>
          <w:szCs w:val="24"/>
          <w:lang w:eastAsia="es-ES"/>
        </w:rPr>
        <w:t xml:space="preserve"> (The Wall Street Journal - </w:t>
      </w:r>
      <w:r w:rsidRPr="00FF685C">
        <w:rPr>
          <w:rFonts w:ascii="Times New Roman" w:eastAsia="Times New Roman" w:hAnsi="Times New Roman"/>
          <w:b/>
          <w:sz w:val="24"/>
          <w:szCs w:val="24"/>
          <w:lang w:eastAsia="es-ES"/>
        </w:rPr>
        <w:t>14/10/0</w:t>
      </w:r>
      <w:r>
        <w:rPr>
          <w:rFonts w:ascii="Times New Roman" w:eastAsia="Times New Roman" w:hAnsi="Times New Roman"/>
          <w:b/>
          <w:sz w:val="24"/>
          <w:szCs w:val="24"/>
          <w:lang w:eastAsia="es-ES"/>
        </w:rPr>
        <w:t xml:space="preserve">9 - </w:t>
      </w:r>
      <w:r w:rsidRPr="00FF685C">
        <w:rPr>
          <w:rFonts w:ascii="Times New Roman" w:eastAsia="Times New Roman" w:hAnsi="Times New Roman"/>
          <w:sz w:val="24"/>
          <w:szCs w:val="24"/>
          <w:lang w:eastAsia="es-ES"/>
        </w:rPr>
        <w:t>Por A</w:t>
      </w:r>
      <w:r>
        <w:rPr>
          <w:rFonts w:ascii="Times New Roman" w:eastAsia="Times New Roman" w:hAnsi="Times New Roman"/>
          <w:sz w:val="24"/>
          <w:szCs w:val="24"/>
          <w:lang w:eastAsia="es-ES"/>
        </w:rPr>
        <w:t>aron Lucchetti y Stephen Grocer)</w:t>
      </w:r>
    </w:p>
    <w:p w:rsidR="002F07D4" w:rsidRPr="00D1361E" w:rsidRDefault="002F07D4" w:rsidP="002F07D4">
      <w:pPr>
        <w:shd w:val="clear" w:color="auto" w:fill="FFFFFF"/>
        <w:spacing w:after="0" w:line="240" w:lineRule="auto"/>
        <w:jc w:val="both"/>
        <w:rPr>
          <w:rFonts w:ascii="Times New Roman" w:eastAsia="Times New Roman" w:hAnsi="Times New Roman"/>
          <w:color w:val="FF0000"/>
          <w:sz w:val="24"/>
          <w:szCs w:val="24"/>
          <w:lang w:eastAsia="es-ES"/>
        </w:rPr>
      </w:pP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u w:val="single"/>
          <w:lang w:eastAsia="es-ES"/>
        </w:rPr>
      </w:pPr>
      <w:r w:rsidRPr="00FF685C">
        <w:rPr>
          <w:rFonts w:ascii="Times New Roman" w:eastAsia="Times New Roman" w:hAnsi="Times New Roman"/>
          <w:sz w:val="24"/>
          <w:szCs w:val="24"/>
          <w:lang w:eastAsia="es-ES"/>
        </w:rPr>
        <w:t>Salvo que se produzca una súbita reversión del aumento en el corretaje de valores, banca de inversión y otros negocios</w:t>
      </w:r>
      <w:r w:rsidRPr="00C02249">
        <w:rPr>
          <w:rFonts w:ascii="Times New Roman" w:eastAsia="Times New Roman" w:hAnsi="Times New Roman"/>
          <w:sz w:val="24"/>
          <w:szCs w:val="24"/>
          <w:u w:val="single"/>
          <w:lang w:eastAsia="es-ES"/>
        </w:rPr>
        <w:t>, la remuneración y los beneficios totales en las 23 firmas que cotizan en bolsa analizadas por The Wall Street Journal aumentarían 20% frente al año pasado.</w:t>
      </w: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u w:val="single"/>
          <w:lang w:eastAsia="es-ES"/>
        </w:rPr>
      </w:pPr>
    </w:p>
    <w:p w:rsidR="002F07D4" w:rsidRPr="0098079F" w:rsidRDefault="002F07D4" w:rsidP="002F07D4">
      <w:pPr>
        <w:shd w:val="clear" w:color="auto" w:fill="FFFFFF"/>
        <w:spacing w:after="0" w:line="240" w:lineRule="auto"/>
        <w:jc w:val="both"/>
        <w:rPr>
          <w:rFonts w:ascii="Times New Roman" w:eastAsia="Times New Roman" w:hAnsi="Times New Roman"/>
          <w:sz w:val="24"/>
          <w:szCs w:val="24"/>
          <w:u w:val="single"/>
          <w:lang w:eastAsia="es-ES"/>
        </w:rPr>
      </w:pPr>
      <w:r w:rsidRPr="0098079F">
        <w:rPr>
          <w:rFonts w:ascii="Times New Roman" w:eastAsia="Times New Roman" w:hAnsi="Times New Roman"/>
          <w:sz w:val="24"/>
          <w:szCs w:val="24"/>
          <w:u w:val="single"/>
          <w:lang w:eastAsia="es-ES"/>
        </w:rPr>
        <w:t xml:space="preserve">El análisis de The Wall Street Journal incluye a los gigantes bancarios J.P. Morgan Chase &amp; Co., Bank of America Corp. y Citigroup Inc.; firmas de valores como Goldman Sachs Group Inc. y Morgan Stanley; gestores de activos como BlackRock Inc. y Franklin Resources Inc.; firmas de corretaje en línea como Charles Schwab Corp. y </w:t>
      </w:r>
      <w:r w:rsidRPr="0098079F">
        <w:rPr>
          <w:rFonts w:ascii="Times New Roman" w:eastAsia="Times New Roman" w:hAnsi="Times New Roman"/>
          <w:sz w:val="24"/>
          <w:szCs w:val="24"/>
          <w:u w:val="single"/>
          <w:lang w:eastAsia="es-ES"/>
        </w:rPr>
        <w:lastRenderedPageBreak/>
        <w:t>Ameritrade Holding Corp., y operadores cambiarios como CME Group Inc. y NYSE Euronext Inc.</w:t>
      </w:r>
    </w:p>
    <w:p w:rsidR="002F07D4" w:rsidRPr="00FF685C" w:rsidRDefault="002F07D4" w:rsidP="002F07D4">
      <w:pPr>
        <w:shd w:val="clear" w:color="auto" w:fill="FFFFFF"/>
        <w:spacing w:after="0" w:line="240" w:lineRule="auto"/>
        <w:jc w:val="both"/>
        <w:rPr>
          <w:rFonts w:ascii="Times New Roman" w:eastAsia="Times New Roman" w:hAnsi="Times New Roman"/>
          <w:sz w:val="24"/>
          <w:szCs w:val="24"/>
          <w:lang w:eastAsia="es-ES"/>
        </w:rPr>
      </w:pPr>
    </w:p>
    <w:p w:rsidR="002F07D4" w:rsidRPr="00FF685C" w:rsidRDefault="002F07D4" w:rsidP="002F07D4">
      <w:pPr>
        <w:shd w:val="clear" w:color="auto" w:fill="FFFFFF"/>
        <w:spacing w:after="0" w:line="240" w:lineRule="auto"/>
        <w:jc w:val="both"/>
        <w:rPr>
          <w:rFonts w:ascii="Times New Roman" w:eastAsia="Times New Roman" w:hAnsi="Times New Roman"/>
          <w:sz w:val="24"/>
          <w:szCs w:val="24"/>
          <w:lang w:eastAsia="es-ES"/>
        </w:rPr>
      </w:pPr>
      <w:r w:rsidRPr="00FF685C">
        <w:rPr>
          <w:rFonts w:ascii="Times New Roman" w:eastAsia="Times New Roman" w:hAnsi="Times New Roman"/>
          <w:sz w:val="24"/>
          <w:szCs w:val="24"/>
          <w:lang w:eastAsia="es-ES"/>
        </w:rPr>
        <w:t>Los negocios se han normalizado en muchos rincones de Wall Street. Las firmas aún se sienten obligadas a pagar grandes sumas de dinero, a menudo un 50% de sus ingresos o más, para retener a la gente que genera sus ganancias. Las firmas de inversiones de capital privado y los fondos de cobertura, aunque debilitados, también representan una amenaza competitiva para atraer a banqueros y corredores.</w:t>
      </w:r>
    </w:p>
    <w:p w:rsidR="002F07D4" w:rsidRPr="00FF685C" w:rsidRDefault="002F07D4" w:rsidP="002F07D4">
      <w:pPr>
        <w:shd w:val="clear" w:color="auto" w:fill="FFFFFF"/>
        <w:spacing w:after="0" w:line="240" w:lineRule="auto"/>
        <w:jc w:val="both"/>
        <w:rPr>
          <w:rFonts w:ascii="Times New Roman" w:eastAsia="Times New Roman" w:hAnsi="Times New Roman"/>
          <w:sz w:val="24"/>
          <w:szCs w:val="24"/>
          <w:lang w:eastAsia="es-ES"/>
        </w:rPr>
      </w:pPr>
    </w:p>
    <w:p w:rsidR="002F07D4" w:rsidRDefault="002F07D4" w:rsidP="002F07D4">
      <w:pP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FF685C">
        <w:rPr>
          <w:rFonts w:ascii="Times New Roman" w:eastAsia="Times New Roman" w:hAnsi="Times New Roman"/>
          <w:sz w:val="24"/>
          <w:szCs w:val="24"/>
          <w:lang w:eastAsia="es-ES"/>
        </w:rPr>
        <w:t>La remuneración jugó un rol importante en la crisis financiera y</w:t>
      </w:r>
      <w:r>
        <w:rPr>
          <w:rFonts w:ascii="Times New Roman" w:eastAsia="Times New Roman" w:hAnsi="Times New Roman"/>
          <w:sz w:val="24"/>
          <w:szCs w:val="24"/>
          <w:lang w:eastAsia="es-ES"/>
        </w:rPr>
        <w:t>, sin embargo, nada ha cambiado”</w:t>
      </w:r>
      <w:r w:rsidRPr="00FF685C">
        <w:rPr>
          <w:rFonts w:ascii="Times New Roman" w:eastAsia="Times New Roman" w:hAnsi="Times New Roman"/>
          <w:sz w:val="24"/>
          <w:szCs w:val="24"/>
          <w:lang w:eastAsia="es-ES"/>
        </w:rPr>
        <w:t>, afirma J. Robert Brown, profesor de derecho de la Universidad de Denver y un experto en gobierno corporativo.</w:t>
      </w:r>
    </w:p>
    <w:p w:rsidR="00C5164B" w:rsidRDefault="00C5164B" w:rsidP="002F07D4">
      <w:pPr>
        <w:shd w:val="clear" w:color="auto" w:fill="FFFFFF"/>
        <w:spacing w:after="0" w:line="240" w:lineRule="auto"/>
        <w:jc w:val="both"/>
        <w:rPr>
          <w:rFonts w:ascii="Times New Roman" w:eastAsia="Times New Roman" w:hAnsi="Times New Roman"/>
          <w:sz w:val="24"/>
          <w:szCs w:val="24"/>
          <w:lang w:eastAsia="es-ES"/>
        </w:rPr>
      </w:pPr>
    </w:p>
    <w:p w:rsidR="002F07D4" w:rsidRPr="00FF685C" w:rsidRDefault="002F07D4" w:rsidP="002F07D4">
      <w:pPr>
        <w:shd w:val="clear" w:color="auto" w:fill="FFFFFF"/>
        <w:spacing w:after="0" w:line="240" w:lineRule="auto"/>
        <w:jc w:val="both"/>
        <w:rPr>
          <w:rFonts w:ascii="Times New Roman" w:eastAsia="Times New Roman" w:hAnsi="Times New Roman"/>
          <w:sz w:val="24"/>
          <w:szCs w:val="24"/>
          <w:lang w:eastAsia="es-ES"/>
        </w:rPr>
      </w:pPr>
      <w:r w:rsidRPr="00FF685C">
        <w:rPr>
          <w:rFonts w:ascii="Times New Roman" w:eastAsia="Times New Roman" w:hAnsi="Times New Roman"/>
          <w:sz w:val="24"/>
          <w:szCs w:val="24"/>
          <w:lang w:eastAsia="es-ES"/>
        </w:rPr>
        <w:t>Las estimaciones de ingresos y salarios se calcularon usando los dos trimestres más recientes de información financiera y las proyecciones de resultados del segundo semestre recopiladas por Thomson Reuters.</w:t>
      </w:r>
    </w:p>
    <w:p w:rsidR="002F07D4" w:rsidRDefault="002F07D4" w:rsidP="002F07D4">
      <w:pPr>
        <w:shd w:val="clear" w:color="auto" w:fill="FFFFFF"/>
        <w:spacing w:after="0" w:line="240" w:lineRule="auto"/>
        <w:jc w:val="both"/>
        <w:rPr>
          <w:rFonts w:ascii="Times New Roman" w:eastAsia="Times New Roman" w:hAnsi="Times New Roman"/>
          <w:sz w:val="24"/>
          <w:szCs w:val="24"/>
          <w:lang w:eastAsia="es-ES"/>
        </w:rPr>
      </w:pPr>
    </w:p>
    <w:p w:rsidR="002F07D4" w:rsidRPr="00FF685C" w:rsidRDefault="002F07D4" w:rsidP="002F07D4">
      <w:pPr>
        <w:shd w:val="clear" w:color="auto" w:fill="FFFFFF"/>
        <w:spacing w:after="0" w:line="240" w:lineRule="auto"/>
        <w:jc w:val="both"/>
        <w:rPr>
          <w:rFonts w:ascii="Times New Roman" w:eastAsia="Times New Roman" w:hAnsi="Times New Roman"/>
          <w:sz w:val="24"/>
          <w:szCs w:val="24"/>
          <w:lang w:eastAsia="es-ES"/>
        </w:rPr>
      </w:pPr>
    </w:p>
    <w:p w:rsidR="002F07D4" w:rsidRDefault="002F07D4" w:rsidP="002F07D4">
      <w:pPr>
        <w:shd w:val="clear" w:color="auto" w:fill="FFFFFF"/>
        <w:spacing w:after="0" w:line="240" w:lineRule="auto"/>
        <w:jc w:val="both"/>
        <w:rPr>
          <w:rFonts w:ascii="Arial" w:eastAsia="Times New Roman" w:hAnsi="Arial" w:cs="Arial"/>
          <w:noProof/>
          <w:color w:val="000000"/>
          <w:sz w:val="15"/>
          <w:szCs w:val="15"/>
          <w:lang w:eastAsia="es-ES"/>
        </w:rPr>
      </w:pPr>
      <w:r>
        <w:rPr>
          <w:rFonts w:ascii="Arial" w:eastAsia="Times New Roman" w:hAnsi="Arial" w:cs="Arial"/>
          <w:noProof/>
          <w:color w:val="000000"/>
          <w:sz w:val="15"/>
          <w:szCs w:val="15"/>
          <w:lang w:val="en-GB" w:eastAsia="en-GB"/>
        </w:rPr>
        <w:drawing>
          <wp:inline distT="0" distB="0" distL="0" distR="0">
            <wp:extent cx="2857500" cy="3232150"/>
            <wp:effectExtent l="0" t="0" r="0" b="6350"/>
            <wp:docPr id="332" name="Imagen 332" descr="[p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5" descr="[pay]"/>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3232150"/>
                    </a:xfrm>
                    <a:prstGeom prst="rect">
                      <a:avLst/>
                    </a:prstGeom>
                    <a:noFill/>
                    <a:ln>
                      <a:noFill/>
                    </a:ln>
                  </pic:spPr>
                </pic:pic>
              </a:graphicData>
            </a:graphic>
          </wp:inline>
        </w:drawing>
      </w:r>
    </w:p>
    <w:p w:rsidR="002F07D4" w:rsidRDefault="002F07D4" w:rsidP="002F07D4">
      <w:pPr>
        <w:shd w:val="clear" w:color="auto" w:fill="FFFFFF"/>
        <w:spacing w:after="0" w:line="240" w:lineRule="auto"/>
        <w:jc w:val="both"/>
        <w:rPr>
          <w:rFonts w:ascii="Arial" w:eastAsia="Times New Roman" w:hAnsi="Arial" w:cs="Arial"/>
          <w:noProof/>
          <w:color w:val="000000"/>
          <w:sz w:val="15"/>
          <w:szCs w:val="15"/>
          <w:lang w:eastAsia="es-ES"/>
        </w:rPr>
      </w:pP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u w:val="single"/>
          <w:lang w:eastAsia="es-ES"/>
        </w:rPr>
      </w:pPr>
    </w:p>
    <w:p w:rsidR="002F07D4" w:rsidRPr="00C02249" w:rsidRDefault="002F07D4" w:rsidP="002F07D4">
      <w:pPr>
        <w:shd w:val="clear" w:color="auto" w:fill="FFFFFF"/>
        <w:spacing w:after="0" w:line="240" w:lineRule="auto"/>
        <w:jc w:val="both"/>
        <w:rPr>
          <w:rFonts w:ascii="Times New Roman" w:eastAsia="Times New Roman" w:hAnsi="Times New Roman"/>
          <w:sz w:val="24"/>
          <w:szCs w:val="24"/>
          <w:u w:val="single"/>
          <w:lang w:eastAsia="es-ES"/>
        </w:rPr>
      </w:pPr>
    </w:p>
    <w:p w:rsidR="002F07D4" w:rsidRDefault="002F07D4" w:rsidP="002F07D4">
      <w:pPr>
        <w:shd w:val="clear" w:color="auto" w:fill="FFFFFF"/>
        <w:spacing w:after="0" w:line="240" w:lineRule="auto"/>
        <w:jc w:val="both"/>
        <w:rPr>
          <w:rFonts w:ascii="Times New Roman" w:eastAsia="Times New Roman" w:hAnsi="Times New Roman"/>
          <w:sz w:val="24"/>
          <w:szCs w:val="24"/>
          <w:lang w:eastAsia="es-ES"/>
        </w:rPr>
      </w:pPr>
      <w:r w:rsidRPr="00247838">
        <w:rPr>
          <w:rFonts w:ascii="Times New Roman" w:eastAsia="Times New Roman" w:hAnsi="Times New Roman"/>
          <w:sz w:val="24"/>
          <w:szCs w:val="24"/>
          <w:lang w:eastAsia="es-ES"/>
        </w:rPr>
        <w:t xml:space="preserve">Las remuneraciones han sido un tema especialmente espinoso en el caso de Goldman Sachs, ya que algunos políticos y el público estadounidense se preguntan cómo los salarios pueden haberse </w:t>
      </w:r>
      <w:r>
        <w:rPr>
          <w:rFonts w:ascii="Times New Roman" w:eastAsia="Times New Roman" w:hAnsi="Times New Roman"/>
          <w:sz w:val="24"/>
          <w:szCs w:val="24"/>
          <w:lang w:eastAsia="es-ES"/>
        </w:rPr>
        <w:t>recuperado con tanta celeridad -</w:t>
      </w:r>
      <w:r w:rsidRPr="00247838">
        <w:rPr>
          <w:rFonts w:ascii="Times New Roman" w:eastAsia="Times New Roman" w:hAnsi="Times New Roman"/>
          <w:sz w:val="24"/>
          <w:szCs w:val="24"/>
          <w:lang w:eastAsia="es-ES"/>
        </w:rPr>
        <w:t xml:space="preserve">a </w:t>
      </w:r>
      <w:r>
        <w:rPr>
          <w:rFonts w:ascii="Times New Roman" w:eastAsia="Times New Roman" w:hAnsi="Times New Roman"/>
          <w:sz w:val="24"/>
          <w:szCs w:val="24"/>
          <w:lang w:eastAsia="es-ES"/>
        </w:rPr>
        <w:t>pesar del alza en las ganancias-</w:t>
      </w:r>
      <w:r w:rsidRPr="00247838">
        <w:rPr>
          <w:rFonts w:ascii="Times New Roman" w:eastAsia="Times New Roman" w:hAnsi="Times New Roman"/>
          <w:sz w:val="24"/>
          <w:szCs w:val="24"/>
          <w:lang w:eastAsia="es-ES"/>
        </w:rPr>
        <w:t xml:space="preserve"> desde que la firma recibiera ayuda estatal temporal junto con otros grandes bancos, hace cerca de un año.</w:t>
      </w:r>
    </w:p>
    <w:p w:rsidR="002F07D4" w:rsidRDefault="002F07D4" w:rsidP="002F07D4">
      <w:pPr>
        <w:shd w:val="clear" w:color="auto" w:fill="FFFFFF"/>
        <w:spacing w:after="0" w:line="240" w:lineRule="auto"/>
        <w:jc w:val="both"/>
        <w:rPr>
          <w:rFonts w:ascii="Times New Roman" w:eastAsia="Times New Roman" w:hAnsi="Times New Roman"/>
          <w:sz w:val="24"/>
          <w:szCs w:val="24"/>
          <w:lang w:eastAsia="es-ES"/>
        </w:rPr>
      </w:pPr>
    </w:p>
    <w:p w:rsidR="002F07D4" w:rsidRDefault="002F07D4" w:rsidP="002F07D4">
      <w:pP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247838">
        <w:rPr>
          <w:rFonts w:ascii="Times New Roman" w:eastAsia="Times New Roman" w:hAnsi="Times New Roman"/>
          <w:sz w:val="24"/>
          <w:szCs w:val="24"/>
          <w:lang w:eastAsia="es-ES"/>
        </w:rPr>
        <w:t>La manera más fácil de destruir una firma es si no le</w:t>
      </w:r>
      <w:r>
        <w:rPr>
          <w:rFonts w:ascii="Times New Roman" w:eastAsia="Times New Roman" w:hAnsi="Times New Roman"/>
          <w:sz w:val="24"/>
          <w:szCs w:val="24"/>
          <w:lang w:eastAsia="es-ES"/>
        </w:rPr>
        <w:t xml:space="preserve"> pagáramos a nuestros empleados”</w:t>
      </w:r>
      <w:r w:rsidRPr="00247838">
        <w:rPr>
          <w:rFonts w:ascii="Times New Roman" w:eastAsia="Times New Roman" w:hAnsi="Times New Roman"/>
          <w:sz w:val="24"/>
          <w:szCs w:val="24"/>
          <w:lang w:eastAsia="es-ES"/>
        </w:rPr>
        <w:t>, seña</w:t>
      </w:r>
      <w:r>
        <w:rPr>
          <w:rFonts w:ascii="Times New Roman" w:eastAsia="Times New Roman" w:hAnsi="Times New Roman"/>
          <w:sz w:val="24"/>
          <w:szCs w:val="24"/>
          <w:lang w:eastAsia="es-ES"/>
        </w:rPr>
        <w:t>la un vocero de Goldman Sachs. “</w:t>
      </w:r>
      <w:r w:rsidRPr="00247838">
        <w:rPr>
          <w:rFonts w:ascii="Times New Roman" w:eastAsia="Times New Roman" w:hAnsi="Times New Roman"/>
          <w:sz w:val="24"/>
          <w:szCs w:val="24"/>
          <w:lang w:eastAsia="es-ES"/>
        </w:rPr>
        <w:t>Entende</w:t>
      </w:r>
      <w:r>
        <w:rPr>
          <w:rFonts w:ascii="Times New Roman" w:eastAsia="Times New Roman" w:hAnsi="Times New Roman"/>
          <w:sz w:val="24"/>
          <w:szCs w:val="24"/>
          <w:lang w:eastAsia="es-ES"/>
        </w:rPr>
        <w:t>mos que el tema desata pasiones”, pero “</w:t>
      </w:r>
      <w:r w:rsidRPr="00247838">
        <w:rPr>
          <w:rFonts w:ascii="Times New Roman" w:eastAsia="Times New Roman" w:hAnsi="Times New Roman"/>
          <w:sz w:val="24"/>
          <w:szCs w:val="24"/>
          <w:lang w:eastAsia="es-ES"/>
        </w:rPr>
        <w:t>destruir una empresa rentable no le co</w:t>
      </w:r>
      <w:r>
        <w:rPr>
          <w:rFonts w:ascii="Times New Roman" w:eastAsia="Times New Roman" w:hAnsi="Times New Roman"/>
          <w:sz w:val="24"/>
          <w:szCs w:val="24"/>
          <w:lang w:eastAsia="es-ES"/>
        </w:rPr>
        <w:t>nviene a nadie”</w:t>
      </w:r>
      <w:r w:rsidRPr="00247838">
        <w:rPr>
          <w:rFonts w:ascii="Times New Roman" w:eastAsia="Times New Roman" w:hAnsi="Times New Roman"/>
          <w:sz w:val="24"/>
          <w:szCs w:val="24"/>
          <w:lang w:eastAsia="es-ES"/>
        </w:rPr>
        <w:t>.</w:t>
      </w:r>
    </w:p>
    <w:p w:rsidR="002F07D4" w:rsidRDefault="002F07D4" w:rsidP="002F07D4">
      <w:pPr>
        <w:shd w:val="clear" w:color="auto" w:fill="FFFFFF"/>
        <w:spacing w:after="0" w:line="240" w:lineRule="auto"/>
        <w:jc w:val="both"/>
        <w:rPr>
          <w:rFonts w:ascii="Times New Roman" w:eastAsia="Times New Roman" w:hAnsi="Times New Roman"/>
          <w:sz w:val="24"/>
          <w:szCs w:val="24"/>
          <w:lang w:eastAsia="es-ES"/>
        </w:rPr>
      </w:pPr>
    </w:p>
    <w:p w:rsidR="002F07D4" w:rsidRPr="0096019D" w:rsidRDefault="002F07D4" w:rsidP="002F07D4">
      <w:pPr>
        <w:shd w:val="clear" w:color="auto" w:fill="FFFFFF"/>
        <w:spacing w:after="0" w:line="240" w:lineRule="auto"/>
        <w:jc w:val="both"/>
        <w:rPr>
          <w:rFonts w:ascii="Times New Roman" w:eastAsia="Times New Roman" w:hAnsi="Times New Roman"/>
          <w:b/>
          <w:sz w:val="24"/>
          <w:szCs w:val="24"/>
          <w:lang w:eastAsia="es-ES"/>
        </w:rPr>
      </w:pPr>
      <w:r w:rsidRPr="0096019D">
        <w:rPr>
          <w:rFonts w:ascii="Times New Roman" w:hAnsi="Times New Roman"/>
          <w:b/>
          <w:sz w:val="24"/>
          <w:szCs w:val="24"/>
        </w:rPr>
        <w:t>¿Todavía no se ha aprendido la lección?</w:t>
      </w:r>
    </w:p>
    <w:p w:rsidR="002F07D4" w:rsidRDefault="002F07D4" w:rsidP="002F07D4">
      <w:pPr>
        <w:shd w:val="clear" w:color="auto" w:fill="FFFFFF"/>
        <w:spacing w:after="0" w:line="240" w:lineRule="auto"/>
        <w:jc w:val="both"/>
        <w:rPr>
          <w:rFonts w:ascii="Times New Roman" w:eastAsia="Times New Roman" w:hAnsi="Times New Roman"/>
          <w:sz w:val="24"/>
          <w:szCs w:val="24"/>
          <w:u w:val="single"/>
          <w:lang w:eastAsia="es-ES"/>
        </w:rPr>
      </w:pP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247838">
        <w:rPr>
          <w:rFonts w:ascii="Times New Roman" w:hAnsi="Times New Roman"/>
          <w:sz w:val="24"/>
          <w:szCs w:val="24"/>
        </w:rPr>
        <w:t>La euforia provocada por los buenos resultados trimestrales de JPMorgan y Goldman Sachs, que han batido de largo las previsiones, y el optimismo de cara a lo</w:t>
      </w:r>
      <w:r>
        <w:rPr>
          <w:rFonts w:ascii="Times New Roman" w:hAnsi="Times New Roman"/>
          <w:sz w:val="24"/>
          <w:szCs w:val="24"/>
        </w:rPr>
        <w:t>s que todavía están por llegar -</w:t>
      </w:r>
      <w:r w:rsidRPr="00247838">
        <w:rPr>
          <w:rFonts w:ascii="Times New Roman" w:hAnsi="Times New Roman"/>
          <w:sz w:val="24"/>
          <w:szCs w:val="24"/>
        </w:rPr>
        <w:t>Bank of America, Morgan Stanley, Wells Fargo…- han borrado de un plumazo el recuerdo de las horas más negras en la historia del sistema financiero norteamericano. Y eso que apenas ha transcurrido un año desde entonces</w:t>
      </w:r>
      <w:r>
        <w:rPr>
          <w:rFonts w:ascii="Times New Roman" w:hAnsi="Times New Roman"/>
          <w:sz w:val="24"/>
          <w:szCs w:val="24"/>
        </w:rPr>
        <w:t>”</w:t>
      </w:r>
      <w:r w:rsidRPr="00247838">
        <w:rPr>
          <w:rFonts w:ascii="Times New Roman" w:hAnsi="Times New Roman"/>
          <w:sz w:val="24"/>
          <w:szCs w:val="24"/>
        </w:rPr>
        <w:t>.</w:t>
      </w:r>
      <w:r w:rsidRPr="003B6939">
        <w:rPr>
          <w:rFonts w:ascii="Times New Roman" w:hAnsi="Times New Roman"/>
          <w:sz w:val="24"/>
          <w:szCs w:val="24"/>
          <w:u w:val="single"/>
        </w:rPr>
        <w:t>Los bancos de EEUU repartirán 140.000 millones en bonus este año</w:t>
      </w:r>
      <w:r w:rsidRPr="003B6939">
        <w:rPr>
          <w:rFonts w:ascii="Times New Roman" w:hAnsi="Times New Roman"/>
          <w:sz w:val="24"/>
          <w:szCs w:val="24"/>
        </w:rPr>
        <w:t xml:space="preserve"> (El Confidencial - </w:t>
      </w:r>
      <w:r w:rsidRPr="003B6939">
        <w:rPr>
          <w:rFonts w:ascii="Times New Roman" w:hAnsi="Times New Roman"/>
          <w:b/>
          <w:sz w:val="24"/>
          <w:szCs w:val="24"/>
        </w:rPr>
        <w:t>15/10/09</w:t>
      </w:r>
      <w:r>
        <w:rPr>
          <w:rFonts w:ascii="Times New Roman" w:hAnsi="Times New Roman"/>
          <w:sz w:val="24"/>
          <w:szCs w:val="24"/>
        </w:rPr>
        <w:t xml:space="preserve"> - </w:t>
      </w:r>
      <w:r w:rsidRPr="003B6939">
        <w:rPr>
          <w:rFonts w:ascii="Times New Roman" w:hAnsi="Times New Roman"/>
          <w:sz w:val="24"/>
          <w:szCs w:val="24"/>
        </w:rPr>
        <w:t>Por María Igartua)</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Los golpes de pecho, los rescates millonarios, la indignación por las retribuciones de los mismos ejecutivos que hicieron tambalearse a Wall Street son ya una bruma del pasado. JPMorgan ha ganado en el tercer trimestre más de 3.500 millones de dólares y Goldman Sachs más de 3.000 millones. Además, tanto estos dos, como Morgan Stanley, han devuelto el dinero recibido de los fondos del TARP, es decir, el dinero de los contribuyentes que les dejó el Estado para salir del escollo en el que ellos mismos se habían metido y Bank of America espera hacer lo mismo antes de que acabe el mes.</w:t>
      </w:r>
    </w:p>
    <w:p w:rsidR="002F07D4" w:rsidRPr="00247838" w:rsidRDefault="002F07D4" w:rsidP="002F07D4">
      <w:pPr>
        <w:spacing w:line="240" w:lineRule="auto"/>
        <w:jc w:val="both"/>
        <w:rPr>
          <w:rFonts w:ascii="Times New Roman" w:hAnsi="Times New Roman"/>
          <w:sz w:val="24"/>
          <w:szCs w:val="24"/>
        </w:rPr>
      </w:pPr>
      <w:r w:rsidRPr="00247838">
        <w:rPr>
          <w:rFonts w:ascii="Times New Roman" w:hAnsi="Times New Roman"/>
          <w:sz w:val="24"/>
          <w:szCs w:val="24"/>
        </w:rPr>
        <w:t>Llegados a este punto, aunque el sector bancario haya devuelto las ayudas, ¿es moralmente lícito repartir semejante suma de dinero? Hay que tener en cuenta que, aunque parece que los mercados comienzan a recuperarse y los bancos están a salvo, la crisis que ellos mismos han provocado la siguen pagando los ciudadanos. La caída del poder adquisitivo de las familias y el descomunal paro que azota al país se está cebando con los mismos cuyos impuestos han servido para solucionar los descalabros financieros que ha provocado una exposición irresponsable al riesgo.</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 xml:space="preserve">En 2008 las ayudas públicas que recibieron nueve de los principales bancos de Estados Unidos ascendieron a 175.000 millones de dólares, mientras que los bonus distribuidos por éstos hicieron un total de 32.600 millones, según las cifras que publicó Andrew M. Cuomo, Fiscal General de Nueva York, el pasado mes de julio. </w:t>
      </w:r>
    </w:p>
    <w:p w:rsidR="002F07D4" w:rsidRPr="003B6939" w:rsidRDefault="002F07D4" w:rsidP="002F07D4">
      <w:pPr>
        <w:spacing w:line="240" w:lineRule="auto"/>
        <w:jc w:val="both"/>
        <w:rPr>
          <w:rFonts w:ascii="Times New Roman" w:hAnsi="Times New Roman"/>
          <w:sz w:val="24"/>
          <w:szCs w:val="24"/>
        </w:rPr>
      </w:pPr>
      <w:r>
        <w:rPr>
          <w:rFonts w:ascii="Times New Roman" w:hAnsi="Times New Roman"/>
          <w:sz w:val="24"/>
          <w:szCs w:val="24"/>
        </w:rPr>
        <w:t>Bajo el título “</w:t>
      </w:r>
      <w:r w:rsidRPr="003B6939">
        <w:rPr>
          <w:rFonts w:ascii="Times New Roman" w:hAnsi="Times New Roman"/>
          <w:sz w:val="24"/>
          <w:szCs w:val="24"/>
        </w:rPr>
        <w:t>Sin ton ni son, l</w:t>
      </w:r>
      <w:r>
        <w:rPr>
          <w:rFonts w:ascii="Times New Roman" w:hAnsi="Times New Roman"/>
          <w:sz w:val="24"/>
          <w:szCs w:val="24"/>
        </w:rPr>
        <w:t>a cultura bancaria de los bonus”</w:t>
      </w:r>
      <w:r w:rsidRPr="003B6939">
        <w:rPr>
          <w:rFonts w:ascii="Times New Roman" w:hAnsi="Times New Roman"/>
          <w:sz w:val="24"/>
          <w:szCs w:val="24"/>
        </w:rPr>
        <w:t xml:space="preserve">, Cuomo arremetía contra el sistema financiero norteamericano. “Cuando los bancos lo hicieron bien, sus empleados fueron bien pagados”, aseguraba. “Cuando los bancos lo hicieron muy mal, sus empleados fueron bien pagados”.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Del informe se desprenden los siguientes datos:</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 xml:space="preserve">Bank of America: 4.000 millones (beneficio), 3.300 millones (bonus), 45.000 millones (ayudas)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 xml:space="preserve">Bank of NY Mellon: 1.400 millones (beneficio), 945 millones (bonus), 3.000 millones (ayudas)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 xml:space="preserve">Citigroup: -27.700 millones (pérdidas), 5.330 millones (bonus), 45.000 millones (ayudas)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 xml:space="preserve">Goldman Sachs: 2.322 millones (beneficio), 4.823 millones (bonus), 10.000 millones (ayudas)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 xml:space="preserve">JPMorgan Chase: 5.600 millones (beneficio), 8.693 millones (bonus), 25.000 millones (ayudas)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lastRenderedPageBreak/>
        <w:t xml:space="preserve">Merrill Lynch: -27.600 millones (pérdidas), 3.600 millones (bonus), 10.000 millones (ayudas)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 xml:space="preserve">Morgan Stanley: 1.707millones (beneficio), 4.475 millones (bonus), 10.000 millones (ayudas)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 xml:space="preserve">State Street: 1.811 millones (beneficio), 470 millones (bonus), 2.000 millones (ayudas)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 xml:space="preserve">Wells Fargo: -42.933 millones (pérdidas), 977 millones (bonus), 25.000 millones (ayudas) </w:t>
      </w:r>
    </w:p>
    <w:p w:rsidR="002F07D4" w:rsidRPr="003B6939" w:rsidRDefault="002F07D4" w:rsidP="002F07D4">
      <w:pPr>
        <w:spacing w:line="240" w:lineRule="auto"/>
        <w:jc w:val="both"/>
        <w:rPr>
          <w:rFonts w:ascii="Times New Roman" w:hAnsi="Times New Roman"/>
          <w:sz w:val="24"/>
          <w:szCs w:val="24"/>
        </w:rPr>
      </w:pPr>
      <w:r w:rsidRPr="003B6939">
        <w:rPr>
          <w:rFonts w:ascii="Times New Roman" w:hAnsi="Times New Roman"/>
          <w:sz w:val="24"/>
          <w:szCs w:val="24"/>
        </w:rPr>
        <w:t>Este año, los bonus superarán en miles de dólares a los del año pasado. ¿Todavía no se ha aprendido la lección?</w:t>
      </w:r>
    </w:p>
    <w:p w:rsidR="002F07D4" w:rsidRPr="00D6432F" w:rsidRDefault="002F07D4" w:rsidP="002F07D4">
      <w:pPr>
        <w:spacing w:line="240" w:lineRule="auto"/>
        <w:jc w:val="both"/>
        <w:rPr>
          <w:rFonts w:ascii="Times New Roman" w:hAnsi="Times New Roman"/>
          <w:b/>
          <w:sz w:val="24"/>
          <w:szCs w:val="24"/>
        </w:rPr>
      </w:pPr>
      <w:r w:rsidRPr="00D6432F">
        <w:rPr>
          <w:rFonts w:ascii="Times New Roman" w:hAnsi="Times New Roman"/>
          <w:b/>
          <w:sz w:val="24"/>
          <w:szCs w:val="24"/>
        </w:rPr>
        <w:t>Tiburones en las “piscinas oscuras” (tinta de “calamar vampiro”)</w:t>
      </w:r>
    </w:p>
    <w:p w:rsidR="002F07D4" w:rsidRPr="006F7CA8"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6F7CA8">
        <w:rPr>
          <w:rFonts w:ascii="Times New Roman" w:hAnsi="Times New Roman"/>
          <w:sz w:val="24"/>
          <w:szCs w:val="24"/>
        </w:rPr>
        <w:t>Los bancos de EEUU repartirán 140.000 millones en bonus este año. De esta cantidad, 16.700 millones irán a parar a los bolsillos de los directivos de Goldman Sachs. Esta cifra supone un aumento del 46% respecto a la cifra del año pasado, aunque todavía es significativamente inferior a los 20.120 millones repartidos en 2007, la cantidad más elevada en la historia de la entidad.</w:t>
      </w:r>
    </w:p>
    <w:p w:rsidR="002F07D4" w:rsidRPr="00FA4A2C" w:rsidRDefault="002F07D4" w:rsidP="002F07D4">
      <w:pPr>
        <w:spacing w:line="240" w:lineRule="auto"/>
        <w:jc w:val="both"/>
        <w:rPr>
          <w:rFonts w:ascii="Times New Roman" w:hAnsi="Times New Roman"/>
          <w:color w:val="FF0000"/>
          <w:sz w:val="24"/>
          <w:szCs w:val="24"/>
        </w:rPr>
      </w:pPr>
      <w:r w:rsidRPr="00CB1194">
        <w:rPr>
          <w:rFonts w:ascii="Times New Roman" w:hAnsi="Times New Roman"/>
          <w:sz w:val="24"/>
          <w:szCs w:val="24"/>
        </w:rPr>
        <w:t>Las especulaciones y los rumores sobre las bonificaciones del próximo año ya circulan por la Gran Manzana. Bloomberg habla de regalos de 1.000 millones de dólares o más. Sólo un pequeño grupo de directivos conoce los detalles al respecto, aunque, según aseguran al portal financiero fuentes conocedoras de las compensaciones, todavía no se ha alcanzado ninguna decisión definitiva</w:t>
      </w:r>
      <w:r>
        <w:rPr>
          <w:rFonts w:ascii="Times New Roman" w:hAnsi="Times New Roman"/>
          <w:sz w:val="24"/>
          <w:szCs w:val="24"/>
        </w:rPr>
        <w:t>”</w:t>
      </w:r>
      <w:r w:rsidRPr="00CB1194">
        <w:rPr>
          <w:rFonts w:ascii="Times New Roman" w:hAnsi="Times New Roman"/>
          <w:sz w:val="24"/>
          <w:szCs w:val="24"/>
        </w:rPr>
        <w:t xml:space="preserve">. </w:t>
      </w:r>
      <w:r w:rsidRPr="00F23CD4">
        <w:rPr>
          <w:rFonts w:ascii="Times New Roman" w:hAnsi="Times New Roman"/>
          <w:sz w:val="24"/>
          <w:szCs w:val="24"/>
          <w:u w:val="single"/>
        </w:rPr>
        <w:t>Goldman lanza una ofensiva de marketing para lavar su imagen por el pago de bonus millonarios</w:t>
      </w:r>
      <w:r>
        <w:rPr>
          <w:rFonts w:ascii="Times New Roman" w:hAnsi="Times New Roman"/>
          <w:sz w:val="24"/>
          <w:szCs w:val="24"/>
        </w:rPr>
        <w:t xml:space="preserve"> (El Confidencial - </w:t>
      </w:r>
      <w:r w:rsidRPr="00F23CD4">
        <w:rPr>
          <w:rFonts w:ascii="Times New Roman" w:hAnsi="Times New Roman"/>
          <w:b/>
          <w:sz w:val="24"/>
          <w:szCs w:val="24"/>
        </w:rPr>
        <w:t>19/10/09</w:t>
      </w:r>
      <w:r>
        <w:rPr>
          <w:rFonts w:ascii="Times New Roman" w:hAnsi="Times New Roman"/>
          <w:sz w:val="24"/>
          <w:szCs w:val="24"/>
        </w:rPr>
        <w:t xml:space="preserve">) </w:t>
      </w:r>
    </w:p>
    <w:p w:rsidR="002F07D4" w:rsidRPr="006F7CA8" w:rsidRDefault="002F07D4" w:rsidP="002F07D4">
      <w:pPr>
        <w:spacing w:line="240" w:lineRule="auto"/>
        <w:jc w:val="both"/>
        <w:rPr>
          <w:rFonts w:ascii="Times New Roman" w:hAnsi="Times New Roman"/>
          <w:sz w:val="24"/>
          <w:szCs w:val="24"/>
        </w:rPr>
      </w:pPr>
      <w:r w:rsidRPr="006F7CA8">
        <w:rPr>
          <w:rFonts w:ascii="Times New Roman" w:hAnsi="Times New Roman"/>
          <w:sz w:val="24"/>
          <w:szCs w:val="24"/>
        </w:rPr>
        <w:t xml:space="preserve">El banco se encuentra ahora ante un dilema: cuanto más dinero genera, mayor hostilidad provoca en la opinión pública, algo que Lloyd Blankfein, su presidente, quiere evitar a toda costa. </w:t>
      </w:r>
    </w:p>
    <w:p w:rsidR="002F07D4" w:rsidRPr="006F7CA8" w:rsidRDefault="002F07D4" w:rsidP="002F07D4">
      <w:pPr>
        <w:spacing w:line="240" w:lineRule="auto"/>
        <w:jc w:val="both"/>
        <w:rPr>
          <w:rFonts w:ascii="Times New Roman" w:hAnsi="Times New Roman"/>
          <w:sz w:val="24"/>
          <w:szCs w:val="24"/>
        </w:rPr>
      </w:pPr>
      <w:r w:rsidRPr="006F7CA8">
        <w:rPr>
          <w:rFonts w:ascii="Times New Roman" w:hAnsi="Times New Roman"/>
          <w:sz w:val="24"/>
          <w:szCs w:val="24"/>
        </w:rPr>
        <w:t>Para ello, ha ideado y puesto en marcha una auténtica campaña de marketing y de lavado de imagen de la compañía.</w:t>
      </w:r>
    </w:p>
    <w:p w:rsidR="002F07D4" w:rsidRPr="00CB1194" w:rsidRDefault="002F07D4" w:rsidP="002F07D4">
      <w:pPr>
        <w:spacing w:line="240" w:lineRule="auto"/>
        <w:jc w:val="both"/>
        <w:rPr>
          <w:rFonts w:ascii="Times New Roman" w:hAnsi="Times New Roman"/>
          <w:sz w:val="24"/>
          <w:szCs w:val="24"/>
        </w:rPr>
      </w:pPr>
      <w:r w:rsidRPr="00CB1194">
        <w:rPr>
          <w:rFonts w:ascii="Times New Roman" w:hAnsi="Times New Roman"/>
          <w:sz w:val="24"/>
          <w:szCs w:val="24"/>
        </w:rPr>
        <w:t>Goldman ha comenzado por Blankfein, quien a través de diferentes entrevistas ha recordado a los ciudadanos de a pie sus orígenes humildes vendiendo cacahuetes y palomitas de maíz en el estadio de los Yankees, según cuenta The Wall Street Journal.</w:t>
      </w:r>
    </w:p>
    <w:p w:rsidR="002F07D4" w:rsidRPr="00CB1194" w:rsidRDefault="002F07D4" w:rsidP="002F07D4">
      <w:pPr>
        <w:spacing w:line="240" w:lineRule="auto"/>
        <w:jc w:val="both"/>
        <w:rPr>
          <w:rFonts w:ascii="Times New Roman" w:hAnsi="Times New Roman"/>
          <w:sz w:val="24"/>
          <w:szCs w:val="24"/>
        </w:rPr>
      </w:pPr>
      <w:r w:rsidRPr="00CB1194">
        <w:rPr>
          <w:rFonts w:ascii="Times New Roman" w:hAnsi="Times New Roman"/>
          <w:sz w:val="24"/>
          <w:szCs w:val="24"/>
        </w:rPr>
        <w:t xml:space="preserve">Los ejecutivos de la compañía también han incrementado de las donaciones benéficas y el banco les ha incentivado a hacerlo. De hecho, la propia entidad ha estado trabajando con Bridgespan Group, una firma de carácter benéfico. </w:t>
      </w:r>
    </w:p>
    <w:p w:rsidR="002F07D4" w:rsidRPr="00CB1194" w:rsidRDefault="002F07D4" w:rsidP="002F07D4">
      <w:pPr>
        <w:spacing w:line="240" w:lineRule="auto"/>
        <w:jc w:val="both"/>
        <w:rPr>
          <w:rFonts w:ascii="Times New Roman" w:hAnsi="Times New Roman"/>
          <w:sz w:val="24"/>
          <w:szCs w:val="24"/>
        </w:rPr>
      </w:pPr>
      <w:r w:rsidRPr="00CB1194">
        <w:rPr>
          <w:rFonts w:ascii="Times New Roman" w:hAnsi="Times New Roman"/>
          <w:sz w:val="24"/>
          <w:szCs w:val="24"/>
        </w:rPr>
        <w:t>Además, hay que recordar que Goldman Sachs puso en marcha una fundación en 1999 con una aportación de 200 millones de dólares. En la última década ha realizado donaciones por valor de 114 millones y durante el tercer trimestre de este año, el banco ha inyectado otr</w:t>
      </w:r>
      <w:r>
        <w:rPr>
          <w:rFonts w:ascii="Times New Roman" w:hAnsi="Times New Roman"/>
          <w:sz w:val="24"/>
          <w:szCs w:val="24"/>
        </w:rPr>
        <w:t>os 200 millones a la fundación.</w:t>
      </w:r>
    </w:p>
    <w:p w:rsidR="002F07D4" w:rsidRPr="006F7CA8" w:rsidRDefault="002F07D4" w:rsidP="002F07D4">
      <w:pPr>
        <w:spacing w:line="240" w:lineRule="auto"/>
        <w:jc w:val="both"/>
        <w:rPr>
          <w:rFonts w:ascii="Times New Roman" w:hAnsi="Times New Roman"/>
          <w:sz w:val="24"/>
          <w:szCs w:val="24"/>
        </w:rPr>
      </w:pPr>
      <w:r w:rsidRPr="006F7CA8">
        <w:rPr>
          <w:rFonts w:ascii="Times New Roman" w:hAnsi="Times New Roman"/>
          <w:sz w:val="24"/>
          <w:szCs w:val="24"/>
        </w:rPr>
        <w:t xml:space="preserve">Tal estrategia podría ayudar a Goldman a evitar cualquier rechazo del público a cuenta de las altas bonificaciones de este año, que se decidirán hacia el final del cuarto trimestre y se pagarán en enero. </w:t>
      </w:r>
    </w:p>
    <w:p w:rsidR="002F07D4" w:rsidRDefault="002F07D4" w:rsidP="002F07D4">
      <w:pPr>
        <w:spacing w:line="240" w:lineRule="auto"/>
        <w:jc w:val="both"/>
        <w:rPr>
          <w:rFonts w:ascii="Times New Roman" w:hAnsi="Times New Roman"/>
          <w:sz w:val="24"/>
          <w:szCs w:val="24"/>
        </w:rPr>
      </w:pPr>
      <w:r w:rsidRPr="006F7CA8">
        <w:rPr>
          <w:rFonts w:ascii="Times New Roman" w:hAnsi="Times New Roman"/>
          <w:sz w:val="24"/>
          <w:szCs w:val="24"/>
        </w:rPr>
        <w:lastRenderedPageBreak/>
        <w:t>Luigi Zingales, catedrático de finanzas de la Escuela de Negocios Booth de la Universidad de Chicago, dice que tratar de explicarle al público los miles de millones en bonus casi un año después de que Goldman recibiera una inyección de capital de 10.000 millones de dólares por parte del gobierno de Estados Unidos y fortaleciera su liquidez al convertirse en un holding bancario, e</w:t>
      </w:r>
      <w:r>
        <w:rPr>
          <w:rFonts w:ascii="Times New Roman" w:hAnsi="Times New Roman"/>
          <w:sz w:val="24"/>
          <w:szCs w:val="24"/>
        </w:rPr>
        <w:t>s para muchos el equivalente a “</w:t>
      </w:r>
      <w:r w:rsidRPr="006F7CA8">
        <w:rPr>
          <w:rFonts w:ascii="Times New Roman" w:hAnsi="Times New Roman"/>
          <w:sz w:val="24"/>
          <w:szCs w:val="24"/>
        </w:rPr>
        <w:t>poner</w:t>
      </w:r>
      <w:r>
        <w:rPr>
          <w:rFonts w:ascii="Times New Roman" w:hAnsi="Times New Roman"/>
          <w:sz w:val="24"/>
          <w:szCs w:val="24"/>
        </w:rPr>
        <w:t>le pintalabios a un cerdo”</w:t>
      </w:r>
      <w:r w:rsidRPr="006F7CA8">
        <w:rPr>
          <w:rFonts w:ascii="Times New Roman" w:hAnsi="Times New Roman"/>
          <w:sz w:val="24"/>
          <w:szCs w:val="24"/>
        </w:rPr>
        <w:t xml:space="preserve">. Las denuncias de las prácticas de remuneración de la industria por parte del Fiscal General de Nueva York, Andrew Cuomo, en un informe publicado en julio indicó que 953 empleados de Goldman recibieron bonificaciones de al menos un millón de dólares en 2008, según The Wall Street Journal. </w:t>
      </w:r>
    </w:p>
    <w:p w:rsidR="002F07D4" w:rsidRPr="006F7CA8" w:rsidRDefault="002F07D4" w:rsidP="002F07D4">
      <w:pPr>
        <w:spacing w:line="240" w:lineRule="auto"/>
        <w:jc w:val="both"/>
        <w:rPr>
          <w:rFonts w:ascii="Times New Roman" w:hAnsi="Times New Roman"/>
          <w:sz w:val="24"/>
          <w:szCs w:val="24"/>
        </w:rPr>
      </w:pPr>
      <w:r w:rsidRPr="006F7CA8">
        <w:rPr>
          <w:rFonts w:ascii="Times New Roman" w:hAnsi="Times New Roman"/>
          <w:sz w:val="24"/>
          <w:szCs w:val="24"/>
        </w:rPr>
        <w:t>El portavoz de Goldman, Lucas van Praag, ha declarado que la ofensiva de marketing es necesaria para responder a las exageraciones informaciones que han rodeado a la compañía desde qu</w:t>
      </w:r>
      <w:r>
        <w:rPr>
          <w:rFonts w:ascii="Times New Roman" w:hAnsi="Times New Roman"/>
          <w:sz w:val="24"/>
          <w:szCs w:val="24"/>
        </w:rPr>
        <w:t>e empezó la crisis financiera. “</w:t>
      </w:r>
      <w:r w:rsidRPr="006F7CA8">
        <w:rPr>
          <w:rFonts w:ascii="Times New Roman" w:hAnsi="Times New Roman"/>
          <w:sz w:val="24"/>
          <w:szCs w:val="24"/>
        </w:rPr>
        <w:t xml:space="preserve">En un mundo que parece estar al revés, en el que las virtudes son vistas como vicios, es importante que expliquemos nuestro modelo de negocios a un público más amplio, por qué es importante lo que hacemos y por qué y </w:t>
      </w:r>
      <w:r>
        <w:rPr>
          <w:rFonts w:ascii="Times New Roman" w:hAnsi="Times New Roman"/>
          <w:sz w:val="24"/>
          <w:szCs w:val="24"/>
        </w:rPr>
        <w:t>cómo le pagamos a nuestra gente”</w:t>
      </w:r>
      <w:r w:rsidRPr="006F7CA8">
        <w:rPr>
          <w:rFonts w:ascii="Times New Roman" w:hAnsi="Times New Roman"/>
          <w:sz w:val="24"/>
          <w:szCs w:val="24"/>
        </w:rPr>
        <w:t xml:space="preserve">, dijo van Praag. </w:t>
      </w:r>
    </w:p>
    <w:p w:rsidR="002F07D4" w:rsidRPr="006F7CA8" w:rsidRDefault="002F07D4" w:rsidP="002F07D4">
      <w:pPr>
        <w:spacing w:line="240" w:lineRule="auto"/>
        <w:jc w:val="both"/>
        <w:rPr>
          <w:rFonts w:ascii="Times New Roman" w:hAnsi="Times New Roman"/>
          <w:sz w:val="24"/>
          <w:szCs w:val="24"/>
        </w:rPr>
      </w:pPr>
      <w:r w:rsidRPr="006F7CA8">
        <w:rPr>
          <w:rFonts w:ascii="Times New Roman" w:hAnsi="Times New Roman"/>
          <w:sz w:val="24"/>
          <w:szCs w:val="24"/>
        </w:rPr>
        <w:t xml:space="preserve">Los tres grandes ejecutivos de Goldman Sachs -Blankfein, el presidente Gary Cohn y el director financiero, David Viniar- tienen, de manera conjunta cerca de 1.390 millones de dólares en acciones del banco. En los últimos cinco años, Blankfein ha recibido 91,3 millones incluyendo su salario y las bonificaciones, mientras que Viniar ha sido premiado con 67,8 millones. </w:t>
      </w:r>
    </w:p>
    <w:p w:rsidR="002F07D4" w:rsidRPr="00D6432F" w:rsidRDefault="002F07D4" w:rsidP="002F07D4">
      <w:pPr>
        <w:spacing w:line="240" w:lineRule="auto"/>
        <w:jc w:val="both"/>
        <w:rPr>
          <w:rFonts w:ascii="Times New Roman" w:hAnsi="Times New Roman"/>
          <w:b/>
          <w:sz w:val="24"/>
          <w:szCs w:val="24"/>
        </w:rPr>
      </w:pPr>
      <w:r w:rsidRPr="00D6432F">
        <w:rPr>
          <w:rFonts w:ascii="Times New Roman" w:hAnsi="Times New Roman"/>
          <w:b/>
          <w:sz w:val="24"/>
          <w:szCs w:val="24"/>
        </w:rPr>
        <w:t>Bonificaciones absurdas (“sin rima ni motivo”)</w:t>
      </w:r>
    </w:p>
    <w:p w:rsidR="002F07D4" w:rsidRPr="00C37A7E" w:rsidRDefault="002F07D4" w:rsidP="002F07D4">
      <w:pPr>
        <w:spacing w:line="240" w:lineRule="auto"/>
        <w:jc w:val="both"/>
        <w:rPr>
          <w:rFonts w:ascii="Times New Roman" w:hAnsi="Times New Roman"/>
          <w:sz w:val="24"/>
          <w:szCs w:val="24"/>
        </w:rPr>
      </w:pPr>
      <w:r w:rsidRPr="00C37A7E">
        <w:rPr>
          <w:rFonts w:ascii="Times New Roman" w:hAnsi="Times New Roman"/>
          <w:sz w:val="24"/>
          <w:szCs w:val="24"/>
        </w:rPr>
        <w:t>El mundo de las finanzas, como el de la guerra, no puede vivir sin recompensas. Apenas ha pasado un año del estallido de la peor crisis de la historia reciente y los bancos ya se las están arreglando para volver a remunerar a sus ejecutivos bajo los mismos modelos que los hubieran llevado a la bancarrota de no ser por la intervención de los gobiernos. Unos siguen el ejemplo de la banca británica que está devolviendo el dinero estatal para sentirse moralmente libre. Otros, como en Francia, esconden los bonos bajo artificios contables. En EEUU, en cambio, se premian descaradamente</w:t>
      </w:r>
    </w:p>
    <w:p w:rsidR="002F07D4" w:rsidRPr="00C37A7E" w:rsidRDefault="002F07D4" w:rsidP="002F07D4">
      <w:pPr>
        <w:spacing w:line="240" w:lineRule="auto"/>
        <w:jc w:val="both"/>
        <w:rPr>
          <w:rFonts w:ascii="Times New Roman" w:hAnsi="Times New Roman"/>
          <w:sz w:val="24"/>
          <w:szCs w:val="24"/>
        </w:rPr>
      </w:pPr>
      <w:r w:rsidRPr="00C37A7E">
        <w:rPr>
          <w:rFonts w:ascii="Times New Roman" w:hAnsi="Times New Roman"/>
          <w:sz w:val="24"/>
          <w:szCs w:val="24"/>
        </w:rPr>
        <w:t>Y empiezan a surgir los detalles corrosivos del asunto. No sólo la mayoría de los bancos de inversión y gestores han tenido que despedir trabajadores (se calcula que el paro en Wall Street ha pasado del 4,5% al 9% en el último año), sino que han recibido ayudas públicas. Y aparecen las bonificaciones absurdas, como la de la arruinada aseguradora AIG que paga 7.700 dólares de prima a un ayudante de cocina. Se trata de la misma AIG cuyos ejecutivos se gastaron 440.000 dólares el año pasado en una fiesta en Florida para celebrar que iban a ser rescatados de la quiebra con dinero de todos los contribuyentes. En el último curso, Washington ha inyectado a AIG 180.000 millones de dólares.</w:t>
      </w:r>
    </w:p>
    <w:p w:rsidR="002F07D4" w:rsidRPr="00C37A7E" w:rsidRDefault="002F07D4" w:rsidP="002F07D4">
      <w:pPr>
        <w:spacing w:line="240" w:lineRule="auto"/>
        <w:jc w:val="both"/>
        <w:rPr>
          <w:rFonts w:ascii="Times New Roman" w:hAnsi="Times New Roman"/>
          <w:sz w:val="24"/>
          <w:szCs w:val="24"/>
        </w:rPr>
      </w:pPr>
      <w:r w:rsidRPr="00C37A7E">
        <w:rPr>
          <w:rFonts w:ascii="Times New Roman" w:hAnsi="Times New Roman"/>
          <w:sz w:val="24"/>
          <w:szCs w:val="24"/>
        </w:rPr>
        <w:t>Barack Obama ha nombrado a Kennet Feinberg, funcionario del Tesoro de EEUU, como responsable de controlar el pago de bonificaciones en las entidades que han recibido ayudas públicas. Feinberg se ha encontrado con las manos atadas ya que los mejores abogados del mundo han sido contratados para diseñar fórmulas de compensación que escapan a las leyes aprobadas en Washington. Obviamente los letrados reciben jugosos estipendios a cambio de lograr los objetivos que les marcan los mismos ejecutivos que más tarde cobrarán los bonos.</w:t>
      </w:r>
    </w:p>
    <w:p w:rsidR="002F07D4" w:rsidRPr="009954A7" w:rsidRDefault="002F07D4" w:rsidP="002F07D4">
      <w:pPr>
        <w:spacing w:line="240" w:lineRule="auto"/>
        <w:jc w:val="both"/>
        <w:rPr>
          <w:rFonts w:ascii="Times New Roman" w:hAnsi="Times New Roman"/>
          <w:sz w:val="24"/>
          <w:szCs w:val="24"/>
        </w:rPr>
      </w:pPr>
      <w:r w:rsidRPr="009954A7">
        <w:rPr>
          <w:rFonts w:ascii="Times New Roman" w:hAnsi="Times New Roman"/>
          <w:sz w:val="24"/>
          <w:szCs w:val="24"/>
        </w:rPr>
        <w:lastRenderedPageBreak/>
        <w:t xml:space="preserve">La mayoría de los financieros de Wall Street argumentan que sus sistemas de remuneraciones están íntimamente ligados al cumplimiento de objetivos y que los empleados comparten el destino de la compañía tanto cuando le va bien como cuando le va mal. Cuomo elaboró en unos pocos folios una argumentación contundente </w:t>
      </w:r>
      <w:r w:rsidR="00C5164B">
        <w:rPr>
          <w:rFonts w:ascii="Times New Roman" w:hAnsi="Times New Roman"/>
          <w:sz w:val="24"/>
          <w:szCs w:val="24"/>
        </w:rPr>
        <w:t>que desmiente esta afirmación: “</w:t>
      </w:r>
      <w:r w:rsidRPr="009954A7">
        <w:rPr>
          <w:rFonts w:ascii="Times New Roman" w:hAnsi="Times New Roman"/>
          <w:sz w:val="24"/>
          <w:szCs w:val="24"/>
        </w:rPr>
        <w:t>No hay una explicación clara a la manera en que los bancos pagan y recompensan a sus ejecutivos... Cuando los bancos lo han hecho bien, los ejecutivos cobraron bien. Cuando los bancos lo hicieron mal, los ejecutivos cobraron bien. Y cuando los bancos lo hicieron muy mal y tuvieron que ser rescatados con dinero de los contribuyentes, los ejecuti</w:t>
      </w:r>
      <w:r w:rsidR="00C5164B">
        <w:rPr>
          <w:rFonts w:ascii="Times New Roman" w:hAnsi="Times New Roman"/>
          <w:sz w:val="24"/>
          <w:szCs w:val="24"/>
        </w:rPr>
        <w:t>vos siguieron cobrando muy bien”</w:t>
      </w:r>
      <w:r w:rsidRPr="009954A7">
        <w:rPr>
          <w:rFonts w:ascii="Times New Roman" w:hAnsi="Times New Roman"/>
          <w:sz w:val="24"/>
          <w:szCs w:val="24"/>
        </w:rPr>
        <w:t>.</w:t>
      </w:r>
    </w:p>
    <w:p w:rsidR="002F07D4" w:rsidRPr="00F23CD4" w:rsidRDefault="002F07D4" w:rsidP="002F07D4">
      <w:pPr>
        <w:spacing w:line="240" w:lineRule="auto"/>
        <w:jc w:val="both"/>
        <w:rPr>
          <w:rFonts w:ascii="Times New Roman" w:hAnsi="Times New Roman"/>
          <w:sz w:val="24"/>
          <w:szCs w:val="24"/>
        </w:rPr>
      </w:pPr>
      <w:r w:rsidRPr="00F23CD4">
        <w:rPr>
          <w:rFonts w:ascii="Times New Roman" w:hAnsi="Times New Roman"/>
          <w:sz w:val="24"/>
          <w:szCs w:val="24"/>
        </w:rPr>
        <w:t>Y sus números son indesmentibles. Citigroup y Merrill Lynch tuvieron en 2008 pérdidas de más de 27.000 millones de dólares. Sin embargo, Citigroup pagó 5.330 millones en bonos y Merrill, 3.600 millones. Ambos perdieron 54.000 millones, pagaron 9.000 millones en bonus y recibieron 55.000 millones de los contribuyentes para evitar su ruina.</w:t>
      </w:r>
    </w:p>
    <w:p w:rsidR="002F07D4" w:rsidRPr="00F23CD4" w:rsidRDefault="002F07D4" w:rsidP="002F07D4">
      <w:pPr>
        <w:spacing w:line="240" w:lineRule="auto"/>
        <w:jc w:val="both"/>
        <w:rPr>
          <w:rFonts w:ascii="Times New Roman" w:hAnsi="Times New Roman"/>
          <w:sz w:val="24"/>
          <w:szCs w:val="24"/>
        </w:rPr>
      </w:pPr>
      <w:r w:rsidRPr="00F23CD4">
        <w:rPr>
          <w:rFonts w:ascii="Times New Roman" w:hAnsi="Times New Roman"/>
          <w:sz w:val="24"/>
          <w:szCs w:val="24"/>
        </w:rPr>
        <w:t>J. P. Morgan, por ejemplo, que acaba de anunciar unas ganancias récord de 3.600 millones de dólares en el último trimestre (paso previo a anunciar un festín de recompensas), no lo ha hecho mejor: en 2008 ganó 1.700 millones, pagó 4.475 millones en bonificaciones y recibió 10.000 millones en ayudas públicas.</w:t>
      </w:r>
    </w:p>
    <w:p w:rsidR="002F07D4" w:rsidRPr="00C37A7E" w:rsidRDefault="002F07D4" w:rsidP="002F07D4">
      <w:pPr>
        <w:spacing w:line="240" w:lineRule="auto"/>
        <w:jc w:val="both"/>
        <w:rPr>
          <w:rFonts w:ascii="Times New Roman" w:hAnsi="Times New Roman"/>
          <w:sz w:val="24"/>
          <w:szCs w:val="24"/>
        </w:rPr>
      </w:pPr>
      <w:r w:rsidRPr="00C37A7E">
        <w:rPr>
          <w:rFonts w:ascii="Times New Roman" w:hAnsi="Times New Roman"/>
          <w:sz w:val="24"/>
          <w:szCs w:val="24"/>
        </w:rPr>
        <w:t>Dice Cuomo que las recompensas han pasado a formar parte de la cultura de Wall Street y son un elemento de competencia entre las compañías. Cuando Merrill Lynch, por ejemplo, entró en problemas, decidió desvincular sus bonos de los resultados para que sus empleados no se fueran con la competencia. Otras compañías donde había unidades con pérdidas pagaban bonos indiscriminadamente, estimulando también a aquellos que lo hacían mal y perdían dinero.</w:t>
      </w:r>
    </w:p>
    <w:p w:rsidR="002F07D4" w:rsidRDefault="002F07D4" w:rsidP="002F07D4">
      <w:pPr>
        <w:spacing w:line="240" w:lineRule="auto"/>
        <w:jc w:val="both"/>
        <w:rPr>
          <w:rFonts w:ascii="Times New Roman" w:hAnsi="Times New Roman"/>
          <w:sz w:val="24"/>
          <w:szCs w:val="24"/>
        </w:rPr>
      </w:pPr>
      <w:r w:rsidRPr="00C37A7E">
        <w:rPr>
          <w:rFonts w:ascii="Times New Roman" w:hAnsi="Times New Roman"/>
          <w:sz w:val="24"/>
          <w:szCs w:val="24"/>
        </w:rPr>
        <w:t>Cuomo concluye que la política de remuneracio</w:t>
      </w:r>
      <w:r>
        <w:rPr>
          <w:rFonts w:ascii="Times New Roman" w:hAnsi="Times New Roman"/>
          <w:sz w:val="24"/>
          <w:szCs w:val="24"/>
        </w:rPr>
        <w:t>nes de Wall Street consiste en “</w:t>
      </w:r>
      <w:r w:rsidRPr="00C37A7E">
        <w:rPr>
          <w:rFonts w:ascii="Times New Roman" w:hAnsi="Times New Roman"/>
          <w:sz w:val="24"/>
          <w:szCs w:val="24"/>
        </w:rPr>
        <w:t xml:space="preserve">una guerra irracional de bonos </w:t>
      </w:r>
      <w:r>
        <w:rPr>
          <w:rFonts w:ascii="Times New Roman" w:hAnsi="Times New Roman"/>
          <w:sz w:val="24"/>
          <w:szCs w:val="24"/>
        </w:rPr>
        <w:t>que amenaza a toda la industria”…</w:t>
      </w:r>
    </w:p>
    <w:p w:rsidR="002F07D4" w:rsidRPr="00FD649C" w:rsidRDefault="002F07D4" w:rsidP="002F07D4">
      <w:pPr>
        <w:pStyle w:val="NormalWeb"/>
        <w:shd w:val="clear" w:color="auto" w:fill="FFFFFF"/>
        <w:jc w:val="both"/>
        <w:rPr>
          <w:b/>
          <w:color w:val="161514"/>
        </w:rPr>
      </w:pPr>
      <w:r w:rsidRPr="00FD649C">
        <w:rPr>
          <w:b/>
          <w:color w:val="161514"/>
        </w:rPr>
        <w:t>A un año del estallido de la crisis… y la casa aún sin barrer</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5F014E">
        <w:rPr>
          <w:rFonts w:ascii="Times New Roman" w:hAnsi="Times New Roman"/>
          <w:sz w:val="24"/>
          <w:szCs w:val="24"/>
        </w:rPr>
        <w:t>La reforma regulatoria en Estados Unidos que impulsa el Partido Demócrata, por ejemplo, se ha entrampado en medio de las disputas entre diferentes reguladores, la ira de los bancos y la oposición de muchos legisladores que creen que un mayor rol del Estado en la economía sólo creará nuevos problemas</w:t>
      </w:r>
      <w:r>
        <w:rPr>
          <w:rFonts w:ascii="Times New Roman" w:hAnsi="Times New Roman"/>
          <w:sz w:val="24"/>
          <w:szCs w:val="24"/>
        </w:rPr>
        <w:t xml:space="preserve">”. </w:t>
      </w:r>
      <w:r w:rsidRPr="00F86D8B">
        <w:rPr>
          <w:rFonts w:ascii="Times New Roman" w:hAnsi="Times New Roman"/>
          <w:sz w:val="24"/>
          <w:szCs w:val="24"/>
          <w:u w:val="single"/>
        </w:rPr>
        <w:t>A un año del estallido de la crisis, la reforma financiera no se concreta</w:t>
      </w:r>
      <w:r>
        <w:rPr>
          <w:rFonts w:ascii="Times New Roman" w:hAnsi="Times New Roman"/>
          <w:sz w:val="24"/>
          <w:szCs w:val="24"/>
        </w:rPr>
        <w:t xml:space="preserve">(The Wall Street Journal - </w:t>
      </w:r>
      <w:r w:rsidRPr="00F86D8B">
        <w:rPr>
          <w:rFonts w:ascii="Times New Roman" w:hAnsi="Times New Roman"/>
          <w:b/>
          <w:sz w:val="24"/>
          <w:szCs w:val="24"/>
        </w:rPr>
        <w:t>10/9/09</w:t>
      </w:r>
      <w:r>
        <w:rPr>
          <w:rFonts w:ascii="Times New Roman" w:hAnsi="Times New Roman"/>
          <w:sz w:val="24"/>
          <w:szCs w:val="24"/>
        </w:rPr>
        <w:t xml:space="preserve"> - </w:t>
      </w:r>
      <w:r w:rsidRPr="00AB2B83">
        <w:rPr>
          <w:rFonts w:ascii="Times New Roman" w:hAnsi="Times New Roman"/>
          <w:sz w:val="24"/>
          <w:szCs w:val="24"/>
        </w:rPr>
        <w:t>Por David Enrich y Damian Paletta</w:t>
      </w:r>
      <w:r>
        <w:rPr>
          <w:rFonts w:ascii="Times New Roman" w:hAnsi="Times New Roman"/>
          <w:sz w:val="24"/>
          <w:szCs w:val="24"/>
        </w:rPr>
        <w:t>)</w:t>
      </w:r>
    </w:p>
    <w:p w:rsidR="002F07D4" w:rsidRPr="003677D8" w:rsidRDefault="002F07D4" w:rsidP="002F07D4">
      <w:pPr>
        <w:spacing w:line="240" w:lineRule="auto"/>
        <w:jc w:val="both"/>
        <w:rPr>
          <w:rFonts w:ascii="Times New Roman" w:hAnsi="Times New Roman"/>
          <w:sz w:val="24"/>
          <w:szCs w:val="24"/>
        </w:rPr>
      </w:pPr>
      <w:r w:rsidRPr="003677D8">
        <w:rPr>
          <w:rFonts w:ascii="Times New Roman" w:hAnsi="Times New Roman"/>
          <w:sz w:val="24"/>
          <w:szCs w:val="24"/>
        </w:rPr>
        <w:t>Mientras tanto, los principales bancos estadounidenses no sólo han vuelto a ser rentables, sino que muestran cierta soberbia. Las ganancias han mejorado, los jugosos paquetes de remuneración están de vuelta, al igual que las apuestas riesgosas.</w:t>
      </w:r>
    </w:p>
    <w:p w:rsidR="002F07D4" w:rsidRPr="003677D8" w:rsidRDefault="002F07D4" w:rsidP="002F07D4">
      <w:pPr>
        <w:spacing w:line="240" w:lineRule="auto"/>
        <w:jc w:val="both"/>
        <w:rPr>
          <w:rFonts w:ascii="Times New Roman" w:hAnsi="Times New Roman"/>
          <w:sz w:val="24"/>
          <w:szCs w:val="24"/>
        </w:rPr>
      </w:pPr>
      <w:r w:rsidRPr="003677D8">
        <w:rPr>
          <w:rFonts w:ascii="Times New Roman" w:hAnsi="Times New Roman"/>
          <w:sz w:val="24"/>
          <w:szCs w:val="24"/>
        </w:rPr>
        <w:t>Las empresas han vuelto a vender productos financieros exóticos parecidos a los que derribaron a los mercados y a la economía mundial a fines del año pasado. Y el apetito por el riesgo ha vuelto a aumentar. Los cinco mayores bancos estadounidenses podrían haber perdido, en conjunto, cerca de US$ 1.000 millones al día en el segundo trimestre de 2009 en caso de que sus apuestas hubieran salido mal, un nivel récord.</w:t>
      </w:r>
    </w:p>
    <w:p w:rsidR="002F07D4" w:rsidRPr="003677D8" w:rsidRDefault="002F07D4" w:rsidP="002F07D4">
      <w:pPr>
        <w:spacing w:line="240" w:lineRule="auto"/>
        <w:jc w:val="both"/>
        <w:rPr>
          <w:rFonts w:ascii="Times New Roman" w:hAnsi="Times New Roman"/>
          <w:sz w:val="24"/>
          <w:szCs w:val="24"/>
        </w:rPr>
      </w:pPr>
      <w:r w:rsidRPr="003677D8">
        <w:rPr>
          <w:rFonts w:ascii="Times New Roman" w:hAnsi="Times New Roman"/>
          <w:sz w:val="24"/>
          <w:szCs w:val="24"/>
        </w:rPr>
        <w:t xml:space="preserve">Ahora, el gobierno estadounidense ha caído en una suerte de limbo regulatorio. El gobierno insiste en que se mantiene fiel a su compromiso de impedir que la historia se </w:t>
      </w:r>
      <w:r w:rsidRPr="003677D8">
        <w:rPr>
          <w:rFonts w:ascii="Times New Roman" w:hAnsi="Times New Roman"/>
          <w:sz w:val="24"/>
          <w:szCs w:val="24"/>
        </w:rPr>
        <w:lastRenderedPageBreak/>
        <w:t>repita y ha solicitado nuevas facultades para hacerlo. Si hoy colapsaran los mercados o un banco importante se declarara en bancarrota, tiene pocas alternativas a su disposición, salvo lanzar un nuevo rescate. “No hay un cambio fundamental en la manera en que los bancos son gestionados o regulados”, afirma Peter J. Solomon, un ex vicepresidente de Lehman que ahora dirige un banco de inversión en Nueva York. “Lo único es que hay menos bancos”.</w:t>
      </w:r>
    </w:p>
    <w:p w:rsidR="002F07D4" w:rsidRPr="003677D8" w:rsidRDefault="002F07D4" w:rsidP="002F07D4">
      <w:pPr>
        <w:spacing w:line="240" w:lineRule="auto"/>
        <w:jc w:val="both"/>
        <w:rPr>
          <w:rFonts w:ascii="Times New Roman" w:hAnsi="Times New Roman"/>
          <w:sz w:val="24"/>
          <w:szCs w:val="24"/>
        </w:rPr>
      </w:pPr>
      <w:r w:rsidRPr="003677D8">
        <w:rPr>
          <w:rFonts w:ascii="Times New Roman" w:hAnsi="Times New Roman"/>
          <w:sz w:val="24"/>
          <w:szCs w:val="24"/>
        </w:rPr>
        <w:t>El equipo económico del gobierno estadounidense no oculta su beneplácito ante la aparente recuperación de los mercados financieros y la economía, pero insiste en que aún siente una necesidad urgente de establecer nuevas reglas de juego. “No nos hacemos ninguna ilusión de que, si no intervenimos, las cosas evolucionarán por su cuenta hacia una normalidad saludable”, señala Lawrence Summers, director del Consejo Nacional Económico de la Casa Blanca durante una entrevista. “La preocupación... es que la reanudación de la confianza, que es positiva, no desemboque en un regreso de la arrogancia, que sería algo muy negativo”.</w:t>
      </w:r>
    </w:p>
    <w:p w:rsidR="002F07D4" w:rsidRPr="00AB2B83" w:rsidRDefault="002F07D4" w:rsidP="002F07D4">
      <w:pPr>
        <w:spacing w:line="240" w:lineRule="auto"/>
        <w:jc w:val="both"/>
        <w:rPr>
          <w:rFonts w:ascii="Times New Roman" w:hAnsi="Times New Roman"/>
          <w:sz w:val="24"/>
          <w:szCs w:val="24"/>
        </w:rPr>
      </w:pPr>
      <w:r w:rsidRPr="00AB2B83">
        <w:rPr>
          <w:rFonts w:ascii="Times New Roman" w:hAnsi="Times New Roman"/>
          <w:sz w:val="24"/>
          <w:szCs w:val="24"/>
        </w:rPr>
        <w:t>Las finanzas mundiales han estado en una auténtica montaña rusa desde el 14 de septiembre de 2008, el día que colapsó Lehman. El Promedio Industrial Dow Jones se precipitó de un cierre de 11.422 puntos el 12 de septiembre de 2008 a 6.547 puntos el nueve de marzo de 2009. Más</w:t>
      </w:r>
      <w:r w:rsidR="00C5164B">
        <w:rPr>
          <w:rFonts w:ascii="Times New Roman" w:hAnsi="Times New Roman"/>
          <w:sz w:val="24"/>
          <w:szCs w:val="24"/>
        </w:rPr>
        <w:t xml:space="preserve"> de un centenar de bancos en EEUU</w:t>
      </w:r>
      <w:r w:rsidRPr="00AB2B83">
        <w:rPr>
          <w:rFonts w:ascii="Times New Roman" w:hAnsi="Times New Roman"/>
          <w:sz w:val="24"/>
          <w:szCs w:val="24"/>
        </w:rPr>
        <w:t xml:space="preserve"> se han acogido a la ley de protección por bancarrota y Washington ha inyectado más de US$200.000 millones en entidades financieras.</w:t>
      </w:r>
    </w:p>
    <w:p w:rsidR="002F07D4" w:rsidRPr="00AB2B83" w:rsidRDefault="002F07D4" w:rsidP="002F07D4">
      <w:pPr>
        <w:spacing w:line="240" w:lineRule="auto"/>
        <w:jc w:val="both"/>
        <w:rPr>
          <w:rFonts w:ascii="Times New Roman" w:hAnsi="Times New Roman"/>
          <w:sz w:val="24"/>
          <w:szCs w:val="24"/>
        </w:rPr>
      </w:pPr>
      <w:r>
        <w:rPr>
          <w:rFonts w:ascii="Times New Roman" w:hAnsi="Times New Roman"/>
          <w:sz w:val="24"/>
          <w:szCs w:val="24"/>
        </w:rPr>
        <w:t>En diciembre de 2008</w:t>
      </w:r>
      <w:r w:rsidRPr="00AB2B83">
        <w:rPr>
          <w:rFonts w:ascii="Times New Roman" w:hAnsi="Times New Roman"/>
          <w:sz w:val="24"/>
          <w:szCs w:val="24"/>
        </w:rPr>
        <w:t>, el presidente ejecutivo de Bank of America, Kenneth Lewis, le dijo a un grupo de banqueros reunidos en una cena de gala en Nueva York, que espera</w:t>
      </w:r>
      <w:r>
        <w:rPr>
          <w:rFonts w:ascii="Times New Roman" w:hAnsi="Times New Roman"/>
          <w:sz w:val="24"/>
          <w:szCs w:val="24"/>
        </w:rPr>
        <w:t>rán una industria más humilde. “</w:t>
      </w:r>
      <w:r w:rsidRPr="00AB2B83">
        <w:rPr>
          <w:rFonts w:ascii="Times New Roman" w:hAnsi="Times New Roman"/>
          <w:sz w:val="24"/>
          <w:szCs w:val="24"/>
        </w:rPr>
        <w:t>Tenemos un papel secundario en la economía, no uno estelar. Los servicios fina</w:t>
      </w:r>
      <w:r>
        <w:rPr>
          <w:rFonts w:ascii="Times New Roman" w:hAnsi="Times New Roman"/>
          <w:sz w:val="24"/>
          <w:szCs w:val="24"/>
        </w:rPr>
        <w:t>ncieros son un medio, no un fin”</w:t>
      </w:r>
      <w:r w:rsidRPr="00AB2B83">
        <w:rPr>
          <w:rFonts w:ascii="Times New Roman" w:hAnsi="Times New Roman"/>
          <w:sz w:val="24"/>
          <w:szCs w:val="24"/>
        </w:rPr>
        <w:t>, a</w:t>
      </w:r>
      <w:r>
        <w:rPr>
          <w:rFonts w:ascii="Times New Roman" w:hAnsi="Times New Roman"/>
          <w:sz w:val="24"/>
          <w:szCs w:val="24"/>
        </w:rPr>
        <w:t>severó en medio de aplausos. “</w:t>
      </w:r>
      <w:r w:rsidRPr="00AB2B83">
        <w:rPr>
          <w:rFonts w:ascii="Times New Roman" w:hAnsi="Times New Roman"/>
          <w:sz w:val="24"/>
          <w:szCs w:val="24"/>
        </w:rPr>
        <w:t>Eso</w:t>
      </w:r>
      <w:r>
        <w:rPr>
          <w:rFonts w:ascii="Times New Roman" w:hAnsi="Times New Roman"/>
          <w:sz w:val="24"/>
          <w:szCs w:val="24"/>
        </w:rPr>
        <w:t xml:space="preserve"> debería volvernos más humildes”</w:t>
      </w:r>
      <w:r w:rsidRPr="00AB2B83">
        <w:rPr>
          <w:rFonts w:ascii="Times New Roman" w:hAnsi="Times New Roman"/>
          <w:sz w:val="24"/>
          <w:szCs w:val="24"/>
        </w:rPr>
        <w:t>.</w:t>
      </w:r>
    </w:p>
    <w:p w:rsidR="002F07D4" w:rsidRPr="00AB2B83" w:rsidRDefault="002F07D4" w:rsidP="002F07D4">
      <w:pPr>
        <w:spacing w:line="240" w:lineRule="auto"/>
        <w:jc w:val="both"/>
        <w:rPr>
          <w:rFonts w:ascii="Times New Roman" w:hAnsi="Times New Roman"/>
          <w:sz w:val="24"/>
          <w:szCs w:val="24"/>
        </w:rPr>
      </w:pPr>
      <w:r w:rsidRPr="00AB2B83">
        <w:rPr>
          <w:rFonts w:ascii="Times New Roman" w:hAnsi="Times New Roman"/>
          <w:sz w:val="24"/>
          <w:szCs w:val="24"/>
        </w:rPr>
        <w:t>Desde entonces, el ánimo ha cambiado. El Dow Jones repuntó, algunos de los programas de rescate del gobierno están llegando a su fin y los grandes bancos están devolviendo los fondos que les facilitó el gobierno, lo que les permite zaf</w:t>
      </w:r>
      <w:r>
        <w:rPr>
          <w:rFonts w:ascii="Times New Roman" w:hAnsi="Times New Roman"/>
          <w:sz w:val="24"/>
          <w:szCs w:val="24"/>
        </w:rPr>
        <w:t>arse del control de Washington.</w:t>
      </w:r>
    </w:p>
    <w:p w:rsidR="002F07D4" w:rsidRDefault="002F07D4" w:rsidP="002F07D4">
      <w:pPr>
        <w:spacing w:line="240" w:lineRule="auto"/>
        <w:jc w:val="both"/>
        <w:rPr>
          <w:rFonts w:ascii="Times New Roman" w:hAnsi="Times New Roman"/>
          <w:sz w:val="24"/>
          <w:szCs w:val="24"/>
        </w:rPr>
      </w:pPr>
      <w:r w:rsidRPr="00AB2B83">
        <w:rPr>
          <w:rFonts w:ascii="Times New Roman" w:hAnsi="Times New Roman"/>
          <w:sz w:val="24"/>
          <w:szCs w:val="24"/>
        </w:rPr>
        <w:t>Las ganancias de las cinco principales entidades de Wall Street, Bank of America, Citigroup Inc., Goldman Sachs Group Inc., J.P. Morgan Chase &amp; Co. y Morgan Stanley, bordearon los US$23.300 millones en el primer semestre</w:t>
      </w:r>
      <w:r>
        <w:rPr>
          <w:rFonts w:ascii="Times New Roman" w:hAnsi="Times New Roman"/>
          <w:sz w:val="24"/>
          <w:szCs w:val="24"/>
        </w:rPr>
        <w:t xml:space="preserve"> de 2009</w:t>
      </w:r>
      <w:r w:rsidRPr="00AB2B83">
        <w:rPr>
          <w:rFonts w:ascii="Times New Roman" w:hAnsi="Times New Roman"/>
          <w:sz w:val="24"/>
          <w:szCs w:val="24"/>
        </w:rPr>
        <w:t>. La cifra supera con creces la pérdida de US$6.700 millones de igual lapso del año previo, aunque está muy por debajo de los US$49.800 millones registrados en el primer semestre de 2007, durante el apogeo de Wall Street.</w:t>
      </w:r>
    </w:p>
    <w:p w:rsidR="002F07D4" w:rsidRPr="003677D8" w:rsidRDefault="002F07D4" w:rsidP="002F07D4">
      <w:pPr>
        <w:spacing w:line="240" w:lineRule="auto"/>
        <w:jc w:val="both"/>
        <w:rPr>
          <w:rFonts w:ascii="Times New Roman" w:hAnsi="Times New Roman"/>
          <w:sz w:val="24"/>
          <w:szCs w:val="24"/>
        </w:rPr>
      </w:pPr>
      <w:r>
        <w:rPr>
          <w:rFonts w:ascii="Times New Roman" w:hAnsi="Times New Roman"/>
          <w:sz w:val="24"/>
          <w:szCs w:val="24"/>
        </w:rPr>
        <w:t>Wall Street ha “</w:t>
      </w:r>
      <w:r w:rsidRPr="003677D8">
        <w:rPr>
          <w:rFonts w:ascii="Times New Roman" w:hAnsi="Times New Roman"/>
          <w:sz w:val="24"/>
          <w:szCs w:val="24"/>
        </w:rPr>
        <w:t>retomado l</w:t>
      </w:r>
      <w:r>
        <w:rPr>
          <w:rFonts w:ascii="Times New Roman" w:hAnsi="Times New Roman"/>
          <w:sz w:val="24"/>
          <w:szCs w:val="24"/>
        </w:rPr>
        <w:t>entamente las viejas costumbres”</w:t>
      </w:r>
      <w:r w:rsidRPr="003677D8">
        <w:rPr>
          <w:rFonts w:ascii="Times New Roman" w:hAnsi="Times New Roman"/>
          <w:sz w:val="24"/>
          <w:szCs w:val="24"/>
        </w:rPr>
        <w:t>, señala Robert Glauber, quien encabezó hasta 2006 la Asociación Nacional de Corredores de Valores, el organism</w:t>
      </w:r>
      <w:r>
        <w:rPr>
          <w:rFonts w:ascii="Times New Roman" w:hAnsi="Times New Roman"/>
          <w:sz w:val="24"/>
          <w:szCs w:val="24"/>
        </w:rPr>
        <w:t>o que supervisa a Wall Street. “Tiene mala memoria”</w:t>
      </w:r>
      <w:r w:rsidRPr="003677D8">
        <w:rPr>
          <w:rFonts w:ascii="Times New Roman" w:hAnsi="Times New Roman"/>
          <w:sz w:val="24"/>
          <w:szCs w:val="24"/>
        </w:rPr>
        <w:t>.</w:t>
      </w:r>
    </w:p>
    <w:p w:rsidR="002F07D4" w:rsidRPr="003677D8" w:rsidRDefault="002F07D4" w:rsidP="002F07D4">
      <w:pPr>
        <w:spacing w:line="240" w:lineRule="auto"/>
        <w:jc w:val="both"/>
        <w:rPr>
          <w:rFonts w:ascii="Times New Roman" w:hAnsi="Times New Roman"/>
          <w:sz w:val="24"/>
          <w:szCs w:val="24"/>
        </w:rPr>
      </w:pPr>
      <w:r w:rsidRPr="003677D8">
        <w:rPr>
          <w:rFonts w:ascii="Times New Roman" w:hAnsi="Times New Roman"/>
          <w:sz w:val="24"/>
          <w:szCs w:val="24"/>
        </w:rPr>
        <w:t>Tal vez el mejor indicio de la renovada exuberancia de Wall Street es su persistente búsqueda de instrumentos financieros exóticos. El mercado de derivados de crédito, considerado uno de los grandes culpables de la desestabilización de los mercados, sigue siendo inmenso.</w:t>
      </w:r>
    </w:p>
    <w:p w:rsidR="002F07D4" w:rsidRPr="003677D8" w:rsidRDefault="002F07D4" w:rsidP="002F07D4">
      <w:pPr>
        <w:spacing w:line="240" w:lineRule="auto"/>
        <w:jc w:val="both"/>
        <w:rPr>
          <w:rFonts w:ascii="Times New Roman" w:hAnsi="Times New Roman"/>
          <w:sz w:val="24"/>
          <w:szCs w:val="24"/>
        </w:rPr>
      </w:pPr>
      <w:r w:rsidRPr="003677D8">
        <w:rPr>
          <w:rFonts w:ascii="Times New Roman" w:hAnsi="Times New Roman"/>
          <w:sz w:val="24"/>
          <w:szCs w:val="24"/>
        </w:rPr>
        <w:t>El valor nocional de los derivados de crédito circulando en el sistema bancario estadounidense alcanzaba, al 31 de marzo</w:t>
      </w:r>
      <w:r>
        <w:rPr>
          <w:rFonts w:ascii="Times New Roman" w:hAnsi="Times New Roman"/>
          <w:sz w:val="24"/>
          <w:szCs w:val="24"/>
        </w:rPr>
        <w:t xml:space="preserve"> de 2009</w:t>
      </w:r>
      <w:r w:rsidRPr="003677D8">
        <w:rPr>
          <w:rFonts w:ascii="Times New Roman" w:hAnsi="Times New Roman"/>
          <w:sz w:val="24"/>
          <w:szCs w:val="24"/>
        </w:rPr>
        <w:t xml:space="preserve">, los US$14,6 billones (millones de </w:t>
      </w:r>
      <w:r w:rsidRPr="003677D8">
        <w:rPr>
          <w:rFonts w:ascii="Times New Roman" w:hAnsi="Times New Roman"/>
          <w:sz w:val="24"/>
          <w:szCs w:val="24"/>
        </w:rPr>
        <w:lastRenderedPageBreak/>
        <w:t>millones), según la Oficina del Contralor de la Moneda. La cifra representa una caída de 8% respecto de los tres meses anteriores, pero prácticamente triplica los US$5,5 billones de hace tres años.</w:t>
      </w:r>
    </w:p>
    <w:p w:rsidR="002F07D4" w:rsidRDefault="002F07D4" w:rsidP="002F07D4">
      <w:pPr>
        <w:spacing w:line="240" w:lineRule="auto"/>
        <w:jc w:val="both"/>
        <w:rPr>
          <w:rFonts w:ascii="Times New Roman" w:hAnsi="Times New Roman"/>
          <w:sz w:val="24"/>
          <w:szCs w:val="24"/>
        </w:rPr>
      </w:pPr>
      <w:r w:rsidRPr="003677D8">
        <w:rPr>
          <w:rFonts w:ascii="Times New Roman" w:hAnsi="Times New Roman"/>
          <w:sz w:val="24"/>
          <w:szCs w:val="24"/>
        </w:rPr>
        <w:t>Wall Street defiende el uso de productos co</w:t>
      </w:r>
      <w:r>
        <w:rPr>
          <w:rFonts w:ascii="Times New Roman" w:hAnsi="Times New Roman"/>
          <w:sz w:val="24"/>
          <w:szCs w:val="24"/>
        </w:rPr>
        <w:t>mplejos. “</w:t>
      </w:r>
      <w:r w:rsidRPr="003677D8">
        <w:rPr>
          <w:rFonts w:ascii="Times New Roman" w:hAnsi="Times New Roman"/>
          <w:sz w:val="24"/>
          <w:szCs w:val="24"/>
        </w:rPr>
        <w:t>Un producto estructurado puede ser absolutame</w:t>
      </w:r>
      <w:r>
        <w:rPr>
          <w:rFonts w:ascii="Times New Roman" w:hAnsi="Times New Roman"/>
          <w:sz w:val="24"/>
          <w:szCs w:val="24"/>
        </w:rPr>
        <w:t>nte apropiado para el comprador”</w:t>
      </w:r>
      <w:r w:rsidRPr="003677D8">
        <w:rPr>
          <w:rFonts w:ascii="Times New Roman" w:hAnsi="Times New Roman"/>
          <w:sz w:val="24"/>
          <w:szCs w:val="24"/>
        </w:rPr>
        <w:t>, señala Alex Samuelson, portavoz de Citigroup, una de las entidades que está promocionando nuevas clases de d</w:t>
      </w:r>
      <w:r>
        <w:rPr>
          <w:rFonts w:ascii="Times New Roman" w:hAnsi="Times New Roman"/>
          <w:sz w:val="24"/>
          <w:szCs w:val="24"/>
        </w:rPr>
        <w:t>erivados a los inversionistas. “</w:t>
      </w:r>
      <w:r w:rsidRPr="003677D8">
        <w:rPr>
          <w:rFonts w:ascii="Times New Roman" w:hAnsi="Times New Roman"/>
          <w:sz w:val="24"/>
          <w:szCs w:val="24"/>
        </w:rPr>
        <w:t>No son intrínsecamente malo</w:t>
      </w:r>
      <w:r>
        <w:rPr>
          <w:rFonts w:ascii="Times New Roman" w:hAnsi="Times New Roman"/>
          <w:sz w:val="24"/>
          <w:szCs w:val="24"/>
        </w:rPr>
        <w:t>s”</w:t>
      </w:r>
      <w:r w:rsidRPr="003677D8">
        <w:rPr>
          <w:rFonts w:ascii="Times New Roman" w:hAnsi="Times New Roman"/>
          <w:sz w:val="24"/>
          <w:szCs w:val="24"/>
        </w:rPr>
        <w:t>, insiste.</w:t>
      </w:r>
    </w:p>
    <w:p w:rsidR="002F07D4" w:rsidRDefault="002F07D4" w:rsidP="002F07D4">
      <w:pPr>
        <w:shd w:val="clear" w:color="auto" w:fill="FFFFFF"/>
        <w:spacing w:after="150" w:line="240" w:lineRule="auto"/>
        <w:rPr>
          <w:rFonts w:ascii="Arial" w:eastAsia="Times New Roman" w:hAnsi="Arial" w:cs="Arial"/>
          <w:color w:val="000000"/>
          <w:sz w:val="15"/>
          <w:szCs w:val="15"/>
          <w:lang w:eastAsia="es-ES"/>
        </w:rPr>
      </w:pPr>
      <w:r>
        <w:rPr>
          <w:rFonts w:ascii="Arial" w:eastAsia="Times New Roman" w:hAnsi="Arial" w:cs="Arial"/>
          <w:noProof/>
          <w:color w:val="000000"/>
          <w:sz w:val="15"/>
          <w:szCs w:val="15"/>
          <w:lang w:val="en-GB" w:eastAsia="en-GB"/>
        </w:rPr>
        <w:drawing>
          <wp:inline distT="0" distB="0" distL="0" distR="0">
            <wp:extent cx="5289550" cy="6438900"/>
            <wp:effectExtent l="0" t="0" r="6350" b="0"/>
            <wp:docPr id="333" name="Imagen 333" descr="[Leh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Lehman]"/>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9550" cy="6438900"/>
                    </a:xfrm>
                    <a:prstGeom prst="rect">
                      <a:avLst/>
                    </a:prstGeom>
                    <a:noFill/>
                    <a:ln>
                      <a:noFill/>
                    </a:ln>
                  </pic:spPr>
                </pic:pic>
              </a:graphicData>
            </a:graphic>
          </wp:inline>
        </w:drawing>
      </w:r>
    </w:p>
    <w:p w:rsidR="002F07D4" w:rsidRPr="003677D8" w:rsidRDefault="002F07D4" w:rsidP="002F07D4">
      <w:pPr>
        <w:shd w:val="clear" w:color="auto" w:fill="FFFFFF"/>
        <w:spacing w:after="150" w:line="240" w:lineRule="auto"/>
        <w:rPr>
          <w:rFonts w:ascii="Arial" w:eastAsia="Times New Roman" w:hAnsi="Arial" w:cs="Arial"/>
          <w:color w:val="000000"/>
          <w:sz w:val="15"/>
          <w:szCs w:val="15"/>
          <w:lang w:eastAsia="es-ES"/>
        </w:rPr>
      </w:pP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 “</w:t>
      </w:r>
      <w:r w:rsidRPr="003677D8">
        <w:rPr>
          <w:rFonts w:ascii="Times New Roman" w:hAnsi="Times New Roman"/>
          <w:sz w:val="24"/>
          <w:szCs w:val="24"/>
        </w:rPr>
        <w:t xml:space="preserve">Este otoño, las previsiones de Goldman Sachs cambian a un ritmo tan frenético como las de los principales indicadores. El pasado mes, el principal indicador del banco estadounidense de crecimiento económico aumentó a un ritmo récord, de lo que se </w:t>
      </w:r>
      <w:r w:rsidRPr="003677D8">
        <w:rPr>
          <w:rFonts w:ascii="Times New Roman" w:hAnsi="Times New Roman"/>
          <w:sz w:val="24"/>
          <w:szCs w:val="24"/>
        </w:rPr>
        <w:lastRenderedPageBreak/>
        <w:t>deduce que las economías occidentales experimentarán un importante repunte en la segunda mitad del año</w:t>
      </w:r>
      <w:r>
        <w:rPr>
          <w:rFonts w:ascii="Times New Roman" w:hAnsi="Times New Roman"/>
          <w:sz w:val="24"/>
          <w:szCs w:val="24"/>
        </w:rPr>
        <w:t>”</w:t>
      </w:r>
      <w:r w:rsidRPr="003677D8">
        <w:rPr>
          <w:rFonts w:ascii="Times New Roman" w:hAnsi="Times New Roman"/>
          <w:sz w:val="24"/>
          <w:szCs w:val="24"/>
        </w:rPr>
        <w:t>.</w:t>
      </w:r>
      <w:r w:rsidRPr="00AF4392">
        <w:rPr>
          <w:rFonts w:ascii="Times New Roman" w:hAnsi="Times New Roman"/>
          <w:sz w:val="24"/>
          <w:szCs w:val="24"/>
          <w:u w:val="single"/>
        </w:rPr>
        <w:t>Los mercados un año después del colapso de Lehman</w:t>
      </w:r>
      <w:r>
        <w:rPr>
          <w:rFonts w:ascii="Times New Roman" w:hAnsi="Times New Roman"/>
          <w:sz w:val="24"/>
          <w:szCs w:val="24"/>
        </w:rPr>
        <w:t xml:space="preserve"> (Expansión - </w:t>
      </w:r>
      <w:r w:rsidRPr="00AF4392">
        <w:rPr>
          <w:rFonts w:ascii="Times New Roman" w:hAnsi="Times New Roman"/>
          <w:b/>
          <w:sz w:val="24"/>
          <w:szCs w:val="24"/>
        </w:rPr>
        <w:t>10/9/09</w:t>
      </w:r>
      <w:r>
        <w:rPr>
          <w:rFonts w:ascii="Times New Roman" w:hAnsi="Times New Roman"/>
          <w:sz w:val="24"/>
          <w:szCs w:val="24"/>
        </w:rPr>
        <w:t xml:space="preserve"> - P</w:t>
      </w:r>
      <w:r w:rsidRPr="00AF4392">
        <w:rPr>
          <w:rFonts w:ascii="Times New Roman" w:hAnsi="Times New Roman"/>
          <w:sz w:val="24"/>
          <w:szCs w:val="24"/>
        </w:rPr>
        <w:t>or Gillian Tett y Nicole Bullock</w:t>
      </w:r>
      <w:r>
        <w:rPr>
          <w:rFonts w:ascii="Times New Roman" w:hAnsi="Times New Roman"/>
          <w:sz w:val="24"/>
          <w:szCs w:val="24"/>
        </w:rPr>
        <w:t xml:space="preserve"> - </w:t>
      </w:r>
      <w:r w:rsidRPr="003677D8">
        <w:rPr>
          <w:rFonts w:ascii="Times New Roman" w:hAnsi="Times New Roman"/>
          <w:sz w:val="24"/>
          <w:szCs w:val="24"/>
        </w:rPr>
        <w:t>The Financial Times</w:t>
      </w:r>
      <w:r>
        <w:rPr>
          <w:rFonts w:ascii="Times New Roman" w:hAnsi="Times New Roman"/>
          <w:sz w:val="24"/>
          <w:szCs w:val="24"/>
        </w:rPr>
        <w:t>)</w:t>
      </w:r>
    </w:p>
    <w:p w:rsidR="002F07D4" w:rsidRPr="00FF7DC2" w:rsidRDefault="002F07D4" w:rsidP="002F07D4">
      <w:pPr>
        <w:spacing w:line="240" w:lineRule="auto"/>
        <w:jc w:val="both"/>
        <w:rPr>
          <w:rFonts w:ascii="Times New Roman" w:hAnsi="Times New Roman"/>
          <w:sz w:val="24"/>
          <w:szCs w:val="24"/>
        </w:rPr>
      </w:pPr>
      <w:r w:rsidRPr="00FF7DC2">
        <w:rPr>
          <w:rFonts w:ascii="Times New Roman" w:hAnsi="Times New Roman"/>
          <w:sz w:val="24"/>
          <w:szCs w:val="24"/>
        </w:rPr>
        <w:t>Más llamativo resulta el denominado “índice de estrés financiero” de Goldman, que mide distintos elementos sobre la salud de los mercados, y que últimamente ha subido a niveles que no se registraban desde la quiebra de Bear Stearns en la primavera de 2008.</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A principios de septiembre</w:t>
      </w:r>
      <w:r w:rsidRPr="00AF4392">
        <w:rPr>
          <w:rFonts w:ascii="Times New Roman" w:hAnsi="Times New Roman"/>
          <w:sz w:val="24"/>
          <w:szCs w:val="24"/>
        </w:rPr>
        <w:t>, en un correo electrónico dirigido a sus clientes en el que comparaba esta espectacular trayectoria con “una celebración del fenómeno Usain Bolt”, Jim O’ Neill, economista jefe de Goldman, escribía “si examinamos todo lo que consideramos que puede ser importante como indicador, hay buenas noticias para el G20 y para los mercados de activos”.</w:t>
      </w:r>
    </w:p>
    <w:p w:rsidR="002F07D4" w:rsidRDefault="002F07D4" w:rsidP="002F07D4">
      <w:pPr>
        <w:spacing w:line="240" w:lineRule="auto"/>
        <w:jc w:val="both"/>
        <w:rPr>
          <w:rFonts w:ascii="Times New Roman" w:hAnsi="Times New Roman"/>
          <w:sz w:val="24"/>
          <w:szCs w:val="24"/>
        </w:rPr>
      </w:pPr>
      <w:r w:rsidRPr="00FF7DC2">
        <w:rPr>
          <w:rFonts w:ascii="Times New Roman" w:hAnsi="Times New Roman"/>
          <w:sz w:val="24"/>
          <w:szCs w:val="24"/>
        </w:rPr>
        <w:t>Entre los mínimos alcanzados en marzo de este año y principios de septiembre, los mercados de valores mundiales de las economías avanzadas aumentaron un 59%, mientras que los de las potencias emergentes registraron un incremento del 76%.</w:t>
      </w:r>
    </w:p>
    <w:p w:rsidR="002F07D4" w:rsidRPr="00FF7DC2" w:rsidRDefault="002F07D4" w:rsidP="002F07D4">
      <w:pPr>
        <w:spacing w:line="240" w:lineRule="auto"/>
        <w:jc w:val="both"/>
        <w:rPr>
          <w:rFonts w:ascii="Times New Roman" w:hAnsi="Times New Roman"/>
          <w:sz w:val="24"/>
          <w:szCs w:val="24"/>
        </w:rPr>
      </w:pPr>
      <w:r w:rsidRPr="00FF7DC2">
        <w:rPr>
          <w:rFonts w:ascii="Times New Roman" w:hAnsi="Times New Roman"/>
          <w:sz w:val="24"/>
          <w:szCs w:val="24"/>
        </w:rPr>
        <w:t>El precio de los bonos corporativos también se ha incrementado, al igual que el de los bonos de los mercados emergentes. Mientras tanto, la tasa de préstamos interbancarios Libor ha caído en picado y las oscilaciones en el precio de los activos titulizados y de los derivados hacen pensar que los inversores están volviendo a optar por los activos que desencadenaron la tormenta crediticia, como la deuda hipotecaria de alto riesgo.</w:t>
      </w:r>
    </w:p>
    <w:p w:rsidR="002F07D4" w:rsidRDefault="002F07D4" w:rsidP="002F07D4">
      <w:pPr>
        <w:spacing w:line="240" w:lineRule="auto"/>
        <w:jc w:val="both"/>
        <w:rPr>
          <w:rFonts w:ascii="Times New Roman" w:hAnsi="Times New Roman"/>
          <w:sz w:val="24"/>
          <w:szCs w:val="24"/>
        </w:rPr>
      </w:pPr>
      <w:r w:rsidRPr="00FF7DC2">
        <w:rPr>
          <w:rFonts w:ascii="Times New Roman" w:hAnsi="Times New Roman"/>
          <w:sz w:val="24"/>
          <w:szCs w:val="24"/>
        </w:rPr>
        <w:t>En los mercados de derivados crediticios, el diferencial de la oferta de swaps de impago crediticio sobre los bonos corporativos de más calidad de EEUU ha descendido, lo que, según el Instituto de Finanzas Internacionales, hace pensar en una mejora de la liquidez y a un funcionamiento más “normal de los mercados”. No obstante, la vuelta a la normalidad dista mucho de ser global</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sidRPr="00AF4392">
        <w:rPr>
          <w:rFonts w:ascii="Times New Roman" w:hAnsi="Times New Roman"/>
          <w:sz w:val="24"/>
          <w:szCs w:val="24"/>
        </w:rPr>
        <w:t>En lo que va de año, los fondos de bonos de alta rentabilidad han registrado ingresos netos de 21.500 millones de dólares, lo que supera a la media del total de ingresos anuales desde 1992, a excepción de 2003</w:t>
      </w:r>
      <w:r>
        <w:rPr>
          <w:rFonts w:ascii="Times New Roman" w:hAnsi="Times New Roman"/>
          <w:sz w:val="24"/>
          <w:szCs w:val="24"/>
        </w:rPr>
        <w:t>.</w:t>
      </w:r>
    </w:p>
    <w:p w:rsidR="002F07D4" w:rsidRPr="00FF7DC2" w:rsidRDefault="002F07D4" w:rsidP="002F07D4">
      <w:pPr>
        <w:spacing w:line="240" w:lineRule="auto"/>
        <w:jc w:val="both"/>
        <w:rPr>
          <w:rFonts w:ascii="Times New Roman" w:hAnsi="Times New Roman"/>
          <w:sz w:val="24"/>
          <w:szCs w:val="24"/>
        </w:rPr>
      </w:pPr>
      <w:r w:rsidRPr="00FF7DC2">
        <w:rPr>
          <w:rFonts w:ascii="Times New Roman" w:hAnsi="Times New Roman"/>
          <w:sz w:val="24"/>
          <w:szCs w:val="24"/>
        </w:rPr>
        <w:t>No obstante, la cuestión que se plantean los mercados es cuánto durarán estos ánimos. Después de todo, en los últimos dos años, los integrantes del mercado han vivido una serie de sobresaltos que han provocado planteamientos que en su día eran impensables. Algunos se preguntan si este optimismo puede resultar una ilusión temporal o puede ser la antesala de otro ciclo de volatilidad.</w:t>
      </w:r>
    </w:p>
    <w:p w:rsidR="002F07D4" w:rsidRDefault="002F07D4" w:rsidP="002F07D4">
      <w:pPr>
        <w:spacing w:line="240" w:lineRule="auto"/>
        <w:jc w:val="both"/>
        <w:rPr>
          <w:rFonts w:ascii="Times New Roman" w:hAnsi="Times New Roman"/>
          <w:sz w:val="24"/>
          <w:szCs w:val="24"/>
        </w:rPr>
      </w:pPr>
      <w:r w:rsidRPr="00FF7DC2">
        <w:rPr>
          <w:rFonts w:ascii="Times New Roman" w:hAnsi="Times New Roman"/>
          <w:sz w:val="24"/>
          <w:szCs w:val="24"/>
        </w:rPr>
        <w:t>“Ahora mismo, todo el mundo reacciona positivamente ante las buenas perspectivas para el tercer y cuarto trimestres de este año, consecuencia de los estímulos del gasto y de los ajustes de los inventarios”, aseguraba un directivo de unos de los mayores bancos de EEUU. “Pero me preocupa lo que pasará en 2010 o 2011 porque la situación todavía es delicada”. Esa inquietud no resulta sorprendente, dadas las secuelas psicológicas que dejaron los acontecimientos del año pasado</w:t>
      </w:r>
      <w:r>
        <w:rPr>
          <w:rFonts w:ascii="Times New Roman" w:hAnsi="Times New Roman"/>
          <w:sz w:val="24"/>
          <w:szCs w:val="24"/>
        </w:rPr>
        <w:t>…</w:t>
      </w:r>
    </w:p>
    <w:p w:rsidR="002F07D4" w:rsidRPr="007C3AA2" w:rsidRDefault="002F07D4" w:rsidP="002F07D4">
      <w:pPr>
        <w:spacing w:line="240" w:lineRule="auto"/>
        <w:jc w:val="both"/>
        <w:rPr>
          <w:rFonts w:ascii="Times New Roman" w:hAnsi="Times New Roman"/>
          <w:b/>
          <w:sz w:val="24"/>
          <w:szCs w:val="24"/>
          <w:lang w:val="en-US"/>
        </w:rPr>
      </w:pPr>
      <w:r>
        <w:rPr>
          <w:rFonts w:ascii="Times New Roman" w:hAnsi="Times New Roman"/>
          <w:b/>
          <w:sz w:val="24"/>
          <w:szCs w:val="24"/>
          <w:lang w:val="en-US"/>
        </w:rPr>
        <w:t xml:space="preserve">Melancólico </w:t>
      </w:r>
      <w:r w:rsidRPr="007C3AA2">
        <w:rPr>
          <w:rFonts w:ascii="Times New Roman" w:hAnsi="Times New Roman"/>
          <w:b/>
          <w:sz w:val="24"/>
          <w:szCs w:val="24"/>
          <w:lang w:val="en-US"/>
        </w:rPr>
        <w:t>final (good for nothing)</w:t>
      </w:r>
    </w:p>
    <w:p w:rsidR="002F07D4" w:rsidRDefault="002F07D4" w:rsidP="002F07D4">
      <w:pPr>
        <w:spacing w:line="240" w:lineRule="auto"/>
        <w:jc w:val="both"/>
        <w:rPr>
          <w:rFonts w:ascii="Times New Roman" w:hAnsi="Times New Roman"/>
          <w:sz w:val="24"/>
          <w:szCs w:val="24"/>
        </w:rPr>
      </w:pPr>
      <w:r w:rsidRPr="007E1D60">
        <w:rPr>
          <w:rFonts w:ascii="Times New Roman" w:hAnsi="Times New Roman"/>
          <w:sz w:val="24"/>
          <w:szCs w:val="24"/>
        </w:rPr>
        <w:t>Los acontecimientos relatad</w:t>
      </w:r>
      <w:r>
        <w:rPr>
          <w:rFonts w:ascii="Times New Roman" w:hAnsi="Times New Roman"/>
          <w:sz w:val="24"/>
          <w:szCs w:val="24"/>
        </w:rPr>
        <w:t>os anteriormente son una prueba contunde</w:t>
      </w:r>
      <w:r w:rsidRPr="007E1D60">
        <w:rPr>
          <w:rFonts w:ascii="Times New Roman" w:hAnsi="Times New Roman"/>
          <w:sz w:val="24"/>
          <w:szCs w:val="24"/>
        </w:rPr>
        <w:t>nte de lo que ocurre</w:t>
      </w:r>
      <w:r>
        <w:rPr>
          <w:rFonts w:ascii="Times New Roman" w:hAnsi="Times New Roman"/>
          <w:sz w:val="24"/>
          <w:szCs w:val="24"/>
        </w:rPr>
        <w:t xml:space="preserve"> cuando a ciertos agentes económicos se les permite lo que no se pueden permitir (y no es un juego de palabras). A los especuladores se les permite hacer mayores </w:t>
      </w:r>
      <w:r>
        <w:rPr>
          <w:rFonts w:ascii="Times New Roman" w:hAnsi="Times New Roman"/>
          <w:sz w:val="24"/>
          <w:szCs w:val="24"/>
        </w:rPr>
        <w:lastRenderedPageBreak/>
        <w:t>negocios de los que se pueden permitir (tirar con pólvora del Rey o el dinero de todos). Llegar a la luna en globo… Good for nothing. Para reír o no parar de llorar.</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Lo que no se puede consentir es que encima alguien pretenda vender el desastre como un éxito, como es el caso del</w:t>
      </w:r>
      <w:r w:rsidRPr="00ED60D6">
        <w:rPr>
          <w:rFonts w:ascii="Times New Roman" w:hAnsi="Times New Roman"/>
          <w:sz w:val="24"/>
          <w:szCs w:val="24"/>
        </w:rPr>
        <w:t xml:space="preserve"> presidente ejecutivo de Goldman Sachs, Lloyd Blankfein</w:t>
      </w:r>
      <w:r>
        <w:rPr>
          <w:rFonts w:ascii="Times New Roman" w:hAnsi="Times New Roman"/>
          <w:sz w:val="24"/>
          <w:szCs w:val="24"/>
        </w:rPr>
        <w:t>cuando sostiene que  “l</w:t>
      </w:r>
      <w:r w:rsidRPr="00FE76FA">
        <w:rPr>
          <w:rFonts w:ascii="Times New Roman" w:hAnsi="Times New Roman"/>
          <w:sz w:val="24"/>
          <w:szCs w:val="24"/>
        </w:rPr>
        <w:t>os banqueros hacen el trabajo de Dios”</w:t>
      </w:r>
      <w:r>
        <w:rPr>
          <w:rFonts w:ascii="Times New Roman" w:hAnsi="Times New Roman"/>
          <w:sz w:val="24"/>
          <w:szCs w:val="24"/>
        </w:rPr>
        <w:t xml:space="preserve"> (sic); un personaje que a su incuria añade una falta de escrúpulos monumental.</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Lo que no se puede tolerar es que a la humillación el señor presidente ejecutivo de Goldman Sachs añada la burla.</w:t>
      </w:r>
    </w:p>
    <w:p w:rsidR="002F07D4" w:rsidRPr="007C3AA2" w:rsidRDefault="002F07D4" w:rsidP="002F07D4">
      <w:pPr>
        <w:spacing w:line="240" w:lineRule="auto"/>
        <w:jc w:val="both"/>
        <w:rPr>
          <w:rFonts w:ascii="Times New Roman" w:hAnsi="Times New Roman"/>
          <w:sz w:val="24"/>
          <w:szCs w:val="24"/>
        </w:rPr>
      </w:pPr>
      <w:r w:rsidRPr="007C3AA2">
        <w:rPr>
          <w:rFonts w:ascii="Times New Roman" w:hAnsi="Times New Roman"/>
          <w:sz w:val="24"/>
          <w:szCs w:val="24"/>
        </w:rPr>
        <w:t>“Estamos observando el final de una Era en dos áreas muy específicas: primero, la desregulación descontrolada de los mercados financieros globales; segundo, el compromiso inconsciente de recursos humanos y financieros a la titulización ha alcanzado su apogeo y se contraerá continuamente en e</w:t>
      </w:r>
      <w:r>
        <w:rPr>
          <w:rFonts w:ascii="Times New Roman" w:hAnsi="Times New Roman"/>
          <w:sz w:val="24"/>
          <w:szCs w:val="24"/>
        </w:rPr>
        <w:t>l</w:t>
      </w:r>
      <w:r w:rsidRPr="007C3AA2">
        <w:rPr>
          <w:rFonts w:ascii="Times New Roman" w:hAnsi="Times New Roman"/>
          <w:sz w:val="24"/>
          <w:szCs w:val="24"/>
        </w:rPr>
        <w:t xml:space="preserve"> futuro”. Estas palabras proceden de un banquero de Wall Stree</w:t>
      </w:r>
      <w:r>
        <w:rPr>
          <w:rFonts w:ascii="Times New Roman" w:hAnsi="Times New Roman"/>
          <w:sz w:val="24"/>
          <w:szCs w:val="24"/>
        </w:rPr>
        <w:t>t entrevistado en... ¡1987!,</w:t>
      </w:r>
      <w:r w:rsidRPr="007C3AA2">
        <w:rPr>
          <w:rFonts w:ascii="Times New Roman" w:hAnsi="Times New Roman"/>
          <w:sz w:val="24"/>
          <w:szCs w:val="24"/>
        </w:rPr>
        <w:t xml:space="preserve"> unas pocas semanas después del lunes negro. Su escaso poder predictivo nos hace plantear dudas sobre las, a veces, indocumentadas profecías que hoy en día se plantean sobre el futuro financiero.</w:t>
      </w:r>
    </w:p>
    <w:p w:rsidR="002F07D4" w:rsidRPr="007C3AA2" w:rsidRDefault="002F07D4" w:rsidP="002F07D4">
      <w:pPr>
        <w:spacing w:line="240" w:lineRule="auto"/>
        <w:jc w:val="both"/>
        <w:rPr>
          <w:rFonts w:ascii="Times New Roman" w:hAnsi="Times New Roman"/>
          <w:sz w:val="24"/>
          <w:szCs w:val="24"/>
        </w:rPr>
      </w:pPr>
      <w:r w:rsidRPr="007C3AA2">
        <w:rPr>
          <w:rFonts w:ascii="Times New Roman" w:hAnsi="Times New Roman"/>
          <w:sz w:val="24"/>
          <w:szCs w:val="24"/>
        </w:rPr>
        <w:t>En palabras de un ilustrado banquero, experto en solvencia bancaria:</w:t>
      </w:r>
    </w:p>
    <w:p w:rsidR="002F07D4" w:rsidRPr="007C3AA2" w:rsidRDefault="002F07D4" w:rsidP="002F07D4">
      <w:pPr>
        <w:spacing w:line="240" w:lineRule="auto"/>
        <w:jc w:val="both"/>
        <w:rPr>
          <w:rFonts w:ascii="Times New Roman" w:hAnsi="Times New Roman"/>
          <w:sz w:val="24"/>
          <w:szCs w:val="24"/>
        </w:rPr>
      </w:pPr>
      <w:r w:rsidRPr="007C3AA2">
        <w:rPr>
          <w:rFonts w:ascii="Times New Roman" w:hAnsi="Times New Roman"/>
          <w:sz w:val="24"/>
          <w:szCs w:val="24"/>
        </w:rPr>
        <w:t xml:space="preserve">“Por este comportamiento, las infinitas crisis bancarias que históricamente han acaecido en el mundo nunca se han solucionado del todo. El patrón de comportamiento es el siguiente: banca asume riesgos y termina quebrando cuando el ciclo se da la vuelta; pide ayuda a Estado que acude al rescate para evitar males mayores en la economía; el Estado le pide a futuro a la banca mayor prudencia y endurece algo el control y la regulación, pero sin excesiva rigidez; una vez solucionada la crisis, el mensaje para la banca ha sido que si todo va bien gana mucho dinero y cuando se tuerzan las cosas, el Estado le rescatará, por lo que el incentivo de la misma está orientado hacia la máxima toma de riesgos (riesgo moral creciente); unos  años después, la crisis vuelve a llegar, y el Estado vuelve a rescatar a la banca, con la diferencia de que esta vez el riesgo tomado fue mayor y por ello el dinero puesto por el contribuyente para rescatarla también; el riesgo moral vuelve a crecer de modo que a lo largo de la historia, se observa que donde ha habido crisis bancarias, éstas han sido cada vez mayores con el paso del tiempo y el Estado ha tenido que aportar una proporción creciente del PIB para rescatar a la banca.  Es simplemente un tema de riesgo moral, la banca actúa con racionalidad económica (si sube gano, si baja pierden accionistas, acreedores y contribuyentes), los políticos y reguladores, con </w:t>
      </w:r>
      <w:r w:rsidR="00AC745E">
        <w:rPr>
          <w:rFonts w:ascii="Times New Roman" w:hAnsi="Times New Roman"/>
          <w:sz w:val="24"/>
          <w:szCs w:val="24"/>
        </w:rPr>
        <w:t>racionalidad de comportamiento”.</w:t>
      </w:r>
    </w:p>
    <w:p w:rsidR="002F07D4" w:rsidRDefault="002F07D4" w:rsidP="002F07D4">
      <w:pPr>
        <w:spacing w:line="240" w:lineRule="auto"/>
        <w:jc w:val="both"/>
        <w:rPr>
          <w:rFonts w:ascii="Times New Roman" w:hAnsi="Times New Roman"/>
          <w:sz w:val="24"/>
          <w:szCs w:val="24"/>
        </w:rPr>
      </w:pPr>
      <w:r w:rsidRPr="007C3AA2">
        <w:rPr>
          <w:rFonts w:ascii="Times New Roman" w:hAnsi="Times New Roman"/>
          <w:sz w:val="24"/>
          <w:szCs w:val="24"/>
        </w:rPr>
        <w:t xml:space="preserve">En 1987 los profetas acusaron (verazmente) de la crisis al trading automatizado y a la venta automática de futuros por parte de modelos una vez que saltaban límites máximos de riesgo. Cuando todas las máquinas vendieron a la vez estos futuros se produjo el famoso lunes negro. Sin embargo, hoy en día ambas técnicas no es que estén popularizadas en la gestión; son universales.  En 1987 muchas voces pidieron la separación entre banca comercial y banca de inversión, una nueva regulación de Glass Steagall, pero sin embargo lo que quedaba de esta norma fue abolido en 1999 debido a su dificultad de implementación.  </w:t>
      </w:r>
    </w:p>
    <w:p w:rsidR="002F07D4" w:rsidRPr="007C3AA2" w:rsidRDefault="002F07D4" w:rsidP="002F07D4">
      <w:pPr>
        <w:spacing w:line="240" w:lineRule="auto"/>
        <w:jc w:val="both"/>
        <w:rPr>
          <w:rFonts w:ascii="Times New Roman" w:hAnsi="Times New Roman"/>
          <w:sz w:val="24"/>
          <w:szCs w:val="24"/>
        </w:rPr>
      </w:pPr>
      <w:r w:rsidRPr="00226EA0">
        <w:rPr>
          <w:rFonts w:ascii="Times New Roman" w:hAnsi="Times New Roman"/>
          <w:sz w:val="24"/>
          <w:szCs w:val="24"/>
        </w:rPr>
        <w:t>Hace falta más de un crash para cambiar el mundo.</w:t>
      </w:r>
    </w:p>
    <w:p w:rsidR="002F07D4" w:rsidRPr="00FE76FA"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Para el final, les reitero algo de lo escrito en el año 2004. Una vez más recurro al Maestro Adam Smith como fuente de inspiración, reflexión y debate. Pleno de </w:t>
      </w:r>
      <w:r>
        <w:rPr>
          <w:rFonts w:ascii="Times New Roman" w:hAnsi="Times New Roman"/>
          <w:sz w:val="24"/>
          <w:szCs w:val="24"/>
        </w:rPr>
        <w:lastRenderedPageBreak/>
        <w:t xml:space="preserve">melancolía, vuelvo sobre mis viejas y queridas causas </w:t>
      </w:r>
      <w:r w:rsidRPr="00CF1623">
        <w:rPr>
          <w:rFonts w:ascii="Times New Roman" w:hAnsi="Times New Roman"/>
          <w:sz w:val="24"/>
          <w:szCs w:val="24"/>
        </w:rPr>
        <w:t>perdid</w:t>
      </w:r>
      <w:r>
        <w:rPr>
          <w:rFonts w:ascii="Times New Roman" w:hAnsi="Times New Roman"/>
          <w:sz w:val="24"/>
          <w:szCs w:val="24"/>
        </w:rPr>
        <w:t>as o la amargura de la victoria…</w:t>
      </w:r>
    </w:p>
    <w:p w:rsidR="002F07D4" w:rsidRPr="00D06AF9"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En mi Paper: </w:t>
      </w:r>
      <w:r w:rsidRPr="00463D08">
        <w:rPr>
          <w:rFonts w:ascii="Times New Roman" w:hAnsi="Times New Roman"/>
          <w:b/>
          <w:sz w:val="24"/>
          <w:szCs w:val="24"/>
        </w:rPr>
        <w:t>El día que Smith “lloró”(Economía de intoxicación</w:t>
      </w:r>
      <w:r>
        <w:rPr>
          <w:rFonts w:ascii="Times New Roman" w:hAnsi="Times New Roman"/>
          <w:b/>
          <w:sz w:val="24"/>
          <w:szCs w:val="24"/>
        </w:rPr>
        <w:t>)</w:t>
      </w:r>
      <w:r>
        <w:rPr>
          <w:rFonts w:ascii="Times New Roman" w:hAnsi="Times New Roman"/>
          <w:sz w:val="24"/>
          <w:szCs w:val="24"/>
        </w:rPr>
        <w:t xml:space="preserve">, publicado el </w:t>
      </w:r>
      <w:r w:rsidRPr="00463D08">
        <w:rPr>
          <w:rFonts w:ascii="Times New Roman" w:hAnsi="Times New Roman"/>
          <w:b/>
          <w:sz w:val="24"/>
          <w:szCs w:val="24"/>
        </w:rPr>
        <w:t>24/5/04</w:t>
      </w:r>
      <w:r>
        <w:rPr>
          <w:rFonts w:ascii="Times New Roman" w:hAnsi="Times New Roman"/>
          <w:sz w:val="24"/>
          <w:szCs w:val="24"/>
        </w:rPr>
        <w:t>, decía:</w:t>
      </w:r>
    </w:p>
    <w:p w:rsidR="002F07D4" w:rsidRPr="00D06AF9" w:rsidRDefault="002F07D4" w:rsidP="002F07D4">
      <w:pPr>
        <w:spacing w:line="240" w:lineRule="auto"/>
        <w:jc w:val="both"/>
        <w:rPr>
          <w:rFonts w:ascii="Times New Roman" w:hAnsi="Times New Roman"/>
          <w:sz w:val="24"/>
          <w:szCs w:val="24"/>
        </w:rPr>
      </w:pPr>
      <w:r w:rsidRPr="00D06AF9">
        <w:rPr>
          <w:rFonts w:ascii="Times New Roman" w:hAnsi="Times New Roman"/>
          <w:sz w:val="24"/>
          <w:szCs w:val="24"/>
        </w:rPr>
        <w:t>“De nada le sirve al orgulloso e insensible terrateniente contemplar sus vastos campos y, sin pensar en las necesidades de sus semejantes, consumir imaginariamente el solo toda la cosecha que puedan rendir.</w:t>
      </w:r>
    </w:p>
    <w:p w:rsidR="002F07D4" w:rsidRPr="00D06AF9" w:rsidRDefault="002F07D4" w:rsidP="002F07D4">
      <w:pPr>
        <w:spacing w:line="240" w:lineRule="auto"/>
        <w:jc w:val="both"/>
        <w:rPr>
          <w:rFonts w:ascii="Times New Roman" w:hAnsi="Times New Roman"/>
          <w:sz w:val="24"/>
          <w:szCs w:val="24"/>
        </w:rPr>
      </w:pPr>
      <w:r w:rsidRPr="00D06AF9">
        <w:rPr>
          <w:rFonts w:ascii="Times New Roman" w:hAnsi="Times New Roman"/>
          <w:sz w:val="24"/>
          <w:szCs w:val="24"/>
        </w:rPr>
        <w:t>Nunca como en su caso fue tan cierto el proverbio según el cual los ojos son más grandes que el estómago. La capacidad de su estómago no guarda proporción alguna con la inmensida</w:t>
      </w:r>
      <w:r>
        <w:rPr>
          <w:rFonts w:ascii="Times New Roman" w:hAnsi="Times New Roman"/>
          <w:sz w:val="24"/>
          <w:szCs w:val="24"/>
        </w:rPr>
        <w:t>d de sus deseos y no recibirá má</w:t>
      </w:r>
      <w:r w:rsidRPr="00D06AF9">
        <w:rPr>
          <w:rFonts w:ascii="Times New Roman" w:hAnsi="Times New Roman"/>
          <w:sz w:val="24"/>
          <w:szCs w:val="24"/>
        </w:rPr>
        <w:t xml:space="preserve">s que el del más modesto de los campesinos. Se verá obligado a </w:t>
      </w:r>
      <w:r w:rsidR="00FD69A7" w:rsidRPr="00D06AF9">
        <w:rPr>
          <w:rFonts w:ascii="Times New Roman" w:hAnsi="Times New Roman"/>
          <w:sz w:val="24"/>
          <w:szCs w:val="24"/>
        </w:rPr>
        <w:t>distribuir</w:t>
      </w:r>
      <w:r w:rsidRPr="00D06AF9">
        <w:rPr>
          <w:rFonts w:ascii="Times New Roman" w:hAnsi="Times New Roman"/>
          <w:sz w:val="24"/>
          <w:szCs w:val="24"/>
        </w:rPr>
        <w:t xml:space="preserve"> el resto entre aquellos que preparan lo poco que él mismo consume, entre los que mantienen el palacio donde ese poco es consumido, entre los que le proveen y arreglan los diferentes oropeles empleados en la organización de la pompa.</w:t>
      </w:r>
    </w:p>
    <w:p w:rsidR="002F07D4" w:rsidRDefault="002F07D4" w:rsidP="002F07D4">
      <w:pPr>
        <w:spacing w:line="240" w:lineRule="auto"/>
        <w:jc w:val="both"/>
        <w:rPr>
          <w:rFonts w:ascii="Times New Roman" w:hAnsi="Times New Roman"/>
          <w:sz w:val="24"/>
          <w:szCs w:val="24"/>
        </w:rPr>
      </w:pPr>
      <w:r w:rsidRPr="00D06AF9">
        <w:rPr>
          <w:rFonts w:ascii="Times New Roman" w:hAnsi="Times New Roman"/>
          <w:sz w:val="24"/>
          <w:szCs w:val="24"/>
        </w:rPr>
        <w:t>Todos ellos conseguirán así por su lujo y capricho una fracción de las cosas necesarias para la vida que en vano habrían esperado obtener de su humanidad o su justicia”</w:t>
      </w:r>
      <w:r>
        <w:rPr>
          <w:rFonts w:ascii="Times New Roman" w:hAnsi="Times New Roman"/>
          <w:sz w:val="24"/>
          <w:szCs w:val="24"/>
        </w:rPr>
        <w:t>…</w:t>
      </w:r>
    </w:p>
    <w:p w:rsidR="002F07D4" w:rsidRPr="00B063F8" w:rsidRDefault="002F07D4" w:rsidP="002F07D4">
      <w:pPr>
        <w:spacing w:line="240" w:lineRule="auto"/>
        <w:jc w:val="both"/>
        <w:rPr>
          <w:rFonts w:ascii="Times New Roman" w:hAnsi="Times New Roman"/>
          <w:b/>
          <w:sz w:val="24"/>
          <w:szCs w:val="24"/>
        </w:rPr>
      </w:pPr>
      <w:r w:rsidRPr="00B063F8">
        <w:rPr>
          <w:rFonts w:ascii="Times New Roman" w:hAnsi="Times New Roman"/>
          <w:b/>
          <w:sz w:val="24"/>
          <w:szCs w:val="24"/>
        </w:rPr>
        <w:t>Una ronda de disculpas públicas</w:t>
      </w:r>
    </w:p>
    <w:p w:rsidR="002F07D4" w:rsidRPr="00F319E4" w:rsidRDefault="002F07D4" w:rsidP="002F07D4">
      <w:pPr>
        <w:spacing w:line="240" w:lineRule="auto"/>
        <w:jc w:val="both"/>
        <w:rPr>
          <w:rFonts w:ascii="Times New Roman" w:hAnsi="Times New Roman"/>
          <w:color w:val="FF0000"/>
          <w:sz w:val="24"/>
          <w:szCs w:val="24"/>
          <w:u w:val="single"/>
        </w:rPr>
      </w:pPr>
      <w:r w:rsidRPr="00F319E4">
        <w:rPr>
          <w:rFonts w:ascii="Times New Roman" w:hAnsi="Times New Roman"/>
          <w:color w:val="FF0000"/>
          <w:sz w:val="24"/>
          <w:szCs w:val="24"/>
          <w:u w:val="single"/>
        </w:rPr>
        <w:t>En una reciente conferencia, Lloyd Blankfein admitió que el banco ha cometido e</w:t>
      </w:r>
      <w:r w:rsidR="00AC745E">
        <w:rPr>
          <w:rFonts w:ascii="Times New Roman" w:hAnsi="Times New Roman"/>
          <w:color w:val="FF0000"/>
          <w:sz w:val="24"/>
          <w:szCs w:val="24"/>
          <w:u w:val="single"/>
        </w:rPr>
        <w:t>rrores y se disculpó por ello. “</w:t>
      </w:r>
      <w:r w:rsidRPr="00F319E4">
        <w:rPr>
          <w:rFonts w:ascii="Times New Roman" w:hAnsi="Times New Roman"/>
          <w:color w:val="FF0000"/>
          <w:sz w:val="24"/>
          <w:szCs w:val="24"/>
          <w:u w:val="single"/>
        </w:rPr>
        <w:t xml:space="preserve">Hemos participado en cuestiones que eran claramente erróneas y </w:t>
      </w:r>
      <w:r w:rsidR="00AC745E">
        <w:rPr>
          <w:rFonts w:ascii="Times New Roman" w:hAnsi="Times New Roman"/>
          <w:color w:val="FF0000"/>
          <w:sz w:val="24"/>
          <w:szCs w:val="24"/>
          <w:u w:val="single"/>
        </w:rPr>
        <w:t>tenemos razones para lamentarlo”</w:t>
      </w:r>
      <w:r w:rsidRPr="00F319E4">
        <w:rPr>
          <w:rFonts w:ascii="Times New Roman" w:hAnsi="Times New Roman"/>
          <w:color w:val="FF0000"/>
          <w:sz w:val="24"/>
          <w:szCs w:val="24"/>
          <w:u w:val="single"/>
        </w:rPr>
        <w:t>, dijo. Ni siquiera así ha podido acallar las críticas desatadas por haber dicho a un diario británico que los bancos sirven un pro</w:t>
      </w:r>
      <w:r w:rsidR="00AC745E">
        <w:rPr>
          <w:rFonts w:ascii="Times New Roman" w:hAnsi="Times New Roman"/>
          <w:color w:val="FF0000"/>
          <w:sz w:val="24"/>
          <w:szCs w:val="24"/>
          <w:u w:val="single"/>
        </w:rPr>
        <w:t>pósito social y están haciendo “la labor de Dios”</w:t>
      </w:r>
      <w:r w:rsidRPr="00F319E4">
        <w:rPr>
          <w:rFonts w:ascii="Times New Roman" w:hAnsi="Times New Roman"/>
          <w:color w:val="FF0000"/>
          <w:sz w:val="24"/>
          <w:szCs w:val="24"/>
          <w:u w:val="single"/>
        </w:rPr>
        <w:t>.</w:t>
      </w:r>
    </w:p>
    <w:p w:rsidR="002F07D4" w:rsidRPr="00E637CD" w:rsidRDefault="002F07D4" w:rsidP="002F07D4">
      <w:pPr>
        <w:spacing w:line="240" w:lineRule="auto"/>
        <w:jc w:val="both"/>
        <w:rPr>
          <w:rFonts w:ascii="Times New Roman" w:hAnsi="Times New Roman"/>
          <w:sz w:val="24"/>
          <w:szCs w:val="24"/>
        </w:rPr>
      </w:pPr>
      <w:r w:rsidRPr="00E637CD">
        <w:rPr>
          <w:rFonts w:ascii="Times New Roman" w:hAnsi="Times New Roman"/>
          <w:sz w:val="24"/>
          <w:szCs w:val="24"/>
        </w:rPr>
        <w:t>La semana pasada, Goldman anunció la puesta en marcha un programa de 500 millones de dólares para ayudar a pymes, una suma que ha sonado a disculpa y equivale al 3% de lo que va a dedicar a sus bonus.</w:t>
      </w:r>
    </w:p>
    <w:p w:rsidR="002F07D4" w:rsidRPr="00BC2527" w:rsidRDefault="002F07D4" w:rsidP="002F07D4">
      <w:pPr>
        <w:spacing w:line="240" w:lineRule="auto"/>
        <w:jc w:val="both"/>
        <w:rPr>
          <w:rFonts w:ascii="Times New Roman" w:hAnsi="Times New Roman"/>
          <w:b/>
          <w:sz w:val="24"/>
          <w:szCs w:val="24"/>
        </w:rPr>
      </w:pPr>
      <w:r>
        <w:rPr>
          <w:rFonts w:ascii="Times New Roman" w:hAnsi="Times New Roman"/>
          <w:b/>
          <w:sz w:val="24"/>
          <w:szCs w:val="24"/>
        </w:rPr>
        <w:t>(No comment)</w:t>
      </w:r>
      <w:r w:rsidRPr="00BC2527">
        <w:rPr>
          <w:rFonts w:ascii="Times New Roman" w:hAnsi="Times New Roman"/>
          <w:b/>
          <w:sz w:val="24"/>
          <w:szCs w:val="24"/>
        </w:rPr>
        <w:t xml:space="preserve"> Lo que caracteriza este período de la historia es la subordinación sistemática de la verdad a los intereses y la conveniencia. Los ciudadanos tenemos un alto nivel de aclimatación a la mentira, a la doble moral, a la hipocresía, que nos hace muy tolerantes con formas  que sabemos vacías de cualquier contenido, con la mendacidad, el disimulo, el </w:t>
      </w:r>
      <w:r>
        <w:rPr>
          <w:rFonts w:ascii="Times New Roman" w:hAnsi="Times New Roman"/>
          <w:b/>
          <w:sz w:val="24"/>
          <w:szCs w:val="24"/>
        </w:rPr>
        <w:t>fingimiento y la figuración. Por ello</w:t>
      </w:r>
      <w:r w:rsidRPr="00BC2527">
        <w:rPr>
          <w:rFonts w:ascii="Times New Roman" w:hAnsi="Times New Roman"/>
          <w:b/>
          <w:sz w:val="24"/>
          <w:szCs w:val="24"/>
        </w:rPr>
        <w:t>, ni se desprecia ni se detesta al mentiroso, sino que, en el fondo, se le admira la habilidad para vivir del cuento.</w:t>
      </w:r>
      <w:r>
        <w:rPr>
          <w:rFonts w:ascii="Times New Roman" w:hAnsi="Times New Roman"/>
          <w:b/>
          <w:sz w:val="24"/>
          <w:szCs w:val="24"/>
        </w:rPr>
        <w:t xml:space="preserve"> Así estamos…</w:t>
      </w:r>
    </w:p>
    <w:p w:rsidR="002F07D4" w:rsidRPr="00D50C14" w:rsidRDefault="002F07D4" w:rsidP="002F07D4">
      <w:pPr>
        <w:spacing w:line="240" w:lineRule="auto"/>
        <w:jc w:val="both"/>
        <w:rPr>
          <w:rFonts w:ascii="Times New Roman" w:hAnsi="Times New Roman"/>
          <w:b/>
          <w:color w:val="FF0000"/>
          <w:sz w:val="24"/>
          <w:szCs w:val="24"/>
        </w:rPr>
      </w:pPr>
      <w:r w:rsidRPr="00D50C14">
        <w:rPr>
          <w:rFonts w:ascii="Times New Roman" w:hAnsi="Times New Roman"/>
          <w:b/>
          <w:color w:val="FF0000"/>
          <w:sz w:val="24"/>
          <w:szCs w:val="24"/>
        </w:rPr>
        <w:t>(Año 2011)</w:t>
      </w:r>
    </w:p>
    <w:p w:rsidR="002F07D4" w:rsidRPr="007965B6" w:rsidRDefault="002F07D4" w:rsidP="002F07D4">
      <w:pPr>
        <w:jc w:val="both"/>
        <w:rPr>
          <w:rFonts w:ascii="Times New Roman" w:hAnsi="Times New Roman"/>
          <w:sz w:val="24"/>
          <w:szCs w:val="24"/>
        </w:rPr>
      </w:pPr>
      <w:r w:rsidRPr="007965B6">
        <w:rPr>
          <w:rFonts w:ascii="Times New Roman" w:hAnsi="Times New Roman"/>
          <w:sz w:val="24"/>
          <w:szCs w:val="24"/>
        </w:rPr>
        <w:t>Del Paper -</w:t>
      </w:r>
      <w:r>
        <w:rPr>
          <w:rFonts w:ascii="Times New Roman" w:hAnsi="Times New Roman"/>
          <w:b/>
          <w:sz w:val="24"/>
          <w:szCs w:val="24"/>
        </w:rPr>
        <w:t xml:space="preserve"> “Business as usual…” (demasiado grandes para acatar la ley)</w:t>
      </w:r>
      <w:r>
        <w:rPr>
          <w:rFonts w:ascii="Times New Roman" w:hAnsi="Times New Roman"/>
          <w:sz w:val="24"/>
          <w:szCs w:val="24"/>
        </w:rPr>
        <w:t>, publicado el 15/4/11</w:t>
      </w:r>
    </w:p>
    <w:p w:rsidR="002F07D4" w:rsidRDefault="002F07D4" w:rsidP="002F07D4">
      <w:pPr>
        <w:jc w:val="both"/>
        <w:rPr>
          <w:rFonts w:ascii="Times New Roman" w:hAnsi="Times New Roman"/>
          <w:b/>
          <w:sz w:val="24"/>
          <w:szCs w:val="24"/>
        </w:rPr>
      </w:pPr>
      <w:r>
        <w:rPr>
          <w:rFonts w:ascii="Times New Roman" w:hAnsi="Times New Roman"/>
          <w:b/>
          <w:sz w:val="24"/>
          <w:szCs w:val="24"/>
        </w:rPr>
        <w:t>El “testamento en vida” de Helicopter Ben: más escándalos a la vuelta de la esquina</w:t>
      </w:r>
    </w:p>
    <w:p w:rsidR="002F07D4" w:rsidRPr="007965B6" w:rsidRDefault="002F07D4" w:rsidP="002F07D4">
      <w:pPr>
        <w:jc w:val="both"/>
        <w:rPr>
          <w:rFonts w:ascii="Times New Roman" w:hAnsi="Times New Roman"/>
          <w:sz w:val="24"/>
          <w:szCs w:val="24"/>
        </w:rPr>
      </w:pPr>
      <w:r>
        <w:rPr>
          <w:rFonts w:ascii="Times New Roman" w:hAnsi="Times New Roman"/>
          <w:sz w:val="24"/>
          <w:szCs w:val="24"/>
        </w:rPr>
        <w:t>(</w:t>
      </w:r>
      <w:r w:rsidRPr="007965B6">
        <w:rPr>
          <w:rFonts w:ascii="Times New Roman" w:hAnsi="Times New Roman"/>
          <w:sz w:val="24"/>
          <w:szCs w:val="24"/>
        </w:rPr>
        <w:t>Septiembre de 2010. A dos años del colapso de Lehman Brothers, nada ha cambiado en lo fundamental. Los antiguos titanes de la banca siguen haciendo el trabajo de Dios</w:t>
      </w:r>
      <w:r>
        <w:rPr>
          <w:rFonts w:ascii="Times New Roman" w:hAnsi="Times New Roman"/>
          <w:sz w:val="24"/>
          <w:szCs w:val="24"/>
        </w:rPr>
        <w:t>)</w:t>
      </w:r>
    </w:p>
    <w:p w:rsidR="002F07D4" w:rsidRPr="00A01388" w:rsidRDefault="002F07D4" w:rsidP="002F07D4">
      <w:pPr>
        <w:jc w:val="both"/>
        <w:rPr>
          <w:rFonts w:ascii="Times New Roman" w:hAnsi="Times New Roman"/>
          <w:sz w:val="24"/>
          <w:szCs w:val="24"/>
          <w:u w:val="single"/>
        </w:rPr>
      </w:pPr>
      <w:r w:rsidRPr="00A01388">
        <w:rPr>
          <w:rFonts w:ascii="Times New Roman" w:hAnsi="Times New Roman"/>
          <w:sz w:val="24"/>
          <w:szCs w:val="24"/>
          <w:u w:val="single"/>
        </w:rPr>
        <w:lastRenderedPageBreak/>
        <w:t>Para que no nos borren la memoria: Por el momento (30/9/10)</w:t>
      </w:r>
      <w:r>
        <w:rPr>
          <w:rFonts w:ascii="Times New Roman" w:hAnsi="Times New Roman"/>
          <w:sz w:val="24"/>
          <w:szCs w:val="24"/>
          <w:u w:val="single"/>
        </w:rPr>
        <w:t>,</w:t>
      </w:r>
      <w:r w:rsidRPr="00A01388">
        <w:rPr>
          <w:rFonts w:ascii="Times New Roman" w:hAnsi="Times New Roman"/>
          <w:sz w:val="24"/>
          <w:szCs w:val="24"/>
          <w:u w:val="single"/>
        </w:rPr>
        <w:t xml:space="preserve"> el único que está en la cárcel es Bernard Madoff</w:t>
      </w:r>
      <w:r>
        <w:rPr>
          <w:rFonts w:ascii="Times New Roman" w:hAnsi="Times New Roman"/>
          <w:sz w:val="24"/>
          <w:szCs w:val="24"/>
          <w:u w:val="single"/>
        </w:rPr>
        <w:t xml:space="preserve"> (los banqueros de la crisis continúan jugando al golf)</w:t>
      </w:r>
    </w:p>
    <w:p w:rsidR="002F07D4" w:rsidRPr="001F5A32"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1F5A32">
        <w:rPr>
          <w:rFonts w:ascii="Times New Roman" w:hAnsi="Times New Roman"/>
          <w:i/>
          <w:sz w:val="24"/>
          <w:szCs w:val="24"/>
        </w:rPr>
        <w:t>La crisis financiera que tuvo su punto culminante con la bancarrota de Lehman Brothers Holdings Inc. hace dos años, trastornó las carreras de algunos de los principales ejecutivos y operadores de Wall Street que estuvieron en el epicentro de la debacle. Un vistazo a lo ocurrido desde entonces con algunos de los protagonistas</w:t>
      </w:r>
      <w:r>
        <w:rPr>
          <w:rFonts w:ascii="Times New Roman" w:hAnsi="Times New Roman"/>
          <w:i/>
          <w:sz w:val="24"/>
          <w:szCs w:val="24"/>
        </w:rPr>
        <w:t>”..</w:t>
      </w:r>
      <w:r w:rsidRPr="001F5A32">
        <w:rPr>
          <w:rFonts w:ascii="Times New Roman" w:hAnsi="Times New Roman"/>
          <w:i/>
          <w:sz w:val="24"/>
          <w:szCs w:val="24"/>
        </w:rPr>
        <w:t>.</w:t>
      </w:r>
      <w:r w:rsidRPr="0055524F">
        <w:rPr>
          <w:rFonts w:ascii="Times New Roman" w:hAnsi="Times New Roman"/>
          <w:sz w:val="24"/>
          <w:szCs w:val="24"/>
          <w:u w:val="single"/>
        </w:rPr>
        <w:t>Dos años después, ¿dónde están ahora los protagonistas de la debacle?</w:t>
      </w:r>
      <w:r w:rsidRPr="001F5A32">
        <w:rPr>
          <w:rFonts w:ascii="Times New Roman" w:hAnsi="Times New Roman"/>
          <w:sz w:val="24"/>
          <w:szCs w:val="24"/>
        </w:rPr>
        <w:t xml:space="preserve">(The Wall Street Journal - </w:t>
      </w:r>
      <w:r w:rsidRPr="001F5A32">
        <w:rPr>
          <w:rFonts w:ascii="Times New Roman" w:hAnsi="Times New Roman"/>
          <w:b/>
          <w:sz w:val="24"/>
          <w:szCs w:val="24"/>
        </w:rPr>
        <w:t>15/9/10</w:t>
      </w:r>
      <w:r w:rsidRPr="001F5A32">
        <w:rPr>
          <w:rFonts w:ascii="Times New Roman" w:hAnsi="Times New Roman"/>
          <w:sz w:val="24"/>
          <w:szCs w:val="24"/>
        </w:rPr>
        <w:t xml:space="preserve">) </w:t>
      </w:r>
    </w:p>
    <w:p w:rsidR="002F07D4" w:rsidRPr="007C5EF8" w:rsidRDefault="002F07D4" w:rsidP="002F07D4">
      <w:pPr>
        <w:spacing w:line="240" w:lineRule="auto"/>
        <w:jc w:val="both"/>
        <w:rPr>
          <w:rFonts w:ascii="Times New Roman" w:hAnsi="Times New Roman"/>
          <w:color w:val="FF0000"/>
          <w:sz w:val="24"/>
          <w:szCs w:val="24"/>
        </w:rPr>
      </w:pPr>
      <w:r w:rsidRPr="007C5EF8">
        <w:rPr>
          <w:rFonts w:ascii="Times New Roman" w:hAnsi="Times New Roman"/>
          <w:color w:val="FF0000"/>
          <w:sz w:val="24"/>
          <w:szCs w:val="24"/>
        </w:rPr>
        <w:t>Richard Fuld Jr: remuneración total en los últimos 10 años: US$457 millones</w:t>
      </w:r>
    </w:p>
    <w:p w:rsidR="002F07D4" w:rsidRPr="0055524F" w:rsidRDefault="002F07D4" w:rsidP="002F07D4">
      <w:pPr>
        <w:spacing w:line="240" w:lineRule="auto"/>
        <w:jc w:val="both"/>
        <w:rPr>
          <w:rFonts w:ascii="Times New Roman" w:hAnsi="Times New Roman"/>
          <w:sz w:val="24"/>
          <w:szCs w:val="24"/>
        </w:rPr>
      </w:pPr>
      <w:r w:rsidRPr="0055524F">
        <w:rPr>
          <w:rFonts w:ascii="Times New Roman" w:hAnsi="Times New Roman"/>
          <w:sz w:val="24"/>
          <w:szCs w:val="24"/>
        </w:rPr>
        <w:t>El presidente de Lehman sigue convencido de que la quiebra de la firma fue causada por las condiciones caóticas del mercado, rumores descontrolados y la actitu</w:t>
      </w:r>
      <w:r>
        <w:rPr>
          <w:rFonts w:ascii="Times New Roman" w:hAnsi="Times New Roman"/>
          <w:sz w:val="24"/>
          <w:szCs w:val="24"/>
        </w:rPr>
        <w:t>d del gobierno estadounidense. “</w:t>
      </w:r>
      <w:r w:rsidRPr="0055524F">
        <w:rPr>
          <w:rFonts w:ascii="Times New Roman" w:hAnsi="Times New Roman"/>
          <w:sz w:val="24"/>
          <w:szCs w:val="24"/>
        </w:rPr>
        <w:t>No hay nada en este perfil que correspon</w:t>
      </w:r>
      <w:r>
        <w:rPr>
          <w:rFonts w:ascii="Times New Roman" w:hAnsi="Times New Roman"/>
          <w:sz w:val="24"/>
          <w:szCs w:val="24"/>
        </w:rPr>
        <w:t>da a una compañía en bancarrota”</w:t>
      </w:r>
      <w:r w:rsidRPr="0055524F">
        <w:rPr>
          <w:rFonts w:ascii="Times New Roman" w:hAnsi="Times New Roman"/>
          <w:sz w:val="24"/>
          <w:szCs w:val="24"/>
        </w:rPr>
        <w:t>, declaró el mes pasado ante el Congreso de Estados Unidos al descri</w:t>
      </w:r>
      <w:r>
        <w:rPr>
          <w:rFonts w:ascii="Times New Roman" w:hAnsi="Times New Roman"/>
          <w:sz w:val="24"/>
          <w:szCs w:val="24"/>
        </w:rPr>
        <w:t>bir las finanzas de la empresa.</w:t>
      </w:r>
    </w:p>
    <w:p w:rsidR="002F07D4" w:rsidRPr="0055524F" w:rsidRDefault="002F07D4" w:rsidP="002F07D4">
      <w:pPr>
        <w:spacing w:line="240" w:lineRule="auto"/>
        <w:jc w:val="both"/>
        <w:rPr>
          <w:rFonts w:ascii="Times New Roman" w:hAnsi="Times New Roman"/>
          <w:sz w:val="24"/>
          <w:szCs w:val="24"/>
        </w:rPr>
      </w:pPr>
      <w:r w:rsidRPr="0055524F">
        <w:rPr>
          <w:rFonts w:ascii="Times New Roman" w:hAnsi="Times New Roman"/>
          <w:sz w:val="24"/>
          <w:szCs w:val="24"/>
        </w:rPr>
        <w:t>Fuld, que todavía visita de vez en cuando sus lugares favoritos en Nueva York, como el restaurante Brasserie, es el dueño y gerente de la consultora Matrix Advisors LLC. En mayo, se incorporó a la corredora Legend Securities Inc., aunque no está claro cuáles son sus funciones.</w:t>
      </w:r>
    </w:p>
    <w:p w:rsidR="002F07D4" w:rsidRPr="007C5EF8" w:rsidRDefault="002F07D4" w:rsidP="002F07D4">
      <w:pPr>
        <w:spacing w:line="240" w:lineRule="auto"/>
        <w:jc w:val="both"/>
        <w:rPr>
          <w:rFonts w:ascii="Times New Roman" w:hAnsi="Times New Roman"/>
          <w:color w:val="FF0000"/>
          <w:sz w:val="24"/>
          <w:szCs w:val="24"/>
        </w:rPr>
      </w:pPr>
      <w:r w:rsidRPr="007C5EF8">
        <w:rPr>
          <w:rFonts w:ascii="Times New Roman" w:hAnsi="Times New Roman"/>
          <w:color w:val="FF0000"/>
          <w:sz w:val="24"/>
          <w:szCs w:val="24"/>
        </w:rPr>
        <w:t>Martin Sullivan y Joseph Cassano</w:t>
      </w:r>
      <w:r>
        <w:rPr>
          <w:rFonts w:ascii="Times New Roman" w:hAnsi="Times New Roman"/>
          <w:color w:val="FF0000"/>
          <w:sz w:val="24"/>
          <w:szCs w:val="24"/>
        </w:rPr>
        <w:t>: AIG le debe al gobierno de EEUU</w:t>
      </w:r>
      <w:r w:rsidRPr="007C5EF8">
        <w:rPr>
          <w:rFonts w:ascii="Times New Roman" w:hAnsi="Times New Roman"/>
          <w:color w:val="FF0000"/>
          <w:sz w:val="24"/>
          <w:szCs w:val="24"/>
        </w:rPr>
        <w:t xml:space="preserve"> más de US$90.000 millones</w:t>
      </w:r>
    </w:p>
    <w:p w:rsidR="002F07D4" w:rsidRPr="0055524F" w:rsidRDefault="002F07D4" w:rsidP="002F07D4">
      <w:pPr>
        <w:spacing w:line="240" w:lineRule="auto"/>
        <w:jc w:val="both"/>
        <w:rPr>
          <w:rFonts w:ascii="Times New Roman" w:hAnsi="Times New Roman"/>
          <w:sz w:val="24"/>
          <w:szCs w:val="24"/>
        </w:rPr>
      </w:pPr>
      <w:r w:rsidRPr="0055524F">
        <w:rPr>
          <w:rFonts w:ascii="Times New Roman" w:hAnsi="Times New Roman"/>
          <w:sz w:val="24"/>
          <w:szCs w:val="24"/>
        </w:rPr>
        <w:t xml:space="preserve">Sullivan abandonó American International Group en junio de 2008, cuando se multiplicaban las pérdidas ocasionadas por la venta de derivados ligados a valores hipotecarios. La crisis empezó en la filial de productos financieros de la aseguradora, encabezada por Cassano. En junio, Cassano señaló en el Congreso </w:t>
      </w:r>
      <w:r>
        <w:rPr>
          <w:rFonts w:ascii="Times New Roman" w:hAnsi="Times New Roman"/>
          <w:sz w:val="24"/>
          <w:szCs w:val="24"/>
        </w:rPr>
        <w:t>que sus decisiones habían sido “prudentes”</w:t>
      </w:r>
      <w:r w:rsidRPr="0055524F">
        <w:rPr>
          <w:rFonts w:ascii="Times New Roman" w:hAnsi="Times New Roman"/>
          <w:sz w:val="24"/>
          <w:szCs w:val="24"/>
        </w:rPr>
        <w:t>. El Departamento de Justicia y la Co</w:t>
      </w:r>
      <w:r>
        <w:rPr>
          <w:rFonts w:ascii="Times New Roman" w:hAnsi="Times New Roman"/>
          <w:sz w:val="24"/>
          <w:szCs w:val="24"/>
        </w:rPr>
        <w:t>misión de Bolsa y Valores de EEUU</w:t>
      </w:r>
      <w:r w:rsidRPr="0055524F">
        <w:rPr>
          <w:rFonts w:ascii="Times New Roman" w:hAnsi="Times New Roman"/>
          <w:sz w:val="24"/>
          <w:szCs w:val="24"/>
        </w:rPr>
        <w:t xml:space="preserve"> decidieron no presentar cargos en su contra tras investigaciones.</w:t>
      </w:r>
    </w:p>
    <w:p w:rsidR="002F07D4" w:rsidRPr="0055524F" w:rsidRDefault="002F07D4" w:rsidP="002F07D4">
      <w:pPr>
        <w:spacing w:line="240" w:lineRule="auto"/>
        <w:jc w:val="both"/>
        <w:rPr>
          <w:rFonts w:ascii="Times New Roman" w:hAnsi="Times New Roman"/>
          <w:sz w:val="24"/>
          <w:szCs w:val="24"/>
        </w:rPr>
      </w:pPr>
      <w:r w:rsidRPr="0055524F">
        <w:rPr>
          <w:rFonts w:ascii="Times New Roman" w:hAnsi="Times New Roman"/>
          <w:sz w:val="24"/>
          <w:szCs w:val="24"/>
        </w:rPr>
        <w:t xml:space="preserve">La firma de seguros Willis Group Holdings PLC anunció la semana pasada la contratación de Sullivan en calidad de vicepresidente de la junta directiva. Su función es expandir una nueva división global encargada de </w:t>
      </w:r>
      <w:r>
        <w:rPr>
          <w:rFonts w:ascii="Times New Roman" w:hAnsi="Times New Roman"/>
          <w:sz w:val="24"/>
          <w:szCs w:val="24"/>
        </w:rPr>
        <w:t>atender a los grandes clientes.</w:t>
      </w:r>
    </w:p>
    <w:p w:rsidR="002F07D4" w:rsidRPr="007C5EF8" w:rsidRDefault="002F07D4" w:rsidP="002F07D4">
      <w:pPr>
        <w:spacing w:line="240" w:lineRule="auto"/>
        <w:jc w:val="both"/>
        <w:rPr>
          <w:rFonts w:ascii="Times New Roman" w:hAnsi="Times New Roman"/>
          <w:color w:val="FF0000"/>
          <w:sz w:val="24"/>
          <w:szCs w:val="24"/>
        </w:rPr>
      </w:pPr>
      <w:r w:rsidRPr="007C5EF8">
        <w:rPr>
          <w:rFonts w:ascii="Times New Roman" w:hAnsi="Times New Roman"/>
          <w:color w:val="FF0000"/>
          <w:sz w:val="24"/>
          <w:szCs w:val="24"/>
        </w:rPr>
        <w:t xml:space="preserve">Charles Prince y Robert Rubin: Citigroup Inc. registró US$58.000 millones en rebajas contables </w:t>
      </w:r>
      <w:r>
        <w:rPr>
          <w:rFonts w:ascii="Times New Roman" w:hAnsi="Times New Roman"/>
          <w:color w:val="FF0000"/>
          <w:sz w:val="24"/>
          <w:szCs w:val="24"/>
        </w:rPr>
        <w:t>relacionadas con las hipotecas “subprime”</w:t>
      </w:r>
      <w:r w:rsidRPr="007C5EF8">
        <w:rPr>
          <w:rFonts w:ascii="Times New Roman" w:hAnsi="Times New Roman"/>
          <w:color w:val="FF0000"/>
          <w:sz w:val="24"/>
          <w:szCs w:val="24"/>
        </w:rPr>
        <w:t xml:space="preserve"> y otros activos de riesgo</w:t>
      </w:r>
    </w:p>
    <w:p w:rsidR="002F07D4" w:rsidRPr="0055524F" w:rsidRDefault="002F07D4" w:rsidP="002F07D4">
      <w:pPr>
        <w:spacing w:line="240" w:lineRule="auto"/>
        <w:jc w:val="both"/>
        <w:rPr>
          <w:rFonts w:ascii="Times New Roman" w:hAnsi="Times New Roman"/>
          <w:sz w:val="24"/>
          <w:szCs w:val="24"/>
        </w:rPr>
      </w:pPr>
      <w:r w:rsidRPr="0055524F">
        <w:rPr>
          <w:rFonts w:ascii="Times New Roman" w:hAnsi="Times New Roman"/>
          <w:sz w:val="24"/>
          <w:szCs w:val="24"/>
        </w:rPr>
        <w:t>A mediad</w:t>
      </w:r>
      <w:r>
        <w:rPr>
          <w:rFonts w:ascii="Times New Roman" w:hAnsi="Times New Roman"/>
          <w:sz w:val="24"/>
          <w:szCs w:val="24"/>
        </w:rPr>
        <w:t>os de 2007, Prince declaró que “</w:t>
      </w:r>
      <w:r w:rsidRPr="0055524F">
        <w:rPr>
          <w:rFonts w:ascii="Times New Roman" w:hAnsi="Times New Roman"/>
          <w:sz w:val="24"/>
          <w:szCs w:val="24"/>
        </w:rPr>
        <w:t>mientras la orquesta siguiera tocando, había que salir a bailar. Y seguimos b</w:t>
      </w:r>
      <w:r>
        <w:rPr>
          <w:rFonts w:ascii="Times New Roman" w:hAnsi="Times New Roman"/>
          <w:sz w:val="24"/>
          <w:szCs w:val="24"/>
        </w:rPr>
        <w:t>ailando”</w:t>
      </w:r>
      <w:r w:rsidRPr="0055524F">
        <w:rPr>
          <w:rFonts w:ascii="Times New Roman" w:hAnsi="Times New Roman"/>
          <w:sz w:val="24"/>
          <w:szCs w:val="24"/>
        </w:rPr>
        <w:t>. Los riesgos excesivos le costaron a Prince su puesto a la cabeza de Citigroup en noviembre de 2007. En la actualidad, el Es</w:t>
      </w:r>
      <w:r>
        <w:rPr>
          <w:rFonts w:ascii="Times New Roman" w:hAnsi="Times New Roman"/>
          <w:sz w:val="24"/>
          <w:szCs w:val="24"/>
        </w:rPr>
        <w:t>tado es dueño de 18% del banco.</w:t>
      </w:r>
    </w:p>
    <w:p w:rsidR="002F07D4" w:rsidRPr="007C5EF8" w:rsidRDefault="002F07D4" w:rsidP="002F07D4">
      <w:pPr>
        <w:spacing w:line="240" w:lineRule="auto"/>
        <w:jc w:val="both"/>
        <w:rPr>
          <w:rFonts w:ascii="Times New Roman" w:hAnsi="Times New Roman"/>
          <w:color w:val="FF0000"/>
          <w:sz w:val="24"/>
          <w:szCs w:val="24"/>
        </w:rPr>
      </w:pPr>
      <w:r w:rsidRPr="0055524F">
        <w:rPr>
          <w:rFonts w:ascii="Times New Roman" w:hAnsi="Times New Roman"/>
          <w:sz w:val="24"/>
          <w:szCs w:val="24"/>
        </w:rPr>
        <w:t>En abril, Prince repitió tres veces ante el Congreso que se sentía muy apenado de que la crisis haya tenido un impacto tan devastador y que mil</w:t>
      </w:r>
      <w:r>
        <w:rPr>
          <w:rFonts w:ascii="Times New Roman" w:hAnsi="Times New Roman"/>
          <w:sz w:val="24"/>
          <w:szCs w:val="24"/>
        </w:rPr>
        <w:t>lones de estadounidenses hayan “perdido sus hogares”</w:t>
      </w:r>
      <w:r w:rsidRPr="0055524F">
        <w:rPr>
          <w:rFonts w:ascii="Times New Roman" w:hAnsi="Times New Roman"/>
          <w:sz w:val="24"/>
          <w:szCs w:val="24"/>
        </w:rPr>
        <w:t xml:space="preserve">. </w:t>
      </w:r>
      <w:r w:rsidRPr="001F5A32">
        <w:rPr>
          <w:rFonts w:ascii="Times New Roman" w:hAnsi="Times New Roman"/>
          <w:sz w:val="24"/>
          <w:szCs w:val="24"/>
        </w:rPr>
        <w:t>Rubin manifestó que no fue “una parte importante del proceso de toma de decisiones”, a pesar de recibir un salario de unos US$ 115 millones en los nueve años que se desempeñó como miembro de la junta directiva y uno de los principales asesores del banco</w:t>
      </w:r>
      <w:r w:rsidRPr="007C5EF8">
        <w:rPr>
          <w:rFonts w:ascii="Times New Roman" w:hAnsi="Times New Roman"/>
          <w:color w:val="FF0000"/>
          <w:sz w:val="24"/>
          <w:szCs w:val="24"/>
        </w:rPr>
        <w:t>.</w:t>
      </w:r>
    </w:p>
    <w:p w:rsidR="002F07D4" w:rsidRPr="0055524F" w:rsidRDefault="002F07D4" w:rsidP="002F07D4">
      <w:pPr>
        <w:spacing w:line="240" w:lineRule="auto"/>
        <w:jc w:val="both"/>
        <w:rPr>
          <w:rFonts w:ascii="Times New Roman" w:hAnsi="Times New Roman"/>
          <w:sz w:val="24"/>
          <w:szCs w:val="24"/>
        </w:rPr>
      </w:pPr>
      <w:r w:rsidRPr="0055524F">
        <w:rPr>
          <w:rFonts w:ascii="Times New Roman" w:hAnsi="Times New Roman"/>
          <w:sz w:val="24"/>
          <w:szCs w:val="24"/>
        </w:rPr>
        <w:lastRenderedPageBreak/>
        <w:t>El ex secretario del Tesoro pasó a integrar recientemente las filas del exclusivo banco de inversión Centerview Partners, en el que trabaja con los principales clientes y asesor</w:t>
      </w:r>
      <w:r>
        <w:rPr>
          <w:rFonts w:ascii="Times New Roman" w:hAnsi="Times New Roman"/>
          <w:sz w:val="24"/>
          <w:szCs w:val="24"/>
        </w:rPr>
        <w:t>a sobre desarrollo estratégico.</w:t>
      </w:r>
    </w:p>
    <w:p w:rsidR="002F07D4" w:rsidRPr="007C5EF8" w:rsidRDefault="002F07D4" w:rsidP="002F07D4">
      <w:pPr>
        <w:spacing w:line="240" w:lineRule="auto"/>
        <w:jc w:val="both"/>
        <w:rPr>
          <w:rFonts w:ascii="Times New Roman" w:hAnsi="Times New Roman"/>
          <w:color w:val="FF0000"/>
          <w:sz w:val="24"/>
          <w:szCs w:val="24"/>
        </w:rPr>
      </w:pPr>
      <w:r w:rsidRPr="007C5EF8">
        <w:rPr>
          <w:rFonts w:ascii="Times New Roman" w:hAnsi="Times New Roman"/>
          <w:color w:val="FF0000"/>
          <w:sz w:val="24"/>
          <w:szCs w:val="24"/>
        </w:rPr>
        <w:t>Kenneth Lewis: no recibió ni salario ni bonificaciones en 2009</w:t>
      </w:r>
    </w:p>
    <w:p w:rsidR="002F07D4" w:rsidRPr="0055524F" w:rsidRDefault="002F07D4" w:rsidP="002F07D4">
      <w:pPr>
        <w:spacing w:line="240" w:lineRule="auto"/>
        <w:jc w:val="both"/>
        <w:rPr>
          <w:rFonts w:ascii="Times New Roman" w:hAnsi="Times New Roman"/>
          <w:sz w:val="24"/>
          <w:szCs w:val="24"/>
        </w:rPr>
      </w:pPr>
      <w:r w:rsidRPr="0055524F">
        <w:rPr>
          <w:rFonts w:ascii="Times New Roman" w:hAnsi="Times New Roman"/>
          <w:sz w:val="24"/>
          <w:szCs w:val="24"/>
        </w:rPr>
        <w:t>Lewis fue amenazado con perder la presidencia ejecutiva de Bank of America, donde también lideraba la junta directiva, si no concretaba l</w:t>
      </w:r>
      <w:r>
        <w:rPr>
          <w:rFonts w:ascii="Times New Roman" w:hAnsi="Times New Roman"/>
          <w:sz w:val="24"/>
          <w:szCs w:val="24"/>
        </w:rPr>
        <w:t>a compra de Merrill Lynch.</w:t>
      </w:r>
    </w:p>
    <w:p w:rsidR="002F07D4" w:rsidRDefault="002F07D4" w:rsidP="002F07D4">
      <w:pPr>
        <w:spacing w:line="240" w:lineRule="auto"/>
        <w:jc w:val="both"/>
        <w:rPr>
          <w:rFonts w:ascii="Times New Roman" w:hAnsi="Times New Roman"/>
          <w:sz w:val="24"/>
          <w:szCs w:val="24"/>
        </w:rPr>
      </w:pPr>
      <w:r w:rsidRPr="0055524F">
        <w:rPr>
          <w:rFonts w:ascii="Times New Roman" w:hAnsi="Times New Roman"/>
          <w:sz w:val="24"/>
          <w:szCs w:val="24"/>
        </w:rPr>
        <w:t>Desde que dejó el banco, Lewis pasa el tiempo con su familia mientras decide sus próximos pasos. Fue demandado en un caso civil por el fiscal general de Nueva York, Andrew Cuomo, por la compra de Merrill, la que calificó como un</w:t>
      </w:r>
      <w:r>
        <w:rPr>
          <w:rFonts w:ascii="Times New Roman" w:hAnsi="Times New Roman"/>
          <w:sz w:val="24"/>
          <w:szCs w:val="24"/>
        </w:rPr>
        <w:t xml:space="preserve"> “</w:t>
      </w:r>
      <w:r w:rsidRPr="0055524F">
        <w:rPr>
          <w:rFonts w:ascii="Times New Roman" w:hAnsi="Times New Roman"/>
          <w:sz w:val="24"/>
          <w:szCs w:val="24"/>
        </w:rPr>
        <w:t>éxito fi</w:t>
      </w:r>
      <w:r>
        <w:rPr>
          <w:rFonts w:ascii="Times New Roman" w:hAnsi="Times New Roman"/>
          <w:sz w:val="24"/>
          <w:szCs w:val="24"/>
        </w:rPr>
        <w:t>nanciero y estratégico absoluto”…</w:t>
      </w:r>
    </w:p>
    <w:p w:rsidR="002F07D4" w:rsidRDefault="002F07D4" w:rsidP="002F07D4">
      <w:pPr>
        <w:spacing w:line="240" w:lineRule="auto"/>
        <w:jc w:val="both"/>
        <w:rPr>
          <w:rFonts w:ascii="Times New Roman" w:hAnsi="Times New Roman"/>
          <w:b/>
          <w:sz w:val="24"/>
          <w:szCs w:val="24"/>
        </w:rPr>
      </w:pPr>
      <w:r w:rsidRPr="00835664">
        <w:rPr>
          <w:rFonts w:ascii="Times New Roman" w:hAnsi="Times New Roman"/>
          <w:b/>
          <w:sz w:val="24"/>
          <w:szCs w:val="24"/>
        </w:rPr>
        <w:t>Como dijo Charles Prince,</w:t>
      </w:r>
      <w:r>
        <w:rPr>
          <w:rFonts w:ascii="Times New Roman" w:hAnsi="Times New Roman"/>
          <w:b/>
          <w:sz w:val="24"/>
          <w:szCs w:val="24"/>
        </w:rPr>
        <w:t xml:space="preserve"> el</w:t>
      </w:r>
      <w:r w:rsidRPr="00835664">
        <w:rPr>
          <w:rFonts w:ascii="Times New Roman" w:hAnsi="Times New Roman"/>
          <w:b/>
          <w:sz w:val="24"/>
          <w:szCs w:val="24"/>
        </w:rPr>
        <w:t xml:space="preserve"> principal </w:t>
      </w:r>
      <w:r>
        <w:rPr>
          <w:rFonts w:ascii="Times New Roman" w:hAnsi="Times New Roman"/>
          <w:b/>
          <w:sz w:val="24"/>
          <w:szCs w:val="24"/>
        </w:rPr>
        <w:t>“irresponsable”</w:t>
      </w:r>
      <w:r w:rsidRPr="00835664">
        <w:rPr>
          <w:rFonts w:ascii="Times New Roman" w:hAnsi="Times New Roman"/>
          <w:b/>
          <w:sz w:val="24"/>
          <w:szCs w:val="24"/>
        </w:rPr>
        <w:t xml:space="preserve"> del Citigroup durante la crisis subprime “mientras la orquesta siguiera tocando, había que salir a bailar. Y seguimos bailando”.</w:t>
      </w:r>
      <w:r>
        <w:rPr>
          <w:rFonts w:ascii="Times New Roman" w:hAnsi="Times New Roman"/>
          <w:b/>
          <w:sz w:val="24"/>
          <w:szCs w:val="24"/>
        </w:rPr>
        <w:t xml:space="preserve"> Cínico pragmatismo e sugerente prospectiva… La fiesta continúa… </w:t>
      </w:r>
    </w:p>
    <w:p w:rsidR="002F07D4" w:rsidRPr="00FA7BCE" w:rsidRDefault="002F07D4" w:rsidP="002F07D4">
      <w:pPr>
        <w:spacing w:line="240" w:lineRule="auto"/>
        <w:jc w:val="both"/>
        <w:rPr>
          <w:rFonts w:ascii="Times New Roman" w:hAnsi="Times New Roman"/>
          <w:b/>
          <w:sz w:val="24"/>
          <w:szCs w:val="24"/>
        </w:rPr>
      </w:pPr>
      <w:r w:rsidRPr="00FA7BCE">
        <w:rPr>
          <w:rFonts w:ascii="Times New Roman" w:hAnsi="Times New Roman"/>
          <w:b/>
          <w:sz w:val="24"/>
          <w:szCs w:val="24"/>
        </w:rPr>
        <w:t>“Hay que retirar el ponche cuando la fiesta se anima”. Con esta frase resumía William McChesney Martin, presidente de la Reserva Federal (Fed) de los EEUU (1951- 1970), la tarea de un banco central para evitar las burbujas económicas. Se refería a la necesidad de subir los tipos de interés a medida que la economía de un país se va calentando para evitar espirales inflacionistas y recalentamientos excesivos.</w:t>
      </w:r>
    </w:p>
    <w:p w:rsidR="002F07D4" w:rsidRPr="00FA7BCE" w:rsidRDefault="002F07D4" w:rsidP="002F07D4">
      <w:pPr>
        <w:spacing w:line="240" w:lineRule="auto"/>
        <w:jc w:val="both"/>
        <w:rPr>
          <w:rFonts w:ascii="Times New Roman" w:hAnsi="Times New Roman"/>
          <w:b/>
          <w:sz w:val="24"/>
          <w:szCs w:val="24"/>
        </w:rPr>
      </w:pPr>
      <w:r w:rsidRPr="00FA7BCE">
        <w:rPr>
          <w:rFonts w:ascii="Times New Roman" w:hAnsi="Times New Roman"/>
          <w:b/>
          <w:sz w:val="24"/>
          <w:szCs w:val="24"/>
        </w:rPr>
        <w:t xml:space="preserve">Los anfitriones (Fed y Banco Central Europeo) de la fiesta a la que fueron invitadas las economías de Estados Unidos y la Eurozona fue la contraria. El burbujeante cóctel que servían, compuesto de bajos tipos de interés y dinero a espuertas, era tremendamente atractivo. Uno de los maestros de ceremonias, Alan Greenspan, llegó a poner nombre a los efectos que provocaba: exuberancia irracional de los mercados. </w:t>
      </w:r>
    </w:p>
    <w:p w:rsidR="002F07D4" w:rsidRPr="00FA7BCE" w:rsidRDefault="002F07D4" w:rsidP="002F07D4">
      <w:pPr>
        <w:spacing w:line="240" w:lineRule="auto"/>
        <w:jc w:val="both"/>
        <w:rPr>
          <w:rFonts w:ascii="Times New Roman" w:hAnsi="Times New Roman"/>
          <w:b/>
          <w:sz w:val="24"/>
          <w:szCs w:val="24"/>
        </w:rPr>
      </w:pPr>
      <w:r w:rsidRPr="00FA7BCE">
        <w:rPr>
          <w:rFonts w:ascii="Times New Roman" w:hAnsi="Times New Roman"/>
          <w:b/>
          <w:sz w:val="24"/>
          <w:szCs w:val="24"/>
        </w:rPr>
        <w:t>Los banqueros actuaban como camareros. Tuvieron la gran idea de animar el ‘fiestón’ con todo tipo de bebidas espirituosas, compuestas por créditos para todos y para todo, especialmente para comprar inmuebles sobrevalorados, y por otros contenidos exóticos (titulización, derivados y esquemas Ponzi) de los que ni ellos sabían la fórmula. Su remuneración subiría con el número de borrachos. Algunos de ellos, especialmente los más gigantones, vendían las bondades de las copas que dispensaban y se tragaban unas cuantas. Si se embriagaban en exceso, disponían de coche y chófer gratis (los fondos públicos de rescate) para ir a casa y recuperarse.</w:t>
      </w:r>
    </w:p>
    <w:p w:rsidR="002F07D4" w:rsidRDefault="002F07D4" w:rsidP="002F07D4">
      <w:pPr>
        <w:spacing w:line="240" w:lineRule="auto"/>
        <w:jc w:val="both"/>
        <w:rPr>
          <w:rFonts w:ascii="Times New Roman" w:hAnsi="Times New Roman"/>
          <w:b/>
          <w:sz w:val="24"/>
          <w:szCs w:val="24"/>
        </w:rPr>
      </w:pPr>
      <w:r w:rsidRPr="00FA7BCE">
        <w:rPr>
          <w:rFonts w:ascii="Times New Roman" w:hAnsi="Times New Roman"/>
          <w:b/>
          <w:sz w:val="24"/>
          <w:szCs w:val="24"/>
        </w:rPr>
        <w:t xml:space="preserve">A este guateque, los menores (España entre ellos), con sus ganas de probarlo todo, estaban más que invitados. Vive rápido, muere joven y harás un cadáver bonito, que diría James Dean. Los porteros (los reguladores financieros) se habían apuntado al sarao y no pedían documentación. La recompensa por no hacerlo era muy apetitosa. Los encargados de analizar las bebidas que se consumían en el banquete (las agencias de calificación de riesgos) habían hecho la vista gorda. Al fin y al cabo, eran los camareros quienes pagaban por calificar los productos como aptos para el consumo. China, ávida por recibir dólares para mantener su moneda </w:t>
      </w:r>
      <w:r w:rsidRPr="00FA7BCE">
        <w:rPr>
          <w:rFonts w:ascii="Times New Roman" w:hAnsi="Times New Roman"/>
          <w:b/>
          <w:sz w:val="24"/>
          <w:szCs w:val="24"/>
        </w:rPr>
        <w:lastRenderedPageBreak/>
        <w:t>infravalorada, tuvo su papel. Los asiáticos que vendían latas de cerveza a la salida de la orgía querían contribuir a la melopea.</w:t>
      </w:r>
    </w:p>
    <w:p w:rsidR="002F07D4" w:rsidRDefault="002F07D4" w:rsidP="002F07D4">
      <w:pPr>
        <w:spacing w:line="240" w:lineRule="auto"/>
        <w:jc w:val="both"/>
        <w:rPr>
          <w:rFonts w:ascii="Times New Roman" w:hAnsi="Times New Roman"/>
          <w:b/>
          <w:sz w:val="24"/>
          <w:szCs w:val="24"/>
        </w:rPr>
      </w:pPr>
      <w:r w:rsidRPr="00FA7BCE">
        <w:rPr>
          <w:rFonts w:ascii="Times New Roman" w:hAnsi="Times New Roman"/>
          <w:b/>
          <w:sz w:val="24"/>
          <w:szCs w:val="24"/>
        </w:rPr>
        <w:t>Como consecuencia de todo ello padecemos una monumental resac</w:t>
      </w:r>
      <w:r>
        <w:rPr>
          <w:rFonts w:ascii="Times New Roman" w:hAnsi="Times New Roman"/>
          <w:b/>
          <w:sz w:val="24"/>
          <w:szCs w:val="24"/>
        </w:rPr>
        <w:t>a. Al igual que James Dean con “The little bastard” (“Pequeño bastardo”</w:t>
      </w:r>
      <w:r w:rsidRPr="00FA7BCE">
        <w:rPr>
          <w:rFonts w:ascii="Times New Roman" w:hAnsi="Times New Roman"/>
          <w:b/>
          <w:sz w:val="24"/>
          <w:szCs w:val="24"/>
        </w:rPr>
        <w:t>, el Porsche en el que se mató), algunos se han estrellado (Islandia o Grecia). Otros tienen órganos vitales dañados por el alcohol (de manera notable, Estados Unidos, Reino Unido, Portugal, Italia y España). Los cuadros clínicos de los pacientes reflejan grandes carencias de vitaminas necesarias para crecer (déficits presupuestarios y exteriores) y fuerte anemia (desempleo).</w:t>
      </w:r>
    </w:p>
    <w:p w:rsidR="002F07D4" w:rsidRPr="004067D5" w:rsidRDefault="002F07D4" w:rsidP="002F07D4">
      <w:pPr>
        <w:spacing w:line="240" w:lineRule="auto"/>
        <w:jc w:val="both"/>
        <w:rPr>
          <w:rFonts w:ascii="Times New Roman" w:hAnsi="Times New Roman"/>
          <w:sz w:val="24"/>
          <w:szCs w:val="24"/>
        </w:rPr>
      </w:pPr>
      <w:r w:rsidRPr="004067D5">
        <w:rPr>
          <w:rFonts w:ascii="Times New Roman" w:hAnsi="Times New Roman"/>
          <w:sz w:val="24"/>
          <w:szCs w:val="24"/>
        </w:rPr>
        <w:t>Nouriel Roubini, el economista norteamericano apodado Dr. Doom (Doctor Muerte o Doctor Perdición) por haber predicho la crisis en 2005, ha descrito, con Stephen Mihm, esta pantagruélica juerga en Cómo salimos de ésta. Publicado este verano</w:t>
      </w:r>
      <w:r>
        <w:rPr>
          <w:rFonts w:ascii="Times New Roman" w:hAnsi="Times New Roman"/>
          <w:sz w:val="24"/>
          <w:szCs w:val="24"/>
        </w:rPr>
        <w:t xml:space="preserve"> (2010)</w:t>
      </w:r>
      <w:r w:rsidRPr="004067D5">
        <w:rPr>
          <w:rFonts w:ascii="Times New Roman" w:hAnsi="Times New Roman"/>
          <w:sz w:val="24"/>
          <w:szCs w:val="24"/>
        </w:rPr>
        <w:t xml:space="preserve"> en Nueva York y Londres, el contenido del libro responde mejor a su título original Crisis Economics (Economía de crisis) y presenta un compendio de actuaciones de los gobiernos (principalmente el de los EEUU) en épocas de crisis así como una perspectiva del escenario global. Roubini afirma que estas fiestas que desembocan en crisis son inherentes al sistema capitalista. No son cisnes negros (eventos altamente improbables según Nassim Taleb) sino blancos. Vamos, que nos va la marcha.</w:t>
      </w:r>
    </w:p>
    <w:p w:rsidR="002F07D4" w:rsidRPr="004067D5" w:rsidRDefault="002F07D4" w:rsidP="002F07D4">
      <w:pPr>
        <w:spacing w:line="240" w:lineRule="auto"/>
        <w:jc w:val="both"/>
        <w:rPr>
          <w:rFonts w:ascii="Times New Roman" w:hAnsi="Times New Roman"/>
          <w:sz w:val="24"/>
          <w:szCs w:val="24"/>
        </w:rPr>
      </w:pPr>
      <w:r w:rsidRPr="004067D5">
        <w:rPr>
          <w:rFonts w:ascii="Times New Roman" w:hAnsi="Times New Roman"/>
          <w:sz w:val="24"/>
          <w:szCs w:val="24"/>
        </w:rPr>
        <w:t>Mihm y Roubini, en su afán por sintetizar las políticas de la escuela austríaca, partidaria de la no intervención del gobierno en la economía, y su antagonista, la es</w:t>
      </w:r>
      <w:r>
        <w:rPr>
          <w:rFonts w:ascii="Times New Roman" w:hAnsi="Times New Roman"/>
          <w:sz w:val="24"/>
          <w:szCs w:val="24"/>
        </w:rPr>
        <w:t>cuela keynesiana, proponen una “destrucción creativa”</w:t>
      </w:r>
      <w:r w:rsidRPr="004067D5">
        <w:rPr>
          <w:rFonts w:ascii="Times New Roman" w:hAnsi="Times New Roman"/>
          <w:sz w:val="24"/>
          <w:szCs w:val="24"/>
        </w:rPr>
        <w:t xml:space="preserve"> (término acuñado por Joseph Schumpeter, discípulo de los centroeuropeos) que esté controlada. Los activos tóxicos o de altísimo riesgo y las entidades financieras más expuestas a ellos, incluyendo algunas de las catalogadas como demasiado grandes para quebrar, deben identificarse y eliminarse. Hay que redactar nuevas regulaciones (resucitar leyes como la Glass-Steagall) y reforzar las instituciones financieras internacionales dando un mayor papel a países emergentes y muy en especial a China. </w:t>
      </w:r>
    </w:p>
    <w:p w:rsidR="002F07D4" w:rsidRDefault="002F07D4" w:rsidP="002F07D4">
      <w:pPr>
        <w:spacing w:line="240" w:lineRule="auto"/>
        <w:jc w:val="both"/>
        <w:rPr>
          <w:rFonts w:ascii="Times New Roman" w:hAnsi="Times New Roman"/>
          <w:sz w:val="24"/>
          <w:szCs w:val="24"/>
        </w:rPr>
      </w:pPr>
      <w:r w:rsidRPr="004067D5">
        <w:rPr>
          <w:rFonts w:ascii="Times New Roman" w:hAnsi="Times New Roman"/>
          <w:sz w:val="24"/>
          <w:szCs w:val="24"/>
        </w:rPr>
        <w:t xml:space="preserve">Los autores recomiendan la fragmentación de los grandes bancos. Dirigen su foco hacia Citigroup (¿cuántas veces más habrá que rescatarlo? Ya van cuatro) y Goldman Sachs, quien tras beneficiarse de las ayudas públicas vuelve a los beneficios y bonificaciones record. Aconsejan reformar el sistema retributivo de los altos ejecutivos bancarios (los ‘amos del universo’) y el de las agencias de calificación de riesgos, introduciendo más competencia y resolviendo el conflicto de interés que resulta de vender sus servicios a los emisores de deuda. Otros pasos a dar incluyen enfrentarse a los derivados </w:t>
      </w:r>
      <w:r>
        <w:rPr>
          <w:rFonts w:ascii="Times New Roman" w:hAnsi="Times New Roman"/>
          <w:sz w:val="24"/>
          <w:szCs w:val="24"/>
        </w:rPr>
        <w:t>(a los que Warren Buffet llamó “</w:t>
      </w:r>
      <w:r w:rsidRPr="004067D5">
        <w:rPr>
          <w:rFonts w:ascii="Times New Roman" w:hAnsi="Times New Roman"/>
          <w:sz w:val="24"/>
          <w:szCs w:val="24"/>
        </w:rPr>
        <w:t>bomb</w:t>
      </w:r>
      <w:r>
        <w:rPr>
          <w:rFonts w:ascii="Times New Roman" w:hAnsi="Times New Roman"/>
          <w:sz w:val="24"/>
          <w:szCs w:val="24"/>
        </w:rPr>
        <w:t>as de relojería para el sistema”</w:t>
      </w:r>
      <w:r w:rsidRPr="004067D5">
        <w:rPr>
          <w:rFonts w:ascii="Times New Roman" w:hAnsi="Times New Roman"/>
          <w:sz w:val="24"/>
          <w:szCs w:val="24"/>
        </w:rPr>
        <w:t>) y reforzar tanto los requisitos de capital mínimo de la banca (directrices de Basilea) como el papel de los directores de riesgos, ninguneados desde hace décadas pues obstaculizaban la carrera hacia el máximo beneficio a corto</w:t>
      </w:r>
      <w:r>
        <w:rPr>
          <w:rFonts w:ascii="Times New Roman" w:hAnsi="Times New Roman"/>
          <w:sz w:val="24"/>
          <w:szCs w:val="24"/>
        </w:rPr>
        <w:t>.</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 xml:space="preserve">Mientras tanto, sin ningún tipo de autocrítica, espíritu de enmienda o deseo de rectificación, Ben Bernanke (en su perenne ilusión) invita a una “segunda ronda” (paga la casa) de “quantitative easing”, que duplicaría la anterior. </w:t>
      </w:r>
      <w:r w:rsidRPr="004067D5">
        <w:rPr>
          <w:rFonts w:ascii="Times New Roman" w:hAnsi="Times New Roman"/>
          <w:b/>
          <w:sz w:val="24"/>
          <w:szCs w:val="24"/>
        </w:rPr>
        <w:t>El coma etílico será insalvable</w:t>
      </w:r>
      <w:r>
        <w:rPr>
          <w:rFonts w:ascii="Times New Roman" w:hAnsi="Times New Roman"/>
          <w:b/>
          <w:sz w:val="24"/>
          <w:szCs w:val="24"/>
        </w:rPr>
        <w:t>…</w:t>
      </w:r>
    </w:p>
    <w:p w:rsidR="002F07D4" w:rsidRPr="007B61DC" w:rsidRDefault="002F07D4" w:rsidP="002F07D4">
      <w:pPr>
        <w:jc w:val="both"/>
        <w:rPr>
          <w:rFonts w:ascii="Times New Roman" w:hAnsi="Times New Roman"/>
          <w:b/>
          <w:sz w:val="24"/>
          <w:szCs w:val="24"/>
        </w:rPr>
      </w:pPr>
      <w:r w:rsidRPr="007B61DC">
        <w:rPr>
          <w:rFonts w:ascii="Times New Roman" w:hAnsi="Times New Roman"/>
          <w:b/>
          <w:sz w:val="24"/>
          <w:szCs w:val="24"/>
        </w:rPr>
        <w:t xml:space="preserve">No Comment: La hemeroteca resulta fatal para los políticos (ustedes tomen nota) </w:t>
      </w:r>
    </w:p>
    <w:p w:rsidR="002F07D4" w:rsidRPr="00F8056F"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 </w:t>
      </w:r>
      <w:r w:rsidRPr="00F8056F">
        <w:rPr>
          <w:rFonts w:ascii="Times New Roman" w:hAnsi="Times New Roman"/>
          <w:sz w:val="24"/>
          <w:szCs w:val="24"/>
          <w:u w:val="single"/>
        </w:rPr>
        <w:t>Una sola orden desencadenó el desplome masivo de Wall Street del 6 de mayo</w:t>
      </w:r>
      <w:r>
        <w:rPr>
          <w:rFonts w:ascii="Times New Roman" w:hAnsi="Times New Roman"/>
          <w:sz w:val="24"/>
          <w:szCs w:val="24"/>
        </w:rPr>
        <w:t xml:space="preserve"> (Negocios.com - </w:t>
      </w:r>
      <w:r w:rsidRPr="00F8056F">
        <w:rPr>
          <w:rFonts w:ascii="Times New Roman" w:hAnsi="Times New Roman"/>
          <w:b/>
          <w:sz w:val="24"/>
          <w:szCs w:val="24"/>
        </w:rPr>
        <w:t>1/10/10</w:t>
      </w:r>
      <w:r>
        <w:rPr>
          <w:rFonts w:ascii="Times New Roman" w:hAnsi="Times New Roman"/>
          <w:sz w:val="24"/>
          <w:szCs w:val="24"/>
        </w:rPr>
        <w:t>)                                                                 Lectura recomendada</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lastRenderedPageBreak/>
        <w:t>El derrumbe masivo de casi 1.000 puntos que sufrió en unos minutos Wall Street el pasado 6 de mayo fue provocado por una sola orden de venta, concluyó h</w:t>
      </w:r>
      <w:r w:rsidR="00AC745E">
        <w:rPr>
          <w:rFonts w:ascii="Times New Roman" w:hAnsi="Times New Roman"/>
          <w:sz w:val="24"/>
          <w:szCs w:val="24"/>
        </w:rPr>
        <w:t>oy la Comisión de Valores de EE</w:t>
      </w:r>
      <w:r w:rsidRPr="00F8056F">
        <w:rPr>
          <w:rFonts w:ascii="Times New Roman" w:hAnsi="Times New Roman"/>
          <w:sz w:val="24"/>
          <w:szCs w:val="24"/>
        </w:rPr>
        <w:t xml:space="preserve">UU tras cinco meses de investigaciones. </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Según el amplio informe dado a conocer hoy, fue una sola operación de venta de 4.100 millones de dólares en contratos de futuros la que sembró el caos, para desconcierto de operadores y de las autoridades reguladoras.</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El pasado seis de mayo, entre las 14.30 y las 15.00 horas, el Dow Jones sufrió un desplome de una magnitud e intensidad desconocida, que hizo saltar todas las alarmas y desa</w:t>
      </w:r>
      <w:r>
        <w:rPr>
          <w:rFonts w:ascii="Times New Roman" w:hAnsi="Times New Roman"/>
          <w:sz w:val="24"/>
          <w:szCs w:val="24"/>
        </w:rPr>
        <w:t>tó todo tipo de especulaciones.</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Ese día, el temor ante la crisis griega y la incertidumbre por las elecciones británicas, entre otros factores, habían instalado desde primera hora una corriente bajista en Wall Street, que perdía a media mañana unos 160 puntos.</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Pero a falta de una hora y media para el cierre, la operativa de los mercados entró en una espiral de descensos y en cuestión de minutos, el Dow Jones de Industriales se hund</w:t>
      </w:r>
      <w:r>
        <w:rPr>
          <w:rFonts w:ascii="Times New Roman" w:hAnsi="Times New Roman"/>
          <w:sz w:val="24"/>
          <w:szCs w:val="24"/>
        </w:rPr>
        <w:t>ió, en caída libre, 990 puntos.</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Si bien el desplome se moderó al cierre de la sesión, con 348 puntos, la montaña rusa en la que se vio inmersa la bolsa hizo saltar todas las alarmas ante la evidencia de que en una situación de pánico no funcionan las medidas de control establecidas por los mercados.</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En un principio surgió la teoría de que el desplome fue originado por el dedo torpe de un operador que, queri</w:t>
      </w:r>
      <w:r>
        <w:rPr>
          <w:rFonts w:ascii="Times New Roman" w:hAnsi="Times New Roman"/>
          <w:sz w:val="24"/>
          <w:szCs w:val="24"/>
        </w:rPr>
        <w:t>endo dar una orden de venta de “millones”</w:t>
      </w:r>
      <w:r w:rsidRPr="00F8056F">
        <w:rPr>
          <w:rFonts w:ascii="Times New Roman" w:hAnsi="Times New Roman"/>
          <w:sz w:val="24"/>
          <w:szCs w:val="24"/>
        </w:rPr>
        <w:t xml:space="preserve"> de dólares, </w:t>
      </w:r>
      <w:r>
        <w:rPr>
          <w:rFonts w:ascii="Times New Roman" w:hAnsi="Times New Roman"/>
          <w:sz w:val="24"/>
          <w:szCs w:val="24"/>
        </w:rPr>
        <w:t>marcó en su lugar “billones”.</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Otras teorías apuntaron a que fue una orden masiva de venta de acciones del grupo Procter &amp; Gamble la que, unida al pesimismo que se vivía ese día por la crisis griega y la incertidumbre por las elecciones británicas, entre otros factores, provocó el desplome.</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Pero ahora, tras cinco meses de estudio de los 17 millones de operaciones que se ejecutaron en ese intervalo, la SEC y la Comisión del Mercado de Futuros han sido capaces de reconstruir la secuencia de eventos que llevó</w:t>
      </w:r>
      <w:r>
        <w:rPr>
          <w:rFonts w:ascii="Times New Roman" w:hAnsi="Times New Roman"/>
          <w:sz w:val="24"/>
          <w:szCs w:val="24"/>
        </w:rPr>
        <w:t xml:space="preserve"> al derrumbe de la bolsa.</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El informe deja claro que la caída no fue provocada por una manipulación intencionada del mercado, sino por la propia acción de una gestora de fondos de inversión que trató de proteger sus inversiones de una manera agresiva y abrupta, en un entorno muy volátil por la crisis griega.</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Detrás de esta orden se encontraba una firma de Kansas, Waddell &amp; Reed Financial, que ordenó la venta de 75.000 contratos de futuros referenc</w:t>
      </w:r>
      <w:r>
        <w:rPr>
          <w:rFonts w:ascii="Times New Roman" w:hAnsi="Times New Roman"/>
          <w:sz w:val="24"/>
          <w:szCs w:val="24"/>
        </w:rPr>
        <w:t>iados al índice Standard &amp; Poor’</w:t>
      </w:r>
      <w:r w:rsidRPr="00F8056F">
        <w:rPr>
          <w:rFonts w:ascii="Times New Roman" w:hAnsi="Times New Roman"/>
          <w:sz w:val="24"/>
          <w:szCs w:val="24"/>
        </w:rPr>
        <w:t>s 500, us</w:t>
      </w:r>
      <w:r>
        <w:rPr>
          <w:rFonts w:ascii="Times New Roman" w:hAnsi="Times New Roman"/>
          <w:sz w:val="24"/>
          <w:szCs w:val="24"/>
        </w:rPr>
        <w:t>ando algoritmos computarizados.</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Una orden de este tipo podría extenderse durante varias horas, pero la firma lo hizo solo en 20 minutos, dado que el algoritmo fue pro</w:t>
      </w:r>
      <w:r>
        <w:rPr>
          <w:rFonts w:ascii="Times New Roman" w:hAnsi="Times New Roman"/>
          <w:sz w:val="24"/>
          <w:szCs w:val="24"/>
        </w:rPr>
        <w:t>gramado para ejecutar la venta “</w:t>
      </w:r>
      <w:r w:rsidRPr="00F8056F">
        <w:rPr>
          <w:rFonts w:ascii="Times New Roman" w:hAnsi="Times New Roman"/>
          <w:sz w:val="24"/>
          <w:szCs w:val="24"/>
        </w:rPr>
        <w:t>s</w:t>
      </w:r>
      <w:r>
        <w:rPr>
          <w:rFonts w:ascii="Times New Roman" w:hAnsi="Times New Roman"/>
          <w:sz w:val="24"/>
          <w:szCs w:val="24"/>
        </w:rPr>
        <w:t>in importar la hora o el precio”</w:t>
      </w:r>
      <w:r w:rsidRPr="00F8056F">
        <w:rPr>
          <w:rFonts w:ascii="Times New Roman" w:hAnsi="Times New Roman"/>
          <w:sz w:val="24"/>
          <w:szCs w:val="24"/>
        </w:rPr>
        <w:t xml:space="preserve"> de los contratos.</w:t>
      </w:r>
    </w:p>
    <w:p w:rsidR="002F07D4" w:rsidRPr="00F8056F" w:rsidRDefault="002F07D4" w:rsidP="002F07D4">
      <w:pPr>
        <w:spacing w:line="240" w:lineRule="auto"/>
        <w:jc w:val="both"/>
        <w:rPr>
          <w:rFonts w:ascii="Times New Roman" w:hAnsi="Times New Roman"/>
          <w:sz w:val="24"/>
          <w:szCs w:val="24"/>
        </w:rPr>
      </w:pPr>
      <w:r w:rsidRPr="00F8056F">
        <w:rPr>
          <w:rFonts w:ascii="Times New Roman" w:hAnsi="Times New Roman"/>
          <w:sz w:val="24"/>
          <w:szCs w:val="24"/>
        </w:rPr>
        <w:t>Esta orden generó una enorme presión en el mercado de futuros, que se acabó trasladando al mercado al contado d</w:t>
      </w:r>
      <w:r>
        <w:rPr>
          <w:rFonts w:ascii="Times New Roman" w:hAnsi="Times New Roman"/>
          <w:sz w:val="24"/>
          <w:szCs w:val="24"/>
        </w:rPr>
        <w:t>e Wall Street, que se desplomó.</w:t>
      </w:r>
    </w:p>
    <w:p w:rsidR="002F07D4" w:rsidRPr="00F8056F" w:rsidRDefault="002F07D4" w:rsidP="002F07D4">
      <w:pPr>
        <w:spacing w:line="240" w:lineRule="auto"/>
        <w:jc w:val="both"/>
        <w:rPr>
          <w:rFonts w:ascii="Times New Roman" w:hAnsi="Times New Roman"/>
          <w:b/>
          <w:sz w:val="24"/>
          <w:szCs w:val="24"/>
        </w:rPr>
      </w:pPr>
      <w:r w:rsidRPr="00F8056F">
        <w:rPr>
          <w:rFonts w:ascii="Times New Roman" w:hAnsi="Times New Roman"/>
          <w:b/>
          <w:sz w:val="24"/>
          <w:szCs w:val="24"/>
        </w:rPr>
        <w:lastRenderedPageBreak/>
        <w:t>Aquel incidente puso en evidencia la necesidad de tomar medidas que eviten que se repita en el futuro. En este sentido, la responsable de la SEC, Mary Schapiro, constituyó un comité con otros reguladores, donde surgió la idea de establecer “cortocircuitos” o parones en la contratación cuando se produce una caída pronunciada.</w:t>
      </w:r>
    </w:p>
    <w:p w:rsidR="002F07D4" w:rsidRDefault="002F07D4" w:rsidP="002F07D4">
      <w:pPr>
        <w:spacing w:line="240" w:lineRule="auto"/>
        <w:jc w:val="both"/>
        <w:rPr>
          <w:rFonts w:ascii="Times New Roman" w:hAnsi="Times New Roman"/>
          <w:b/>
          <w:sz w:val="24"/>
          <w:szCs w:val="24"/>
        </w:rPr>
      </w:pPr>
      <w:r w:rsidRPr="00F8056F">
        <w:rPr>
          <w:rFonts w:ascii="Times New Roman" w:hAnsi="Times New Roman"/>
          <w:b/>
          <w:sz w:val="24"/>
          <w:szCs w:val="24"/>
        </w:rPr>
        <w:t>Hoy</w:t>
      </w:r>
      <w:r>
        <w:rPr>
          <w:rFonts w:ascii="Times New Roman" w:hAnsi="Times New Roman"/>
          <w:b/>
          <w:sz w:val="24"/>
          <w:szCs w:val="24"/>
        </w:rPr>
        <w:t xml:space="preserve"> (1/10/10)</w:t>
      </w:r>
      <w:r w:rsidRPr="00F8056F">
        <w:rPr>
          <w:rFonts w:ascii="Times New Roman" w:hAnsi="Times New Roman"/>
          <w:b/>
          <w:sz w:val="24"/>
          <w:szCs w:val="24"/>
        </w:rPr>
        <w:t xml:space="preserve"> en un comunicado, Schapiro reconoció que gracias a lo ocurrido el seis de mayo, se pudieron tomar medidas que hace</w:t>
      </w:r>
      <w:r>
        <w:rPr>
          <w:rFonts w:ascii="Times New Roman" w:hAnsi="Times New Roman"/>
          <w:b/>
          <w:sz w:val="24"/>
          <w:szCs w:val="24"/>
        </w:rPr>
        <w:t>n</w:t>
      </w:r>
      <w:r w:rsidRPr="00F8056F">
        <w:rPr>
          <w:rFonts w:ascii="Times New Roman" w:hAnsi="Times New Roman"/>
          <w:b/>
          <w:sz w:val="24"/>
          <w:szCs w:val="24"/>
        </w:rPr>
        <w:t xml:space="preserve"> que la operativa bursátil sea ahora más segura.</w:t>
      </w:r>
    </w:p>
    <w:p w:rsidR="002F07D4" w:rsidRPr="00C3102F" w:rsidRDefault="002F07D4" w:rsidP="002F07D4">
      <w:pPr>
        <w:spacing w:line="240" w:lineRule="auto"/>
        <w:jc w:val="both"/>
        <w:rPr>
          <w:rFonts w:ascii="Times New Roman" w:hAnsi="Times New Roman"/>
          <w:b/>
          <w:sz w:val="24"/>
          <w:szCs w:val="24"/>
        </w:rPr>
      </w:pPr>
      <w:r>
        <w:rPr>
          <w:rFonts w:ascii="Times New Roman" w:hAnsi="Times New Roman"/>
          <w:b/>
          <w:sz w:val="24"/>
          <w:szCs w:val="24"/>
        </w:rPr>
        <w:t xml:space="preserve">Como en el caso de </w:t>
      </w:r>
      <w:r w:rsidRPr="00C3102F">
        <w:rPr>
          <w:rFonts w:ascii="Times New Roman" w:hAnsi="Times New Roman"/>
          <w:b/>
          <w:sz w:val="24"/>
          <w:szCs w:val="24"/>
        </w:rPr>
        <w:t>Jérôme Kerviel, el ex corredor bursátil de Société Générale (</w:t>
      </w:r>
      <w:r>
        <w:rPr>
          <w:rFonts w:ascii="Times New Roman" w:hAnsi="Times New Roman"/>
          <w:b/>
          <w:sz w:val="24"/>
          <w:szCs w:val="24"/>
        </w:rPr>
        <w:t xml:space="preserve">condenado a </w:t>
      </w:r>
      <w:r w:rsidRPr="00C3102F">
        <w:rPr>
          <w:rFonts w:ascii="Times New Roman" w:hAnsi="Times New Roman"/>
          <w:b/>
          <w:sz w:val="24"/>
          <w:szCs w:val="24"/>
        </w:rPr>
        <w:t>tres años de cárcel y a pagar al banco en el que trabajaba el equivalente a US$ 6.750 millones por pérdidas ocasionadas con apuestas riesgosas en los mercados)</w:t>
      </w:r>
      <w:r>
        <w:rPr>
          <w:rFonts w:ascii="Times New Roman" w:hAnsi="Times New Roman"/>
          <w:b/>
          <w:sz w:val="24"/>
          <w:szCs w:val="24"/>
        </w:rPr>
        <w:t>, el “flash crash”</w:t>
      </w:r>
      <w:r w:rsidRPr="009B568E">
        <w:rPr>
          <w:rFonts w:ascii="Times New Roman" w:hAnsi="Times New Roman"/>
          <w:b/>
          <w:sz w:val="24"/>
          <w:szCs w:val="24"/>
        </w:rPr>
        <w:t xml:space="preserve"> de mayo </w:t>
      </w:r>
      <w:r>
        <w:rPr>
          <w:rFonts w:ascii="Times New Roman" w:hAnsi="Times New Roman"/>
          <w:b/>
          <w:sz w:val="24"/>
          <w:szCs w:val="24"/>
        </w:rPr>
        <w:t>en Wall Street fue culpa de un “fondo robot”</w:t>
      </w:r>
      <w:r w:rsidRPr="009B568E">
        <w:rPr>
          <w:rFonts w:ascii="Times New Roman" w:hAnsi="Times New Roman"/>
          <w:b/>
          <w:sz w:val="24"/>
          <w:szCs w:val="24"/>
        </w:rPr>
        <w:t xml:space="preserve"> de futuros</w:t>
      </w:r>
      <w:r>
        <w:rPr>
          <w:rFonts w:ascii="Times New Roman" w:hAnsi="Times New Roman"/>
          <w:b/>
          <w:sz w:val="24"/>
          <w:szCs w:val="24"/>
        </w:rPr>
        <w:t xml:space="preserve"> (</w:t>
      </w:r>
      <w:r w:rsidRPr="00C3102F">
        <w:rPr>
          <w:rFonts w:ascii="Times New Roman" w:hAnsi="Times New Roman"/>
          <w:b/>
          <w:sz w:val="24"/>
          <w:szCs w:val="24"/>
        </w:rPr>
        <w:t>WSJ ha identificado al agente como la firma Waddell &amp; Reed</w:t>
      </w:r>
      <w:r>
        <w:rPr>
          <w:rFonts w:ascii="Times New Roman" w:hAnsi="Times New Roman"/>
          <w:b/>
          <w:sz w:val="24"/>
          <w:szCs w:val="24"/>
        </w:rPr>
        <w:t>)</w:t>
      </w:r>
      <w:r w:rsidRPr="00C3102F">
        <w:rPr>
          <w:rFonts w:ascii="Times New Roman" w:hAnsi="Times New Roman"/>
          <w:b/>
          <w:sz w:val="24"/>
          <w:szCs w:val="24"/>
        </w:rPr>
        <w:t>. ¿Ustedes se lo creen? Yo, tampoco.</w:t>
      </w:r>
    </w:p>
    <w:p w:rsidR="002F07D4" w:rsidRPr="00C3102F" w:rsidRDefault="002F07D4" w:rsidP="002F07D4">
      <w:pPr>
        <w:spacing w:line="240" w:lineRule="auto"/>
        <w:jc w:val="both"/>
        <w:rPr>
          <w:rFonts w:ascii="Times New Roman" w:hAnsi="Times New Roman"/>
          <w:b/>
          <w:sz w:val="24"/>
          <w:szCs w:val="24"/>
        </w:rPr>
      </w:pPr>
      <w:r>
        <w:rPr>
          <w:rFonts w:ascii="Times New Roman" w:hAnsi="Times New Roman"/>
          <w:b/>
          <w:sz w:val="24"/>
          <w:szCs w:val="24"/>
        </w:rPr>
        <w:t>“E</w:t>
      </w:r>
      <w:r w:rsidRPr="00C3102F">
        <w:rPr>
          <w:rFonts w:ascii="Times New Roman" w:hAnsi="Times New Roman"/>
          <w:b/>
          <w:sz w:val="24"/>
          <w:szCs w:val="24"/>
        </w:rPr>
        <w:t>l uso de un sistema de negociación computarizado por parte de un importante agente de bolsa para vender contratos a futuro condujo a ventas rápidas y súbitas que a su vez detonaron ventas generalizadas adicionales en un mercado inestable</w:t>
      </w:r>
      <w:r>
        <w:rPr>
          <w:rFonts w:ascii="Times New Roman" w:hAnsi="Times New Roman"/>
          <w:b/>
          <w:sz w:val="24"/>
          <w:szCs w:val="24"/>
        </w:rPr>
        <w:t>” (sic Comisión de Valores de EEUU). Glup.</w:t>
      </w:r>
    </w:p>
    <w:p w:rsidR="002F07D4" w:rsidRPr="00C3102F" w:rsidRDefault="002F07D4" w:rsidP="002F07D4">
      <w:pPr>
        <w:spacing w:line="240" w:lineRule="auto"/>
        <w:jc w:val="both"/>
        <w:rPr>
          <w:rFonts w:ascii="Times New Roman" w:hAnsi="Times New Roman"/>
          <w:b/>
          <w:sz w:val="24"/>
          <w:szCs w:val="24"/>
        </w:rPr>
      </w:pPr>
      <w:r>
        <w:rPr>
          <w:rFonts w:ascii="Times New Roman" w:hAnsi="Times New Roman"/>
          <w:b/>
          <w:sz w:val="24"/>
          <w:szCs w:val="24"/>
        </w:rPr>
        <w:t xml:space="preserve">“El </w:t>
      </w:r>
      <w:r w:rsidRPr="00C3102F">
        <w:rPr>
          <w:rFonts w:ascii="Times New Roman" w:hAnsi="Times New Roman"/>
          <w:b/>
          <w:sz w:val="24"/>
          <w:szCs w:val="24"/>
        </w:rPr>
        <w:t>agente decidió escoger un algoritmo para negociar el co</w:t>
      </w:r>
      <w:r>
        <w:rPr>
          <w:rFonts w:ascii="Times New Roman" w:hAnsi="Times New Roman"/>
          <w:b/>
          <w:sz w:val="24"/>
          <w:szCs w:val="24"/>
        </w:rPr>
        <w:t>ntrato de futuros electrónicos “mini”</w:t>
      </w:r>
      <w:r w:rsidRPr="00C3102F">
        <w:rPr>
          <w:rFonts w:ascii="Times New Roman" w:hAnsi="Times New Roman"/>
          <w:b/>
          <w:sz w:val="24"/>
          <w:szCs w:val="24"/>
        </w:rPr>
        <w:t>. Este tipo de contrato imita las negociaciones en el índice S&amp;P 500. El programa de comp</w:t>
      </w:r>
      <w:r>
        <w:rPr>
          <w:rFonts w:ascii="Times New Roman" w:hAnsi="Times New Roman"/>
          <w:b/>
          <w:sz w:val="24"/>
          <w:szCs w:val="24"/>
        </w:rPr>
        <w:t>utación ejecutó la transacción “</w:t>
      </w:r>
      <w:r w:rsidRPr="00C3102F">
        <w:rPr>
          <w:rFonts w:ascii="Times New Roman" w:hAnsi="Times New Roman"/>
          <w:b/>
          <w:sz w:val="24"/>
          <w:szCs w:val="24"/>
        </w:rPr>
        <w:t>extremadamen</w:t>
      </w:r>
      <w:r>
        <w:rPr>
          <w:rFonts w:ascii="Times New Roman" w:hAnsi="Times New Roman"/>
          <w:b/>
          <w:sz w:val="24"/>
          <w:szCs w:val="24"/>
        </w:rPr>
        <w:t>te rápido, en apenas 20 minutos” (sic Comisión de Valores de EEUU).  Glup. glup.</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w:t>
      </w:r>
      <w:r w:rsidRPr="00C3102F">
        <w:rPr>
          <w:rFonts w:ascii="Times New Roman" w:hAnsi="Times New Roman"/>
          <w:b/>
          <w:sz w:val="24"/>
          <w:szCs w:val="24"/>
        </w:rPr>
        <w:t>La investigación mostró que estas operaciones fueron inicialmente absorbidas por agentes que realizan transacciones de alta frecuencia y por otros en el mercado, pero que la liquidez se agotó rápidamente para el contrato y en otras partes</w:t>
      </w:r>
      <w:r>
        <w:rPr>
          <w:rFonts w:ascii="Times New Roman" w:hAnsi="Times New Roman"/>
          <w:b/>
          <w:sz w:val="24"/>
          <w:szCs w:val="24"/>
        </w:rPr>
        <w:t>” (sic Comisión de Valores de EEUU). Triple glup.</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¿Un error tipográfico? ¿Algoritmos traviesos? ¿Sistemas especulativos de alta velocidad? ¿Niñatos que juegan al Monopoly con el dinero ajeno? Tal vez, de todo un poco. Pero, tranquilos, Mary Schapiro está al mando. Y mañana vendrá Godot. ¿Ustedes se lo creen? Yo, tampoco…</w:t>
      </w:r>
    </w:p>
    <w:p w:rsidR="002F07D4" w:rsidRPr="007B61DC" w:rsidRDefault="002F07D4" w:rsidP="002F07D4">
      <w:pPr>
        <w:spacing w:line="240" w:lineRule="auto"/>
        <w:jc w:val="both"/>
        <w:rPr>
          <w:rFonts w:ascii="Times New Roman" w:hAnsi="Times New Roman"/>
          <w:b/>
          <w:sz w:val="24"/>
          <w:szCs w:val="24"/>
        </w:rPr>
      </w:pPr>
      <w:r w:rsidRPr="007B61DC">
        <w:rPr>
          <w:rFonts w:ascii="Times New Roman" w:hAnsi="Times New Roman"/>
          <w:b/>
          <w:sz w:val="24"/>
          <w:szCs w:val="24"/>
        </w:rPr>
        <w:t>Con la “colaboración” de Il Gattopardo, el Senado de EEUU aprueba la reforma</w:t>
      </w:r>
    </w:p>
    <w:p w:rsidR="002F07D4" w:rsidRPr="00B53B44"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B53B44">
        <w:rPr>
          <w:rFonts w:ascii="Times New Roman" w:hAnsi="Times New Roman"/>
          <w:i/>
          <w:sz w:val="24"/>
          <w:szCs w:val="24"/>
        </w:rPr>
        <w:t>El Senado de Estados Unidos aprobó en la noche de este jueves la ley de reforma financiera, un proyecto con el que se busca aumentar significativamente los controles sobre Wall Street y que supone la primera gran reforma del sector desde los años treinta</w:t>
      </w:r>
      <w:r>
        <w:rPr>
          <w:rFonts w:ascii="Times New Roman" w:hAnsi="Times New Roman"/>
          <w:i/>
          <w:sz w:val="24"/>
          <w:szCs w:val="24"/>
        </w:rPr>
        <w:t>”..</w:t>
      </w:r>
      <w:r w:rsidRPr="00B53B44">
        <w:rPr>
          <w:rFonts w:ascii="Times New Roman" w:hAnsi="Times New Roman"/>
          <w:i/>
          <w:sz w:val="24"/>
          <w:szCs w:val="24"/>
        </w:rPr>
        <w:t>.</w:t>
      </w:r>
      <w:r w:rsidRPr="00542C38">
        <w:rPr>
          <w:rFonts w:ascii="Times New Roman" w:hAnsi="Times New Roman"/>
          <w:sz w:val="24"/>
          <w:szCs w:val="24"/>
          <w:u w:val="single"/>
        </w:rPr>
        <w:t>El Senado de Estados Unidos aprueba la ley de reforma financiera</w:t>
      </w:r>
      <w:r>
        <w:rPr>
          <w:rFonts w:ascii="Times New Roman" w:hAnsi="Times New Roman"/>
          <w:sz w:val="24"/>
          <w:szCs w:val="24"/>
        </w:rPr>
        <w:t xml:space="preserve"> (Cinco Días - </w:t>
      </w:r>
      <w:r w:rsidRPr="00542C38">
        <w:rPr>
          <w:rFonts w:ascii="Times New Roman" w:hAnsi="Times New Roman"/>
          <w:b/>
          <w:sz w:val="24"/>
          <w:szCs w:val="24"/>
        </w:rPr>
        <w:t>21/5/10</w:t>
      </w:r>
      <w:r>
        <w:rPr>
          <w:rFonts w:ascii="Times New Roman" w:hAnsi="Times New Roman"/>
          <w:sz w:val="24"/>
          <w:szCs w:val="24"/>
        </w:rPr>
        <w:t>)</w:t>
      </w:r>
    </w:p>
    <w:p w:rsidR="002F07D4" w:rsidRPr="00542C38" w:rsidRDefault="002F07D4" w:rsidP="002F07D4">
      <w:pPr>
        <w:spacing w:line="240" w:lineRule="auto"/>
        <w:jc w:val="both"/>
        <w:rPr>
          <w:rFonts w:ascii="Times New Roman" w:hAnsi="Times New Roman"/>
          <w:sz w:val="24"/>
          <w:szCs w:val="24"/>
        </w:rPr>
      </w:pPr>
      <w:r w:rsidRPr="00542C38">
        <w:rPr>
          <w:rFonts w:ascii="Times New Roman" w:hAnsi="Times New Roman"/>
          <w:sz w:val="24"/>
          <w:szCs w:val="24"/>
        </w:rPr>
        <w:t>Con 59 votos a favor y 39 en contra, la Cámara dio luz verde al proyecto, una victoria para el presidente de Estados Unidos, Barack Obama, quien había prometido endurecer las leyes para prevenir que las entidades bancarias y los mercados del capital puedan provocar una nueva crisis financiera como la iniciada en 2007, que generó una fuerte recesión y obligó a utilizar enormes cantidades dinero público en planes de rescate para la industr</w:t>
      </w:r>
      <w:r>
        <w:rPr>
          <w:rFonts w:ascii="Times New Roman" w:hAnsi="Times New Roman"/>
          <w:sz w:val="24"/>
          <w:szCs w:val="24"/>
        </w:rPr>
        <w:t>ia y las entidades financieras.</w:t>
      </w:r>
    </w:p>
    <w:p w:rsidR="002F07D4" w:rsidRPr="006B1982" w:rsidRDefault="002F07D4" w:rsidP="002F07D4">
      <w:pPr>
        <w:spacing w:line="240" w:lineRule="auto"/>
        <w:jc w:val="both"/>
        <w:rPr>
          <w:rFonts w:ascii="Times New Roman" w:hAnsi="Times New Roman"/>
          <w:sz w:val="24"/>
          <w:szCs w:val="24"/>
        </w:rPr>
      </w:pPr>
      <w:r w:rsidRPr="006B1982">
        <w:rPr>
          <w:rFonts w:ascii="Times New Roman" w:hAnsi="Times New Roman"/>
          <w:sz w:val="24"/>
          <w:szCs w:val="24"/>
        </w:rPr>
        <w:lastRenderedPageBreak/>
        <w:t>Fuentes políticas indicaron que se espera que la versión final del proyecto llegue a la Casa Blanca para su promulgación antes del 4 de julio, Día de la Independencia de EE UU.</w:t>
      </w:r>
    </w:p>
    <w:p w:rsidR="002F07D4" w:rsidRPr="00542C38" w:rsidRDefault="002F07D4" w:rsidP="002F07D4">
      <w:pPr>
        <w:spacing w:line="240" w:lineRule="auto"/>
        <w:jc w:val="both"/>
        <w:rPr>
          <w:rFonts w:ascii="Times New Roman" w:hAnsi="Times New Roman"/>
          <w:sz w:val="24"/>
          <w:szCs w:val="24"/>
        </w:rPr>
      </w:pPr>
      <w:r w:rsidRPr="00542C38">
        <w:rPr>
          <w:rFonts w:ascii="Times New Roman" w:hAnsi="Times New Roman"/>
          <w:sz w:val="24"/>
          <w:szCs w:val="24"/>
        </w:rPr>
        <w:t>Durante los últimos meses el presidente Obama llevó a cabo una intensa campaña para pedir al Congreso la aprobación de la reforma que, s</w:t>
      </w:r>
      <w:r>
        <w:rPr>
          <w:rFonts w:ascii="Times New Roman" w:hAnsi="Times New Roman"/>
          <w:sz w:val="24"/>
          <w:szCs w:val="24"/>
        </w:rPr>
        <w:t>egún afirmó, ayudará a impedir “los abusos y excesos”</w:t>
      </w:r>
      <w:r w:rsidRPr="00542C38">
        <w:rPr>
          <w:rFonts w:ascii="Times New Roman" w:hAnsi="Times New Roman"/>
          <w:sz w:val="24"/>
          <w:szCs w:val="24"/>
        </w:rPr>
        <w:t xml:space="preserve"> que llevaron a lo que calificó como la peor cris</w:t>
      </w:r>
      <w:r>
        <w:rPr>
          <w:rFonts w:ascii="Times New Roman" w:hAnsi="Times New Roman"/>
          <w:sz w:val="24"/>
          <w:szCs w:val="24"/>
        </w:rPr>
        <w:t>is de las últimas generaciones.</w:t>
      </w:r>
    </w:p>
    <w:p w:rsidR="002F07D4" w:rsidRPr="006B1982" w:rsidRDefault="002F07D4" w:rsidP="002F07D4">
      <w:pPr>
        <w:spacing w:line="240" w:lineRule="auto"/>
        <w:jc w:val="both"/>
        <w:rPr>
          <w:rFonts w:ascii="Times New Roman" w:hAnsi="Times New Roman"/>
          <w:sz w:val="24"/>
          <w:szCs w:val="24"/>
        </w:rPr>
      </w:pPr>
      <w:r w:rsidRPr="006B1982">
        <w:rPr>
          <w:rFonts w:ascii="Times New Roman" w:hAnsi="Times New Roman"/>
          <w:sz w:val="24"/>
          <w:szCs w:val="24"/>
        </w:rPr>
        <w:t>Según ha señalado, las nuevas normas que involucra la reforma permitirán un funcionamiento justo de los mercados y el control de ciertas prácticas de la industria financiera.</w:t>
      </w:r>
    </w:p>
    <w:p w:rsidR="002F07D4" w:rsidRPr="006B1982" w:rsidRDefault="002F07D4" w:rsidP="002F07D4">
      <w:pPr>
        <w:spacing w:line="240" w:lineRule="auto"/>
        <w:jc w:val="both"/>
        <w:rPr>
          <w:rFonts w:ascii="Times New Roman" w:hAnsi="Times New Roman"/>
          <w:sz w:val="24"/>
          <w:szCs w:val="24"/>
        </w:rPr>
      </w:pPr>
      <w:r w:rsidRPr="006B1982">
        <w:rPr>
          <w:rFonts w:ascii="Times New Roman" w:hAnsi="Times New Roman"/>
          <w:sz w:val="24"/>
          <w:szCs w:val="24"/>
        </w:rPr>
        <w:t>La iniciativa propone nuevas formas de supervisar el sistema financiero e incluye la creación de un organismo que se encargará de proteger los derechos de los consumidores.</w:t>
      </w:r>
    </w:p>
    <w:p w:rsidR="002F07D4" w:rsidRPr="006B1982" w:rsidRDefault="002F07D4" w:rsidP="002F07D4">
      <w:pPr>
        <w:spacing w:line="240" w:lineRule="auto"/>
        <w:jc w:val="both"/>
        <w:rPr>
          <w:rFonts w:ascii="Times New Roman" w:hAnsi="Times New Roman"/>
          <w:sz w:val="24"/>
          <w:szCs w:val="24"/>
        </w:rPr>
      </w:pPr>
      <w:r w:rsidRPr="006B1982">
        <w:rPr>
          <w:rFonts w:ascii="Times New Roman" w:hAnsi="Times New Roman"/>
          <w:sz w:val="24"/>
          <w:szCs w:val="24"/>
        </w:rPr>
        <w:t>Asimismo, establecería controles sobre las operaciones interbancarias y exigiría un cumplimiento exhaustivo de los requisitos para quienes soliciten préstamos hipotecarios para no arriesgar el incumplimiento de pagos.</w:t>
      </w:r>
    </w:p>
    <w:p w:rsidR="002F07D4" w:rsidRPr="006B1982" w:rsidRDefault="002F07D4" w:rsidP="002F07D4">
      <w:pPr>
        <w:spacing w:line="240" w:lineRule="auto"/>
        <w:jc w:val="both"/>
        <w:rPr>
          <w:rFonts w:ascii="Times New Roman" w:hAnsi="Times New Roman"/>
          <w:sz w:val="24"/>
          <w:szCs w:val="24"/>
        </w:rPr>
      </w:pPr>
      <w:r w:rsidRPr="006B1982">
        <w:rPr>
          <w:rFonts w:ascii="Times New Roman" w:hAnsi="Times New Roman"/>
          <w:sz w:val="24"/>
          <w:szCs w:val="24"/>
        </w:rPr>
        <w:t>“Nuestro objetivo no es castigar a los bancos sino proteger al pueblo de Estados Unidos de los altibajos que hemos visto en los últimos años”, manifestó Obama después de que el Senado eliminara la última barrera que se presentaba para la aprobación del proyecto.</w:t>
      </w:r>
    </w:p>
    <w:p w:rsidR="002F07D4" w:rsidRPr="006B1982" w:rsidRDefault="002F07D4" w:rsidP="002F07D4">
      <w:pPr>
        <w:spacing w:line="240" w:lineRule="auto"/>
        <w:jc w:val="both"/>
        <w:rPr>
          <w:rFonts w:ascii="Times New Roman" w:hAnsi="Times New Roman"/>
          <w:sz w:val="24"/>
          <w:szCs w:val="24"/>
        </w:rPr>
      </w:pPr>
      <w:r w:rsidRPr="006B1982">
        <w:rPr>
          <w:rFonts w:ascii="Times New Roman" w:hAnsi="Times New Roman"/>
          <w:sz w:val="24"/>
          <w:szCs w:val="24"/>
        </w:rPr>
        <w:t>Tanto hoy como en sus anteriores discursos sobre la reforma, Obama señaló que la industria financiera había gastado millones de dólares en publicidad para impedir la aprobación.</w:t>
      </w:r>
    </w:p>
    <w:p w:rsidR="002F07D4" w:rsidRPr="006B1982" w:rsidRDefault="002F07D4" w:rsidP="002F07D4">
      <w:pPr>
        <w:spacing w:line="240" w:lineRule="auto"/>
        <w:jc w:val="both"/>
        <w:rPr>
          <w:rFonts w:ascii="Times New Roman" w:hAnsi="Times New Roman"/>
          <w:sz w:val="24"/>
          <w:szCs w:val="24"/>
        </w:rPr>
      </w:pPr>
      <w:r w:rsidRPr="006B1982">
        <w:rPr>
          <w:rFonts w:ascii="Times New Roman" w:hAnsi="Times New Roman"/>
          <w:sz w:val="24"/>
          <w:szCs w:val="24"/>
        </w:rPr>
        <w:t>Según el senador republicano Richard Shelby, que votó en contra de la aprobación, una vez promulgada la ley de reforma financiera tendrá un enorme impacto en la vida de los estadounidenses. “El juicio final no estará en los comunicados autocomplacientes sino en el mercado, y el mercado no otorga crédito nada más que por tener buenas intenciones”, manifestó.</w:t>
      </w:r>
    </w:p>
    <w:p w:rsidR="002F07D4" w:rsidRPr="006B1982" w:rsidRDefault="002F07D4" w:rsidP="002F07D4">
      <w:pPr>
        <w:spacing w:line="240" w:lineRule="auto"/>
        <w:jc w:val="both"/>
        <w:rPr>
          <w:rFonts w:ascii="Times New Roman" w:hAnsi="Times New Roman"/>
          <w:sz w:val="24"/>
          <w:szCs w:val="24"/>
        </w:rPr>
      </w:pPr>
      <w:r w:rsidRPr="006B1982">
        <w:rPr>
          <w:rFonts w:ascii="Times New Roman" w:hAnsi="Times New Roman"/>
          <w:sz w:val="24"/>
          <w:szCs w:val="24"/>
        </w:rPr>
        <w:t>Entre los puntos fundamentales de la reforma, que está llamada a potenciar el papel supervisor de las agencias estatales y establecer más controles sobre Wall Street, destacan los siguientes:</w:t>
      </w:r>
    </w:p>
    <w:p w:rsidR="002F07D4" w:rsidRPr="006B1982"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w:t>
      </w:r>
      <w:r w:rsidRPr="002F070B">
        <w:rPr>
          <w:rFonts w:ascii="Times New Roman" w:hAnsi="Times New Roman"/>
          <w:sz w:val="24"/>
          <w:szCs w:val="24"/>
          <w:u w:val="single"/>
        </w:rPr>
        <w:t>REGULACIÓN FINANCIERA</w:t>
      </w:r>
      <w:r w:rsidRPr="00D220B2">
        <w:rPr>
          <w:rFonts w:ascii="Times New Roman" w:hAnsi="Times New Roman"/>
          <w:sz w:val="24"/>
          <w:szCs w:val="24"/>
        </w:rPr>
        <w:t>: En lugar de las siete agencias con responsabilidades de supervisión sobre diferentes áreas del sistema financiero</w:t>
      </w:r>
      <w:r w:rsidRPr="006B1982">
        <w:rPr>
          <w:rFonts w:ascii="Times New Roman" w:hAnsi="Times New Roman"/>
          <w:sz w:val="24"/>
          <w:szCs w:val="24"/>
        </w:rPr>
        <w:t>, la legislación crea un consejo único de reguladores y otorga a la Reserva Federal nuevas atribuciones sobre las mayores compañías financieras.</w:t>
      </w:r>
    </w:p>
    <w:p w:rsidR="002F07D4" w:rsidRPr="00D220B2"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Se elimina la Oficina de Supervisión de Bancos de Ahorro cuyas funciones quedan absorbidas p</w:t>
      </w:r>
      <w:r>
        <w:rPr>
          <w:rFonts w:ascii="Times New Roman" w:hAnsi="Times New Roman"/>
          <w:sz w:val="24"/>
          <w:szCs w:val="24"/>
        </w:rPr>
        <w:t>or la Contraloría de la Moneda.</w:t>
      </w:r>
    </w:p>
    <w:p w:rsidR="002F07D4" w:rsidRPr="00D220B2"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w:t>
      </w:r>
      <w:r w:rsidRPr="001D5B1E">
        <w:rPr>
          <w:rFonts w:ascii="Times New Roman" w:hAnsi="Times New Roman"/>
          <w:sz w:val="24"/>
          <w:szCs w:val="24"/>
          <w:u w:val="single"/>
        </w:rPr>
        <w:t>AUTORIDAD PARA MANEJAR LAS CRISIS</w:t>
      </w:r>
      <w:r w:rsidRPr="00D220B2">
        <w:rPr>
          <w:rFonts w:ascii="Times New Roman" w:hAnsi="Times New Roman"/>
          <w:sz w:val="24"/>
          <w:szCs w:val="24"/>
        </w:rPr>
        <w:t>: La legislación concentra la autoridad reguladora y da al Gobierno más atribuciones para la intervención, fragmentación y/o liquidación de instituciones bancarias o financieras al borde del colapso, sin mecanismos de salvamento</w:t>
      </w:r>
      <w:r>
        <w:rPr>
          <w:rFonts w:ascii="Times New Roman" w:hAnsi="Times New Roman"/>
          <w:sz w:val="24"/>
          <w:szCs w:val="24"/>
        </w:rPr>
        <w:t xml:space="preserve"> a costa de los contribuyentes.</w:t>
      </w:r>
    </w:p>
    <w:p w:rsidR="002F07D4" w:rsidRPr="006B1982" w:rsidRDefault="002F07D4" w:rsidP="002F07D4">
      <w:pPr>
        <w:spacing w:line="240" w:lineRule="auto"/>
        <w:jc w:val="both"/>
        <w:rPr>
          <w:rFonts w:ascii="Times New Roman" w:hAnsi="Times New Roman"/>
          <w:sz w:val="24"/>
          <w:szCs w:val="24"/>
        </w:rPr>
      </w:pPr>
      <w:r w:rsidRPr="006B1982">
        <w:rPr>
          <w:rFonts w:ascii="Times New Roman" w:hAnsi="Times New Roman"/>
          <w:sz w:val="24"/>
          <w:szCs w:val="24"/>
        </w:rPr>
        <w:lastRenderedPageBreak/>
        <w:t>El Departamento del Tesoro y la Corporación Financiera de Seguro de Depósitos manejarán el cierre de las entidades en problemas y los accionistas y acreedores no asegurados cargarán con las pérdidas.</w:t>
      </w:r>
    </w:p>
    <w:p w:rsidR="002F07D4" w:rsidRPr="006B1982"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w:t>
      </w:r>
      <w:r w:rsidRPr="001D5B1E">
        <w:rPr>
          <w:rFonts w:ascii="Times New Roman" w:hAnsi="Times New Roman"/>
          <w:sz w:val="24"/>
          <w:szCs w:val="24"/>
          <w:u w:val="single"/>
        </w:rPr>
        <w:t>CONSEJO DE ESTABILIDAD FINANCIERA</w:t>
      </w:r>
      <w:r w:rsidRPr="00D220B2">
        <w:rPr>
          <w:rFonts w:ascii="Times New Roman" w:hAnsi="Times New Roman"/>
          <w:sz w:val="24"/>
          <w:szCs w:val="24"/>
        </w:rPr>
        <w:t xml:space="preserve">: </w:t>
      </w:r>
      <w:r w:rsidRPr="006B1982">
        <w:rPr>
          <w:rFonts w:ascii="Times New Roman" w:hAnsi="Times New Roman"/>
          <w:sz w:val="24"/>
          <w:szCs w:val="24"/>
        </w:rPr>
        <w:t>El nuevo Consejo de Supervisión de la Estabilidad Financiera, integrado por varias agencias reguladoras y presidido por el secretario del Tesoro, vigilará los riesgos sistémicos causados por las entidades financieras más grandes y complejas.</w:t>
      </w:r>
    </w:p>
    <w:p w:rsidR="002F07D4" w:rsidRPr="00D220B2"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Este consejo de nueve miembros puede recomendar que la Reserva Federal imponga reglas más estrictas sobre capital, o la fragmentación de las firmas financieras.</w:t>
      </w:r>
    </w:p>
    <w:p w:rsidR="002F07D4" w:rsidRPr="006B1982"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w:t>
      </w:r>
      <w:r w:rsidRPr="001D5B1E">
        <w:rPr>
          <w:rFonts w:ascii="Times New Roman" w:hAnsi="Times New Roman"/>
          <w:sz w:val="24"/>
          <w:szCs w:val="24"/>
          <w:u w:val="single"/>
        </w:rPr>
        <w:t>NORMAS PARA BANCOS GRANDES</w:t>
      </w:r>
      <w:r w:rsidRPr="00D220B2">
        <w:rPr>
          <w:rFonts w:ascii="Times New Roman" w:hAnsi="Times New Roman"/>
          <w:sz w:val="24"/>
          <w:szCs w:val="24"/>
        </w:rPr>
        <w:t xml:space="preserve">: </w:t>
      </w:r>
      <w:r w:rsidRPr="006B1982">
        <w:rPr>
          <w:rFonts w:ascii="Times New Roman" w:hAnsi="Times New Roman"/>
          <w:sz w:val="24"/>
          <w:szCs w:val="24"/>
        </w:rPr>
        <w:t>Los bancos con activos de más de 250.000 millones de dólares quedarán sujetos a normas más altas sobre riesgos y requisitos de capital.</w:t>
      </w:r>
    </w:p>
    <w:p w:rsidR="002F07D4" w:rsidRPr="00D220B2"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w:t>
      </w:r>
      <w:r w:rsidRPr="001D5B1E">
        <w:rPr>
          <w:rFonts w:ascii="Times New Roman" w:hAnsi="Times New Roman"/>
          <w:sz w:val="24"/>
          <w:szCs w:val="24"/>
          <w:u w:val="single"/>
        </w:rPr>
        <w:t>PROTECCIÓN DEL CONSUMIDOR</w:t>
      </w:r>
      <w:r w:rsidRPr="00D220B2">
        <w:rPr>
          <w:rFonts w:ascii="Times New Roman" w:hAnsi="Times New Roman"/>
          <w:sz w:val="24"/>
          <w:szCs w:val="24"/>
        </w:rPr>
        <w:t xml:space="preserve">: </w:t>
      </w:r>
      <w:r w:rsidRPr="006B1982">
        <w:rPr>
          <w:rFonts w:ascii="Times New Roman" w:hAnsi="Times New Roman"/>
          <w:sz w:val="24"/>
          <w:szCs w:val="24"/>
        </w:rPr>
        <w:t>Se crea una Oficina de Protección Financiera del Consumidor, que estará dentro de la Reserva Federal pero cuyo director será designado independientemente por el presidente de EEUU, y que tendrá fondos propios.</w:t>
      </w:r>
      <w:r w:rsidRPr="00D220B2">
        <w:rPr>
          <w:rFonts w:ascii="Times New Roman" w:hAnsi="Times New Roman"/>
          <w:sz w:val="24"/>
          <w:szCs w:val="24"/>
        </w:rPr>
        <w:t xml:space="preserve"> Esta agencia supervisará los bancos con más de 10.000 millones de dólares en activos, y podrá elaborar y aplicar nuevas reglas sobre hipotecas y otros instrumentos financieros.</w:t>
      </w:r>
    </w:p>
    <w:p w:rsidR="002F07D4" w:rsidRPr="00680D04"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w:t>
      </w:r>
      <w:r w:rsidRPr="001D5B1E">
        <w:rPr>
          <w:rFonts w:ascii="Times New Roman" w:hAnsi="Times New Roman"/>
          <w:sz w:val="24"/>
          <w:szCs w:val="24"/>
          <w:u w:val="single"/>
        </w:rPr>
        <w:t>DERIVADOS</w:t>
      </w:r>
      <w:r w:rsidRPr="00D220B2">
        <w:rPr>
          <w:rFonts w:ascii="Times New Roman" w:hAnsi="Times New Roman"/>
          <w:sz w:val="24"/>
          <w:szCs w:val="24"/>
        </w:rPr>
        <w:t xml:space="preserve">: </w:t>
      </w:r>
      <w:r w:rsidRPr="00680D04">
        <w:rPr>
          <w:rFonts w:ascii="Times New Roman" w:hAnsi="Times New Roman"/>
          <w:sz w:val="24"/>
          <w:szCs w:val="24"/>
        </w:rPr>
        <w:t>La legislación, en una de sus estipulaciones más controvertidas, pone límites a las operaciones que los bancos pueden hacer con “instrumentos derivados”, como los paquetes de títulos hipotecarios y los canjes de seguros de impago (CDS por su sigla en inglés) a los cuales se atribuye buena parte de la crisis financiera reciente.</w:t>
      </w:r>
    </w:p>
    <w:p w:rsidR="002F07D4" w:rsidRPr="00680D04" w:rsidRDefault="002F07D4" w:rsidP="002F07D4">
      <w:pPr>
        <w:spacing w:line="240" w:lineRule="auto"/>
        <w:jc w:val="both"/>
        <w:rPr>
          <w:rFonts w:ascii="Times New Roman" w:hAnsi="Times New Roman"/>
          <w:sz w:val="24"/>
          <w:szCs w:val="24"/>
        </w:rPr>
      </w:pPr>
      <w:r w:rsidRPr="00680D04">
        <w:rPr>
          <w:rFonts w:ascii="Times New Roman" w:hAnsi="Times New Roman"/>
          <w:sz w:val="24"/>
          <w:szCs w:val="24"/>
        </w:rPr>
        <w:t>La legislación también obliga a que estos “derivados” se negocien en cámaras de compensación y mercados de valores a la vista del público, y no entre bancos o entre bancos y clientes, como ocurría hasta ahora.</w:t>
      </w:r>
    </w:p>
    <w:p w:rsidR="002F07D4" w:rsidRPr="00680D04" w:rsidRDefault="002F07D4" w:rsidP="002F07D4">
      <w:pPr>
        <w:spacing w:line="240" w:lineRule="auto"/>
        <w:jc w:val="both"/>
        <w:rPr>
          <w:rFonts w:ascii="Times New Roman" w:hAnsi="Times New Roman"/>
          <w:sz w:val="24"/>
          <w:szCs w:val="24"/>
        </w:rPr>
      </w:pPr>
      <w:r w:rsidRPr="001D5B1E">
        <w:rPr>
          <w:rFonts w:ascii="Times New Roman" w:hAnsi="Times New Roman"/>
          <w:sz w:val="24"/>
          <w:szCs w:val="24"/>
        </w:rPr>
        <w:t>--</w:t>
      </w:r>
      <w:r w:rsidRPr="001D5B1E">
        <w:rPr>
          <w:rFonts w:ascii="Times New Roman" w:hAnsi="Times New Roman"/>
          <w:sz w:val="24"/>
          <w:szCs w:val="24"/>
          <w:u w:val="single"/>
        </w:rPr>
        <w:t>FONDOS DE INVERSIÓN ESPECULATIVOS</w:t>
      </w:r>
      <w:r w:rsidRPr="00D220B2">
        <w:rPr>
          <w:rFonts w:ascii="Times New Roman" w:hAnsi="Times New Roman"/>
          <w:sz w:val="24"/>
          <w:szCs w:val="24"/>
        </w:rPr>
        <w:t xml:space="preserve">: </w:t>
      </w:r>
      <w:r w:rsidRPr="00680D04">
        <w:rPr>
          <w:rFonts w:ascii="Times New Roman" w:hAnsi="Times New Roman"/>
          <w:sz w:val="24"/>
          <w:szCs w:val="24"/>
        </w:rPr>
        <w:t>Se requerirá que los fondos de alto riesgo (Hedge Funds) que manejan más de 100 millones de dólares (más de 79 millones de euros) se registren ante la Comisión de Valores (SEC por su sigla en inglés) como asesores de inversiones y revelen a la agencia información sobre sus transacciones y portafolios.</w:t>
      </w:r>
    </w:p>
    <w:p w:rsidR="002F07D4" w:rsidRPr="00680D04"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w:t>
      </w:r>
      <w:r w:rsidRPr="001D5B1E">
        <w:rPr>
          <w:rFonts w:ascii="Times New Roman" w:hAnsi="Times New Roman"/>
          <w:sz w:val="24"/>
          <w:szCs w:val="24"/>
          <w:u w:val="single"/>
        </w:rPr>
        <w:t>RIESGO HIPOTECARIO</w:t>
      </w:r>
      <w:r w:rsidRPr="00D220B2">
        <w:rPr>
          <w:rFonts w:ascii="Times New Roman" w:hAnsi="Times New Roman"/>
          <w:sz w:val="24"/>
          <w:szCs w:val="24"/>
        </w:rPr>
        <w:t xml:space="preserve">: </w:t>
      </w:r>
      <w:r w:rsidRPr="00680D04">
        <w:rPr>
          <w:rFonts w:ascii="Times New Roman" w:hAnsi="Times New Roman"/>
          <w:sz w:val="24"/>
          <w:szCs w:val="24"/>
        </w:rPr>
        <w:t>Se requerirá que las firmas que convierten las hipotecas y otros préstamos en instrumentos derivados retengan una porción del riesgo en sus propias hojas de balance.</w:t>
      </w:r>
    </w:p>
    <w:p w:rsidR="002F07D4" w:rsidRPr="00D220B2"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w:t>
      </w:r>
      <w:r w:rsidRPr="001D5B1E">
        <w:rPr>
          <w:rFonts w:ascii="Times New Roman" w:hAnsi="Times New Roman"/>
          <w:sz w:val="24"/>
          <w:szCs w:val="24"/>
          <w:u w:val="single"/>
        </w:rPr>
        <w:t>SEGUROS:</w:t>
      </w:r>
      <w:r w:rsidRPr="00D220B2">
        <w:rPr>
          <w:rFonts w:ascii="Times New Roman" w:hAnsi="Times New Roman"/>
          <w:sz w:val="24"/>
          <w:szCs w:val="24"/>
        </w:rPr>
        <w:t xml:space="preserve"> Se creará dentro del Departamento del Tesoro una nueva Oficina Nacional de Seguros que vigilará a las firmas aseguradoras.</w:t>
      </w:r>
    </w:p>
    <w:p w:rsidR="002F07D4" w:rsidRDefault="002F07D4" w:rsidP="002F07D4">
      <w:pPr>
        <w:spacing w:line="240" w:lineRule="auto"/>
        <w:jc w:val="both"/>
        <w:rPr>
          <w:rFonts w:ascii="Times New Roman" w:hAnsi="Times New Roman"/>
          <w:sz w:val="24"/>
          <w:szCs w:val="24"/>
        </w:rPr>
      </w:pPr>
      <w:r w:rsidRPr="00D220B2">
        <w:rPr>
          <w:rFonts w:ascii="Times New Roman" w:hAnsi="Times New Roman"/>
          <w:sz w:val="24"/>
          <w:szCs w:val="24"/>
        </w:rPr>
        <w:t>--</w:t>
      </w:r>
      <w:r w:rsidRPr="001D5B1E">
        <w:rPr>
          <w:rFonts w:ascii="Times New Roman" w:hAnsi="Times New Roman"/>
          <w:sz w:val="24"/>
          <w:szCs w:val="24"/>
          <w:u w:val="single"/>
        </w:rPr>
        <w:t>CALIFICADORAS DE CRÉDITO</w:t>
      </w:r>
      <w:r w:rsidRPr="00D220B2">
        <w:rPr>
          <w:rFonts w:ascii="Times New Roman" w:hAnsi="Times New Roman"/>
          <w:sz w:val="24"/>
          <w:szCs w:val="24"/>
        </w:rPr>
        <w:t>: La SEC designará miembros de una nueva agencia que reglamentará el funcionamiento de las calificadoras de crédito para evitar los conflictos de intereses. Los inversionistas podrán demandar a las agencias de crédito. EFECOM</w:t>
      </w:r>
      <w:r>
        <w:rPr>
          <w:rFonts w:ascii="Times New Roman" w:hAnsi="Times New Roman"/>
          <w:sz w:val="24"/>
          <w:szCs w:val="24"/>
        </w:rPr>
        <w:t>.</w:t>
      </w:r>
    </w:p>
    <w:p w:rsidR="002F07D4" w:rsidRPr="00680D04" w:rsidRDefault="002F07D4" w:rsidP="002F07D4">
      <w:pPr>
        <w:spacing w:line="240" w:lineRule="auto"/>
        <w:jc w:val="both"/>
        <w:rPr>
          <w:rFonts w:ascii="Times New Roman" w:hAnsi="Times New Roman"/>
          <w:sz w:val="24"/>
          <w:szCs w:val="24"/>
          <w:u w:val="single"/>
        </w:rPr>
      </w:pPr>
      <w:r>
        <w:rPr>
          <w:rFonts w:ascii="Times New Roman" w:hAnsi="Times New Roman"/>
          <w:sz w:val="24"/>
          <w:szCs w:val="24"/>
          <w:u w:val="single"/>
        </w:rPr>
        <w:t>Comienza el “laminado</w:t>
      </w:r>
      <w:r w:rsidRPr="00680D04">
        <w:rPr>
          <w:rFonts w:ascii="Times New Roman" w:hAnsi="Times New Roman"/>
          <w:sz w:val="24"/>
          <w:szCs w:val="24"/>
          <w:u w:val="single"/>
        </w:rPr>
        <w:t xml:space="preserve">” de la Ley Volcker (del proprietary trading a los hedge funds) </w:t>
      </w:r>
    </w:p>
    <w:p w:rsidR="002F07D4" w:rsidRPr="00680D04"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680D04">
        <w:rPr>
          <w:rFonts w:ascii="Times New Roman" w:hAnsi="Times New Roman"/>
          <w:i/>
          <w:sz w:val="24"/>
          <w:szCs w:val="24"/>
        </w:rPr>
        <w:t xml:space="preserve">El Senado de EEUU va a introducir cambios en el proyecto de reforma financiera encaminados a suavizar la llamada “Ley Volcker”. Estos cambios permitirán a los bancos invertir pequeñas cantidades de su capital en hedge funds internos o en mesas </w:t>
      </w:r>
      <w:r w:rsidRPr="00680D04">
        <w:rPr>
          <w:rFonts w:ascii="Times New Roman" w:hAnsi="Times New Roman"/>
          <w:i/>
          <w:sz w:val="24"/>
          <w:szCs w:val="24"/>
        </w:rPr>
        <w:lastRenderedPageBreak/>
        <w:t>de trading por cuenta propia, las dos actividades inicialmente prohibidas por dicha norma al considerarse las más arriesgadas</w:t>
      </w:r>
      <w:r>
        <w:rPr>
          <w:rFonts w:ascii="Times New Roman" w:hAnsi="Times New Roman"/>
          <w:i/>
          <w:sz w:val="24"/>
          <w:szCs w:val="24"/>
        </w:rPr>
        <w:t>”..</w:t>
      </w:r>
      <w:r w:rsidRPr="00680D04">
        <w:rPr>
          <w:rFonts w:ascii="Times New Roman" w:hAnsi="Times New Roman"/>
          <w:i/>
          <w:sz w:val="24"/>
          <w:szCs w:val="24"/>
        </w:rPr>
        <w:t>.</w:t>
      </w:r>
      <w:r w:rsidRPr="00F11268">
        <w:rPr>
          <w:rFonts w:ascii="Times New Roman" w:hAnsi="Times New Roman"/>
          <w:sz w:val="24"/>
          <w:szCs w:val="24"/>
          <w:u w:val="single"/>
        </w:rPr>
        <w:t>El Senado abre un agujero del tamaño de Citigroup en la reforma financiera</w:t>
      </w:r>
      <w:r>
        <w:rPr>
          <w:rFonts w:ascii="Times New Roman" w:hAnsi="Times New Roman"/>
          <w:sz w:val="24"/>
          <w:szCs w:val="24"/>
        </w:rPr>
        <w:t xml:space="preserve"> (El Economista - </w:t>
      </w:r>
      <w:r w:rsidRPr="00F11268">
        <w:rPr>
          <w:rFonts w:ascii="Times New Roman" w:hAnsi="Times New Roman"/>
          <w:b/>
          <w:sz w:val="24"/>
          <w:szCs w:val="24"/>
        </w:rPr>
        <w:t>24/6/10</w:t>
      </w:r>
      <w:r>
        <w:rPr>
          <w:rFonts w:ascii="Times New Roman" w:hAnsi="Times New Roman"/>
          <w:sz w:val="24"/>
          <w:szCs w:val="24"/>
        </w:rPr>
        <w:t>)</w:t>
      </w:r>
    </w:p>
    <w:p w:rsidR="002F07D4" w:rsidRPr="00680D04" w:rsidRDefault="002F07D4" w:rsidP="002F07D4">
      <w:pPr>
        <w:spacing w:line="240" w:lineRule="auto"/>
        <w:jc w:val="both"/>
        <w:rPr>
          <w:rFonts w:ascii="Times New Roman" w:hAnsi="Times New Roman"/>
          <w:sz w:val="24"/>
          <w:szCs w:val="24"/>
        </w:rPr>
      </w:pPr>
      <w:r w:rsidRPr="00680D04">
        <w:rPr>
          <w:rFonts w:ascii="Times New Roman" w:hAnsi="Times New Roman"/>
          <w:sz w:val="24"/>
          <w:szCs w:val="24"/>
        </w:rPr>
        <w:t>Todavía no se había determinado el 23/4 exactamente cuál será la cantidad que podrán destinar a estas operaciones. Según algunas informaciones, se podría permitir a las entidades destinar el 2% de su capital en hedge funds o en la operativa por cuenta propia. El lobby de Wall Street ha presionado para alcanzar una cifra de hasta el 5%, un nivel que permitiría a muchos bancos esquivar completamente esta norma.</w:t>
      </w:r>
    </w:p>
    <w:p w:rsidR="002F07D4" w:rsidRPr="00F11268" w:rsidRDefault="002F07D4" w:rsidP="002F07D4">
      <w:pPr>
        <w:spacing w:line="240" w:lineRule="auto"/>
        <w:jc w:val="both"/>
        <w:rPr>
          <w:rFonts w:ascii="Times New Roman" w:hAnsi="Times New Roman"/>
          <w:sz w:val="24"/>
          <w:szCs w:val="24"/>
        </w:rPr>
      </w:pPr>
      <w:r w:rsidRPr="00F11268">
        <w:rPr>
          <w:rFonts w:ascii="Times New Roman" w:hAnsi="Times New Roman"/>
          <w:sz w:val="24"/>
          <w:szCs w:val="24"/>
        </w:rPr>
        <w:t>Y es que, en función de cuál sea ese porcentaje, los legisladores pueden estar permitiendo de forma inintencionada que los bancos que necesitaron el mayor rescate de la historia eludan las limitaciones a su operativa más peligrosa. Al mismo tiempo, los bancos más prudentes pueden verse obligados a segregar estas actividades en nuevas unidades independientes.</w:t>
      </w:r>
    </w:p>
    <w:p w:rsidR="002F07D4" w:rsidRPr="00680D04" w:rsidRDefault="002F07D4" w:rsidP="002F07D4">
      <w:pPr>
        <w:spacing w:line="240" w:lineRule="auto"/>
        <w:jc w:val="both"/>
        <w:rPr>
          <w:rFonts w:ascii="Times New Roman" w:hAnsi="Times New Roman"/>
          <w:sz w:val="24"/>
          <w:szCs w:val="24"/>
        </w:rPr>
      </w:pPr>
      <w:r w:rsidRPr="00680D04">
        <w:rPr>
          <w:rFonts w:ascii="Times New Roman" w:hAnsi="Times New Roman"/>
          <w:sz w:val="24"/>
          <w:szCs w:val="24"/>
        </w:rPr>
        <w:t>La intención de esta norma, promovida por el ex presidente de la Fed Paul Volcker, pretendía evitar que los bancos mantengan operaciones complejas y arriesgadas que puedan provocar unas pérdidas que requieran una nueva oleada de rescates.</w:t>
      </w:r>
    </w:p>
    <w:p w:rsidR="002F07D4" w:rsidRPr="00680D04" w:rsidRDefault="002F07D4" w:rsidP="002F07D4">
      <w:pPr>
        <w:spacing w:line="240" w:lineRule="auto"/>
        <w:jc w:val="both"/>
        <w:rPr>
          <w:rFonts w:ascii="Times New Roman" w:hAnsi="Times New Roman"/>
          <w:sz w:val="24"/>
          <w:szCs w:val="24"/>
        </w:rPr>
      </w:pPr>
      <w:r w:rsidRPr="00680D04">
        <w:rPr>
          <w:rFonts w:ascii="Times New Roman" w:hAnsi="Times New Roman"/>
          <w:sz w:val="24"/>
          <w:szCs w:val="24"/>
        </w:rPr>
        <w:t xml:space="preserve">El problema es que no está claro qué porcentaje de capital invierten actualmente las entidades en estos negocios, aunque sí se conocen los ingresos que les proporcionan anualmente estos negocios. </w:t>
      </w:r>
    </w:p>
    <w:p w:rsidR="002F07D4" w:rsidRPr="00F11268" w:rsidRDefault="002F07D4" w:rsidP="002F07D4">
      <w:pPr>
        <w:spacing w:line="240" w:lineRule="auto"/>
        <w:jc w:val="both"/>
        <w:rPr>
          <w:rFonts w:ascii="Times New Roman" w:hAnsi="Times New Roman"/>
          <w:sz w:val="24"/>
          <w:szCs w:val="24"/>
        </w:rPr>
      </w:pPr>
      <w:r w:rsidRPr="00F11268">
        <w:rPr>
          <w:rFonts w:ascii="Times New Roman" w:hAnsi="Times New Roman"/>
          <w:sz w:val="24"/>
          <w:szCs w:val="24"/>
        </w:rPr>
        <w:t xml:space="preserve">Citigroup, que recibió una inyección de 45.000 millones de dinero público para evitar su quiebra, apenas se vería afectado por una Ley Volcker que permitiera destinar </w:t>
      </w:r>
      <w:r>
        <w:rPr>
          <w:rFonts w:ascii="Times New Roman" w:hAnsi="Times New Roman"/>
          <w:sz w:val="24"/>
          <w:szCs w:val="24"/>
        </w:rPr>
        <w:t>el 2% o el 3% de su capital al “</w:t>
      </w:r>
      <w:r w:rsidRPr="00F11268">
        <w:rPr>
          <w:rFonts w:ascii="Times New Roman" w:hAnsi="Times New Roman"/>
          <w:sz w:val="24"/>
          <w:szCs w:val="24"/>
        </w:rPr>
        <w:t>prop</w:t>
      </w:r>
      <w:r>
        <w:rPr>
          <w:rFonts w:ascii="Times New Roman" w:hAnsi="Times New Roman"/>
          <w:sz w:val="24"/>
          <w:szCs w:val="24"/>
        </w:rPr>
        <w:t>rietary trading”</w:t>
      </w:r>
      <w:r w:rsidRPr="00F11268">
        <w:rPr>
          <w:rFonts w:ascii="Times New Roman" w:hAnsi="Times New Roman"/>
          <w:sz w:val="24"/>
          <w:szCs w:val="24"/>
        </w:rPr>
        <w:t>. Si se añaden los hedge funds y el capital riesgo, la cifra es un poco más alta, pero sin superar el 3%.</w:t>
      </w:r>
    </w:p>
    <w:p w:rsidR="002F07D4" w:rsidRPr="00F11268" w:rsidRDefault="002F07D4" w:rsidP="002F07D4">
      <w:pPr>
        <w:spacing w:line="240" w:lineRule="auto"/>
        <w:jc w:val="both"/>
        <w:rPr>
          <w:rFonts w:ascii="Times New Roman" w:hAnsi="Times New Roman"/>
          <w:sz w:val="24"/>
          <w:szCs w:val="24"/>
        </w:rPr>
      </w:pPr>
      <w:r w:rsidRPr="00F11268">
        <w:rPr>
          <w:rFonts w:ascii="Times New Roman" w:hAnsi="Times New Roman"/>
          <w:sz w:val="24"/>
          <w:szCs w:val="24"/>
        </w:rPr>
        <w:t>Bank of America, que también recibió 45.000 millones, se encuentra en una situación similar, según informa la CNBC. Cualquier excepción a la norma le permitiría seguir actuando como si nada.</w:t>
      </w:r>
    </w:p>
    <w:p w:rsidR="002F07D4" w:rsidRPr="00F11268" w:rsidRDefault="002F07D4" w:rsidP="002F07D4">
      <w:pPr>
        <w:spacing w:line="240" w:lineRule="auto"/>
        <w:jc w:val="both"/>
        <w:rPr>
          <w:rFonts w:ascii="Times New Roman" w:hAnsi="Times New Roman"/>
          <w:sz w:val="24"/>
          <w:szCs w:val="24"/>
        </w:rPr>
      </w:pPr>
      <w:r w:rsidRPr="00F11268">
        <w:rPr>
          <w:rFonts w:ascii="Times New Roman" w:hAnsi="Times New Roman"/>
          <w:sz w:val="24"/>
          <w:szCs w:val="24"/>
        </w:rPr>
        <w:t>Por el contrario, JP Morgan Chase, que se comportó mucho mejor durante la crisis financiera, tendría más que perder si la excepción se queda en un porcentaje muy bajo. Aunque se estima que genera menos del 1% de sus ingresos de la operativa por cuenta propia, también opera el mayor hedge fund del mundo. Con una excepción del 5% no le pasaría nada, pero un nivel inferior le obligaría a vender parte de su negocio de fondos alternativos</w:t>
      </w:r>
    </w:p>
    <w:p w:rsidR="002F07D4" w:rsidRDefault="002F07D4" w:rsidP="002F07D4">
      <w:pPr>
        <w:spacing w:line="240" w:lineRule="auto"/>
        <w:jc w:val="both"/>
        <w:rPr>
          <w:rFonts w:ascii="Times New Roman" w:hAnsi="Times New Roman"/>
          <w:sz w:val="24"/>
          <w:szCs w:val="24"/>
        </w:rPr>
      </w:pPr>
      <w:r w:rsidRPr="00F11268">
        <w:rPr>
          <w:rFonts w:ascii="Times New Roman" w:hAnsi="Times New Roman"/>
          <w:sz w:val="24"/>
          <w:szCs w:val="24"/>
        </w:rPr>
        <w:t>Finalmente, Goldman Sachs, otro de los mejor parados de la crisis, señala que genera en to</w:t>
      </w:r>
      <w:r>
        <w:rPr>
          <w:rFonts w:ascii="Times New Roman" w:hAnsi="Times New Roman"/>
          <w:sz w:val="24"/>
          <w:szCs w:val="24"/>
        </w:rPr>
        <w:t>rno al 10% de sus ingresos del “prop trading”</w:t>
      </w:r>
      <w:r w:rsidRPr="00F11268">
        <w:rPr>
          <w:rFonts w:ascii="Times New Roman" w:hAnsi="Times New Roman"/>
          <w:sz w:val="24"/>
          <w:szCs w:val="24"/>
        </w:rPr>
        <w:t>. Es decir, que aunque la excepción finalmente aprobada sea generosa, se pasaría de todas formas y tendría que segregar alguno de estos negocios o bien renunciar a su estatus de banco con acceso a la ventanilla de descuento de la Fed</w:t>
      </w:r>
      <w:r>
        <w:rPr>
          <w:rFonts w:ascii="Times New Roman" w:hAnsi="Times New Roman"/>
          <w:sz w:val="24"/>
          <w:szCs w:val="24"/>
        </w:rPr>
        <w:t>…</w:t>
      </w:r>
    </w:p>
    <w:p w:rsidR="002F07D4" w:rsidRPr="00A52EFF" w:rsidRDefault="002F07D4" w:rsidP="002F07D4">
      <w:pPr>
        <w:spacing w:before="100" w:beforeAutospacing="1" w:after="206"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 xml:space="preserve">Diluido Volcker, siguen las rebajas: el Congreso de EEUU elimina la tasa bancaria </w:t>
      </w:r>
    </w:p>
    <w:p w:rsidR="002F07D4" w:rsidRPr="001E0ABA" w:rsidRDefault="002F07D4" w:rsidP="002F07D4">
      <w:pPr>
        <w:spacing w:before="100" w:beforeAutospacing="1" w:after="206"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A52EFF">
        <w:rPr>
          <w:rFonts w:ascii="Times New Roman" w:eastAsia="Times New Roman" w:hAnsi="Times New Roman"/>
          <w:i/>
          <w:sz w:val="24"/>
          <w:szCs w:val="24"/>
          <w:lang w:eastAsia="es-ES"/>
        </w:rPr>
        <w:t xml:space="preserve">Los miembros del Congreso estadounidense que negocian la reforma financiera acordaron hoy eliminar una tasa bancaria que suponía 19.000 millones de dólares destinados a financiar la ley, en un intento por alcanzar un consenso en torno a la </w:t>
      </w:r>
      <w:r w:rsidRPr="00A52EFF">
        <w:rPr>
          <w:rFonts w:ascii="Times New Roman" w:eastAsia="Times New Roman" w:hAnsi="Times New Roman"/>
          <w:i/>
          <w:sz w:val="24"/>
          <w:szCs w:val="24"/>
          <w:lang w:eastAsia="es-ES"/>
        </w:rPr>
        <w:lastRenderedPageBreak/>
        <w:t>reforma</w:t>
      </w:r>
      <w:r>
        <w:rPr>
          <w:rFonts w:ascii="Times New Roman" w:eastAsia="Times New Roman" w:hAnsi="Times New Roman"/>
          <w:i/>
          <w:sz w:val="24"/>
          <w:szCs w:val="24"/>
          <w:lang w:eastAsia="es-ES"/>
        </w:rPr>
        <w:t>”..</w:t>
      </w:r>
      <w:r w:rsidRPr="00A52EFF">
        <w:rPr>
          <w:rFonts w:ascii="Times New Roman" w:eastAsia="Times New Roman" w:hAnsi="Times New Roman"/>
          <w:i/>
          <w:sz w:val="24"/>
          <w:szCs w:val="24"/>
          <w:lang w:eastAsia="es-ES"/>
        </w:rPr>
        <w:t>.</w:t>
      </w:r>
      <w:r>
        <w:rPr>
          <w:rFonts w:ascii="Times New Roman" w:eastAsia="Times New Roman" w:hAnsi="Times New Roman"/>
          <w:sz w:val="24"/>
          <w:szCs w:val="24"/>
          <w:u w:val="single"/>
          <w:lang w:eastAsia="es-ES"/>
        </w:rPr>
        <w:t>El Congreso de EE</w:t>
      </w:r>
      <w:r w:rsidRPr="001E0ABA">
        <w:rPr>
          <w:rFonts w:ascii="Times New Roman" w:eastAsia="Times New Roman" w:hAnsi="Times New Roman"/>
          <w:sz w:val="24"/>
          <w:szCs w:val="24"/>
          <w:u w:val="single"/>
          <w:lang w:eastAsia="es-ES"/>
        </w:rPr>
        <w:t>UU elimina la tasa bancaria del proyecto de reforma financiera</w:t>
      </w:r>
      <w:r>
        <w:rPr>
          <w:rFonts w:ascii="Times New Roman" w:eastAsia="Times New Roman" w:hAnsi="Times New Roman"/>
          <w:sz w:val="24"/>
          <w:szCs w:val="24"/>
          <w:lang w:eastAsia="es-ES"/>
        </w:rPr>
        <w:t xml:space="preserve"> (Cinco Días - </w:t>
      </w:r>
      <w:r w:rsidRPr="001E0ABA">
        <w:rPr>
          <w:rFonts w:ascii="Times New Roman" w:eastAsia="Times New Roman" w:hAnsi="Times New Roman"/>
          <w:b/>
          <w:sz w:val="24"/>
          <w:szCs w:val="24"/>
          <w:lang w:eastAsia="es-ES"/>
        </w:rPr>
        <w:t>30/6/10</w:t>
      </w:r>
      <w:r>
        <w:rPr>
          <w:rFonts w:ascii="Times New Roman" w:eastAsia="Times New Roman" w:hAnsi="Times New Roman"/>
          <w:sz w:val="24"/>
          <w:szCs w:val="24"/>
          <w:lang w:eastAsia="es-ES"/>
        </w:rPr>
        <w:t>)</w:t>
      </w:r>
    </w:p>
    <w:p w:rsidR="002F07D4" w:rsidRPr="001E0ABA" w:rsidRDefault="002F07D4" w:rsidP="002F07D4">
      <w:pPr>
        <w:spacing w:before="100" w:beforeAutospacing="1" w:after="206" w:line="240" w:lineRule="auto"/>
        <w:jc w:val="both"/>
        <w:rPr>
          <w:rFonts w:ascii="Times New Roman" w:eastAsia="Times New Roman" w:hAnsi="Times New Roman"/>
          <w:sz w:val="24"/>
          <w:szCs w:val="24"/>
          <w:lang w:eastAsia="es-ES"/>
        </w:rPr>
      </w:pPr>
      <w:r w:rsidRPr="001E0ABA">
        <w:rPr>
          <w:rFonts w:ascii="Times New Roman" w:eastAsia="Times New Roman" w:hAnsi="Times New Roman"/>
          <w:sz w:val="24"/>
          <w:szCs w:val="24"/>
          <w:lang w:eastAsia="es-ES"/>
        </w:rPr>
        <w:t>El Comité de Servicios Financieros informó de que los legisladores acordaron, después de una sesión negociadora, retirar la propuesta incluida en el texto presentado la semana pasada que tendrá que ser consensuad</w:t>
      </w:r>
      <w:r>
        <w:rPr>
          <w:rFonts w:ascii="Times New Roman" w:eastAsia="Times New Roman" w:hAnsi="Times New Roman"/>
          <w:sz w:val="24"/>
          <w:szCs w:val="24"/>
          <w:lang w:eastAsia="es-ES"/>
        </w:rPr>
        <w:t>o y aprobado por ambas cámaras.</w:t>
      </w:r>
    </w:p>
    <w:p w:rsidR="002F07D4" w:rsidRPr="001E0ABA" w:rsidRDefault="002F07D4" w:rsidP="002F07D4">
      <w:pPr>
        <w:spacing w:before="100" w:beforeAutospacing="1" w:after="206" w:line="240" w:lineRule="auto"/>
        <w:jc w:val="both"/>
        <w:rPr>
          <w:rFonts w:ascii="Times New Roman" w:eastAsia="Times New Roman" w:hAnsi="Times New Roman"/>
          <w:sz w:val="24"/>
          <w:szCs w:val="24"/>
          <w:lang w:eastAsia="es-ES"/>
        </w:rPr>
      </w:pPr>
      <w:r w:rsidRPr="001E0ABA">
        <w:rPr>
          <w:rFonts w:ascii="Times New Roman" w:eastAsia="Times New Roman" w:hAnsi="Times New Roman"/>
          <w:sz w:val="24"/>
          <w:szCs w:val="24"/>
          <w:lang w:eastAsia="es-ES"/>
        </w:rPr>
        <w:t>El impuesto se planteó como una de las fuentes de financiación de la reforma, que supone el mayor cambio a los reglamentos que rigen a Wall Street desde la Gran Depresión de la década de 1930.</w:t>
      </w:r>
    </w:p>
    <w:p w:rsidR="002F07D4" w:rsidRDefault="002F07D4" w:rsidP="002F07D4">
      <w:pPr>
        <w:spacing w:line="240" w:lineRule="auto"/>
        <w:jc w:val="both"/>
        <w:rPr>
          <w:rFonts w:ascii="Times New Roman" w:hAnsi="Times New Roman"/>
          <w:sz w:val="24"/>
          <w:szCs w:val="24"/>
          <w:u w:val="single"/>
        </w:rPr>
      </w:pPr>
      <w:r w:rsidRPr="00793F5F">
        <w:rPr>
          <w:rFonts w:ascii="Times New Roman" w:hAnsi="Times New Roman"/>
          <w:sz w:val="24"/>
          <w:szCs w:val="24"/>
          <w:u w:val="single"/>
        </w:rPr>
        <w:t>La nueva regulación trata de controlar los riesgos del sector, pero tardará años en concretarse y su cumplimiento queda a discreción de los supervisores</w:t>
      </w:r>
    </w:p>
    <w:p w:rsidR="002F07D4" w:rsidRPr="00435084" w:rsidRDefault="002F07D4" w:rsidP="002F07D4">
      <w:pPr>
        <w:spacing w:line="240" w:lineRule="auto"/>
        <w:jc w:val="both"/>
        <w:rPr>
          <w:rFonts w:ascii="Times New Roman" w:hAnsi="Times New Roman"/>
          <w:sz w:val="24"/>
          <w:szCs w:val="24"/>
          <w:u w:val="single"/>
        </w:rPr>
      </w:pPr>
      <w:r>
        <w:rPr>
          <w:rFonts w:ascii="Times New Roman" w:hAnsi="Times New Roman"/>
          <w:i/>
          <w:sz w:val="24"/>
          <w:szCs w:val="24"/>
        </w:rPr>
        <w:t>“</w:t>
      </w:r>
      <w:r w:rsidRPr="00793F5F">
        <w:rPr>
          <w:rFonts w:ascii="Times New Roman" w:hAnsi="Times New Roman"/>
          <w:i/>
          <w:sz w:val="24"/>
          <w:szCs w:val="24"/>
        </w:rPr>
        <w:t>A la Reforma Financiera, conocida como Ley Dodd-Frank de reforma de Wall Street y protección a los consumidores, se le ha dado la bienvenida como a la más comprensiva regulación del sector desde los años treinta. Desde luego, pone un punto y final e invierte el proceso de desregulación en EEUU que se disparó a partir de los años ochenta y que al finalizar la primera década del siglo XXI abrió unas profundas heridas, aún por cicatrizar, en las economías avanzadas. Para Douglas Elliot, analista del centro de estudios Brookings Institution, desde un punto de vista realista “hay razones para felicitarse. Es imposible alcanzar la perfección legislativa cuando se está transformando un sector tan importante de la economía”</w:t>
      </w:r>
      <w:r>
        <w:rPr>
          <w:rFonts w:ascii="Times New Roman" w:hAnsi="Times New Roman"/>
          <w:i/>
          <w:sz w:val="24"/>
          <w:szCs w:val="24"/>
        </w:rPr>
        <w:t>..</w:t>
      </w:r>
      <w:r w:rsidRPr="00793F5F">
        <w:rPr>
          <w:rFonts w:ascii="Times New Roman" w:hAnsi="Times New Roman"/>
          <w:i/>
          <w:sz w:val="24"/>
          <w:szCs w:val="24"/>
        </w:rPr>
        <w:t>.</w:t>
      </w:r>
      <w:r>
        <w:rPr>
          <w:rFonts w:ascii="Times New Roman" w:hAnsi="Times New Roman"/>
          <w:sz w:val="24"/>
          <w:szCs w:val="24"/>
          <w:u w:val="single"/>
        </w:rPr>
        <w:t>EE</w:t>
      </w:r>
      <w:r w:rsidRPr="008705B2">
        <w:rPr>
          <w:rFonts w:ascii="Times New Roman" w:hAnsi="Times New Roman"/>
          <w:sz w:val="24"/>
          <w:szCs w:val="24"/>
          <w:u w:val="single"/>
        </w:rPr>
        <w:t>UU se da tiempo para controlar al sector financiero</w:t>
      </w:r>
      <w:r>
        <w:rPr>
          <w:rFonts w:ascii="Times New Roman" w:hAnsi="Times New Roman"/>
          <w:sz w:val="24"/>
          <w:szCs w:val="24"/>
        </w:rPr>
        <w:t xml:space="preserve"> (Cinco Días - </w:t>
      </w:r>
      <w:r w:rsidRPr="008705B2">
        <w:rPr>
          <w:rFonts w:ascii="Times New Roman" w:hAnsi="Times New Roman"/>
          <w:b/>
          <w:sz w:val="24"/>
          <w:szCs w:val="24"/>
        </w:rPr>
        <w:t>3/7/10</w:t>
      </w:r>
      <w:r>
        <w:rPr>
          <w:rFonts w:ascii="Times New Roman" w:hAnsi="Times New Roman"/>
          <w:sz w:val="24"/>
          <w:szCs w:val="24"/>
        </w:rPr>
        <w:t xml:space="preserve">) </w:t>
      </w:r>
    </w:p>
    <w:p w:rsidR="002F07D4" w:rsidRPr="00793F5F" w:rsidRDefault="002F07D4" w:rsidP="002F07D4">
      <w:pPr>
        <w:spacing w:line="240" w:lineRule="auto"/>
        <w:jc w:val="both"/>
        <w:rPr>
          <w:rFonts w:ascii="Times New Roman" w:hAnsi="Times New Roman"/>
          <w:sz w:val="24"/>
          <w:szCs w:val="24"/>
        </w:rPr>
      </w:pPr>
      <w:r w:rsidRPr="00793F5F">
        <w:rPr>
          <w:rFonts w:ascii="Times New Roman" w:hAnsi="Times New Roman"/>
          <w:sz w:val="24"/>
          <w:szCs w:val="24"/>
        </w:rPr>
        <w:t>Ahora bien, el juicio sobre hasta dónde llega la nueva regulación, que promete más vigilancia del riesgo, más supervisión (se forzará a los grandes hedge funds a registrarse en la SEC) y protección al consumidor, no va a poder empezar a hacerse hasta dentro de dos años, cuando se haya hecho la mayor parte del desarrollo legislativo por parte de los reguladores y se hayan completado los más de 100 análisis sobre la conveniencia de ciertas estipulaciones. Los reguladores, responsables de la aplicación y supervisión, también lo serán del desarrollo reglamentario de una ley que ahora apenas se recoge en 3.200 páginas que posiblemente se multipliquen por 10 cuando se desarrolle. En esa reglamentación, en la que los reguladores dispondrán de mucha autonomía, se encontrarán la mayoría de los detalles que ahora están sólo enmarcados.</w:t>
      </w:r>
    </w:p>
    <w:p w:rsidR="002F07D4" w:rsidRPr="00793F5F" w:rsidRDefault="002F07D4" w:rsidP="002F07D4">
      <w:pPr>
        <w:spacing w:line="240" w:lineRule="auto"/>
        <w:jc w:val="both"/>
        <w:rPr>
          <w:rFonts w:ascii="Times New Roman" w:hAnsi="Times New Roman"/>
          <w:sz w:val="24"/>
          <w:szCs w:val="24"/>
        </w:rPr>
      </w:pPr>
      <w:r w:rsidRPr="00793F5F">
        <w:rPr>
          <w:rFonts w:ascii="Times New Roman" w:hAnsi="Times New Roman"/>
          <w:sz w:val="24"/>
          <w:szCs w:val="24"/>
        </w:rPr>
        <w:t>No obstante, para dar ese paso hay que promulgar la ley. Se esperaba que pudiera ocurrir en la simbólica fecha del 4 de julio pero se ha tenido que retrasar porque en el Senado el reciente fallecimiento del senador demócrata Robert Byrd ha complicado la mayoría de este partido que ahora necesita un voto republicano. Uno de los pocos conservadores favorables a la reforma, Scott Brown, dice que va a pensarse dar el “sí” durante el pleno. Brown objetó una tasa de 19.000 millones de dólares ya aprobada que se impondría a la banca y los hedge funds para pagar los costes de transición. La tasa se eliminó. A los republicanos, que echan de menos que no se haya tocado las hipotecarias Fannie Mae y Freddie Mac, no les gusta la ley y su líder en la cámara Baja, John Boehner, ha dicho que es como “matar a una hormiga con armas nucleares”.</w:t>
      </w:r>
    </w:p>
    <w:p w:rsidR="002F07D4" w:rsidRPr="00793F5F" w:rsidRDefault="002F07D4" w:rsidP="002F07D4">
      <w:pPr>
        <w:spacing w:line="240" w:lineRule="auto"/>
        <w:jc w:val="both"/>
        <w:rPr>
          <w:rFonts w:ascii="Times New Roman" w:hAnsi="Times New Roman"/>
          <w:sz w:val="24"/>
          <w:szCs w:val="24"/>
        </w:rPr>
      </w:pPr>
      <w:r w:rsidRPr="00793F5F">
        <w:rPr>
          <w:rFonts w:ascii="Times New Roman" w:hAnsi="Times New Roman"/>
          <w:sz w:val="24"/>
          <w:szCs w:val="24"/>
        </w:rPr>
        <w:t>Muchos demócratas y analistas como Simon Johnson, profesor del MIT, no se han quedado satisfechos con la ley y echan en falta que no se haya puesto un punto y final definitivo a la realidad de que hay entidades demasiado grandes como para dejarlas caer. Ciertamente, la ley podría haber sido más dura, y muchas de sus estipulaciones, como regla Volcker se han diluido.</w:t>
      </w:r>
    </w:p>
    <w:p w:rsidR="002F07D4" w:rsidRDefault="002F07D4" w:rsidP="002F07D4">
      <w:pPr>
        <w:spacing w:line="240" w:lineRule="auto"/>
        <w:jc w:val="both"/>
        <w:rPr>
          <w:rFonts w:ascii="Times New Roman" w:hAnsi="Times New Roman"/>
          <w:sz w:val="24"/>
          <w:szCs w:val="24"/>
        </w:rPr>
      </w:pPr>
      <w:r w:rsidRPr="00793F5F">
        <w:rPr>
          <w:rFonts w:ascii="Times New Roman" w:hAnsi="Times New Roman"/>
          <w:sz w:val="24"/>
          <w:szCs w:val="24"/>
        </w:rPr>
        <w:lastRenderedPageBreak/>
        <w:t>Pese a que el tiempo dará una imagen más detallada del impacto de la ley Dodd-Frank, los analistas de la gran banca ya han hecho los primeros cálculos del impacto de la reforma. Jason Goldberg, analista de Barclays, calcula que afectará al 14% de los beneficios netos de la banca en 2013. La reducción de las comisiones, las restricciones, entre otras de capital y los costes regulatorios y de implementación, explica Goldberg en una nota a inversores serán los causantes de este impacto. En la misma nota, especifica, que podía haber sido peor. He aquí algunas de sus iniciativas más importantes.</w:t>
      </w:r>
    </w:p>
    <w:p w:rsidR="002F07D4" w:rsidRPr="00793F5F" w:rsidRDefault="002F07D4" w:rsidP="002F07D4">
      <w:pPr>
        <w:spacing w:line="240" w:lineRule="auto"/>
        <w:jc w:val="both"/>
        <w:rPr>
          <w:rFonts w:ascii="Times New Roman" w:hAnsi="Times New Roman"/>
          <w:sz w:val="24"/>
          <w:szCs w:val="24"/>
        </w:rPr>
      </w:pPr>
    </w:p>
    <w:p w:rsidR="002F07D4" w:rsidRPr="008705B2" w:rsidRDefault="002F07D4" w:rsidP="002F07D4">
      <w:pPr>
        <w:spacing w:line="240" w:lineRule="auto"/>
        <w:jc w:val="both"/>
        <w:rPr>
          <w:rFonts w:ascii="Times New Roman" w:hAnsi="Times New Roman"/>
          <w:sz w:val="24"/>
          <w:szCs w:val="24"/>
        </w:rPr>
      </w:pPr>
      <w:r w:rsidRPr="008705B2">
        <w:rPr>
          <w:rFonts w:ascii="Times New Roman" w:hAnsi="Times New Roman"/>
          <w:sz w:val="24"/>
          <w:szCs w:val="24"/>
        </w:rPr>
        <w:t>1</w:t>
      </w:r>
      <w:r>
        <w:rPr>
          <w:rFonts w:ascii="Times New Roman" w:hAnsi="Times New Roman"/>
          <w:sz w:val="24"/>
          <w:szCs w:val="24"/>
        </w:rPr>
        <w:t xml:space="preserve"> La huella de Volcker</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Una de las novedades es iniciativa del ex presidente de la Reserva Federal, Paul Volcker. La idea es que los bancos no puedan usar su dinero propio para intermediar en los mercados o de hacer lo que en EEUU se conoce como “proprietary trading”.</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El concepto en sí mismo es abstracto y puede llevar a confusión, por ejemplo con operaciones con las que se asegura el riesgo. Su definición queda en las manos de los reguladores, que tienen que desarrollar una regla menos dura de lo que quiso Volcker en un inicio. Porque frente a la prohibición total, la ley permite que los bancos inviertan hasta el 3% de su capital considerado Tier 1 (el de más calidad) en hedge funds y fondos de capital riesgo. Su aplicación no será inmediata. Hay un periodo hasta dos años para deshacer operaciones y puede haber extensiones. Analistas y abogados aún no tienen claro cuántos años habrá de margen, y el periodo de adaptación puede extenderse casi una cómoda década. Es un periodo excepcionalmente largo, lo que aliviará a Goldman Sachs, la firma más afectada por esta regla ya que deriva hasta el 10% de sus ingresos de estas operaciones.</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2 Una nueva era en derivados</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Donde no había un mercado y una regulación, se crea nueva. Se trata del mercado de derivados. Contratos realizados sobre un volumen de activos de 620 billones de dólares con una mínima transparencia, puesto que se pueden cerrar con llamadas telefónicas. La ley Dodd-Frank obliga a la banca a segregar las mesas de negociación de derivados a entidades más capitalizadas, para evitar que sus riesgos contagien al resto de la entidad comercial que está asegurada por el Fondo de Garantía de Depósitos. Además, los productos que se consideren estandarizados se negociarán en un mercado abierto, regulado, con transparencia de precios y cautelas en la transacción.</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Pero igual que con la regla Volcker, la dureza inicial de la ley se ha ido rebajando para permitir que la banca mantenga bajo su paraguas societario operaciones con las que cubra sus propios riesgos en materia de cambio de divisas, tipos de interés y algunas cotizaciones de materias primas como el oro y la plata. Es decir, la mayor parte de los derivados.</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3 Guardián del consumidor</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 xml:space="preserve">Uno de los cambios fundamentales es la creación de una Agencia de Protección al Consumidor que, desde el inicio de la discusión de la ley, ha puesto en guardia a la banca y su lobby. La crisis financiera, la sofisticación bancaria y los abusos han derivado en esta agencia, con poder para escribir normas y supervisar su cumplimiento, y uno de los pilares de la reforma. Pero no será una institución autónoma sino que se enmarcará dentro del organigrama de la Fed aunque su presidente será nombrado por la </w:t>
      </w:r>
      <w:r w:rsidRPr="005D4590">
        <w:rPr>
          <w:rFonts w:ascii="Times New Roman" w:hAnsi="Times New Roman"/>
          <w:sz w:val="24"/>
          <w:szCs w:val="24"/>
        </w:rPr>
        <w:lastRenderedPageBreak/>
        <w:t>Casa Blanca y la última palabra sobre lo que haga la tendrá un Consejo de Estabilidad Financ</w:t>
      </w:r>
      <w:r>
        <w:rPr>
          <w:rFonts w:ascii="Times New Roman" w:hAnsi="Times New Roman"/>
          <w:sz w:val="24"/>
          <w:szCs w:val="24"/>
        </w:rPr>
        <w:t>iera de nueva creación</w:t>
      </w:r>
      <w:r w:rsidRPr="005D4590">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Además de esta agencia, se crean otros órganos supervisores y consultivos y sólo se elimina una de las actuales (la Oficina de Supervisión del Ahorro). La Fed, que operará con más transparencia, gana en poderes. Supervisará las instituciones financieras más importantes con mayor potencial de riesgo sistémico sino que mantendrá este mismo poder sobre la banca pequeña.</w:t>
      </w:r>
    </w:p>
    <w:p w:rsidR="002F07D4" w:rsidRPr="005D4590" w:rsidRDefault="002F07D4" w:rsidP="002F07D4">
      <w:pPr>
        <w:spacing w:line="240" w:lineRule="auto"/>
        <w:jc w:val="both"/>
        <w:rPr>
          <w:rFonts w:ascii="Times New Roman" w:hAnsi="Times New Roman"/>
          <w:sz w:val="24"/>
          <w:szCs w:val="24"/>
        </w:rPr>
      </w:pP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4 Muy grandes para caer</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JP Morgan Chase es, de facto y después de lo peor de la crisis, JP Morgan Chase Bear Stearns Washington Mutual. Los grandes bancos de EEUU son más grandes mientras que los bancos más pequeños tendrán más dificultades para competir como alegan sus lobbies y los gestores de estos. Tras la crisis no ha habido división de entidades demasiado grandes o interconectadas como para que el Estado pueda permitir que caigan ya que su colapso afectaría a la economía. Y tampoco ocurrirá. Lo ley crea una nueva autoridad reguladora federal que puede intervenir si es necesario para evitar la desastibilización del sistema sin que se precise dinero de los contribuyentes más que como adelanto. Una vez que se haya intervenido la entidad, por parte del Fondo de Garantía de Depósitos, se recaudará una tasa para pagar la operación a los bancos que tengan más de 50.000 millones en activos. La ley crea el Consejo de Estabilidad Financiera, compuesto por los presidentes de las agencias de supervisión y del secretario del Tesoro, cuya misión es vigilar el crecimiento del riesgo en el sector privado y las burbujas. Este consejo puede recomendar líneas de actuación a la Fed para que exija más capital a ciertas firmas o disminuir el apalancamiento, entre otras acciones.</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5 Calificar al calificador</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Las agencias de crédito, que han tenido un papel fundamental en la burbuja financiera, han salido del proceso legislativo menos reguladas de lo que se preveía y si hay cambios fundamentales no llegarán hasta dentro de dos años. La SEC va a tener este periodo para estudiar los posibles conflictos de competencias entre las agencias y los emisores de deuda (que suelen contratar a la agencia que les da mejores ratings). Tras el estudio se puede crear una autoridad que distribuya el trabajo entre las agencias sin necesidad de que sea los emisores los que decidan quién calificará su deuda. La ley habilita a los inversores demanden a las firmas por errores a sabiendas y la SEC podrá supervisarlas y multarlas en caso de infracción.</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Capitalización, a la espera de Basilea</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Uno de los cabos que quedan sueltos es lo que, a la postre, depende de una regulación global: la capitalización y la liquidez de la banca. En este apartado, el protagonismo de Washington cede ante Basilea III y los acuerdos que haya sobre estandarización de contabilidad internacional, algo que no hace más que retrasarse y ya el G20 ha eludido pronunciarse hasta noviembre. (En principio).</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 xml:space="preserve">En cuanto al capital, se prohíbe que se consideren Tier 1 unas titulizaciones conocidas como trust-preferred (TruPS, unos convertibles híbridos a largo plazo) que se </w:t>
      </w:r>
      <w:r w:rsidRPr="005D4590">
        <w:rPr>
          <w:rFonts w:ascii="Times New Roman" w:hAnsi="Times New Roman"/>
          <w:sz w:val="24"/>
          <w:szCs w:val="24"/>
        </w:rPr>
        <w:lastRenderedPageBreak/>
        <w:t>contabilizan como capital y tributan como bonos. La transición para eliminarlos puede durar cinco años para la gran banca.</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Goldman Sachs y AIG, una zona cero de la crisis</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Mientras en Washington se termina de completar la reforma financiera, un comité que depende del Congreso pero no está formado por legisladores, trata de arrojar luz sobre qué ha provocado el abismo financiera para evitar caer en él de nuevo, en la medida de lo posible. Se trata de la Comisión de Investigación de la Crisis Financiera.</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Las conclusiones de esta comisión no llegarán hasta diciembre (2010) y, puesto que no van a influir en el proceso legislativo de reforma, algo para lo que llega tarde, podrán informar durante el desarrollo reglamentario. Por esta razón, y por el hecho de que está destapando cómo ha funcionado Wall Street, el trabajo de este panel se puede salvar de caer en la irrelevancia.</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Especialmente significativas son las evidencias sobre las relaciones entre AIG y Goldman Sachs, uno de los epicentros del terremoto financiero. Los ejecutivos de Goldman Sachs ya han sido cuestionados en varias ocasiones sobre sus conflictos de intereses por apostar contra unos activos que ellos mismos vendieron a sus clientes. Esta semana sus declaraciones se oyeron en la misma sala en la que también prestó testimonio, Joe Cassano, la persona al frente de la división de productos financieros de AIG, el agujero negro de la aseguradora.</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Lo revelado en la comparecencia indica que la batalla entre ambas entidades pudo ser uno de los motivos por los que se aceleró el desmoronamiento desordenado del sector financiero. Buena parte de la culpa de partida fuera de AIG, que asumió mucho más riesgo de lo que habría debido, según admitió el ex director de riesgos, Robert Lewis. A través de la venta de productos derivados, AIG había asegurado contra la quiebra miles de millones de derivados ligados a hipotecas, sin contar con que los precios de las casas simplemente podían dejar de subir. Goldman era quien compraba esta protección, y cuando el sector hipotecario empezó a entrar en impago, fue el banco que más agresivamente reclamó las coberturas contratadas a la aseguradora.</w:t>
      </w:r>
    </w:p>
    <w:p w:rsidR="002F07D4" w:rsidRPr="005D4590"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Goldman daba por sentado que AIG no podría sobrevivir para pagar las obligaciones contraídas en el mercado de derivados, algo que se convirtió en una profecía autocumplida. La agresividad de Goldman para reclamar su dinero, mayor que la de otros bancos con los mismos contratos con AIG, fue uno de los motivos que puso a la aseguradora al borde de una quiebra. La debacle no ocurrió porque el Gobierno intervino con más de 182.000 millones de dólares, 12.900 de ellos para pagar el 100% de sus obligaciones con Goldman.</w:t>
      </w:r>
    </w:p>
    <w:p w:rsidR="002F07D4" w:rsidRDefault="002F07D4" w:rsidP="002F07D4">
      <w:pPr>
        <w:spacing w:line="240" w:lineRule="auto"/>
        <w:jc w:val="both"/>
        <w:rPr>
          <w:rFonts w:ascii="Times New Roman" w:hAnsi="Times New Roman"/>
          <w:sz w:val="24"/>
          <w:szCs w:val="24"/>
        </w:rPr>
      </w:pPr>
      <w:r w:rsidRPr="005D4590">
        <w:rPr>
          <w:rFonts w:ascii="Times New Roman" w:hAnsi="Times New Roman"/>
          <w:sz w:val="24"/>
          <w:szCs w:val="24"/>
        </w:rPr>
        <w:t>Ante los investigadores, Goldman se ha presentado como un gestor celoso del riesgo que se supo anticipar a la crisis y trató de rentabilizarla con posiciones cortas sobre títulos que antes colocó en los mercados y AIG aseguró. Cassano, que en menos de una década ha ganado más de 280 millones de dólares, se presentó como una víctima, discrepó con su jefe de riesgos diciendo que nunca comprometió los estándares de la firma, y lamentó no haber tenido la oportunidad de negociar un rescate más barato para</w:t>
      </w:r>
      <w:r w:rsidRPr="008705B2">
        <w:rPr>
          <w:rFonts w:ascii="Times New Roman" w:hAnsi="Times New Roman"/>
          <w:sz w:val="24"/>
          <w:szCs w:val="24"/>
        </w:rPr>
        <w:t xml:space="preserve"> los contribuyentes</w:t>
      </w:r>
      <w:r>
        <w:rPr>
          <w:rFonts w:ascii="Times New Roman" w:hAnsi="Times New Roman"/>
          <w:sz w:val="24"/>
          <w:szCs w:val="24"/>
        </w:rPr>
        <w:t>…</w:t>
      </w:r>
    </w:p>
    <w:p w:rsidR="002F07D4" w:rsidRPr="00B37EBD" w:rsidRDefault="002F07D4" w:rsidP="002F07D4">
      <w:pPr>
        <w:spacing w:line="240" w:lineRule="auto"/>
        <w:jc w:val="both"/>
        <w:rPr>
          <w:rFonts w:ascii="Times New Roman" w:hAnsi="Times New Roman"/>
          <w:b/>
          <w:sz w:val="24"/>
          <w:szCs w:val="24"/>
        </w:rPr>
      </w:pPr>
      <w:r w:rsidRPr="00B37EBD">
        <w:rPr>
          <w:rFonts w:ascii="Times New Roman" w:hAnsi="Times New Roman"/>
          <w:b/>
          <w:sz w:val="24"/>
          <w:szCs w:val="24"/>
        </w:rPr>
        <w:t>Sucumbiendo al lobby: Basilea III termina cocinando un menú a gusto de la banca</w:t>
      </w:r>
    </w:p>
    <w:p w:rsidR="002F07D4" w:rsidRPr="00AC063C" w:rsidRDefault="002F07D4" w:rsidP="002F07D4">
      <w:pPr>
        <w:spacing w:line="240" w:lineRule="auto"/>
        <w:jc w:val="both"/>
        <w:rPr>
          <w:rFonts w:ascii="Times New Roman" w:hAnsi="Times New Roman"/>
          <w:sz w:val="24"/>
          <w:szCs w:val="24"/>
        </w:rPr>
      </w:pPr>
      <w:r w:rsidRPr="00AC063C">
        <w:rPr>
          <w:rFonts w:ascii="Times New Roman" w:hAnsi="Times New Roman"/>
          <w:i/>
          <w:sz w:val="24"/>
          <w:szCs w:val="24"/>
        </w:rPr>
        <w:lastRenderedPageBreak/>
        <w:t xml:space="preserve">“Los gobernadores de los Bancos Centrales y reguladores del Comité de Basilea sucumbieron a un intenso lobby de parte de los bancos y edulcoraron las propuestas sobre un nuevo marco reglamentario para el sector de cara a nuevas crisis, indicaron el martes analistas”... </w:t>
      </w:r>
      <w:r w:rsidRPr="000D6F2D">
        <w:rPr>
          <w:rFonts w:ascii="Times New Roman" w:hAnsi="Times New Roman"/>
          <w:sz w:val="24"/>
          <w:szCs w:val="24"/>
          <w:u w:val="single"/>
        </w:rPr>
        <w:t>Basilea III cede a la presión bancaria</w:t>
      </w:r>
      <w:r>
        <w:rPr>
          <w:rFonts w:ascii="Times New Roman" w:hAnsi="Times New Roman"/>
          <w:sz w:val="24"/>
          <w:szCs w:val="24"/>
        </w:rPr>
        <w:t xml:space="preserve"> (El Economista - </w:t>
      </w:r>
      <w:r w:rsidRPr="000D6F2D">
        <w:rPr>
          <w:rFonts w:ascii="Times New Roman" w:hAnsi="Times New Roman"/>
          <w:b/>
          <w:sz w:val="24"/>
          <w:szCs w:val="24"/>
        </w:rPr>
        <w:t>28/7/10</w:t>
      </w:r>
      <w:r>
        <w:rPr>
          <w:rFonts w:ascii="Times New Roman" w:hAnsi="Times New Roman"/>
          <w:sz w:val="24"/>
          <w:szCs w:val="24"/>
        </w:rPr>
        <w:t>)</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Después de la crisis financiera de 2008, el Comité de Basilea inició una reforma reglamentaria cuyo resultado debe ser sometido al G20 de Seúl en noviembre</w:t>
      </w:r>
      <w:r>
        <w:rPr>
          <w:rFonts w:ascii="Times New Roman" w:hAnsi="Times New Roman"/>
          <w:sz w:val="24"/>
          <w:szCs w:val="24"/>
        </w:rPr>
        <w:t xml:space="preserve"> (2010)</w:t>
      </w:r>
      <w:r w:rsidRPr="00166885">
        <w:rPr>
          <w:rFonts w:ascii="Times New Roman" w:hAnsi="Times New Roman"/>
          <w:sz w:val="24"/>
          <w:szCs w:val="24"/>
        </w:rPr>
        <w:t xml:space="preserve"> y aprobado por los dirigentes de los principales países desarrollados y emergentes.</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Pero las nuevas reglas -denominadas oficiosamente Basilea III- serán más flexibles en cuanto a la calidad del capital y el monto de los activos requeridos para sustentar los préstamos bancarios que lo inicialmente previsto.</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Las nuevas disposiciones, aprobadas por el Comité de Basilea de Supervisión Bancaria en una reunión el lunes</w:t>
      </w:r>
      <w:r>
        <w:rPr>
          <w:rFonts w:ascii="Times New Roman" w:hAnsi="Times New Roman"/>
          <w:sz w:val="24"/>
          <w:szCs w:val="24"/>
        </w:rPr>
        <w:t xml:space="preserve"> (26/7)</w:t>
      </w:r>
      <w:r w:rsidRPr="00166885">
        <w:rPr>
          <w:rFonts w:ascii="Times New Roman" w:hAnsi="Times New Roman"/>
          <w:sz w:val="24"/>
          <w:szCs w:val="24"/>
        </w:rPr>
        <w:t xml:space="preserve"> por la noche, también darán más tiempo a los bancos comerciales para su aplicación.</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La participación de los bancos</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Además, los reguladores y los gobernadores de los bancos centrales aceptaron tomar en cuenta, en cierta medida, la participación de los bancos en otros establecimientos financieros, lo que no estaba previsto inicialmente.</w:t>
      </w:r>
    </w:p>
    <w:p w:rsidR="002F07D4" w:rsidRPr="00166885"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166885">
        <w:rPr>
          <w:rFonts w:ascii="Times New Roman" w:hAnsi="Times New Roman"/>
          <w:sz w:val="24"/>
          <w:szCs w:val="24"/>
        </w:rPr>
        <w:t>El comunicado de anoche (lunes) mostró una flexibilización de algunas de las propuestas iniciales de modo que el Comité aparece tomando un enfoque más práctico para implementarlas, viendo la necesidad de permitir a los bancos sostener la reactivación económica</w:t>
      </w:r>
      <w:r>
        <w:rPr>
          <w:rFonts w:ascii="Times New Roman" w:hAnsi="Times New Roman"/>
          <w:sz w:val="24"/>
          <w:szCs w:val="24"/>
        </w:rPr>
        <w:t>”</w:t>
      </w:r>
      <w:r w:rsidRPr="00166885">
        <w:rPr>
          <w:rFonts w:ascii="Times New Roman" w:hAnsi="Times New Roman"/>
          <w:sz w:val="24"/>
          <w:szCs w:val="24"/>
        </w:rPr>
        <w:t>, indicó el analista Eamonn Hughes, de Goodbody Stockbrokers.</w:t>
      </w:r>
    </w:p>
    <w:p w:rsidR="002F07D4" w:rsidRPr="00166885"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166885">
        <w:rPr>
          <w:rFonts w:ascii="Times New Roman" w:hAnsi="Times New Roman"/>
          <w:sz w:val="24"/>
          <w:szCs w:val="24"/>
        </w:rPr>
        <w:t>Parece que las actividades de intenso lobby de los grandes bancos europeos han func</w:t>
      </w:r>
      <w:r>
        <w:rPr>
          <w:rFonts w:ascii="Times New Roman" w:hAnsi="Times New Roman"/>
          <w:sz w:val="24"/>
          <w:szCs w:val="24"/>
        </w:rPr>
        <w:t>ionado”</w:t>
      </w:r>
      <w:r w:rsidRPr="00166885">
        <w:rPr>
          <w:rFonts w:ascii="Times New Roman" w:hAnsi="Times New Roman"/>
          <w:sz w:val="24"/>
          <w:szCs w:val="24"/>
        </w:rPr>
        <w:t>, afirmó de su lado el experto Joshua Raymond, de London's City Index.</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Alivio en los mercados bursátiles</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El alivio en los mercados bursátiles era evidente el martes</w:t>
      </w:r>
      <w:r>
        <w:rPr>
          <w:rFonts w:ascii="Times New Roman" w:hAnsi="Times New Roman"/>
          <w:sz w:val="24"/>
          <w:szCs w:val="24"/>
        </w:rPr>
        <w:t xml:space="preserve"> (27/7)</w:t>
      </w:r>
      <w:r w:rsidRPr="00166885">
        <w:rPr>
          <w:rFonts w:ascii="Times New Roman" w:hAnsi="Times New Roman"/>
          <w:sz w:val="24"/>
          <w:szCs w:val="24"/>
        </w:rPr>
        <w:t>, con las acciones de las compañías de servicios financieros en clara alza. Las ganancias mejor de lo esperado de los bancos suizo UBS y alemán Deutsche Bank también ayudaron al sector.</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El analista Daniel Bischof, del Bank Sarasin con sede en Basilea, indicó que la crisis de la deuda soberana de algunos países de la Eurozona, en particular Grecia, ha ayudado sin querer a los bancos en sus lobby, al sacar presión sobre los activos requeridos para sostener los préstamos.</w:t>
      </w:r>
    </w:p>
    <w:p w:rsidR="002F07D4" w:rsidRPr="00166885"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166885">
        <w:rPr>
          <w:rFonts w:ascii="Times New Roman" w:hAnsi="Times New Roman"/>
          <w:sz w:val="24"/>
          <w:szCs w:val="24"/>
        </w:rPr>
        <w:t xml:space="preserve">Basilea III es más duro. Pero no tan duro como se </w:t>
      </w:r>
      <w:r>
        <w:rPr>
          <w:rFonts w:ascii="Times New Roman" w:hAnsi="Times New Roman"/>
          <w:sz w:val="24"/>
          <w:szCs w:val="24"/>
        </w:rPr>
        <w:t>había propuesto en un principio”</w:t>
      </w:r>
      <w:r w:rsidRPr="00166885">
        <w:rPr>
          <w:rFonts w:ascii="Times New Roman" w:hAnsi="Times New Roman"/>
          <w:sz w:val="24"/>
          <w:szCs w:val="24"/>
        </w:rPr>
        <w:t>, remarcó Bischof.</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Otra concesión clave otorgada a los bancos fue postergar hasta 2018 la fecha para cumplir con los requerimientos, ya que en diciembre pasado el Comité de Basilea había afirmado que pretendía establecer fines de 2012 como plazo para aplicar las nuevas disposiciones.</w:t>
      </w:r>
    </w:p>
    <w:p w:rsidR="002F07D4" w:rsidRPr="00166885"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166885">
        <w:rPr>
          <w:rFonts w:ascii="Times New Roman" w:hAnsi="Times New Roman"/>
          <w:sz w:val="24"/>
          <w:szCs w:val="24"/>
        </w:rPr>
        <w:t>La transición hasta 2018 es ciertamente un plazo de tiempo más flexible</w:t>
      </w:r>
      <w:r>
        <w:rPr>
          <w:rFonts w:ascii="Times New Roman" w:hAnsi="Times New Roman"/>
          <w:sz w:val="24"/>
          <w:szCs w:val="24"/>
        </w:rPr>
        <w:t xml:space="preserve"> que el discutido anteriormente”</w:t>
      </w:r>
      <w:r w:rsidRPr="00166885">
        <w:rPr>
          <w:rFonts w:ascii="Times New Roman" w:hAnsi="Times New Roman"/>
          <w:sz w:val="24"/>
          <w:szCs w:val="24"/>
        </w:rPr>
        <w:t>, aseguró en ese sentido el analista Peter Thorne, del Bank Helvea.</w:t>
      </w:r>
    </w:p>
    <w:p w:rsidR="002F07D4"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lastRenderedPageBreak/>
        <w:t>La definición de lo que constituye el capital bancario también fue suavizada, destacaron los expertos.</w:t>
      </w:r>
    </w:p>
    <w:p w:rsidR="002F07D4" w:rsidRPr="00166885" w:rsidRDefault="002F07D4" w:rsidP="002F07D4">
      <w:pPr>
        <w:spacing w:line="240" w:lineRule="auto"/>
        <w:jc w:val="both"/>
        <w:rPr>
          <w:rFonts w:ascii="Times New Roman" w:hAnsi="Times New Roman"/>
          <w:sz w:val="24"/>
          <w:szCs w:val="24"/>
          <w:u w:val="single"/>
        </w:rPr>
      </w:pPr>
      <w:r>
        <w:rPr>
          <w:rFonts w:ascii="Times New Roman" w:hAnsi="Times New Roman"/>
          <w:sz w:val="24"/>
          <w:szCs w:val="24"/>
          <w:u w:val="single"/>
        </w:rPr>
        <w:t>La reforma del nunca jamás: u</w:t>
      </w:r>
      <w:r w:rsidRPr="00166885">
        <w:rPr>
          <w:rFonts w:ascii="Times New Roman" w:hAnsi="Times New Roman"/>
          <w:sz w:val="24"/>
          <w:szCs w:val="24"/>
          <w:u w:val="single"/>
        </w:rPr>
        <w:t>n impacto de baja intensidad</w:t>
      </w:r>
      <w:r>
        <w:rPr>
          <w:rFonts w:ascii="Times New Roman" w:hAnsi="Times New Roman"/>
          <w:sz w:val="24"/>
          <w:szCs w:val="24"/>
          <w:u w:val="single"/>
        </w:rPr>
        <w:t xml:space="preserve"> (la flexibilización ilimitada)</w:t>
      </w:r>
    </w:p>
    <w:p w:rsidR="002F07D4" w:rsidRPr="00080F53"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166885">
        <w:rPr>
          <w:rFonts w:ascii="Times New Roman" w:hAnsi="Times New Roman"/>
          <w:i/>
          <w:sz w:val="24"/>
          <w:szCs w:val="24"/>
        </w:rPr>
        <w:t>Dos informes hechos públicos ayer por los supervisores financieros internacionales consideran que la nueva normativa de capital y liquidez para la banca, conocida como Basilea III, tendrá un impacto muy reducido en la economía mundial. Restará 1,2 puntos del crecimiento del PIB mundial en cuatro años</w:t>
      </w:r>
      <w:r>
        <w:rPr>
          <w:rFonts w:ascii="Times New Roman" w:hAnsi="Times New Roman"/>
          <w:i/>
          <w:sz w:val="24"/>
          <w:szCs w:val="24"/>
        </w:rPr>
        <w:t>”..</w:t>
      </w:r>
      <w:r w:rsidRPr="00166885">
        <w:rPr>
          <w:rFonts w:ascii="Times New Roman" w:hAnsi="Times New Roman"/>
          <w:i/>
          <w:sz w:val="24"/>
          <w:szCs w:val="24"/>
        </w:rPr>
        <w:t>.</w:t>
      </w:r>
      <w:r w:rsidRPr="00080F53">
        <w:rPr>
          <w:rFonts w:ascii="Times New Roman" w:hAnsi="Times New Roman"/>
          <w:sz w:val="24"/>
          <w:szCs w:val="24"/>
          <w:u w:val="single"/>
        </w:rPr>
        <w:t>Los reguladores minimizan el impacto que tendrá Basilea III</w:t>
      </w:r>
      <w:r>
        <w:rPr>
          <w:rFonts w:ascii="Times New Roman" w:hAnsi="Times New Roman"/>
          <w:sz w:val="24"/>
          <w:szCs w:val="24"/>
        </w:rPr>
        <w:t xml:space="preserve"> (Cinco Días - </w:t>
      </w:r>
      <w:r w:rsidRPr="00080F53">
        <w:rPr>
          <w:rFonts w:ascii="Times New Roman" w:hAnsi="Times New Roman"/>
          <w:b/>
          <w:sz w:val="24"/>
          <w:szCs w:val="24"/>
        </w:rPr>
        <w:t>19/8/10</w:t>
      </w:r>
      <w:r>
        <w:rPr>
          <w:rFonts w:ascii="Times New Roman" w:hAnsi="Times New Roman"/>
          <w:sz w:val="24"/>
          <w:szCs w:val="24"/>
        </w:rPr>
        <w:t>)</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El Comité de Supervisores de Basilea, integrado por los responsables de los principales bancos</w:t>
      </w:r>
      <w:r>
        <w:rPr>
          <w:rFonts w:ascii="Times New Roman" w:hAnsi="Times New Roman"/>
          <w:sz w:val="24"/>
          <w:szCs w:val="24"/>
        </w:rPr>
        <w:t xml:space="preserve"> centrales del mundo, salió el 18 de agosto</w:t>
      </w:r>
      <w:r w:rsidRPr="00166885">
        <w:rPr>
          <w:rFonts w:ascii="Times New Roman" w:hAnsi="Times New Roman"/>
          <w:sz w:val="24"/>
          <w:szCs w:val="24"/>
        </w:rPr>
        <w:t xml:space="preserve"> a la carga para defender la implantación de los nuevos requerimientos de capital y liquidez, conocidos como Basilea</w:t>
      </w:r>
      <w:r>
        <w:rPr>
          <w:rFonts w:ascii="Times New Roman" w:hAnsi="Times New Roman"/>
          <w:sz w:val="24"/>
          <w:szCs w:val="24"/>
        </w:rPr>
        <w:t xml:space="preserve"> III. El organismo divulgó </w:t>
      </w:r>
      <w:r w:rsidRPr="00166885">
        <w:rPr>
          <w:rFonts w:ascii="Times New Roman" w:hAnsi="Times New Roman"/>
          <w:sz w:val="24"/>
          <w:szCs w:val="24"/>
        </w:rPr>
        <w:t>dos estudios en los que se evalúa el impacto macroeconómico que tendrá la nueva regulación.</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Los informes reconocen que Basilea III puede reducir el crecimiento económico mundial en 0,4 puntos porcentuales, de media anual, durante cuatro ejercicios, pero argumentan que las ganancias en estabilidad financiera serán mucho mayores.</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De esta forma, el Comité de Basilea responde a la patronal del sector bancario mundial, el Instituto de Finanzas Internacionales (IIF, en sus siglas en inglés) que hace unos meses cifró en un 3% el recorte que sufriría las economías de Estados Unidos, la Unión Europea y Japón, hasta 2015, de aplicarse la nueva normativa de capital.</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El director del Fondo de Estabilidad Financiera y gobernador del Banco de Itali</w:t>
      </w:r>
      <w:r>
        <w:rPr>
          <w:rFonts w:ascii="Times New Roman" w:hAnsi="Times New Roman"/>
          <w:sz w:val="24"/>
          <w:szCs w:val="24"/>
        </w:rPr>
        <w:t>a, Mario Draghi, explicaba que “el análisis es exhaustivo” y que “</w:t>
      </w:r>
      <w:r w:rsidRPr="00166885">
        <w:rPr>
          <w:rFonts w:ascii="Times New Roman" w:hAnsi="Times New Roman"/>
          <w:sz w:val="24"/>
          <w:szCs w:val="24"/>
        </w:rPr>
        <w:t>muestra que los costes macroeconómicos de implementar estándares más fuertes son manejables..., mientras los beneficios a largo plazo para la estabilidad financiera y el crecimi</w:t>
      </w:r>
      <w:r>
        <w:rPr>
          <w:rFonts w:ascii="Times New Roman" w:hAnsi="Times New Roman"/>
          <w:sz w:val="24"/>
          <w:szCs w:val="24"/>
        </w:rPr>
        <w:t>ento económico son sustanciales”</w:t>
      </w:r>
      <w:r w:rsidRPr="00166885">
        <w:rPr>
          <w:rFonts w:ascii="Times New Roman" w:hAnsi="Times New Roman"/>
          <w:sz w:val="24"/>
          <w:szCs w:val="24"/>
        </w:rPr>
        <w:t>.</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La propuesta del Comité, reelaborada en julio tras conocer la opinión del sector, establece que los bancos retengan tres euros por cada 100 que prestan, y endurece los requisitos para que un activo pueda ser considerado como capital de alta calidad.</w:t>
      </w:r>
    </w:p>
    <w:p w:rsidR="002F07D4" w:rsidRPr="00166885" w:rsidRDefault="002F07D4" w:rsidP="002F07D4">
      <w:pPr>
        <w:spacing w:line="240" w:lineRule="auto"/>
        <w:jc w:val="both"/>
        <w:rPr>
          <w:rFonts w:ascii="Times New Roman" w:hAnsi="Times New Roman"/>
          <w:sz w:val="24"/>
          <w:szCs w:val="24"/>
        </w:rPr>
      </w:pPr>
      <w:r>
        <w:rPr>
          <w:rFonts w:ascii="Times New Roman" w:hAnsi="Times New Roman"/>
          <w:sz w:val="24"/>
          <w:szCs w:val="24"/>
        </w:rPr>
        <w:t>En los informes del 18/8</w:t>
      </w:r>
      <w:r w:rsidRPr="00166885">
        <w:rPr>
          <w:rFonts w:ascii="Times New Roman" w:hAnsi="Times New Roman"/>
          <w:sz w:val="24"/>
          <w:szCs w:val="24"/>
        </w:rPr>
        <w:t xml:space="preserve"> se incide en que la progresiva adopción de los nuevos estándares de solvencia, que no tendrán pleno efecto hasta 2018, reducirá significativamente el impacto sobre los bancos.</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Cómo salir indemne de la nueva regulación</w:t>
      </w:r>
    </w:p>
    <w:p w:rsidR="002F07D4" w:rsidRPr="00166885"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El estudio hecho público ayer, en el que también ha participado el FMI, da algunas fórmulas a las entidades financieras para sobrellevar mejor las nuevas exigencias en materia de solvencia. En concreto, recomienda a los bancos que compensen el coste de recabar más capital recortando costes y los sueldos de los directivos. También apunta que, dado que los inversores percibirán al sector como menos arriesgado, podrán encontrar dinero más barato.</w:t>
      </w:r>
    </w:p>
    <w:p w:rsidR="002F07D4" w:rsidRDefault="002F07D4" w:rsidP="002F07D4">
      <w:pPr>
        <w:spacing w:line="240" w:lineRule="auto"/>
        <w:jc w:val="both"/>
        <w:rPr>
          <w:rFonts w:ascii="Times New Roman" w:hAnsi="Times New Roman"/>
          <w:sz w:val="24"/>
          <w:szCs w:val="24"/>
        </w:rPr>
      </w:pPr>
      <w:r w:rsidRPr="00166885">
        <w:rPr>
          <w:rFonts w:ascii="Times New Roman" w:hAnsi="Times New Roman"/>
          <w:sz w:val="24"/>
          <w:szCs w:val="24"/>
        </w:rPr>
        <w:t>El estudio también aclara que, aunque el capital se encarezca, los bancos pueden buscar fuentes alternativas de financiación, a través de los mercados bursátiles y los ingresos provenientes de empresas no financieras. Además, señala que los bancos más grandes y solventes tendrán menos dificultades para financiarse</w:t>
      </w:r>
      <w:r>
        <w:rPr>
          <w:rFonts w:ascii="Times New Roman" w:hAnsi="Times New Roman"/>
          <w:sz w:val="24"/>
          <w:szCs w:val="24"/>
        </w:rPr>
        <w:t>…</w:t>
      </w:r>
    </w:p>
    <w:p w:rsidR="002F07D4" w:rsidRPr="00E934F1" w:rsidRDefault="002F07D4" w:rsidP="002F07D4">
      <w:pPr>
        <w:spacing w:line="240" w:lineRule="auto"/>
        <w:jc w:val="both"/>
        <w:rPr>
          <w:rFonts w:ascii="Times New Roman" w:hAnsi="Times New Roman"/>
          <w:sz w:val="24"/>
          <w:szCs w:val="24"/>
          <w:u w:val="single"/>
        </w:rPr>
      </w:pPr>
      <w:r w:rsidRPr="00E934F1">
        <w:rPr>
          <w:rFonts w:ascii="Times New Roman" w:hAnsi="Times New Roman"/>
          <w:sz w:val="24"/>
          <w:szCs w:val="24"/>
          <w:u w:val="single"/>
        </w:rPr>
        <w:lastRenderedPageBreak/>
        <w:t>Algunos “olvidos” de Basilea III</w:t>
      </w:r>
      <w:r>
        <w:rPr>
          <w:rFonts w:ascii="Times New Roman" w:hAnsi="Times New Roman"/>
          <w:sz w:val="24"/>
          <w:szCs w:val="24"/>
          <w:u w:val="single"/>
        </w:rPr>
        <w:t xml:space="preserve">, permiten presagiarque habrá </w:t>
      </w:r>
      <w:r w:rsidRPr="00E934F1">
        <w:rPr>
          <w:rFonts w:ascii="Times New Roman" w:hAnsi="Times New Roman"/>
          <w:sz w:val="24"/>
          <w:szCs w:val="24"/>
          <w:u w:val="single"/>
        </w:rPr>
        <w:t xml:space="preserve">más “penas” </w:t>
      </w:r>
    </w:p>
    <w:p w:rsidR="002F07D4" w:rsidRPr="000C5F14" w:rsidRDefault="002F07D4" w:rsidP="002F07D4">
      <w:pPr>
        <w:spacing w:line="240" w:lineRule="auto"/>
        <w:jc w:val="both"/>
        <w:rPr>
          <w:rFonts w:ascii="Times New Roman" w:hAnsi="Times New Roman"/>
          <w:sz w:val="24"/>
          <w:szCs w:val="24"/>
        </w:rPr>
      </w:pPr>
      <w:r w:rsidRPr="000C5F14">
        <w:rPr>
          <w:rFonts w:ascii="Times New Roman" w:hAnsi="Times New Roman"/>
          <w:sz w:val="24"/>
          <w:szCs w:val="24"/>
        </w:rPr>
        <w:t>El hecho de que se establezca un plazo de implantación tan dilatado, hasta finales de 2018, debería ayudar a mitigar su impacto sobre las sociedades financieras más afectadas por estas nuevas reglas (junto con algún guiño específico como la consideración de los créditos estatales como capital, en el caso alemán), que son fundamentalmente europeas. No en vano Goldman Sachs y Morgan Stanley nos recordaban ayer cómo, en Estados Unidos, Basilea III puede llevar aparejada recompras masivas de sus acciones por parte de la banca de inversión ante un escenario previsible de exceso de recursos propios. Miel sobre hojuelas.</w:t>
      </w:r>
    </w:p>
    <w:p w:rsidR="002F07D4" w:rsidRPr="000C5F14" w:rsidRDefault="002F07D4" w:rsidP="002F07D4">
      <w:pPr>
        <w:spacing w:line="240" w:lineRule="auto"/>
        <w:jc w:val="both"/>
        <w:rPr>
          <w:rFonts w:ascii="Times New Roman" w:hAnsi="Times New Roman"/>
          <w:sz w:val="24"/>
          <w:szCs w:val="24"/>
        </w:rPr>
      </w:pPr>
      <w:r w:rsidRPr="000C5F14">
        <w:rPr>
          <w:rFonts w:ascii="Times New Roman" w:hAnsi="Times New Roman"/>
          <w:sz w:val="24"/>
          <w:szCs w:val="24"/>
        </w:rPr>
        <w:t>Las nuevas disposiciones se olvidan del activo…</w:t>
      </w:r>
    </w:p>
    <w:p w:rsidR="002F07D4" w:rsidRPr="00947D07" w:rsidRDefault="002F07D4" w:rsidP="002F07D4">
      <w:pPr>
        <w:spacing w:line="240" w:lineRule="auto"/>
        <w:jc w:val="both"/>
        <w:rPr>
          <w:rFonts w:ascii="Times New Roman" w:hAnsi="Times New Roman"/>
          <w:sz w:val="24"/>
          <w:szCs w:val="24"/>
        </w:rPr>
      </w:pPr>
      <w:r w:rsidRPr="00947D07">
        <w:rPr>
          <w:rFonts w:ascii="Times New Roman" w:hAnsi="Times New Roman"/>
          <w:sz w:val="24"/>
          <w:szCs w:val="24"/>
        </w:rPr>
        <w:t>Sin embargo no es oro todo lo que reluce. Todas las nuevas disposiciones se olvidan que los balances bancarios cuentan, como los de cualquier otra empresa, con dos partes claramente diferenciadas, iguales en tamaño, que son el activo y el pasivo, esto es: lo que tienen y lo que</w:t>
      </w:r>
      <w:r>
        <w:rPr>
          <w:rFonts w:ascii="Times New Roman" w:hAnsi="Times New Roman"/>
          <w:sz w:val="24"/>
          <w:szCs w:val="24"/>
        </w:rPr>
        <w:t xml:space="preserve"> deben a accionistas o terceros</w:t>
      </w:r>
      <w:r w:rsidRPr="00947D07">
        <w:rPr>
          <w:rFonts w:ascii="Times New Roman" w:hAnsi="Times New Roman"/>
          <w:sz w:val="24"/>
          <w:szCs w:val="24"/>
        </w:rPr>
        <w:t xml:space="preserve">. Y que en el origen del huracán que estuvo a punto de llevarse por delante el sistema financiero en el otoño de 2008, ambas </w:t>
      </w:r>
      <w:r>
        <w:rPr>
          <w:rFonts w:ascii="Times New Roman" w:hAnsi="Times New Roman"/>
          <w:sz w:val="24"/>
          <w:szCs w:val="24"/>
        </w:rPr>
        <w:t xml:space="preserve"> partes </w:t>
      </w:r>
      <w:r w:rsidRPr="00947D07">
        <w:rPr>
          <w:rFonts w:ascii="Times New Roman" w:hAnsi="Times New Roman"/>
          <w:sz w:val="24"/>
          <w:szCs w:val="24"/>
        </w:rPr>
        <w:t>jugaron su papel.</w:t>
      </w:r>
    </w:p>
    <w:p w:rsidR="002F07D4" w:rsidRPr="00947D07" w:rsidRDefault="002F07D4" w:rsidP="002F07D4">
      <w:pPr>
        <w:spacing w:line="240" w:lineRule="auto"/>
        <w:jc w:val="both"/>
        <w:rPr>
          <w:rFonts w:ascii="Times New Roman" w:hAnsi="Times New Roman"/>
          <w:sz w:val="24"/>
          <w:szCs w:val="24"/>
        </w:rPr>
      </w:pPr>
      <w:r w:rsidRPr="00947D07">
        <w:rPr>
          <w:rFonts w:ascii="Times New Roman" w:hAnsi="Times New Roman"/>
          <w:sz w:val="24"/>
          <w:szCs w:val="24"/>
        </w:rPr>
        <w:t>De hecho, recordarán ustedes como conceptos tan poco manejados fuera de los ámbitos especializados como titulizaciones, SPVs (Special Purpose Vehicles) o incluso apalancamiento, cobraron un especial vigor en aquellas fechas. Entonces se puso de manifiesto cómo las instituciones financieras habían multiplicado sus créditos y demás elementos de su activo sin alterar sus niveles de financiación propia y ajena. Un proceso que, para más inri, olvidaba su carácter de depositario final del riesgo de tales emisiones o de aquellos vehículos especiales de inversión con las consecuencias de todos sabidas. Y es que finalmente quedó demostrado que la base de capital de la banca era insuficiente… para ese excesivo nivel de exposición a distintos mercados (financiero o inmobiliario). Pequeño matiz.</w:t>
      </w:r>
    </w:p>
    <w:p w:rsidR="002F07D4" w:rsidRPr="00947D07" w:rsidRDefault="002F07D4" w:rsidP="002F07D4">
      <w:pPr>
        <w:spacing w:line="240" w:lineRule="auto"/>
        <w:jc w:val="both"/>
        <w:rPr>
          <w:rFonts w:ascii="Times New Roman" w:hAnsi="Times New Roman"/>
          <w:sz w:val="24"/>
          <w:szCs w:val="24"/>
        </w:rPr>
      </w:pPr>
      <w:r w:rsidRPr="00947D07">
        <w:rPr>
          <w:rFonts w:ascii="Times New Roman" w:hAnsi="Times New Roman"/>
          <w:sz w:val="24"/>
          <w:szCs w:val="24"/>
        </w:rPr>
        <w:t>Puesto que la nueva normativa es el resultado de un cociente, en el que en el numerador se encuentran recursos propios en sus distintas categorías y en el denominador los activos po</w:t>
      </w:r>
      <w:r>
        <w:rPr>
          <w:rFonts w:ascii="Times New Roman" w:hAnsi="Times New Roman"/>
          <w:sz w:val="24"/>
          <w:szCs w:val="24"/>
        </w:rPr>
        <w:t>nderados por riesgo, sorprende -</w:t>
      </w:r>
      <w:r w:rsidRPr="00947D07">
        <w:rPr>
          <w:rFonts w:ascii="Times New Roman" w:hAnsi="Times New Roman"/>
          <w:sz w:val="24"/>
          <w:szCs w:val="24"/>
        </w:rPr>
        <w:t>con la honrosa excepción del coeficiente de liquidez ya citado- cómo Basilea III pasa por encima de la regulación de los primeros que, de hecho, son los únicos directamente controlables por la banca. Era momento de establecer ratios mínimos de depósitos/créditos en banca minorista (complementario a ese colchón adicional que Basilea III exige para cubrir la diferencia temporal entre ambos), fijar reglas generales de ponderación (en función de criterios objetivos como el rating) o limitar la concentración sectorial de préstamos.</w:t>
      </w:r>
    </w:p>
    <w:p w:rsidR="002F07D4" w:rsidRPr="00947D07" w:rsidRDefault="002F07D4" w:rsidP="002F07D4">
      <w:pPr>
        <w:spacing w:line="240" w:lineRule="auto"/>
        <w:jc w:val="both"/>
        <w:rPr>
          <w:rFonts w:ascii="Times New Roman" w:hAnsi="Times New Roman"/>
          <w:sz w:val="24"/>
          <w:szCs w:val="24"/>
        </w:rPr>
      </w:pPr>
      <w:r w:rsidRPr="00947D07">
        <w:rPr>
          <w:rFonts w:ascii="Times New Roman" w:hAnsi="Times New Roman"/>
          <w:sz w:val="24"/>
          <w:szCs w:val="24"/>
        </w:rPr>
        <w:t>… que es el único directamente controlable por la banca.</w:t>
      </w:r>
    </w:p>
    <w:p w:rsidR="002F07D4" w:rsidRPr="00947D07" w:rsidRDefault="002F07D4" w:rsidP="002F07D4">
      <w:pPr>
        <w:spacing w:line="240" w:lineRule="auto"/>
        <w:jc w:val="both"/>
        <w:rPr>
          <w:rFonts w:ascii="Times New Roman" w:hAnsi="Times New Roman"/>
          <w:sz w:val="24"/>
          <w:szCs w:val="24"/>
        </w:rPr>
      </w:pPr>
      <w:r w:rsidRPr="00947D07">
        <w:rPr>
          <w:rFonts w:ascii="Times New Roman" w:hAnsi="Times New Roman"/>
          <w:sz w:val="24"/>
          <w:szCs w:val="24"/>
        </w:rPr>
        <w:t>En efecto. Por centrarnos en el caso europeo, es evidente que la reciente prolongación de la línea extraordinaria de liquidez por parte del Banco Central Europeo pone de manifiesto el desequilibrio existente entre inversión y financiación, un agujero que sólo se puede corregir de modo efectivo mediante la actuación simultánea al alza sobre capital y los recursos de los particulares y a la baja sobre el tamaño del activo.</w:t>
      </w:r>
    </w:p>
    <w:p w:rsidR="002F07D4" w:rsidRPr="00947D07" w:rsidRDefault="002F07D4" w:rsidP="002F07D4">
      <w:pPr>
        <w:spacing w:line="240" w:lineRule="auto"/>
        <w:jc w:val="both"/>
        <w:rPr>
          <w:rFonts w:ascii="Times New Roman" w:hAnsi="Times New Roman"/>
          <w:sz w:val="24"/>
          <w:szCs w:val="24"/>
        </w:rPr>
      </w:pPr>
      <w:r w:rsidRPr="00947D07">
        <w:rPr>
          <w:rFonts w:ascii="Times New Roman" w:hAnsi="Times New Roman"/>
          <w:sz w:val="24"/>
          <w:szCs w:val="24"/>
        </w:rPr>
        <w:t xml:space="preserve">Dados los elevados descuentos que la banca ha de ofrecer a día de hoy para aumentar capital sin que el éxito esté asegurado, las incertidumbres que se derivan para sus cuentas de resultados en el entorno actual, y lo onerosa que resulta la captación de </w:t>
      </w:r>
      <w:r w:rsidRPr="00947D07">
        <w:rPr>
          <w:rFonts w:ascii="Times New Roman" w:hAnsi="Times New Roman"/>
          <w:sz w:val="24"/>
          <w:szCs w:val="24"/>
        </w:rPr>
        <w:lastRenderedPageBreak/>
        <w:t>depósitos en un entorno de enorme competencia, el ajuste más inmediato se ha de producir a través de una menor financiación al sistema: reducción de la compra de activos financieros o de la concesión de financiación. Además, tal ajuste se hará de forma acelerada en aquellos elementos que incorporen mayor riesgo (como los créditos sin garantía al sector privado)  y de modo mucho más lento en aquellos que no consumen recursos y permiten obtener margen, caso de la deuda soberana, la gran ausente de los stress test. Es así.</w:t>
      </w:r>
    </w:p>
    <w:p w:rsidR="002F07D4" w:rsidRPr="00947D07" w:rsidRDefault="002F07D4" w:rsidP="002F07D4">
      <w:pPr>
        <w:spacing w:line="240" w:lineRule="auto"/>
        <w:jc w:val="both"/>
        <w:rPr>
          <w:rFonts w:ascii="Times New Roman" w:hAnsi="Times New Roman"/>
          <w:sz w:val="24"/>
          <w:szCs w:val="24"/>
        </w:rPr>
      </w:pPr>
      <w:r w:rsidRPr="00947D07">
        <w:rPr>
          <w:rFonts w:ascii="Times New Roman" w:hAnsi="Times New Roman"/>
          <w:sz w:val="24"/>
          <w:szCs w:val="24"/>
        </w:rPr>
        <w:t xml:space="preserve">Decir que el dinero no va a circular a resultas del aumento de las necesidades adicionales de recursos propios de las entidades bancarias es inexacto. La clave se encuentra, por el contrario, en su obligación de minorar el activo, en la parte de abajo de la división. Se abre así un círculo vicioso en el que menos actividad equivale a menos margen que, a su vez, reduce los beneficios empresariales y, por ende, la posibilidad de capitalizarlos. Sin embargo, es el peaje necesario a pagar por los excesos cometidos, factura que se traslada al mercado en forma de trampa de liquidez, afectando a la actividad global y a la viabilidad de muchos agentes económicos. </w:t>
      </w:r>
    </w:p>
    <w:p w:rsidR="002F07D4" w:rsidRDefault="002F07D4" w:rsidP="002F07D4">
      <w:pPr>
        <w:spacing w:line="240" w:lineRule="auto"/>
        <w:jc w:val="both"/>
        <w:rPr>
          <w:rFonts w:ascii="Times New Roman" w:hAnsi="Times New Roman"/>
          <w:sz w:val="24"/>
          <w:szCs w:val="24"/>
        </w:rPr>
      </w:pPr>
      <w:r w:rsidRPr="00947D07">
        <w:rPr>
          <w:rFonts w:ascii="Times New Roman" w:hAnsi="Times New Roman"/>
          <w:sz w:val="24"/>
          <w:szCs w:val="24"/>
        </w:rPr>
        <w:t>La época del crédito alegre y el ROE disparado ha llegado a su fin. Descanse en paz. Eso sí, el nuevo nivel de apalancamiento sobre Core Capital queda en 22 veces. ¿Cuándo podremos descansar en paz?</w:t>
      </w:r>
      <w:r>
        <w:rPr>
          <w:rFonts w:ascii="Times New Roman" w:hAnsi="Times New Roman"/>
          <w:sz w:val="24"/>
          <w:szCs w:val="24"/>
        </w:rPr>
        <w:t>...</w:t>
      </w:r>
    </w:p>
    <w:p w:rsidR="002F07D4" w:rsidRPr="00A51DDC" w:rsidRDefault="002F07D4" w:rsidP="002F07D4">
      <w:pPr>
        <w:spacing w:line="240" w:lineRule="auto"/>
        <w:jc w:val="both"/>
        <w:rPr>
          <w:rFonts w:ascii="Times New Roman" w:hAnsi="Times New Roman"/>
          <w:b/>
          <w:sz w:val="24"/>
          <w:szCs w:val="24"/>
        </w:rPr>
      </w:pPr>
      <w:r w:rsidRPr="000E57F8">
        <w:rPr>
          <w:rFonts w:ascii="Times New Roman" w:hAnsi="Times New Roman"/>
          <w:b/>
          <w:sz w:val="24"/>
          <w:szCs w:val="24"/>
        </w:rPr>
        <w:t>Muchas de las reformas financierasque hemos visto</w:t>
      </w:r>
      <w:r>
        <w:rPr>
          <w:rFonts w:ascii="Times New Roman" w:hAnsi="Times New Roman"/>
          <w:b/>
          <w:sz w:val="24"/>
          <w:szCs w:val="24"/>
        </w:rPr>
        <w:t xml:space="preserve"> (el “shopping” normativo)</w:t>
      </w:r>
      <w:r w:rsidRPr="000E57F8">
        <w:rPr>
          <w:rFonts w:ascii="Times New Roman" w:hAnsi="Times New Roman"/>
          <w:b/>
          <w:sz w:val="24"/>
          <w:szCs w:val="24"/>
        </w:rPr>
        <w:t xml:space="preserve"> pueden resultar condici</w:t>
      </w:r>
      <w:r>
        <w:rPr>
          <w:rFonts w:ascii="Times New Roman" w:hAnsi="Times New Roman"/>
          <w:b/>
          <w:sz w:val="24"/>
          <w:szCs w:val="24"/>
        </w:rPr>
        <w:t xml:space="preserve">ón necesaria, pero no suficiente. </w:t>
      </w:r>
      <w:r w:rsidRPr="00A51DDC">
        <w:rPr>
          <w:rFonts w:ascii="Times New Roman" w:hAnsi="Times New Roman"/>
          <w:b/>
          <w:sz w:val="24"/>
          <w:szCs w:val="24"/>
        </w:rPr>
        <w:t xml:space="preserve">Sigue sin resolverse “el pecado monetario de Occidente” ese extraño privilegio por el que algunos países pueden “comprar sin pagar, dar sin tomar, prestar sin pedir prestado y acumular déficits comerciales sin sufrir las consecuencias”.  </w:t>
      </w:r>
    </w:p>
    <w:p w:rsidR="002F07D4" w:rsidRDefault="002F07D4" w:rsidP="002F07D4">
      <w:pPr>
        <w:spacing w:line="240" w:lineRule="auto"/>
        <w:jc w:val="both"/>
        <w:rPr>
          <w:rFonts w:ascii="Times New Roman" w:hAnsi="Times New Roman"/>
          <w:b/>
          <w:sz w:val="24"/>
          <w:szCs w:val="24"/>
        </w:rPr>
      </w:pPr>
      <w:r w:rsidRPr="00E80D99">
        <w:rPr>
          <w:rFonts w:ascii="Times New Roman" w:hAnsi="Times New Roman"/>
          <w:b/>
          <w:sz w:val="24"/>
          <w:szCs w:val="24"/>
        </w:rPr>
        <w:t>¿Está el sistema financiero en condiciones de darse tanto tiempo luego de la peor crisis desde la década de los 30?</w:t>
      </w:r>
      <w:r>
        <w:rPr>
          <w:rFonts w:ascii="Times New Roman" w:hAnsi="Times New Roman"/>
          <w:b/>
          <w:sz w:val="24"/>
          <w:szCs w:val="24"/>
        </w:rPr>
        <w:t xml:space="preserve"> No, pero “FED&amp;BIS” continúan con los sofismas.</w:t>
      </w:r>
    </w:p>
    <w:p w:rsidR="002F07D4" w:rsidRPr="00CF5CF5" w:rsidRDefault="002F07D4" w:rsidP="002F07D4">
      <w:pPr>
        <w:spacing w:line="240" w:lineRule="auto"/>
        <w:jc w:val="both"/>
        <w:rPr>
          <w:rFonts w:ascii="Times New Roman" w:hAnsi="Times New Roman"/>
          <w:b/>
          <w:sz w:val="24"/>
          <w:szCs w:val="24"/>
        </w:rPr>
      </w:pPr>
      <w:r w:rsidRPr="00CF5CF5">
        <w:rPr>
          <w:rFonts w:ascii="Times New Roman" w:hAnsi="Times New Roman"/>
          <w:b/>
          <w:sz w:val="24"/>
          <w:szCs w:val="24"/>
        </w:rPr>
        <w:t>Una de las lecciones menos atendidas de la última crisis es que la salud del sector financiero no puede estar desvinculada de la llamada economía real.</w:t>
      </w:r>
    </w:p>
    <w:p w:rsidR="002F07D4" w:rsidRDefault="002F07D4" w:rsidP="002F07D4">
      <w:pPr>
        <w:spacing w:line="240" w:lineRule="auto"/>
        <w:jc w:val="both"/>
        <w:rPr>
          <w:rFonts w:ascii="Times New Roman" w:hAnsi="Times New Roman"/>
          <w:b/>
          <w:sz w:val="24"/>
          <w:szCs w:val="24"/>
        </w:rPr>
      </w:pPr>
      <w:r w:rsidRPr="00CF5CF5">
        <w:rPr>
          <w:rFonts w:ascii="Times New Roman" w:hAnsi="Times New Roman"/>
          <w:b/>
          <w:sz w:val="24"/>
          <w:szCs w:val="24"/>
        </w:rPr>
        <w:t xml:space="preserve">Mucho dependerá </w:t>
      </w:r>
      <w:r>
        <w:rPr>
          <w:rFonts w:ascii="Times New Roman" w:hAnsi="Times New Roman"/>
          <w:b/>
          <w:sz w:val="24"/>
          <w:szCs w:val="24"/>
        </w:rPr>
        <w:t>del resultado de estas reformas</w:t>
      </w:r>
      <w:r w:rsidRPr="00CF5CF5">
        <w:rPr>
          <w:rFonts w:ascii="Times New Roman" w:hAnsi="Times New Roman"/>
          <w:b/>
          <w:sz w:val="24"/>
          <w:szCs w:val="24"/>
        </w:rPr>
        <w:t>, pero lo cierto es que, sin un crecimiento de la economía real, las ganancias del sistema financiero sólo pueden basarse en las arenas movedizas de la especulación, es decir, en un festival de instrumentos financieros opacos y de alto riesgo, similar al que llevó al estallido de 2008</w:t>
      </w:r>
      <w:r>
        <w:rPr>
          <w:rFonts w:ascii="Times New Roman" w:hAnsi="Times New Roman"/>
          <w:b/>
          <w:sz w:val="24"/>
          <w:szCs w:val="24"/>
        </w:rPr>
        <w:t xml:space="preserve"> (renovando la fe en el Frankestein financiero)</w:t>
      </w:r>
      <w:r w:rsidRPr="00CF5CF5">
        <w:rPr>
          <w:rFonts w:ascii="Times New Roman" w:hAnsi="Times New Roman"/>
          <w:b/>
          <w:sz w:val="24"/>
          <w:szCs w:val="24"/>
        </w:rPr>
        <w:t>.</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El sistema está roto mientras la FED y el BIS sólo atinan a “ponerle tetas”.</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“Con un par”… el “helicóptero” de los hermanos Marx (¡más madera!)</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Con reformas de baja intensidad (made in USA o modèl Basilea III) o, sin reformas profundas (como las propuestas por Volcker), Wall Street acabará con la Reserva Federal (y, de paso, con los demás bancos centrales “rescatadores”). Cuando la “madera” avive el fuego, las circunstancias determinarán el yo. Entonces, se agotará el tinglado de la farsa. ¿Se puede decir algo más cínico y escatológico que “alivio cuantitativo”?. Es fácil imaginar sobre quien se “alivian”.</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Al final de tanta política monetaria acomodaticia, cuando el presidente de la Reserva Federal (y como él, los gobernadores de bancos centrales de otros países , cooperadores necesarios, y prevaricadores petulantes)</w:t>
      </w:r>
      <w:r w:rsidRPr="00921D93">
        <w:rPr>
          <w:rFonts w:ascii="Times New Roman" w:hAnsi="Times New Roman"/>
          <w:b/>
          <w:sz w:val="24"/>
          <w:szCs w:val="24"/>
        </w:rPr>
        <w:t xml:space="preserve"> haga recuento de sus </w:t>
      </w:r>
      <w:r w:rsidRPr="00921D93">
        <w:rPr>
          <w:rFonts w:ascii="Times New Roman" w:hAnsi="Times New Roman"/>
          <w:b/>
          <w:sz w:val="24"/>
          <w:szCs w:val="24"/>
        </w:rPr>
        <w:lastRenderedPageBreak/>
        <w:t>efectivos le brotará, como a César yacente bajo la estatua de Pompeyo, aquellas palabras inmortales: “¿</w:t>
      </w:r>
      <w:r w:rsidR="00FD69A7" w:rsidRPr="00921D93">
        <w:rPr>
          <w:rFonts w:ascii="Times New Roman" w:hAnsi="Times New Roman"/>
          <w:b/>
          <w:sz w:val="24"/>
          <w:szCs w:val="24"/>
        </w:rPr>
        <w:t>Tú</w:t>
      </w:r>
      <w:r w:rsidRPr="00921D93">
        <w:rPr>
          <w:rFonts w:ascii="Times New Roman" w:hAnsi="Times New Roman"/>
          <w:b/>
          <w:sz w:val="24"/>
          <w:szCs w:val="24"/>
        </w:rPr>
        <w:t xml:space="preserve"> también Bruto, hijo mío?”. Y como hizo el conquistador de la Galia se cubrirá el rostro con la túnica y recibirá de su más próximo la puñalada leta</w:t>
      </w:r>
      <w:r>
        <w:rPr>
          <w:rFonts w:ascii="Times New Roman" w:hAnsi="Times New Roman"/>
          <w:b/>
          <w:sz w:val="24"/>
          <w:szCs w:val="24"/>
        </w:rPr>
        <w:t>l. Y su panteón será una cátedra</w:t>
      </w:r>
      <w:r w:rsidRPr="00921D93">
        <w:rPr>
          <w:rFonts w:ascii="Times New Roman" w:hAnsi="Times New Roman"/>
          <w:b/>
          <w:sz w:val="24"/>
          <w:szCs w:val="24"/>
        </w:rPr>
        <w:t xml:space="preserve"> v</w:t>
      </w:r>
      <w:r>
        <w:rPr>
          <w:rFonts w:ascii="Times New Roman" w:hAnsi="Times New Roman"/>
          <w:b/>
          <w:sz w:val="24"/>
          <w:szCs w:val="24"/>
        </w:rPr>
        <w:t>italicia en la Princeton University (o semejantes)</w:t>
      </w:r>
      <w:r w:rsidRPr="00921D93">
        <w:rPr>
          <w:rFonts w:ascii="Times New Roman" w:hAnsi="Times New Roman"/>
          <w:b/>
          <w:sz w:val="24"/>
          <w:szCs w:val="24"/>
        </w:rPr>
        <w:t>. Y aquí paz y después gloria, aunque con un país en barrena</w:t>
      </w:r>
      <w:r>
        <w:rPr>
          <w:rFonts w:ascii="Times New Roman" w:hAnsi="Times New Roman"/>
          <w:b/>
          <w:sz w:val="24"/>
          <w:szCs w:val="24"/>
        </w:rPr>
        <w:t xml:space="preserve"> (y con él, todos). A continuación les presento los últimos “cantos de sirena” y dejo a la inflación, QE2, QE3 (o hiperinflación, QE4…) como pronóstico. Juzguen ustedes mismos…</w:t>
      </w:r>
    </w:p>
    <w:p w:rsidR="00C5164B" w:rsidRDefault="00C5164B" w:rsidP="002F07D4">
      <w:pPr>
        <w:spacing w:line="240" w:lineRule="auto"/>
        <w:jc w:val="both"/>
        <w:rPr>
          <w:rFonts w:ascii="Times New Roman" w:hAnsi="Times New Roman"/>
          <w:b/>
          <w:sz w:val="24"/>
          <w:szCs w:val="24"/>
        </w:rPr>
      </w:pPr>
    </w:p>
    <w:p w:rsidR="002F07D4" w:rsidRPr="00C41607" w:rsidRDefault="002F07D4" w:rsidP="002F07D4">
      <w:pPr>
        <w:spacing w:line="240" w:lineRule="auto"/>
        <w:jc w:val="both"/>
        <w:rPr>
          <w:rFonts w:ascii="Times New Roman" w:hAnsi="Times New Roman"/>
          <w:b/>
          <w:color w:val="FF0000"/>
          <w:sz w:val="24"/>
          <w:szCs w:val="24"/>
        </w:rPr>
      </w:pPr>
      <w:r w:rsidRPr="00C41607">
        <w:rPr>
          <w:rFonts w:ascii="Times New Roman" w:hAnsi="Times New Roman"/>
          <w:b/>
          <w:color w:val="FF0000"/>
          <w:sz w:val="24"/>
          <w:szCs w:val="24"/>
        </w:rPr>
        <w:t>(Año 2012)</w:t>
      </w:r>
    </w:p>
    <w:p w:rsidR="002F07D4" w:rsidRPr="00074AB0" w:rsidRDefault="002F07D4" w:rsidP="002F07D4">
      <w:pPr>
        <w:rPr>
          <w:rFonts w:ascii="Times New Roman" w:hAnsi="Times New Roman"/>
          <w:sz w:val="24"/>
          <w:szCs w:val="24"/>
        </w:rPr>
      </w:pPr>
      <w:r w:rsidRPr="00074AB0">
        <w:rPr>
          <w:rFonts w:ascii="Times New Roman" w:hAnsi="Times New Roman"/>
          <w:sz w:val="24"/>
          <w:szCs w:val="24"/>
        </w:rPr>
        <w:t>Del Paper -</w:t>
      </w:r>
      <w:r>
        <w:rPr>
          <w:rFonts w:ascii="Times New Roman" w:hAnsi="Times New Roman"/>
          <w:b/>
          <w:sz w:val="24"/>
          <w:szCs w:val="24"/>
        </w:rPr>
        <w:t xml:space="preserve"> Economías Fallidas (Variaciones sobre la “danza macabra” entre los “cándidos” adictos al crédito y los “pícaros” traficantes de dinero)</w:t>
      </w:r>
      <w:r>
        <w:rPr>
          <w:rFonts w:ascii="Times New Roman" w:hAnsi="Times New Roman"/>
          <w:sz w:val="24"/>
          <w:szCs w:val="24"/>
        </w:rPr>
        <w:t>, publicado el 15/4/12)</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Economías Fallidas (Obertura)</w:t>
      </w:r>
    </w:p>
    <w:p w:rsidR="002F07D4" w:rsidRPr="00055355" w:rsidRDefault="002F07D4" w:rsidP="002F07D4">
      <w:pPr>
        <w:spacing w:line="240" w:lineRule="auto"/>
        <w:jc w:val="both"/>
        <w:rPr>
          <w:rFonts w:ascii="Times New Roman" w:hAnsi="Times New Roman"/>
          <w:i/>
          <w:sz w:val="24"/>
          <w:szCs w:val="24"/>
        </w:rPr>
      </w:pPr>
      <w:r w:rsidRPr="00055355">
        <w:rPr>
          <w:rFonts w:ascii="Times New Roman" w:hAnsi="Times New Roman"/>
          <w:i/>
          <w:sz w:val="24"/>
          <w:szCs w:val="24"/>
        </w:rPr>
        <w:t>“Tenemos suficiente para las necesidades de todos, pero no para la codicia de unos pocos”</w:t>
      </w:r>
    </w:p>
    <w:p w:rsidR="002F07D4" w:rsidRDefault="002F07D4" w:rsidP="002F07D4">
      <w:pPr>
        <w:spacing w:line="240" w:lineRule="auto"/>
        <w:jc w:val="both"/>
        <w:rPr>
          <w:rFonts w:ascii="Times New Roman" w:hAnsi="Times New Roman"/>
          <w:i/>
          <w:sz w:val="24"/>
          <w:szCs w:val="24"/>
        </w:rPr>
      </w:pPr>
      <w:r w:rsidRPr="00055355">
        <w:rPr>
          <w:rFonts w:ascii="Times New Roman" w:hAnsi="Times New Roman"/>
          <w:i/>
          <w:sz w:val="24"/>
          <w:szCs w:val="24"/>
        </w:rPr>
        <w:t>Gandhi</w:t>
      </w:r>
    </w:p>
    <w:p w:rsidR="002F07D4" w:rsidRPr="005D5619"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D5619">
        <w:rPr>
          <w:rFonts w:ascii="Times New Roman" w:eastAsia="Times New Roman" w:hAnsi="Times New Roman"/>
          <w:sz w:val="24"/>
          <w:szCs w:val="24"/>
          <w:lang w:eastAsia="es-ES"/>
        </w:rPr>
        <w:t xml:space="preserve">El término </w:t>
      </w:r>
      <w:r>
        <w:rPr>
          <w:rFonts w:ascii="Times New Roman" w:eastAsia="Times New Roman" w:hAnsi="Times New Roman"/>
          <w:b/>
          <w:bCs/>
          <w:sz w:val="24"/>
          <w:szCs w:val="24"/>
          <w:lang w:eastAsia="es-ES"/>
        </w:rPr>
        <w:t>Estado F</w:t>
      </w:r>
      <w:r w:rsidRPr="005D5619">
        <w:rPr>
          <w:rFonts w:ascii="Times New Roman" w:eastAsia="Times New Roman" w:hAnsi="Times New Roman"/>
          <w:b/>
          <w:bCs/>
          <w:sz w:val="24"/>
          <w:szCs w:val="24"/>
          <w:lang w:eastAsia="es-ES"/>
        </w:rPr>
        <w:t>allido</w:t>
      </w:r>
      <w:r w:rsidRPr="005D5619">
        <w:rPr>
          <w:rFonts w:ascii="Times New Roman" w:eastAsia="Times New Roman" w:hAnsi="Times New Roman"/>
          <w:sz w:val="24"/>
          <w:szCs w:val="24"/>
          <w:lang w:eastAsia="es-ES"/>
        </w:rPr>
        <w:t xml:space="preserve"> es empleado por </w:t>
      </w:r>
      <w:hyperlink r:id="rId173" w:tooltip="Periodista" w:history="1">
        <w:r w:rsidRPr="005D5619">
          <w:rPr>
            <w:rFonts w:ascii="Times New Roman" w:eastAsia="Times New Roman" w:hAnsi="Times New Roman"/>
            <w:sz w:val="24"/>
            <w:szCs w:val="24"/>
            <w:lang w:eastAsia="es-ES"/>
          </w:rPr>
          <w:t>periodistas</w:t>
        </w:r>
      </w:hyperlink>
      <w:r w:rsidRPr="005D5619">
        <w:rPr>
          <w:rFonts w:ascii="Times New Roman" w:eastAsia="Times New Roman" w:hAnsi="Times New Roman"/>
          <w:sz w:val="24"/>
          <w:szCs w:val="24"/>
          <w:lang w:eastAsia="es-ES"/>
        </w:rPr>
        <w:t xml:space="preserve"> y comentaristas políticos para describir un </w:t>
      </w:r>
      <w:hyperlink r:id="rId174" w:tooltip="Estado" w:history="1">
        <w:r w:rsidRPr="005D5619">
          <w:rPr>
            <w:rFonts w:ascii="Times New Roman" w:eastAsia="Times New Roman" w:hAnsi="Times New Roman"/>
            <w:sz w:val="24"/>
            <w:szCs w:val="24"/>
            <w:lang w:eastAsia="es-ES"/>
          </w:rPr>
          <w:t>Estado</w:t>
        </w:r>
      </w:hyperlink>
      <w:hyperlink r:id="rId175" w:tooltip="Soberanía" w:history="1">
        <w:r w:rsidRPr="005D5619">
          <w:rPr>
            <w:rFonts w:ascii="Times New Roman" w:eastAsia="Times New Roman" w:hAnsi="Times New Roman"/>
            <w:sz w:val="24"/>
            <w:szCs w:val="24"/>
            <w:lang w:eastAsia="es-ES"/>
          </w:rPr>
          <w:t>soberano</w:t>
        </w:r>
      </w:hyperlink>
      <w:r w:rsidRPr="005D5619">
        <w:rPr>
          <w:rFonts w:ascii="Times New Roman" w:eastAsia="Times New Roman" w:hAnsi="Times New Roman"/>
          <w:sz w:val="24"/>
          <w:szCs w:val="24"/>
          <w:lang w:eastAsia="es-ES"/>
        </w:rPr>
        <w:t xml:space="preserve"> que, se considera, ha fallado en la garantía de servicios básicos. Con el fin de hacer más precisa la definición, el </w:t>
      </w:r>
      <w:hyperlink r:id="rId176" w:tooltip="Think tank" w:history="1">
        <w:r w:rsidRPr="005D5619">
          <w:rPr>
            <w:rFonts w:ascii="Times New Roman" w:eastAsia="Times New Roman" w:hAnsi="Times New Roman"/>
            <w:sz w:val="24"/>
            <w:szCs w:val="24"/>
            <w:lang w:eastAsia="es-ES"/>
          </w:rPr>
          <w:t>centro de estudio</w:t>
        </w:r>
      </w:hyperlink>
      <w:r>
        <w:rPr>
          <w:rFonts w:ascii="Times New Roman" w:eastAsia="Times New Roman" w:hAnsi="Times New Roman"/>
          <w:sz w:val="24"/>
          <w:szCs w:val="24"/>
          <w:lang w:eastAsia="es-ES"/>
        </w:rPr>
        <w:t>“</w:t>
      </w:r>
      <w:hyperlink r:id="rId177" w:tooltip="Fund for Peace (aún no redactado)" w:history="1">
        <w:r w:rsidRPr="005D5619">
          <w:rPr>
            <w:rFonts w:ascii="Times New Roman" w:eastAsia="Times New Roman" w:hAnsi="Times New Roman"/>
            <w:iCs/>
            <w:sz w:val="24"/>
            <w:szCs w:val="24"/>
            <w:lang w:eastAsia="es-ES"/>
          </w:rPr>
          <w:t>Fund for Peace</w:t>
        </w:r>
      </w:hyperlink>
      <w:r>
        <w:rPr>
          <w:rFonts w:ascii="Times New Roman" w:eastAsia="Times New Roman" w:hAnsi="Times New Roman"/>
          <w:iCs/>
          <w:sz w:val="24"/>
          <w:szCs w:val="24"/>
          <w:lang w:eastAsia="es-ES"/>
        </w:rPr>
        <w:t>”</w:t>
      </w:r>
      <w:r w:rsidRPr="005D5619">
        <w:rPr>
          <w:rFonts w:ascii="Times New Roman" w:eastAsia="Times New Roman" w:hAnsi="Times New Roman"/>
          <w:sz w:val="24"/>
          <w:szCs w:val="24"/>
          <w:lang w:eastAsia="es-ES"/>
        </w:rPr>
        <w:t xml:space="preserve"> ha propuesto los siguientes parámetros:</w:t>
      </w:r>
      <w:r w:rsidRPr="005D5619">
        <w:rPr>
          <w:rFonts w:ascii="Times New Roman" w:eastAsia="Times New Roman" w:hAnsi="Times New Roman"/>
          <w:vanish/>
          <w:sz w:val="24"/>
          <w:szCs w:val="24"/>
          <w:vertAlign w:val="superscript"/>
          <w:lang w:eastAsia="es-ES"/>
        </w:rPr>
        <w:t>[]</w:t>
      </w:r>
    </w:p>
    <w:p w:rsidR="002F07D4" w:rsidRPr="005D5619"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5D5619">
        <w:rPr>
          <w:rFonts w:ascii="Times New Roman" w:eastAsia="Times New Roman" w:hAnsi="Times New Roman"/>
          <w:sz w:val="24"/>
          <w:szCs w:val="24"/>
          <w:lang w:eastAsia="es-ES"/>
        </w:rPr>
        <w:t xml:space="preserve">Pérdida de control físico del territorio, o del </w:t>
      </w:r>
      <w:hyperlink r:id="rId178" w:tooltip="Monopolio de la violencia" w:history="1">
        <w:r w:rsidRPr="005D5619">
          <w:rPr>
            <w:rFonts w:ascii="Times New Roman" w:eastAsia="Times New Roman" w:hAnsi="Times New Roman"/>
            <w:sz w:val="24"/>
            <w:szCs w:val="24"/>
            <w:lang w:eastAsia="es-ES"/>
          </w:rPr>
          <w:t>monopolio en el uso legítimo de la fuerza</w:t>
        </w:r>
      </w:hyperlink>
      <w:r w:rsidRPr="005D5619">
        <w:rPr>
          <w:rFonts w:ascii="Times New Roman" w:eastAsia="Times New Roman" w:hAnsi="Times New Roman"/>
          <w:sz w:val="24"/>
          <w:szCs w:val="24"/>
          <w:lang w:eastAsia="es-ES"/>
        </w:rPr>
        <w:t>.</w:t>
      </w:r>
    </w:p>
    <w:p w:rsidR="002F07D4" w:rsidRPr="005D5619"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5D5619">
        <w:rPr>
          <w:rFonts w:ascii="Times New Roman" w:eastAsia="Times New Roman" w:hAnsi="Times New Roman"/>
          <w:sz w:val="24"/>
          <w:szCs w:val="24"/>
          <w:lang w:eastAsia="es-ES"/>
        </w:rPr>
        <w:t>Erosión de la autoridad legítima en la toma de decisiones.</w:t>
      </w:r>
    </w:p>
    <w:p w:rsidR="002F07D4" w:rsidRPr="005D5619"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5D5619">
        <w:rPr>
          <w:rFonts w:ascii="Times New Roman" w:eastAsia="Times New Roman" w:hAnsi="Times New Roman"/>
          <w:sz w:val="24"/>
          <w:szCs w:val="24"/>
          <w:lang w:eastAsia="es-ES"/>
        </w:rPr>
        <w:t>Incapacidad para suministrar servicios básicos.</w:t>
      </w:r>
    </w:p>
    <w:p w:rsidR="002F07D4" w:rsidRPr="005D5619"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5D5619">
        <w:rPr>
          <w:rFonts w:ascii="Times New Roman" w:eastAsia="Times New Roman" w:hAnsi="Times New Roman"/>
          <w:sz w:val="24"/>
          <w:szCs w:val="24"/>
          <w:lang w:eastAsia="es-ES"/>
        </w:rPr>
        <w:t xml:space="preserve">Incapacidad para interactuar con otros Estados, como miembro pleno de la </w:t>
      </w:r>
      <w:hyperlink r:id="rId179" w:tooltip="Comunidad internacional" w:history="1">
        <w:r w:rsidRPr="005D5619">
          <w:rPr>
            <w:rFonts w:ascii="Times New Roman" w:eastAsia="Times New Roman" w:hAnsi="Times New Roman"/>
            <w:sz w:val="24"/>
            <w:szCs w:val="24"/>
            <w:lang w:eastAsia="es-ES"/>
          </w:rPr>
          <w:t>comunidad internacional</w:t>
        </w:r>
      </w:hyperlink>
      <w:r w:rsidRPr="005D5619">
        <w:rPr>
          <w:rFonts w:ascii="Times New Roman" w:eastAsia="Times New Roman" w:hAnsi="Times New Roman"/>
          <w:sz w:val="24"/>
          <w:szCs w:val="24"/>
          <w:lang w:eastAsia="es-ES"/>
        </w:rPr>
        <w:t>.</w:t>
      </w:r>
    </w:p>
    <w:p w:rsidR="002F07D4" w:rsidRPr="005D5619"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D5619">
        <w:rPr>
          <w:rFonts w:ascii="Times New Roman" w:eastAsia="Times New Roman" w:hAnsi="Times New Roman"/>
          <w:sz w:val="24"/>
          <w:szCs w:val="24"/>
          <w:lang w:eastAsia="es-ES"/>
        </w:rPr>
        <w:t xml:space="preserve">Por lo general, un Estado fallido se caracteriza por un fracaso social, político y económico, caracterizándose por tener un gobierno tan débil o ineficaz, que tiene poco control sobre vastas regiones de su territorio, no provee ni puede proveer servicios básicos, presenta altos niveles de </w:t>
      </w:r>
      <w:hyperlink r:id="rId180" w:tooltip="Corrupción política" w:history="1">
        <w:r w:rsidRPr="005D5619">
          <w:rPr>
            <w:rFonts w:ascii="Times New Roman" w:eastAsia="Times New Roman" w:hAnsi="Times New Roman"/>
            <w:sz w:val="24"/>
            <w:szCs w:val="24"/>
            <w:lang w:eastAsia="es-ES"/>
          </w:rPr>
          <w:t>corrupción</w:t>
        </w:r>
      </w:hyperlink>
      <w:r w:rsidRPr="005D5619">
        <w:rPr>
          <w:rFonts w:ascii="Times New Roman" w:eastAsia="Times New Roman" w:hAnsi="Times New Roman"/>
          <w:sz w:val="24"/>
          <w:szCs w:val="24"/>
          <w:lang w:eastAsia="es-ES"/>
        </w:rPr>
        <w:t xml:space="preserve"> y de </w:t>
      </w:r>
      <w:hyperlink r:id="rId181" w:tooltip="Criminalidad" w:history="1">
        <w:r w:rsidRPr="005D5619">
          <w:rPr>
            <w:rFonts w:ascii="Times New Roman" w:eastAsia="Times New Roman" w:hAnsi="Times New Roman"/>
            <w:sz w:val="24"/>
            <w:szCs w:val="24"/>
            <w:lang w:eastAsia="es-ES"/>
          </w:rPr>
          <w:t>criminalidad</w:t>
        </w:r>
      </w:hyperlink>
      <w:r w:rsidRPr="005D5619">
        <w:rPr>
          <w:rFonts w:ascii="Times New Roman" w:eastAsia="Times New Roman" w:hAnsi="Times New Roman"/>
          <w:sz w:val="24"/>
          <w:szCs w:val="24"/>
          <w:lang w:eastAsia="es-ES"/>
        </w:rPr>
        <w:t>, refugiados y desplazados, así como una marcada degradación económica.</w:t>
      </w:r>
      <w:r w:rsidRPr="005D5619">
        <w:rPr>
          <w:rFonts w:ascii="Times New Roman" w:eastAsia="Times New Roman" w:hAnsi="Times New Roman"/>
          <w:vanish/>
          <w:sz w:val="24"/>
          <w:szCs w:val="24"/>
          <w:vertAlign w:val="superscript"/>
          <w:lang w:eastAsia="es-ES"/>
        </w:rPr>
        <w:t>[]</w:t>
      </w:r>
      <w:r w:rsidRPr="005D5619">
        <w:rPr>
          <w:rFonts w:ascii="Times New Roman" w:eastAsia="Times New Roman" w:hAnsi="Times New Roman"/>
          <w:sz w:val="24"/>
          <w:szCs w:val="24"/>
          <w:lang w:eastAsia="es-ES"/>
        </w:rPr>
        <w:t xml:space="preserve"> Sin embargo, el grado de control gubernamental que se necesita, para que un Estado no se considere como fallido, presenta fuertes variaciones.</w:t>
      </w:r>
      <w:r w:rsidRPr="005D5619">
        <w:rPr>
          <w:rFonts w:ascii="Times New Roman" w:eastAsia="Times New Roman" w:hAnsi="Times New Roman"/>
          <w:vanish/>
          <w:sz w:val="24"/>
          <w:szCs w:val="24"/>
          <w:vertAlign w:val="superscript"/>
          <w:lang w:eastAsia="es-ES"/>
        </w:rPr>
        <w:t>[]</w:t>
      </w:r>
      <w:r w:rsidRPr="005D5619">
        <w:rPr>
          <w:rFonts w:ascii="Times New Roman" w:eastAsia="Times New Roman" w:hAnsi="Times New Roman"/>
          <w:sz w:val="24"/>
          <w:szCs w:val="24"/>
          <w:lang w:eastAsia="es-ES"/>
        </w:rPr>
        <w:t xml:space="preserve"> Más notable aun, el concepto mismo de Estado fallido es controvertido, sobre todo cuando se emplea mediante un </w:t>
      </w:r>
      <w:hyperlink r:id="rId182" w:tooltip="Argumento de autoridad" w:history="1">
        <w:r w:rsidRPr="005D5619">
          <w:rPr>
            <w:rFonts w:ascii="Times New Roman" w:eastAsia="Times New Roman" w:hAnsi="Times New Roman"/>
            <w:sz w:val="24"/>
            <w:szCs w:val="24"/>
            <w:lang w:eastAsia="es-ES"/>
          </w:rPr>
          <w:t>argumento de autoridad</w:t>
        </w:r>
      </w:hyperlink>
      <w:r w:rsidRPr="005D5619">
        <w:rPr>
          <w:rFonts w:ascii="Times New Roman" w:eastAsia="Times New Roman" w:hAnsi="Times New Roman"/>
          <w:sz w:val="24"/>
          <w:szCs w:val="24"/>
          <w:lang w:eastAsia="es-ES"/>
        </w:rPr>
        <w:t xml:space="preserve">, y puede tener notables repercusiones </w:t>
      </w:r>
      <w:hyperlink r:id="rId183" w:tooltip="Geopolítica" w:history="1">
        <w:r w:rsidRPr="005D5619">
          <w:rPr>
            <w:rFonts w:ascii="Times New Roman" w:eastAsia="Times New Roman" w:hAnsi="Times New Roman"/>
            <w:sz w:val="24"/>
            <w:szCs w:val="24"/>
            <w:lang w:eastAsia="es-ES"/>
          </w:rPr>
          <w:t>geopolíticas</w:t>
        </w:r>
      </w:hyperlink>
      <w:r w:rsidRPr="005D5619">
        <w:rPr>
          <w:rFonts w:ascii="Times New Roman" w:eastAsia="Times New Roman" w:hAnsi="Times New Roman"/>
          <w:sz w:val="24"/>
          <w:szCs w:val="24"/>
          <w:lang w:eastAsia="es-ES"/>
        </w:rPr>
        <w:t>.</w:t>
      </w:r>
      <w:r w:rsidRPr="005D5619">
        <w:rPr>
          <w:rFonts w:ascii="Times New Roman" w:eastAsia="Times New Roman" w:hAnsi="Times New Roman"/>
          <w:vanish/>
          <w:sz w:val="24"/>
          <w:szCs w:val="24"/>
          <w:vertAlign w:val="superscript"/>
          <w:lang w:eastAsia="es-ES"/>
        </w:rPr>
        <w:t>[][]</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D5619">
        <w:rPr>
          <w:rFonts w:ascii="Times New Roman" w:eastAsia="Times New Roman" w:hAnsi="Times New Roman"/>
          <w:sz w:val="24"/>
          <w:szCs w:val="24"/>
          <w:lang w:eastAsia="es-ES"/>
        </w:rPr>
        <w:t xml:space="preserve">En un sentido amplio, el término se usa para describir un Estado que se ha hecho ineficaz, teniendo sólo un </w:t>
      </w:r>
      <w:hyperlink r:id="rId184" w:tooltip="De jure" w:history="1">
        <w:r w:rsidRPr="005D5619">
          <w:rPr>
            <w:rFonts w:ascii="Times New Roman" w:eastAsia="Times New Roman" w:hAnsi="Times New Roman"/>
            <w:sz w:val="24"/>
            <w:szCs w:val="24"/>
            <w:lang w:eastAsia="es-ES"/>
          </w:rPr>
          <w:t>control nominal</w:t>
        </w:r>
      </w:hyperlink>
      <w:r w:rsidRPr="005D5619">
        <w:rPr>
          <w:rFonts w:ascii="Times New Roman" w:eastAsia="Times New Roman" w:hAnsi="Times New Roman"/>
          <w:sz w:val="24"/>
          <w:szCs w:val="24"/>
          <w:lang w:eastAsia="es-ES"/>
        </w:rPr>
        <w:t xml:space="preserve"> sobre su territorio en el sentido de no tener grupos armados desafiando directamente la autoridad del Estado, no poder hacer </w:t>
      </w:r>
      <w:r w:rsidRPr="005D5619">
        <w:rPr>
          <w:rFonts w:ascii="Times New Roman" w:eastAsia="Times New Roman" w:hAnsi="Times New Roman"/>
          <w:sz w:val="24"/>
          <w:szCs w:val="24"/>
          <w:lang w:eastAsia="es-ES"/>
        </w:rPr>
        <w:lastRenderedPageBreak/>
        <w:t xml:space="preserve">cumplir sus leyes debido a las altas tasas de criminalidad, a la corrupción extrema, a un extenso mercado informal, </w:t>
      </w:r>
      <w:hyperlink r:id="rId185" w:tooltip="Burocracia" w:history="1">
        <w:r w:rsidRPr="005D5619">
          <w:rPr>
            <w:rFonts w:ascii="Times New Roman" w:eastAsia="Times New Roman" w:hAnsi="Times New Roman"/>
            <w:sz w:val="24"/>
            <w:szCs w:val="24"/>
            <w:lang w:eastAsia="es-ES"/>
          </w:rPr>
          <w:t>burocracia</w:t>
        </w:r>
      </w:hyperlink>
      <w:r w:rsidRPr="005D5619">
        <w:rPr>
          <w:rFonts w:ascii="Times New Roman" w:eastAsia="Times New Roman" w:hAnsi="Times New Roman"/>
          <w:sz w:val="24"/>
          <w:szCs w:val="24"/>
          <w:lang w:eastAsia="es-ES"/>
        </w:rPr>
        <w:t xml:space="preserve"> impenetrable, ineficacia judicial, interferencia militar en la política.</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He querido utilizar el </w:t>
      </w:r>
      <w:r w:rsidR="00FD69A7">
        <w:rPr>
          <w:rFonts w:ascii="Times New Roman" w:eastAsia="Times New Roman" w:hAnsi="Times New Roman"/>
          <w:sz w:val="24"/>
          <w:szCs w:val="24"/>
          <w:lang w:eastAsia="es-ES"/>
        </w:rPr>
        <w:t>título</w:t>
      </w:r>
      <w:r>
        <w:rPr>
          <w:rFonts w:ascii="Times New Roman" w:eastAsia="Times New Roman" w:hAnsi="Times New Roman"/>
          <w:sz w:val="24"/>
          <w:szCs w:val="24"/>
          <w:lang w:eastAsia="es-ES"/>
        </w:rPr>
        <w:t xml:space="preserve"> de </w:t>
      </w:r>
      <w:r>
        <w:rPr>
          <w:rFonts w:ascii="Times New Roman" w:eastAsia="Times New Roman" w:hAnsi="Times New Roman"/>
          <w:b/>
          <w:sz w:val="24"/>
          <w:szCs w:val="24"/>
          <w:lang w:eastAsia="es-ES"/>
        </w:rPr>
        <w:t>Economías Fallidas</w:t>
      </w:r>
      <w:r>
        <w:rPr>
          <w:rFonts w:ascii="Times New Roman" w:eastAsia="Times New Roman" w:hAnsi="Times New Roman"/>
          <w:sz w:val="24"/>
          <w:szCs w:val="24"/>
          <w:lang w:eastAsia="es-ES"/>
        </w:rPr>
        <w:t xml:space="preserve"> en este Paper con la intención de destacar (y debatir) el fracaso del modelo económico globalizador, librecambista, privatizador, desregulador, deslocalizador, financiero y especulativo, que se ha venido aplicando en las últimas décadas y que ha tenido su eclosión (implosión) en el año 2008 (y continúa). Adicción al crédito, ficción y quiebra.La era de la codicia autodestructiva.</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que han sustituido a la economía real por la economía especulativa.</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han socializado las perdidas y privatizado las ganancias.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 destruido empleo.</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ha habido un reparto desigual de la riqueza.</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ha crecido la pobreza.</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los jóvenes han sido condenados a ser más pobres que sus padres.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 “parado” el ascensor social.</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 “robado” el futuro.</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han “transformado” los sueños en pesadillas.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han facilitado los crímenes corporativos.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 promovido la trampa de la globalización.</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 destruido la confianza.</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que han originado la nueva era de las desigualdades.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que han dejado al mundo sin rumbo…</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15ADB">
        <w:rPr>
          <w:rFonts w:ascii="Times New Roman" w:eastAsia="Times New Roman" w:hAnsi="Times New Roman"/>
          <w:sz w:val="24"/>
          <w:szCs w:val="24"/>
          <w:lang w:eastAsia="es-ES"/>
        </w:rPr>
        <w:t xml:space="preserve">Tres años después del casi colapso de la economía mundial, la débil recuperación se agotó en la mayoría de los países desarrollados, y la inercia económica de la misma arrastrará al resto. </w:t>
      </w:r>
      <w:r>
        <w:rPr>
          <w:rFonts w:ascii="Times New Roman" w:eastAsia="Times New Roman" w:hAnsi="Times New Roman"/>
          <w:sz w:val="24"/>
          <w:szCs w:val="24"/>
          <w:lang w:eastAsia="es-ES"/>
        </w:rPr>
        <w:t>A noviembre de 2011, l</w:t>
      </w:r>
      <w:r w:rsidRPr="00915ADB">
        <w:rPr>
          <w:rFonts w:ascii="Times New Roman" w:eastAsia="Times New Roman" w:hAnsi="Times New Roman"/>
          <w:sz w:val="24"/>
          <w:szCs w:val="24"/>
          <w:lang w:eastAsia="es-ES"/>
        </w:rPr>
        <w:t>os expertos vaticinan una recesión de “doble caída”, pero en algunos país</w:t>
      </w:r>
      <w:r>
        <w:rPr>
          <w:rFonts w:ascii="Times New Roman" w:eastAsia="Times New Roman" w:hAnsi="Times New Roman"/>
          <w:sz w:val="24"/>
          <w:szCs w:val="24"/>
          <w:lang w:eastAsia="es-ES"/>
        </w:rPr>
        <w:t>es -aún- la primera caída no ha finalizado.</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Mientras el mundo se espanta con WikiLeaks, se entretiene con Facebook y confía en guardar sus secretos en la “nube”… en el hemisferio norte (otrora desarrollado, civilizado, democrático, previsible…) se empeñan, una y otra vez, en “africanizarse”, en “latinoamericanizarse”… en fin, en llevar al Primer Mundo hacia el Tercer Mundo. Y lo </w:t>
      </w:r>
      <w:r>
        <w:rPr>
          <w:rFonts w:ascii="Times New Roman" w:eastAsia="Times New Roman" w:hAnsi="Times New Roman"/>
          <w:sz w:val="24"/>
          <w:szCs w:val="24"/>
          <w:lang w:eastAsia="es-ES"/>
        </w:rPr>
        <w:lastRenderedPageBreak/>
        <w:t xml:space="preserve">más grave, es que lo están logrando. Pronto los países “emergentes” (antes “sumergentes”), terminarán donando el 0,7% de su PIB (¿remember?), para ayudar al desarrollo de los países antes “ricos”. Entonces la ONU propondrá aplicar las Metas del Milenio (¿remember?) para erradicar la pobreza de los países avanzados… Una limosnita por  el amor de Dios… ¡Joder!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Algunos “twits” sobre “Economías Fallidas” (un  pequeño aperitivo, después hay más):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Estados Unidos firma un </w:t>
      </w:r>
      <w:r w:rsidRPr="00E9361B">
        <w:rPr>
          <w:rFonts w:ascii="Times New Roman" w:eastAsia="Times New Roman" w:hAnsi="Times New Roman"/>
          <w:sz w:val="24"/>
          <w:szCs w:val="24"/>
          <w:lang w:eastAsia="es-ES"/>
        </w:rPr>
        <w:t>tratado con</w:t>
      </w:r>
      <w:r>
        <w:rPr>
          <w:rFonts w:ascii="Times New Roman" w:eastAsia="Times New Roman" w:hAnsi="Times New Roman"/>
          <w:sz w:val="24"/>
          <w:szCs w:val="24"/>
          <w:lang w:eastAsia="es-ES"/>
        </w:rPr>
        <w:t xml:space="preserve"> Taiwán por el cual protegerá a Taiwán si es invadida por los chinos. Hay só</w:t>
      </w:r>
      <w:r w:rsidRPr="00E9361B">
        <w:rPr>
          <w:rFonts w:ascii="Times New Roman" w:eastAsia="Times New Roman" w:hAnsi="Times New Roman"/>
          <w:sz w:val="24"/>
          <w:szCs w:val="24"/>
          <w:lang w:eastAsia="es-ES"/>
        </w:rPr>
        <w:t>lo un problema con eso: ¡</w:t>
      </w:r>
      <w:r>
        <w:rPr>
          <w:rFonts w:ascii="Times New Roman" w:eastAsia="Times New Roman" w:hAnsi="Times New Roman"/>
          <w:sz w:val="24"/>
          <w:szCs w:val="24"/>
          <w:lang w:eastAsia="es-ES"/>
        </w:rPr>
        <w:t xml:space="preserve">EEUU tiene </w:t>
      </w:r>
      <w:r w:rsidRPr="00E9361B">
        <w:rPr>
          <w:rFonts w:ascii="Times New Roman" w:eastAsia="Times New Roman" w:hAnsi="Times New Roman"/>
          <w:sz w:val="24"/>
          <w:szCs w:val="24"/>
          <w:lang w:eastAsia="es-ES"/>
        </w:rPr>
        <w:t>que tomar prestado e</w:t>
      </w:r>
      <w:r>
        <w:rPr>
          <w:rFonts w:ascii="Times New Roman" w:eastAsia="Times New Roman" w:hAnsi="Times New Roman"/>
          <w:sz w:val="24"/>
          <w:szCs w:val="24"/>
          <w:lang w:eastAsia="es-ES"/>
        </w:rPr>
        <w:t>l dinero de China para hacerlo! (noviembre 2011)</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 Unión Europea envía un representante de alto nivel para mendigar a China que compre deuda del </w:t>
      </w:r>
      <w:r w:rsidRPr="008F29B8">
        <w:rPr>
          <w:rFonts w:ascii="Times New Roman" w:hAnsi="Times New Roman"/>
          <w:sz w:val="24"/>
          <w:szCs w:val="24"/>
        </w:rPr>
        <w:t>Fondo Europeo de Estabilidad Financiera</w:t>
      </w:r>
      <w:r>
        <w:rPr>
          <w:rFonts w:ascii="Times New Roman" w:hAnsi="Times New Roman"/>
          <w:sz w:val="24"/>
          <w:szCs w:val="24"/>
        </w:rPr>
        <w:t>,</w:t>
      </w:r>
      <w:r>
        <w:rPr>
          <w:rFonts w:ascii="Times New Roman" w:eastAsia="Times New Roman" w:hAnsi="Times New Roman"/>
          <w:sz w:val="24"/>
          <w:szCs w:val="24"/>
          <w:lang w:eastAsia="es-ES"/>
        </w:rPr>
        <w:t>que ella misma no compra; también se arrodilla en las alfombras de los déspotas petroleros de Oriente Medio, con el mismo propósito, e igual penoso resultado -además de la indignidad. (noviembre 2011)</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El Reino Unido se humilla antes los oligarcas rusos con tal que mantengan activo el mercado inmobiliario británico y gasten parte de su fortuna en </w:t>
      </w:r>
      <w:r w:rsidRPr="007A56F8">
        <w:rPr>
          <w:rFonts w:ascii="Times New Roman" w:eastAsia="Times New Roman" w:hAnsi="Times New Roman"/>
          <w:sz w:val="24"/>
          <w:szCs w:val="24"/>
          <w:lang w:eastAsia="es-ES"/>
        </w:rPr>
        <w:t>Knightsbridge</w:t>
      </w:r>
      <w:r>
        <w:rPr>
          <w:rFonts w:ascii="Times New Roman" w:eastAsia="Times New Roman" w:hAnsi="Times New Roman"/>
          <w:sz w:val="24"/>
          <w:szCs w:val="24"/>
          <w:lang w:eastAsia="es-ES"/>
        </w:rPr>
        <w:t xml:space="preserve">. </w:t>
      </w:r>
    </w:p>
    <w:p w:rsidR="002F07D4" w:rsidRDefault="002F07D4" w:rsidP="002F07D4">
      <w:pPr>
        <w:pStyle w:val="figcaption"/>
        <w:jc w:val="both"/>
      </w:pPr>
      <w:r w:rsidRPr="007A56F8">
        <w:t>El presidente de Angola,</w:t>
      </w:r>
      <w:r>
        <w:t xml:space="preserve"> Jose Eduardo Dos Santos, señala</w:t>
      </w:r>
      <w:r w:rsidRPr="007A56F8">
        <w:t xml:space="preserve"> que su país está listo para ayudar a Portugal, su ex potencia colonial, a luchar contra la crisis financiera. Diversos analistas esperan que la economía de Portugal se contraiga en 2,8% el próximo año, mientras que los pronósticos para Angola indican que crecería un 12%. Las inversiones de Angola en Portugal aumentaron considerablemente en los últimos años y los analistas esperan que esa tendencia siga con el proyecto de privatizar varias empresas portuguesas. (18/11/11)</w:t>
      </w:r>
    </w:p>
    <w:p w:rsidR="002F07D4" w:rsidRPr="005E4B2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E4B2B">
        <w:rPr>
          <w:rFonts w:ascii="Times New Roman" w:eastAsia="Times New Roman" w:hAnsi="Times New Roman"/>
          <w:sz w:val="24"/>
          <w:szCs w:val="24"/>
          <w:lang w:eastAsia="es-ES"/>
        </w:rPr>
        <w:t>El cuarto disco del ex primer ministro italia</w:t>
      </w:r>
      <w:r>
        <w:rPr>
          <w:rFonts w:ascii="Times New Roman" w:eastAsia="Times New Roman" w:hAnsi="Times New Roman"/>
          <w:sz w:val="24"/>
          <w:szCs w:val="24"/>
          <w:lang w:eastAsia="es-ES"/>
        </w:rPr>
        <w:t>no Silvio Berlusconi, titulado “El verdadero amor”</w:t>
      </w:r>
      <w:r w:rsidRPr="005E4B2B">
        <w:rPr>
          <w:rFonts w:ascii="Times New Roman" w:eastAsia="Times New Roman" w:hAnsi="Times New Roman"/>
          <w:sz w:val="24"/>
          <w:szCs w:val="24"/>
          <w:lang w:eastAsia="es-ES"/>
        </w:rPr>
        <w:t xml:space="preserve"> y realizado en colaboración con el compositor Mariano </w:t>
      </w:r>
      <w:r>
        <w:rPr>
          <w:rFonts w:ascii="Times New Roman" w:eastAsia="Times New Roman" w:hAnsi="Times New Roman"/>
          <w:sz w:val="24"/>
          <w:szCs w:val="24"/>
          <w:lang w:eastAsia="es-ES"/>
        </w:rPr>
        <w:t xml:space="preserve">Apicella, ha salido </w:t>
      </w:r>
      <w:r w:rsidRPr="005E4B2B">
        <w:rPr>
          <w:rFonts w:ascii="Times New Roman" w:eastAsia="Times New Roman" w:hAnsi="Times New Roman"/>
          <w:sz w:val="24"/>
          <w:szCs w:val="24"/>
          <w:lang w:eastAsia="es-ES"/>
        </w:rPr>
        <w:t>a la venta en todas las tiendas italian</w:t>
      </w:r>
      <w:r>
        <w:rPr>
          <w:rFonts w:ascii="Times New Roman" w:eastAsia="Times New Roman" w:hAnsi="Times New Roman"/>
          <w:sz w:val="24"/>
          <w:szCs w:val="24"/>
          <w:lang w:eastAsia="es-ES"/>
        </w:rPr>
        <w:t>as, dos semanas después de que “Il Cavaliere”</w:t>
      </w:r>
      <w:r w:rsidRPr="005E4B2B">
        <w:rPr>
          <w:rFonts w:ascii="Times New Roman" w:eastAsia="Times New Roman" w:hAnsi="Times New Roman"/>
          <w:sz w:val="24"/>
          <w:szCs w:val="24"/>
          <w:lang w:eastAsia="es-ES"/>
        </w:rPr>
        <w:t xml:space="preserve"> anunciara su dimisión</w:t>
      </w:r>
      <w:r>
        <w:rPr>
          <w:rFonts w:ascii="Times New Roman" w:eastAsia="Times New Roman" w:hAnsi="Times New Roman"/>
          <w:sz w:val="24"/>
          <w:szCs w:val="24"/>
          <w:lang w:eastAsia="es-ES"/>
        </w:rPr>
        <w:t xml:space="preserve"> como primer ministro de Italia</w:t>
      </w:r>
      <w:r w:rsidRPr="005E4B2B">
        <w:rPr>
          <w:rFonts w:ascii="Times New Roman" w:eastAsia="Times New Roman" w:hAnsi="Times New Roman"/>
          <w:sz w:val="24"/>
          <w:szCs w:val="24"/>
          <w:lang w:eastAsia="es-ES"/>
        </w:rPr>
        <w:t>.Entre los títul</w:t>
      </w:r>
      <w:r>
        <w:rPr>
          <w:rFonts w:ascii="Times New Roman" w:eastAsia="Times New Roman" w:hAnsi="Times New Roman"/>
          <w:sz w:val="24"/>
          <w:szCs w:val="24"/>
          <w:lang w:eastAsia="es-ES"/>
        </w:rPr>
        <w:t>os que contiene el disco están “Si se acabara el mundo”, “No lo sabrás más”, “No te darás cuenta” y “Estoy muriendo”</w:t>
      </w:r>
      <w:r w:rsidRPr="005E4B2B">
        <w:rPr>
          <w:rFonts w:ascii="Times New Roman" w:eastAsia="Times New Roman" w:hAnsi="Times New Roman"/>
          <w:sz w:val="24"/>
          <w:szCs w:val="24"/>
          <w:lang w:eastAsia="es-ES"/>
        </w:rPr>
        <w:t>. Las canciones, cantadas por Apicella, han s</w:t>
      </w:r>
      <w:r>
        <w:rPr>
          <w:rFonts w:ascii="Times New Roman" w:eastAsia="Times New Roman" w:hAnsi="Times New Roman"/>
          <w:sz w:val="24"/>
          <w:szCs w:val="24"/>
          <w:lang w:eastAsia="es-ES"/>
        </w:rPr>
        <w:t>ido escritas por “Il Cavaliere”. (22/11/11)</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Ante este “patético” panorama (del cual les adelanto una mínima muestra, aunque bastante representativa), la primera reflexión (para la “Obertura”) es que lo único que podemos dejar a nuestros hijos y nietos es un legado repugnante de años de excesivo endeudamiento y apalancamiento. El crepúsculo económico de Occidente.   </w:t>
      </w:r>
    </w:p>
    <w:p w:rsidR="002F07D4" w:rsidRPr="007B23D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Lo único que se escucha son </w:t>
      </w:r>
      <w:r w:rsidRPr="00E9361B">
        <w:rPr>
          <w:rFonts w:ascii="Times New Roman" w:eastAsia="Times New Roman" w:hAnsi="Times New Roman"/>
          <w:sz w:val="24"/>
          <w:szCs w:val="24"/>
          <w:lang w:eastAsia="es-ES"/>
        </w:rPr>
        <w:t>más alarmas so</w:t>
      </w:r>
      <w:r>
        <w:rPr>
          <w:rFonts w:ascii="Times New Roman" w:eastAsia="Times New Roman" w:hAnsi="Times New Roman"/>
          <w:sz w:val="24"/>
          <w:szCs w:val="24"/>
          <w:lang w:eastAsia="es-ES"/>
        </w:rPr>
        <w:t>bre la crisis del déficit en EEUU</w:t>
      </w:r>
      <w:r w:rsidRPr="00E9361B">
        <w:rPr>
          <w:rFonts w:ascii="Times New Roman" w:eastAsia="Times New Roman" w:hAnsi="Times New Roman"/>
          <w:sz w:val="24"/>
          <w:szCs w:val="24"/>
          <w:lang w:eastAsia="es-ES"/>
        </w:rPr>
        <w:t>, la crisis de la deuda en Europa, y elecciones o cambios de liderazgo, que actúan como</w:t>
      </w:r>
      <w:r>
        <w:rPr>
          <w:rFonts w:ascii="Times New Roman" w:eastAsia="Times New Roman" w:hAnsi="Times New Roman"/>
          <w:sz w:val="24"/>
          <w:szCs w:val="24"/>
          <w:lang w:eastAsia="es-ES"/>
        </w:rPr>
        <w:t xml:space="preserve"> factores de distracción, en EEUU, Europa y China. Las palabras “inestabilidad” y “contagio” abren los telediarios y encabezan los periódicos</w:t>
      </w:r>
      <w:r w:rsidRPr="00E9361B">
        <w:rPr>
          <w:rFonts w:ascii="Times New Roman" w:eastAsia="Times New Roman" w:hAnsi="Times New Roman"/>
          <w:sz w:val="24"/>
          <w:szCs w:val="24"/>
          <w:lang w:eastAsia="es-ES"/>
        </w:rPr>
        <w:t>.</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Eufemismos, farsas y absurdos: quantitative easing (USA), bonos de estabilidad (UE), línea de liquidez p</w:t>
      </w:r>
      <w:r w:rsidRPr="00542C13">
        <w:rPr>
          <w:rFonts w:ascii="Times New Roman" w:eastAsia="Times New Roman" w:hAnsi="Times New Roman"/>
          <w:sz w:val="24"/>
          <w:szCs w:val="24"/>
          <w:lang w:eastAsia="es-ES"/>
        </w:rPr>
        <w:t>reventiva</w:t>
      </w:r>
      <w:r>
        <w:rPr>
          <w:rFonts w:ascii="Times New Roman" w:eastAsia="Times New Roman" w:hAnsi="Times New Roman"/>
          <w:sz w:val="24"/>
          <w:szCs w:val="24"/>
          <w:lang w:eastAsia="es-ES"/>
        </w:rPr>
        <w:t xml:space="preserve"> (FMI)… la FED que no se baja del helicóptero, el BCE que no se anima a subirse al helicóptero (Alemania no lo deja) y que le presta dinero al FMI, </w:t>
      </w:r>
      <w:r>
        <w:rPr>
          <w:rFonts w:ascii="Times New Roman" w:eastAsia="Times New Roman" w:hAnsi="Times New Roman"/>
          <w:sz w:val="24"/>
          <w:szCs w:val="24"/>
          <w:lang w:eastAsia="es-ES"/>
        </w:rPr>
        <w:lastRenderedPageBreak/>
        <w:t xml:space="preserve">para que este, a su vez, se lo preste a los países europeos quebrados (en vez de hacerlo directamente, como la FED, el BoE, o el BoJ)… Entre el surrealismo y la hipocresía.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Todos perplejos ante la “prima de riesgo”; pero, para qué preocuparse por la “prima”, si ya han “violado” a la madre, a la hija, a la hermana y hasta a la abuela. Puro cinismo.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1573FD">
        <w:rPr>
          <w:rFonts w:ascii="Times New Roman" w:eastAsia="Times New Roman" w:hAnsi="Times New Roman"/>
          <w:sz w:val="24"/>
          <w:szCs w:val="24"/>
          <w:lang w:eastAsia="es-ES"/>
        </w:rPr>
        <w:t>La crisis se va llevando por</w:t>
      </w:r>
      <w:r>
        <w:rPr>
          <w:rFonts w:ascii="Times New Roman" w:eastAsia="Times New Roman" w:hAnsi="Times New Roman"/>
          <w:sz w:val="24"/>
          <w:szCs w:val="24"/>
          <w:lang w:eastAsia="es-ES"/>
        </w:rPr>
        <w:t xml:space="preserve"> delante la credibilidad de los bancos centrales, de los gobiernos y </w:t>
      </w:r>
      <w:r w:rsidRPr="001573FD">
        <w:rPr>
          <w:rFonts w:ascii="Times New Roman" w:eastAsia="Times New Roman" w:hAnsi="Times New Roman"/>
          <w:sz w:val="24"/>
          <w:szCs w:val="24"/>
          <w:lang w:eastAsia="es-ES"/>
        </w:rPr>
        <w:t>el proyecto Europeo</w:t>
      </w:r>
      <w:r>
        <w:rPr>
          <w:rFonts w:ascii="Times New Roman" w:eastAsia="Times New Roman" w:hAnsi="Times New Roman"/>
          <w:sz w:val="24"/>
          <w:szCs w:val="24"/>
          <w:lang w:eastAsia="es-ES"/>
        </w:rPr>
        <w:t>; en tanto se espera el desenlace d</w:t>
      </w:r>
      <w:r w:rsidRPr="001573FD">
        <w:rPr>
          <w:rFonts w:ascii="Times New Roman" w:eastAsia="Times New Roman" w:hAnsi="Times New Roman"/>
          <w:sz w:val="24"/>
          <w:szCs w:val="24"/>
          <w:lang w:eastAsia="es-ES"/>
        </w:rPr>
        <w:t xml:space="preserve">el </w:t>
      </w:r>
      <w:r>
        <w:rPr>
          <w:rFonts w:ascii="Times New Roman" w:eastAsia="Times New Roman" w:hAnsi="Times New Roman"/>
          <w:sz w:val="24"/>
          <w:szCs w:val="24"/>
          <w:lang w:eastAsia="es-ES"/>
        </w:rPr>
        <w:t>“</w:t>
      </w:r>
      <w:r w:rsidRPr="001573FD">
        <w:rPr>
          <w:rFonts w:ascii="Times New Roman" w:eastAsia="Times New Roman" w:hAnsi="Times New Roman"/>
          <w:sz w:val="24"/>
          <w:szCs w:val="24"/>
          <w:lang w:eastAsia="es-ES"/>
        </w:rPr>
        <w:t>duelo al sol</w:t>
      </w:r>
      <w:r>
        <w:rPr>
          <w:rFonts w:ascii="Times New Roman" w:eastAsia="Times New Roman" w:hAnsi="Times New Roman"/>
          <w:sz w:val="24"/>
          <w:szCs w:val="24"/>
          <w:lang w:eastAsia="es-ES"/>
        </w:rPr>
        <w:t>”</w:t>
      </w:r>
      <w:r w:rsidRPr="001573FD">
        <w:rPr>
          <w:rFonts w:ascii="Times New Roman" w:eastAsia="Times New Roman" w:hAnsi="Times New Roman"/>
          <w:sz w:val="24"/>
          <w:szCs w:val="24"/>
          <w:lang w:eastAsia="es-ES"/>
        </w:rPr>
        <w:t xml:space="preserve"> que protagonizaban legisladores demócratas y republicanos en Estados Unidos sobre el límite de la deuda pública</w:t>
      </w:r>
      <w:r>
        <w:rPr>
          <w:rFonts w:ascii="Times New Roman" w:eastAsia="Times New Roman" w:hAnsi="Times New Roman"/>
          <w:sz w:val="24"/>
          <w:szCs w:val="24"/>
          <w:lang w:eastAsia="es-ES"/>
        </w:rPr>
        <w:t xml:space="preserve"> y un plan de reducción del déficit (22/11/11). Cada vez resulta más difícil </w:t>
      </w:r>
      <w:r w:rsidRPr="001573FD">
        <w:rPr>
          <w:rFonts w:ascii="Times New Roman" w:eastAsia="Times New Roman" w:hAnsi="Times New Roman"/>
          <w:sz w:val="24"/>
          <w:szCs w:val="24"/>
          <w:lang w:eastAsia="es-ES"/>
        </w:rPr>
        <w:t>tratar de enderezar la situación</w:t>
      </w:r>
      <w:r>
        <w:rPr>
          <w:rFonts w:ascii="Times New Roman" w:eastAsia="Times New Roman" w:hAnsi="Times New Roman"/>
          <w:sz w:val="24"/>
          <w:szCs w:val="24"/>
          <w:lang w:eastAsia="es-ES"/>
        </w:rPr>
        <w:t xml:space="preserve"> (cuando no, imposible)</w:t>
      </w:r>
      <w:r w:rsidRPr="001573FD">
        <w:rPr>
          <w:rFonts w:ascii="Times New Roman" w:eastAsia="Times New Roman" w:hAnsi="Times New Roman"/>
          <w:sz w:val="24"/>
          <w:szCs w:val="24"/>
          <w:lang w:eastAsia="es-ES"/>
        </w:rPr>
        <w:t>.</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Para cerrar la “obertura”, e invitarlos a seguir adelante con la lectura (y el debate) les ofrezco un gráfico muy sugerente y profético, publicado por The Wall Street Journal, el 21/11/11):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b/>
      </w:r>
      <w:r>
        <w:rPr>
          <w:rFonts w:ascii="Times New Roman" w:eastAsia="Times New Roman" w:hAnsi="Times New Roman"/>
          <w:sz w:val="24"/>
          <w:szCs w:val="24"/>
          <w:lang w:eastAsia="es-ES"/>
        </w:rPr>
        <w:tab/>
      </w:r>
      <w:r>
        <w:rPr>
          <w:rFonts w:ascii="Arial" w:eastAsia="Times New Roman" w:hAnsi="Arial" w:cs="Arial"/>
          <w:noProof/>
          <w:color w:val="000000"/>
          <w:sz w:val="15"/>
          <w:szCs w:val="15"/>
          <w:lang w:val="en-GB" w:eastAsia="en-GB"/>
        </w:rPr>
        <w:drawing>
          <wp:inline distT="0" distB="0" distL="0" distR="0">
            <wp:extent cx="3746500" cy="2444750"/>
            <wp:effectExtent l="0" t="0" r="6350" b="0"/>
            <wp:docPr id="334" name="Imagen 334" descr="[wsjamd4nov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sjamd4nov23]"/>
                    <pic:cNvPicPr>
                      <a:picLocks noChangeAspect="1" noChangeArrowheads="1"/>
                    </pic:cNvPicPr>
                  </pic:nvPicPr>
                  <pic:blipFill>
                    <a:blip r:embed="rId1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6500" cy="2444750"/>
                    </a:xfrm>
                    <a:prstGeom prst="rect">
                      <a:avLst/>
                    </a:prstGeom>
                    <a:noFill/>
                    <a:ln>
                      <a:noFill/>
                    </a:ln>
                  </pic:spPr>
                </pic:pic>
              </a:graphicData>
            </a:graphic>
          </wp:inline>
        </w:drawing>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Para esto ha servido la “danza macabra” de los adictos al crédito. Para eliminar la clase media americana y europea, y promover el surgimiento de la clase media china e india.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¿Serán los mismos líderes (?) de las “economías fallidas” los que nos saquen del modelo de “capitalismo unilateral” (cara, gano yo; cruz, tú pierdes) en que nos han metido? Mientras continuamos bailando al borde del precipicio, les dejo con una cita de Ortega y Gasset, a modo de respuesta preliminar:</w:t>
      </w:r>
    </w:p>
    <w:p w:rsidR="002F07D4" w:rsidRDefault="002F07D4" w:rsidP="002F07D4">
      <w:pPr>
        <w:spacing w:before="100" w:beforeAutospacing="1" w:after="100" w:afterAutospacing="1" w:line="240" w:lineRule="auto"/>
        <w:jc w:val="both"/>
        <w:rPr>
          <w:rFonts w:ascii="Times New Roman" w:eastAsia="Times New Roman" w:hAnsi="Times New Roman"/>
          <w:i/>
          <w:sz w:val="24"/>
          <w:szCs w:val="24"/>
          <w:lang w:eastAsia="es-ES"/>
        </w:rPr>
      </w:pPr>
      <w:r w:rsidRPr="00E30D80">
        <w:rPr>
          <w:rFonts w:ascii="Times New Roman" w:eastAsia="Times New Roman" w:hAnsi="Times New Roman"/>
          <w:i/>
          <w:sz w:val="24"/>
          <w:szCs w:val="24"/>
          <w:lang w:eastAsia="es-ES"/>
        </w:rPr>
        <w:t>“No podemos pedir el retorno de lo que fue la causa del trastorno”...</w:t>
      </w:r>
    </w:p>
    <w:p w:rsidR="002F07D4" w:rsidRPr="009C3746" w:rsidRDefault="002F07D4" w:rsidP="002F07D4">
      <w:pPr>
        <w:spacing w:line="240" w:lineRule="auto"/>
        <w:jc w:val="both"/>
        <w:rPr>
          <w:rFonts w:ascii="Times New Roman" w:hAnsi="Times New Roman"/>
          <w:b/>
          <w:sz w:val="24"/>
          <w:szCs w:val="24"/>
        </w:rPr>
      </w:pPr>
      <w:r w:rsidRPr="009C3746">
        <w:rPr>
          <w:rFonts w:ascii="Times New Roman" w:hAnsi="Times New Roman"/>
          <w:b/>
          <w:sz w:val="24"/>
          <w:szCs w:val="24"/>
        </w:rPr>
        <w:t>FMI: donde dije digo, digo Diego (el fin de otra Historia: a buena hora, mangas verdes)</w:t>
      </w:r>
    </w:p>
    <w:p w:rsidR="002F07D4" w:rsidRPr="00810098"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094855">
        <w:rPr>
          <w:rFonts w:ascii="Times New Roman" w:hAnsi="Times New Roman"/>
          <w:i/>
          <w:sz w:val="24"/>
          <w:szCs w:val="24"/>
        </w:rPr>
        <w:t>El denominado “</w:t>
      </w:r>
      <w:r>
        <w:rPr>
          <w:rFonts w:ascii="Times New Roman" w:hAnsi="Times New Roman"/>
          <w:i/>
          <w:sz w:val="24"/>
          <w:szCs w:val="24"/>
        </w:rPr>
        <w:t>C</w:t>
      </w:r>
      <w:r w:rsidRPr="00094855">
        <w:rPr>
          <w:rFonts w:ascii="Times New Roman" w:hAnsi="Times New Roman"/>
          <w:i/>
          <w:sz w:val="24"/>
          <w:szCs w:val="24"/>
        </w:rPr>
        <w:t>onsenso de Washington”, que orientó la política económica de países en vías de desarrollo durante décadas “ya es historia”. Los efectos de la crisis han sido tan devastadores que todo lo que ha defendido el Fondo Monetario Internacional durante los últimos 20 años ha dado un vuelco, según ha denunciado hoy el director gerente del FMI, Dominique Strauss-Kahn</w:t>
      </w:r>
      <w:r>
        <w:rPr>
          <w:rFonts w:ascii="Times New Roman" w:hAnsi="Times New Roman"/>
          <w:i/>
          <w:sz w:val="24"/>
          <w:szCs w:val="24"/>
        </w:rPr>
        <w:t>”..</w:t>
      </w:r>
      <w:r w:rsidRPr="00094855">
        <w:rPr>
          <w:rFonts w:ascii="Times New Roman" w:hAnsi="Times New Roman"/>
          <w:i/>
          <w:sz w:val="24"/>
          <w:szCs w:val="24"/>
        </w:rPr>
        <w:t>.</w:t>
      </w:r>
      <w:r w:rsidRPr="00810098">
        <w:rPr>
          <w:rFonts w:ascii="Times New Roman" w:hAnsi="Times New Roman"/>
          <w:sz w:val="24"/>
          <w:szCs w:val="24"/>
          <w:u w:val="single"/>
        </w:rPr>
        <w:t>L</w:t>
      </w:r>
      <w:r>
        <w:rPr>
          <w:rFonts w:ascii="Times New Roman" w:hAnsi="Times New Roman"/>
          <w:sz w:val="24"/>
          <w:szCs w:val="24"/>
          <w:u w:val="single"/>
        </w:rPr>
        <w:t>a teoría del FMI da un vuelco: “</w:t>
      </w:r>
      <w:r w:rsidRPr="00810098">
        <w:rPr>
          <w:rFonts w:ascii="Times New Roman" w:hAnsi="Times New Roman"/>
          <w:sz w:val="24"/>
          <w:szCs w:val="24"/>
          <w:u w:val="single"/>
        </w:rPr>
        <w:t>El consenso de Washington ya es historia</w:t>
      </w:r>
      <w:r>
        <w:rPr>
          <w:rFonts w:ascii="Times New Roman" w:hAnsi="Times New Roman"/>
          <w:sz w:val="24"/>
          <w:szCs w:val="24"/>
          <w:u w:val="single"/>
        </w:rPr>
        <w:t>”</w:t>
      </w:r>
      <w:r>
        <w:rPr>
          <w:rFonts w:ascii="Times New Roman" w:hAnsi="Times New Roman"/>
          <w:sz w:val="24"/>
          <w:szCs w:val="24"/>
        </w:rPr>
        <w:t xml:space="preserve"> (El Economista - </w:t>
      </w:r>
      <w:r w:rsidRPr="00810098">
        <w:rPr>
          <w:rFonts w:ascii="Times New Roman" w:hAnsi="Times New Roman"/>
          <w:b/>
          <w:sz w:val="24"/>
          <w:szCs w:val="24"/>
        </w:rPr>
        <w:t>4/4/11</w:t>
      </w:r>
      <w:r>
        <w:rPr>
          <w:rFonts w:ascii="Times New Roman" w:hAnsi="Times New Roman"/>
          <w:sz w:val="24"/>
          <w:szCs w:val="24"/>
        </w:rPr>
        <w:t>)</w:t>
      </w:r>
    </w:p>
    <w:p w:rsidR="002F07D4" w:rsidRPr="008B5D52" w:rsidRDefault="002F07D4" w:rsidP="002F07D4">
      <w:pPr>
        <w:spacing w:line="240" w:lineRule="auto"/>
        <w:jc w:val="both"/>
        <w:rPr>
          <w:rFonts w:ascii="Times New Roman" w:hAnsi="Times New Roman"/>
          <w:sz w:val="24"/>
          <w:szCs w:val="24"/>
        </w:rPr>
      </w:pPr>
      <w:r w:rsidRPr="008B5D52">
        <w:rPr>
          <w:rFonts w:ascii="Times New Roman" w:hAnsi="Times New Roman"/>
          <w:sz w:val="24"/>
          <w:szCs w:val="24"/>
        </w:rPr>
        <w:lastRenderedPageBreak/>
        <w:t>Bajo el Consenso de Washington se promueven políticas económicas basadas en la austeridad, la liberalización y las privatizaciones, con el objetivo de eliminar la inflación, preservar el tipo de cambio, incrementar la tasa de crecimiento de la productividad y crear puestos de trabajo estables. “Todo esto se ha derrumbado con la crisis”, ha asegurado Strauss-Kahn durante un discurso pronunciado en la universidad George Washington de la capital estadounidense (abril 2011).</w:t>
      </w:r>
    </w:p>
    <w:p w:rsidR="002F07D4" w:rsidRDefault="002F07D4" w:rsidP="002F07D4">
      <w:pPr>
        <w:spacing w:line="240" w:lineRule="auto"/>
        <w:jc w:val="both"/>
        <w:rPr>
          <w:rFonts w:ascii="Times New Roman" w:hAnsi="Times New Roman"/>
          <w:sz w:val="24"/>
          <w:szCs w:val="24"/>
        </w:rPr>
      </w:pPr>
      <w:r w:rsidRPr="008B5D52">
        <w:rPr>
          <w:rFonts w:ascii="Times New Roman" w:hAnsi="Times New Roman"/>
          <w:sz w:val="24"/>
          <w:szCs w:val="24"/>
        </w:rPr>
        <w:t>Tras la crisis financiera de 2008, el FMI ve necesario ahora que el Estado ejerza un mayor papel y controle los excesos del mercado. “Al designar un nuevo marco macroeconómico para un nuevo mundo, el péndulo oscilará -al menos un poco- del mercado al Estado, y de lo relativamente simple a lo relativamente más complejo”, explica Strauss-Kahn.</w:t>
      </w:r>
    </w:p>
    <w:p w:rsidR="002F07D4" w:rsidRPr="008B5D52" w:rsidRDefault="002F07D4" w:rsidP="002F07D4">
      <w:pPr>
        <w:spacing w:line="240" w:lineRule="auto"/>
        <w:jc w:val="both"/>
        <w:rPr>
          <w:rFonts w:ascii="Times New Roman" w:hAnsi="Times New Roman"/>
          <w:sz w:val="24"/>
          <w:szCs w:val="24"/>
        </w:rPr>
      </w:pPr>
      <w:r w:rsidRPr="008B5D52">
        <w:rPr>
          <w:rFonts w:ascii="Times New Roman" w:hAnsi="Times New Roman"/>
          <w:sz w:val="24"/>
          <w:szCs w:val="24"/>
        </w:rPr>
        <w:t>Ante la imposición de países emergentes como nuevos motores del crecimiento mundial, ese consenso debe ser superado, mediante una nueva política económica, con acento en la cohesión social y el multilateralismo, ha explicado.</w:t>
      </w:r>
    </w:p>
    <w:p w:rsidR="002F07D4" w:rsidRPr="008B5D52" w:rsidRDefault="002F07D4" w:rsidP="002F07D4">
      <w:pPr>
        <w:spacing w:line="240" w:lineRule="auto"/>
        <w:jc w:val="both"/>
        <w:rPr>
          <w:rFonts w:ascii="Times New Roman" w:hAnsi="Times New Roman"/>
          <w:sz w:val="24"/>
          <w:szCs w:val="24"/>
        </w:rPr>
      </w:pPr>
      <w:r w:rsidRPr="008B5D52">
        <w:rPr>
          <w:rFonts w:ascii="Times New Roman" w:hAnsi="Times New Roman"/>
          <w:sz w:val="24"/>
          <w:szCs w:val="24"/>
        </w:rPr>
        <w:t>“Claramente, la política monetaria debe ir más allá de la estabilidad de precios, y velar por la estabilidad financiera”, propone Strauss-Kahn. En su opinión, eso no debe hacerse mediante el uso de los tipos de interés, sino con otros instrumentos como la liquidez.</w:t>
      </w:r>
    </w:p>
    <w:p w:rsidR="002F07D4" w:rsidRPr="008B5D52" w:rsidRDefault="002F07D4" w:rsidP="002F07D4">
      <w:pPr>
        <w:spacing w:line="240" w:lineRule="auto"/>
        <w:jc w:val="both"/>
        <w:rPr>
          <w:rFonts w:ascii="Times New Roman" w:hAnsi="Times New Roman"/>
          <w:sz w:val="24"/>
          <w:szCs w:val="24"/>
        </w:rPr>
      </w:pPr>
      <w:r w:rsidRPr="008B5D52">
        <w:rPr>
          <w:rFonts w:ascii="Times New Roman" w:hAnsi="Times New Roman"/>
          <w:sz w:val="24"/>
          <w:szCs w:val="24"/>
        </w:rPr>
        <w:t>“No me malinterpreten: la mundialización dio muy buenos resultados, y sacó a centenares de millones de la pobreza”, ha indicado, “pero la crisis y sus consecuencias han alterado fundamentalmente nuestra percepción”, ha advertido.</w:t>
      </w:r>
    </w:p>
    <w:p w:rsidR="002F07D4" w:rsidRPr="008B5D52" w:rsidRDefault="002F07D4" w:rsidP="002F07D4">
      <w:pPr>
        <w:spacing w:line="240" w:lineRule="auto"/>
        <w:jc w:val="both"/>
        <w:rPr>
          <w:rFonts w:ascii="Times New Roman" w:hAnsi="Times New Roman"/>
          <w:sz w:val="24"/>
          <w:szCs w:val="24"/>
        </w:rPr>
      </w:pPr>
      <w:r w:rsidRPr="008B5D52">
        <w:rPr>
          <w:rFonts w:ascii="Times New Roman" w:hAnsi="Times New Roman"/>
          <w:sz w:val="24"/>
          <w:szCs w:val="24"/>
        </w:rPr>
        <w:t>“Necesitamos una nueva forma de mundialización, una mundialización con un rostro más humano”, ha exigido. Los países ricos y emergentes deben proseguir con su cooperación en el seno del G20 para asegurar que se superan los intereses nacionales, ha pedido Strauss-Kahn.</w:t>
      </w:r>
    </w:p>
    <w:p w:rsidR="002F07D4" w:rsidRPr="008B5D52" w:rsidRDefault="002F07D4" w:rsidP="002F07D4">
      <w:pPr>
        <w:spacing w:line="240" w:lineRule="auto"/>
        <w:jc w:val="both"/>
        <w:rPr>
          <w:rFonts w:ascii="Times New Roman" w:hAnsi="Times New Roman"/>
          <w:sz w:val="24"/>
          <w:szCs w:val="24"/>
        </w:rPr>
      </w:pPr>
      <w:r w:rsidRPr="008B5D52">
        <w:rPr>
          <w:rFonts w:ascii="Times New Roman" w:hAnsi="Times New Roman"/>
          <w:sz w:val="24"/>
          <w:szCs w:val="24"/>
        </w:rPr>
        <w:t xml:space="preserve">A su juicio, es necesaria una globalización “más justa” en la que no haya “unos pocos privilegiados” que acaparan los beneficios. </w:t>
      </w:r>
    </w:p>
    <w:p w:rsidR="002F07D4" w:rsidRPr="006D2FA7" w:rsidRDefault="002F07D4" w:rsidP="002F07D4">
      <w:pPr>
        <w:spacing w:line="240" w:lineRule="auto"/>
        <w:jc w:val="both"/>
        <w:rPr>
          <w:rFonts w:ascii="Times New Roman" w:hAnsi="Times New Roman"/>
          <w:sz w:val="24"/>
          <w:szCs w:val="24"/>
          <w:u w:val="single"/>
        </w:rPr>
      </w:pPr>
      <w:r w:rsidRPr="006D2FA7">
        <w:rPr>
          <w:rFonts w:ascii="Times New Roman" w:hAnsi="Times New Roman"/>
          <w:sz w:val="24"/>
          <w:szCs w:val="24"/>
          <w:u w:val="single"/>
        </w:rPr>
        <w:t xml:space="preserve">Siguen las </w:t>
      </w:r>
      <w:r>
        <w:rPr>
          <w:rFonts w:ascii="Times New Roman" w:hAnsi="Times New Roman"/>
          <w:sz w:val="24"/>
          <w:szCs w:val="24"/>
          <w:u w:val="single"/>
        </w:rPr>
        <w:t>“</w:t>
      </w:r>
      <w:r w:rsidRPr="006D2FA7">
        <w:rPr>
          <w:rFonts w:ascii="Times New Roman" w:hAnsi="Times New Roman"/>
          <w:sz w:val="24"/>
          <w:szCs w:val="24"/>
          <w:u w:val="single"/>
        </w:rPr>
        <w:t>novedades</w:t>
      </w:r>
      <w:r>
        <w:rPr>
          <w:rFonts w:ascii="Times New Roman" w:hAnsi="Times New Roman"/>
          <w:sz w:val="24"/>
          <w:szCs w:val="24"/>
          <w:u w:val="single"/>
        </w:rPr>
        <w:t>”</w:t>
      </w:r>
      <w:r w:rsidRPr="006D2FA7">
        <w:rPr>
          <w:rFonts w:ascii="Times New Roman" w:hAnsi="Times New Roman"/>
          <w:sz w:val="24"/>
          <w:szCs w:val="24"/>
          <w:u w:val="single"/>
        </w:rPr>
        <w:t xml:space="preserve"> en el FMI: “los controles de capital son aceptables”</w:t>
      </w:r>
    </w:p>
    <w:p w:rsidR="002F07D4" w:rsidRDefault="002F07D4" w:rsidP="002F07D4">
      <w:pPr>
        <w:shd w:val="clear" w:color="auto" w:fill="FFFFFF"/>
        <w:spacing w:after="150" w:line="240" w:lineRule="auto"/>
        <w:jc w:val="both"/>
        <w:rPr>
          <w:rFonts w:ascii="Times New Roman" w:eastAsia="Times New Roman" w:hAnsi="Times New Roman"/>
          <w:color w:val="000000"/>
          <w:sz w:val="24"/>
          <w:szCs w:val="24"/>
          <w:lang w:eastAsia="es-ES"/>
        </w:rPr>
      </w:pPr>
      <w:r w:rsidRPr="006D2FA7">
        <w:rPr>
          <w:rFonts w:ascii="Times New Roman" w:eastAsia="Times New Roman" w:hAnsi="Times New Roman"/>
          <w:i/>
          <w:sz w:val="24"/>
          <w:szCs w:val="24"/>
          <w:lang w:eastAsia="es-ES"/>
        </w:rPr>
        <w:t>“</w:t>
      </w:r>
      <w:r>
        <w:rPr>
          <w:rFonts w:ascii="Times New Roman" w:eastAsia="Times New Roman" w:hAnsi="Times New Roman"/>
          <w:i/>
          <w:sz w:val="24"/>
          <w:szCs w:val="24"/>
          <w:lang w:eastAsia="es-ES"/>
        </w:rPr>
        <w:t>’Quién te ha visto y quién te ve’</w:t>
      </w:r>
      <w:r w:rsidRPr="006D2FA7">
        <w:rPr>
          <w:rFonts w:ascii="Times New Roman" w:eastAsia="Times New Roman" w:hAnsi="Times New Roman"/>
          <w:i/>
          <w:sz w:val="24"/>
          <w:szCs w:val="24"/>
          <w:lang w:eastAsia="es-ES"/>
        </w:rPr>
        <w:t xml:space="preserve"> pensarán algunos del cambio que estamos viendo en el FMI. No sabemos si es fruto de la insostenibilidad de las viejas recetas o de la conciencia, esa que dice que algo malo pasa cuando los incentivos no se ponen al servicio de crear algo mejor en este mundo. Y es que no vamos a negar que para muchas personas, e independientemente de su ideología económica y política, este organismo internacional no ha conseguido solucionar todo lo bien que debería su cometido. De hecho la crisis que atravesamos es la más grave desde su creación allá por los años cuarenta en el período final de la destructiva Segunda Guerra Mundial y está directamente relacionada con algunos de sus ámbitos de actuación, por lo que podríamos dar rienda suelta a la crítica. No obstante han sido tantos los</w:t>
      </w:r>
      <w:r>
        <w:rPr>
          <w:rFonts w:ascii="Times New Roman" w:eastAsia="Times New Roman" w:hAnsi="Times New Roman"/>
          <w:i/>
          <w:sz w:val="24"/>
          <w:szCs w:val="24"/>
          <w:lang w:eastAsia="es-ES"/>
        </w:rPr>
        <w:t xml:space="preserve"> errores, tantas las conductas ‘grises’</w:t>
      </w:r>
      <w:r w:rsidRPr="006D2FA7">
        <w:rPr>
          <w:rFonts w:ascii="Times New Roman" w:eastAsia="Times New Roman" w:hAnsi="Times New Roman"/>
          <w:i/>
          <w:sz w:val="24"/>
          <w:szCs w:val="24"/>
          <w:lang w:eastAsia="es-ES"/>
        </w:rPr>
        <w:t xml:space="preserve"> de muchos, que el FMI no deja de ser un velero en medio de un tsunami</w:t>
      </w:r>
      <w:r>
        <w:rPr>
          <w:rFonts w:ascii="Times New Roman" w:eastAsia="Times New Roman" w:hAnsi="Times New Roman"/>
          <w:i/>
          <w:sz w:val="24"/>
          <w:szCs w:val="24"/>
          <w:lang w:eastAsia="es-ES"/>
        </w:rPr>
        <w:t>”..</w:t>
      </w:r>
      <w:r w:rsidRPr="006D2FA7">
        <w:rPr>
          <w:rFonts w:ascii="Times New Roman" w:eastAsia="Times New Roman" w:hAnsi="Times New Roman"/>
          <w:i/>
          <w:sz w:val="24"/>
          <w:szCs w:val="24"/>
          <w:lang w:eastAsia="es-ES"/>
        </w:rPr>
        <w:t>.</w:t>
      </w:r>
      <w:r w:rsidRPr="00931ED7">
        <w:rPr>
          <w:rFonts w:ascii="Times New Roman" w:eastAsia="Times New Roman" w:hAnsi="Times New Roman"/>
          <w:color w:val="000000"/>
          <w:sz w:val="24"/>
          <w:szCs w:val="24"/>
          <w:u w:val="single"/>
          <w:lang w:eastAsia="es-ES"/>
        </w:rPr>
        <w:t>El FMI “se cae del guindo”; los controles de capital son aceptables</w:t>
      </w:r>
      <w:r>
        <w:rPr>
          <w:rFonts w:ascii="Times New Roman" w:eastAsia="Times New Roman" w:hAnsi="Times New Roman"/>
          <w:color w:val="000000"/>
          <w:sz w:val="24"/>
          <w:szCs w:val="24"/>
          <w:lang w:eastAsia="es-ES"/>
        </w:rPr>
        <w:t xml:space="preserve"> (El Confidencial - </w:t>
      </w:r>
      <w:r w:rsidRPr="00931ED7">
        <w:rPr>
          <w:rFonts w:ascii="Times New Roman" w:eastAsia="Times New Roman" w:hAnsi="Times New Roman"/>
          <w:b/>
          <w:color w:val="000000"/>
          <w:sz w:val="24"/>
          <w:szCs w:val="24"/>
          <w:lang w:eastAsia="es-ES"/>
        </w:rPr>
        <w:t>7/4/11</w:t>
      </w:r>
      <w:r>
        <w:rPr>
          <w:rFonts w:ascii="Times New Roman" w:eastAsia="Times New Roman" w:hAnsi="Times New Roman"/>
          <w:color w:val="000000"/>
          <w:sz w:val="24"/>
          <w:szCs w:val="24"/>
          <w:lang w:eastAsia="es-ES"/>
        </w:rPr>
        <w:t>)</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 xml:space="preserve">Su pasado es como mínimo controvertido, acusados de estar al servicio de Estados Unidos o de aplicar medidas, especialmente en países pobres, que difícilmente pueden </w:t>
      </w:r>
      <w:r w:rsidRPr="00882FEE">
        <w:rPr>
          <w:rFonts w:ascii="Times New Roman" w:eastAsia="Times New Roman" w:hAnsi="Times New Roman"/>
          <w:sz w:val="24"/>
          <w:szCs w:val="24"/>
          <w:lang w:eastAsia="es-ES"/>
        </w:rPr>
        <w:lastRenderedPageBreak/>
        <w:t xml:space="preserve">calificarse de beneficiosas para el porvenir del enfermo. ¿Confianza ciega en el dogma o simples intermediarios de intereses más elevados? </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Así todo (tarde y mal, como siempre) se perciben algunos cambios de filosofía en el organismo financiero, o al menos, hay ciertos mensajes que distan mucho de parecerse a lo que se escuchaba en el pasado a través de sus miembros.</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val="en-US" w:eastAsia="es-ES"/>
        </w:rPr>
      </w:pPr>
      <w:r w:rsidRPr="00882FEE">
        <w:rPr>
          <w:rFonts w:ascii="Times New Roman" w:eastAsia="Times New Roman" w:hAnsi="Times New Roman"/>
          <w:sz w:val="24"/>
          <w:szCs w:val="24"/>
          <w:lang w:eastAsia="es-ES"/>
        </w:rPr>
        <w:t xml:space="preserve">Un ejemplo claro de lo que comento son las directrices que el organismo ha lanzado nuevas directrices para controlar los flujos de capital por parte de los gobiernos, algo otrora impensable y en donde se ha posicionado en contra durante casi setenta años. </w:t>
      </w:r>
      <w:r w:rsidRPr="00882FEE">
        <w:rPr>
          <w:rFonts w:ascii="Times New Roman" w:eastAsia="Times New Roman" w:hAnsi="Times New Roman"/>
          <w:sz w:val="24"/>
          <w:szCs w:val="24"/>
          <w:lang w:val="en-US" w:eastAsia="es-ES"/>
        </w:rPr>
        <w:t>Lo comenta el FT:</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The guidelines -</w:t>
      </w:r>
      <w:r w:rsidRPr="00882FEE">
        <w:rPr>
          <w:rFonts w:ascii="Times New Roman" w:eastAsia="Times New Roman" w:hAnsi="Times New Roman"/>
          <w:sz w:val="24"/>
          <w:szCs w:val="24"/>
          <w:lang w:val="en-US" w:eastAsia="es-ES"/>
        </w:rPr>
        <w:t>which ar</w:t>
      </w:r>
      <w:r>
        <w:rPr>
          <w:rFonts w:ascii="Times New Roman" w:eastAsia="Times New Roman" w:hAnsi="Times New Roman"/>
          <w:sz w:val="24"/>
          <w:szCs w:val="24"/>
          <w:lang w:val="en-US" w:eastAsia="es-ES"/>
        </w:rPr>
        <w:t>e not yet official Fund policy-,</w:t>
      </w:r>
      <w:r w:rsidRPr="00882FEE">
        <w:rPr>
          <w:rFonts w:ascii="Times New Roman" w:eastAsia="Times New Roman" w:hAnsi="Times New Roman"/>
          <w:sz w:val="24"/>
          <w:szCs w:val="24"/>
          <w:lang w:val="en-US" w:eastAsia="es-ES"/>
        </w:rPr>
        <w:t xml:space="preserve"> say that countries can control capital inflows when their currency is not undervalued, when they already have enough foreign exchange reserves, and when they are unable to use monetary or fiscal policy instead.  </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Los flujos internacionales pueden ser muy beneficiosos y en muchos casos lo son, llevan fondos de donde hay excedentes a donde son necesarios, si se invierten bien crearán prosperidad y todo el mundo saldrá ganando. En caso contrario, si el país receptor no consigue la rentabilidad necesaria para pagar lo que debe, empezarán los problemas ¿Pero han tenido la oportunidad y de eso se trata, no? Esa idea era la mayoritaria y por tanto existía una voz oficialista que defendía la libertad de flujos como positiva y justa, voz que defendían entre otros organismos como el FMI.</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 xml:space="preserve">Es posible que fuese así, como tantas otras cosas del liberalismo dogmático que fallan en la vida real, si el sistema no estuviese de alguna forma “pervertido”. En este mundo real en el que vivimos las cosas no son idílicas, en el caso que tratamos existe una cantidad inmensa de liquidez que corre por el mundo adelante, una cantidad tan ingente y volátil que en lugar de ayudar consigue empobrecer aún más a quien la sufre. </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Y por si fuese poco suelen ser determinantes en países con desequilibrios en la cuenta corriente, esto es, que invierten más de lo que su ahorro permite para crecer y que por tanto acaban la jugada endeudados. En resumen estamos ante cuantiosos fondos que se mueven sin pensárselo demasiado, que provocan burbujas y errores de inversión por su volumen e inmediatez y que un día se van de repente dando la puntilla y dejando a la economía endeudada y tocada.</w:t>
      </w:r>
    </w:p>
    <w:p w:rsidR="002F07D4"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El gráfico que sigue no es de ninguna web conspirativa, sino del FMI, que lleva tiempo dándose cuenta de que algo falla en la teoría porque no se ajusta a la práctica. Quizá el mayor problema esté ahora en determinar en qué casos existe un exceso de “hot money” y en qué casos se produce una simple mala gestión por parte del país</w:t>
      </w:r>
      <w:r>
        <w:rPr>
          <w:rFonts w:ascii="Times New Roman" w:eastAsia="Times New Roman" w:hAnsi="Times New Roman"/>
          <w:sz w:val="24"/>
          <w:szCs w:val="24"/>
          <w:lang w:eastAsia="es-ES"/>
        </w:rPr>
        <w:t>…</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p>
    <w:p w:rsidR="002F07D4" w:rsidRPr="00882FEE" w:rsidRDefault="002F07D4" w:rsidP="002F07D4">
      <w:pPr>
        <w:spacing w:after="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 </w:t>
      </w:r>
    </w:p>
    <w:p w:rsidR="002F07D4" w:rsidRPr="00882FEE"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val="en-GB" w:eastAsia="en-GB"/>
        </w:rPr>
        <w:lastRenderedPageBreak/>
        <w:drawing>
          <wp:inline distT="0" distB="0" distL="0" distR="0">
            <wp:extent cx="3956050" cy="2768600"/>
            <wp:effectExtent l="0" t="0" r="6350" b="0"/>
            <wp:docPr id="335" name="Imagen 335" descr="2010102225inflows%20emerge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 descr="2010102225inflows%20emergentes"/>
                    <pic:cNvPicPr>
                      <a:picLocks noChangeAspect="1" noChangeArrowheads="1"/>
                    </pic:cNvPicPr>
                  </pic:nvPicPr>
                  <pic:blipFill>
                    <a:blip r:embed="rId1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6050" cy="2768600"/>
                    </a:xfrm>
                    <a:prstGeom prst="rect">
                      <a:avLst/>
                    </a:prstGeom>
                    <a:noFill/>
                    <a:ln>
                      <a:noFill/>
                    </a:ln>
                  </pic:spPr>
                </pic:pic>
              </a:graphicData>
            </a:graphic>
          </wp:inline>
        </w:drawing>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Para poder aplicar controles de capital el FMI se centra en tres condiciones, son países que: no tienen su divisa devaluada, consiguen almacenar reservas y la política monetaria o fiscal no funciona. Por supuesto las medidas deben ser de corto plazo y no destinadas a bloquear fondos a largo plazo.</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El procedimiento sería el siguiente, en un primer momento el país debe dejar su tipo de cambio subir (que normalmente no funcionará casi nunca desde mi punto de vista) o expandir su política monetaria y endurecer su política fiscal (lo que resulta “neutro” para el país pero desincentivará a los inversores foráneos por los menores tipos, luego creo que es la opción adecuada). En caso de no funcionar se admiten los controles de capital, siempre que no sean discriminatorios.</w:t>
      </w:r>
    </w:p>
    <w:p w:rsidR="002F07D4" w:rsidRPr="00882FEE"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Surge inmediatamente el debate sobre lo hecho por Brasil, el imponer una tasa del 6% a la adquisición de deuda por parte de extranjeros, lo que según el FMI “debe ser la última línea de defensa”. A regañadientes pero parece que lo aceptan, y lo comparto. Más controvertidas son aún sus nuevas medidas, idéntica actuación pero ahora con préstamos foráneos, y van más allá subiendo los aranceles a China. ¿Dónde acabarán?</w:t>
      </w:r>
    </w:p>
    <w:p w:rsidR="002F07D4" w:rsidRDefault="002F07D4" w:rsidP="002F07D4">
      <w:pPr>
        <w:shd w:val="clear" w:color="auto" w:fill="FFFFFF"/>
        <w:spacing w:after="150" w:line="240" w:lineRule="auto"/>
        <w:jc w:val="both"/>
        <w:rPr>
          <w:rFonts w:ascii="Times New Roman" w:eastAsia="Times New Roman" w:hAnsi="Times New Roman"/>
          <w:sz w:val="24"/>
          <w:szCs w:val="24"/>
          <w:lang w:eastAsia="es-ES"/>
        </w:rPr>
      </w:pPr>
      <w:r w:rsidRPr="00882FEE">
        <w:rPr>
          <w:rFonts w:ascii="Times New Roman" w:eastAsia="Times New Roman" w:hAnsi="Times New Roman"/>
          <w:sz w:val="24"/>
          <w:szCs w:val="24"/>
          <w:lang w:eastAsia="es-ES"/>
        </w:rPr>
        <w:t>Es difícil sobrevivir en un mundo con quantitative easing, carry trade feroz y dumping comercial, hemos tenido que llegar a esto para que el FMI se diese cuenta, pero rectificar es de sabios. Por si alguien cree que van de farol, lo cual es debatible como siempre, lean también su última propuesta, si Basilea III no es suficiente hay que cobrar impuestos por los riesgos. Dará que hablar, o al menos esperemos que así sea y no haga falta otro desastre para darse cuenta que lo de ahora no puede seguir así</w:t>
      </w:r>
      <w:r>
        <w:rPr>
          <w:rFonts w:ascii="Times New Roman" w:eastAsia="Times New Roman" w:hAnsi="Times New Roman"/>
          <w:sz w:val="24"/>
          <w:szCs w:val="24"/>
          <w:lang w:eastAsia="es-ES"/>
        </w:rPr>
        <w:t>…</w:t>
      </w:r>
    </w:p>
    <w:p w:rsidR="002F07D4" w:rsidRDefault="002F07D4" w:rsidP="002F07D4">
      <w:pPr>
        <w:jc w:val="both"/>
        <w:rPr>
          <w:rFonts w:ascii="Times New Roman" w:hAnsi="Times New Roman"/>
          <w:b/>
          <w:sz w:val="24"/>
          <w:szCs w:val="24"/>
        </w:rPr>
      </w:pPr>
      <w:r>
        <w:rPr>
          <w:rFonts w:ascii="Times New Roman" w:hAnsi="Times New Roman"/>
          <w:b/>
          <w:sz w:val="24"/>
          <w:szCs w:val="24"/>
        </w:rPr>
        <w:t>¿Políticas económicas globales? (Poco piú animato)</w:t>
      </w:r>
    </w:p>
    <w:p w:rsidR="002F07D4" w:rsidRPr="00FA262B" w:rsidRDefault="002F07D4" w:rsidP="002F07D4">
      <w:pPr>
        <w:pStyle w:val="NormalWeb"/>
        <w:jc w:val="both"/>
      </w:pPr>
      <w:r w:rsidRPr="00FA262B">
        <w:t xml:space="preserve">- </w:t>
      </w:r>
      <w:r w:rsidRPr="00FA262B">
        <w:rPr>
          <w:u w:val="single"/>
        </w:rPr>
        <w:t>Cinco pasos adelante en 2011</w:t>
      </w:r>
      <w:r w:rsidRPr="00FA262B">
        <w:t xml:space="preserve"> (Project Syndicate - </w:t>
      </w:r>
      <w:r w:rsidRPr="00FA262B">
        <w:rPr>
          <w:b/>
        </w:rPr>
        <w:t>14/1/11</w:t>
      </w:r>
      <w:r w:rsidRPr="00FA262B">
        <w:t>)</w:t>
      </w:r>
    </w:p>
    <w:p w:rsidR="002F07D4" w:rsidRPr="00FA262B" w:rsidRDefault="002F07D4" w:rsidP="002F07D4">
      <w:pPr>
        <w:pStyle w:val="NormalWeb"/>
        <w:jc w:val="both"/>
      </w:pPr>
      <w:r w:rsidRPr="00FA262B">
        <w:t>(Por Michael Spence)</w:t>
      </w:r>
      <w:r>
        <w:t xml:space="preserve">                                                                        Lectura recomendada</w:t>
      </w:r>
    </w:p>
    <w:p w:rsidR="002F07D4" w:rsidRPr="008D0A0C" w:rsidRDefault="002F07D4" w:rsidP="002F07D4">
      <w:pPr>
        <w:pStyle w:val="NormalWeb"/>
        <w:jc w:val="both"/>
        <w:rPr>
          <w:color w:val="FF0000"/>
          <w:u w:val="single"/>
        </w:rPr>
      </w:pPr>
      <w:r>
        <w:t xml:space="preserve">Milán.- </w:t>
      </w:r>
      <w:r w:rsidRPr="008D0A0C">
        <w:rPr>
          <w:color w:val="FF0000"/>
          <w:u w:val="single"/>
        </w:rPr>
        <w:t xml:space="preserve">Lo peor de la crisis financiera y económica parece haber terminado. Los mercados de activos tuvieron un desempeño razonablemente bueno en 2010. En los Estados Unidos y algunas partes de Europa el crecimiento reinició. El desapalancamiento del sector privado continuó, pero tuvo como contrapeso niveles </w:t>
      </w:r>
      <w:r w:rsidRPr="008D0A0C">
        <w:rPr>
          <w:color w:val="FF0000"/>
          <w:u w:val="single"/>
        </w:rPr>
        <w:lastRenderedPageBreak/>
        <w:t>crecientes de deuda y déficits en el sector público. Además, el crecimiento de los mercados emergentes regresó a los niveles previos a la crisis y parece ser sostenible, apoyado por políticas heterodoxas diseñadas para “esterilizar” las entradas masivas de capital.</w:t>
      </w:r>
    </w:p>
    <w:p w:rsidR="002F07D4" w:rsidRPr="008D0A0C" w:rsidRDefault="002F07D4" w:rsidP="002F07D4">
      <w:pPr>
        <w:pStyle w:val="NormalWeb"/>
        <w:jc w:val="both"/>
        <w:rPr>
          <w:color w:val="FF0000"/>
          <w:u w:val="single"/>
        </w:rPr>
      </w:pPr>
      <w:r w:rsidRPr="008D0A0C">
        <w:rPr>
          <w:color w:val="FF0000"/>
          <w:u w:val="single"/>
        </w:rPr>
        <w:t>Sin embargo, el crecimiento alto sostenido en los mercados emergentes depende de evitar una segunda gran desaceleración en las economías avanzadas, que siguen absorbiendo una parte significativa (aunque en declive) de sus exportaciones. El crecimiento lento es manejable, pero el crecimiento negativo no lo es.</w:t>
      </w:r>
    </w:p>
    <w:p w:rsidR="002F07D4" w:rsidRDefault="002F07D4" w:rsidP="002F07D4">
      <w:pPr>
        <w:pStyle w:val="NormalWeb"/>
        <w:jc w:val="both"/>
      </w:pPr>
      <w:r>
        <w:t xml:space="preserve">Por consiguiente, para las economías emergentes el riesgo de que empeore la situación de las economías avanzadas y los efectos de cascada de sus políticas de recuperación son temas principales de inquietud. </w:t>
      </w:r>
      <w:r w:rsidRPr="008D0A0C">
        <w:rPr>
          <w:u w:val="single"/>
        </w:rPr>
        <w:t>En varios países desarrollados, incluidos los Estados Unidos, las perspectivas de crecimiento y empleo empiezan a divergir ampliamente poniendo en riesgo la cohesión social y la apertura económica</w:t>
      </w:r>
      <w:r>
        <w:t>.</w:t>
      </w:r>
    </w:p>
    <w:p w:rsidR="002F07D4" w:rsidRPr="008D0A0C" w:rsidRDefault="002F07D4" w:rsidP="002F07D4">
      <w:pPr>
        <w:pStyle w:val="NormalWeb"/>
        <w:jc w:val="both"/>
        <w:rPr>
          <w:u w:val="single"/>
        </w:rPr>
      </w:pPr>
      <w:r>
        <w:t xml:space="preserve">La situación es en gran parte el resultado de la predecible dinámica posterior a la crisis económica debido a que las empresas y los hogares en los países avanzados reparar sus hojas de balance. Sin embargo, también reflejan decisiones de política no cooperativa. En efecto, </w:t>
      </w:r>
      <w:r w:rsidRPr="008D0A0C">
        <w:rPr>
          <w:u w:val="single"/>
        </w:rPr>
        <w:t>los intentos para coordinar la política económica en todo el G-20, que representa el 85% del PIB global, se quedó muy por debajo de lo que se esperaba en 2010.</w:t>
      </w:r>
    </w:p>
    <w:p w:rsidR="002F07D4" w:rsidRPr="008D0A0C" w:rsidRDefault="002F07D4" w:rsidP="002F07D4">
      <w:pPr>
        <w:pStyle w:val="NormalWeb"/>
        <w:jc w:val="both"/>
        <w:rPr>
          <w:u w:val="single"/>
        </w:rPr>
      </w:pPr>
      <w:r w:rsidRPr="008D0A0C">
        <w:rPr>
          <w:u w:val="single"/>
        </w:rPr>
        <w:t>Entonces,  ¿cómo sería un conjunto coordinado de políticas económicas globales?</w:t>
      </w:r>
    </w:p>
    <w:p w:rsidR="002F07D4" w:rsidRPr="008D0A0C" w:rsidRDefault="002F07D4" w:rsidP="002F07D4">
      <w:pPr>
        <w:pStyle w:val="NormalWeb"/>
        <w:jc w:val="both"/>
        <w:rPr>
          <w:u w:val="single"/>
        </w:rPr>
      </w:pPr>
      <w:r w:rsidRPr="008D0A0C">
        <w:rPr>
          <w:color w:val="FF0000"/>
          <w:u w:val="single"/>
        </w:rPr>
        <w:t>Primero, incluiría planes convincentes en Europa y en los Estados Unidos para restablecer el equilibrio fiscal</w:t>
      </w:r>
      <w:r>
        <w:t xml:space="preserve">. </w:t>
      </w:r>
      <w:r w:rsidRPr="008D0A0C">
        <w:rPr>
          <w:u w:val="single"/>
        </w:rPr>
        <w:t>En Europa, ello significa ponerse de acuerdo para el reparto de cargas con el fin de recapitalizar los países cuyos déficits y deuda han interrumpido el acceso a los mercados o han conducido a que los costos de crédito sean prohibitivamente elevados</w:t>
      </w:r>
      <w:r>
        <w:t xml:space="preserve">. La reestructuración daña al euro, y la consolidación fiscal en los países en dificultades si bien es necesaria, probablemente no es suficiente. Como resultado, los países más fuertes de Europa, en particular Alemania, cargan con el pasivo restante. </w:t>
      </w:r>
      <w:r w:rsidRPr="008D0A0C">
        <w:rPr>
          <w:u w:val="single"/>
        </w:rPr>
        <w:t>Parece inevitable una mayor centralización fiscal y unificación política, pero puede llevar tiempo llegar a esa meta.</w:t>
      </w:r>
    </w:p>
    <w:p w:rsidR="002F07D4" w:rsidRDefault="002F07D4" w:rsidP="002F07D4">
      <w:pPr>
        <w:pStyle w:val="NormalWeb"/>
        <w:jc w:val="both"/>
      </w:pPr>
      <w:r>
        <w:t>En los Estados Unidos el desafío principal es restablecer el equilibrio fiscal sin dañar la recuperación y crecimiento futuros. Corregir el desequilibrio es complicado debido a que la derecha teme que la izquierda utilice el estímulo fiscal para hacer un gobierno permanentemente más grande, un camino que la derecha (y aparentemente el público en general) no está dispuesta a seguir.</w:t>
      </w:r>
    </w:p>
    <w:p w:rsidR="002F07D4" w:rsidRPr="00634092" w:rsidRDefault="002F07D4" w:rsidP="002F07D4">
      <w:pPr>
        <w:pStyle w:val="NormalWeb"/>
        <w:jc w:val="both"/>
        <w:rPr>
          <w:u w:val="single"/>
        </w:rPr>
      </w:pPr>
      <w:r w:rsidRPr="008D0A0C">
        <w:rPr>
          <w:color w:val="FF0000"/>
          <w:u w:val="single"/>
        </w:rPr>
        <w:t>El segundo tema de la agenda es abandonar la facilitación cuantitativa en los Estados Unidos, que está sometiendo a las economías emergentes a una avalancha de capitales, precios crecientes de los productos básicos, inflación y burbujas de activos</w:t>
      </w:r>
      <w:r>
        <w:t xml:space="preserve">. La intervención puede ser necesaria en sectores frágiles de la economía estadounidense, como la vivienda, donde el desempeño inconstante podría producir otra crisis. Sin embargo, dicha intervención puede y debe ser mucho más precisa que la segunda ronda de facilitación cuantitativa (QE2 por sus siglas en inglés). </w:t>
      </w:r>
      <w:r w:rsidRPr="00634092">
        <w:rPr>
          <w:u w:val="single"/>
        </w:rPr>
        <w:t>La renuencia de los Estados Unidos para abordar áreas de bajo desempeño o frágiles crea externamente la impresión de que el verdadero objetivo de la QE2 es debilitar el dólar.</w:t>
      </w:r>
    </w:p>
    <w:p w:rsidR="002F07D4" w:rsidRPr="00634092" w:rsidRDefault="002F07D4" w:rsidP="002F07D4">
      <w:pPr>
        <w:pStyle w:val="NormalWeb"/>
        <w:jc w:val="both"/>
        <w:rPr>
          <w:u w:val="single"/>
        </w:rPr>
      </w:pPr>
      <w:r w:rsidRPr="00634092">
        <w:rPr>
          <w:u w:val="single"/>
        </w:rPr>
        <w:lastRenderedPageBreak/>
        <w:t>Más allá de eso, no es claro cómo la QE2 producirá un elevado crecimiento.</w:t>
      </w:r>
      <w:r>
        <w:t xml:space="preserve"> Sus partidarios sostienen que es el principal mecanismo de política que queda, y que funcionará aumentando el crédito o disminuyendo la tasa de descuento, lo que incrementará los precios de los activos y por ende el consumo mediante los efectos sobre las hojas de balance. Sin embargo, </w:t>
      </w:r>
      <w:r w:rsidRPr="00634092">
        <w:rPr>
          <w:u w:val="single"/>
        </w:rPr>
        <w:t>¿realmente queremos ver a los Estados Unidos totalmente endeudados otra vez? Probablemente no.</w:t>
      </w:r>
    </w:p>
    <w:p w:rsidR="002F07D4" w:rsidRPr="00634092" w:rsidRDefault="002F07D4" w:rsidP="002F07D4">
      <w:pPr>
        <w:pStyle w:val="NormalWeb"/>
        <w:jc w:val="both"/>
        <w:rPr>
          <w:u w:val="single"/>
        </w:rPr>
      </w:pPr>
      <w:r w:rsidRPr="00634092">
        <w:rPr>
          <w:u w:val="single"/>
        </w:rPr>
        <w:t>En lo que se refiere a las hojas de balance, aunque una disminución temporal de las tasas de interés de largo plazo empujara a la alza el valor de los activos, es improbable que las familias con una carga de deuda y con perspectivas inciertas de empleo se apresuren a consumir. Después de todo, el efecto riqueza funciona solamente cuando las personas piensan que ésta es permanente.</w:t>
      </w:r>
    </w:p>
    <w:p w:rsidR="002F07D4" w:rsidRPr="00634092" w:rsidRDefault="002F07D4" w:rsidP="002F07D4">
      <w:pPr>
        <w:pStyle w:val="NormalWeb"/>
        <w:jc w:val="both"/>
        <w:rPr>
          <w:u w:val="single"/>
        </w:rPr>
      </w:pPr>
      <w:r w:rsidRPr="00634092">
        <w:rPr>
          <w:color w:val="FF0000"/>
          <w:u w:val="single"/>
        </w:rPr>
        <w:t>Tercero, las economías avanzadas y emergentes que tienen superávits crónicos deben deshacerse de ellos.</w:t>
      </w:r>
      <w:r w:rsidRPr="00634092">
        <w:rPr>
          <w:u w:val="single"/>
        </w:rPr>
        <w:t>Las políticas que eran necesarias para tal fin varían de país en país y requieren de cambios estructurales.</w:t>
      </w:r>
    </w:p>
    <w:p w:rsidR="002F07D4" w:rsidRDefault="002F07D4" w:rsidP="002F07D4">
      <w:pPr>
        <w:pStyle w:val="NormalWeb"/>
        <w:jc w:val="both"/>
      </w:pPr>
      <w:r w:rsidRPr="00634092">
        <w:rPr>
          <w:u w:val="single"/>
        </w:rPr>
        <w:t>En lo que se refiere a China</w:t>
      </w:r>
      <w:r>
        <w:t xml:space="preserve">, una parte esencial de su doceavo plan quinquenal para orientar el ingreso a los hogares, donde la tasa de ahorros es alta, pero todavía inferior a la tasa corporativa. </w:t>
      </w:r>
      <w:r w:rsidRPr="00634092">
        <w:rPr>
          <w:u w:val="single"/>
        </w:rPr>
        <w:t>La economía entonces puede utilizar los ahorros de los hogares (con una intermediación financiera adecuada) para financiar la inversión gubernamental y corporativa, en lugar del gobierno de los Estados Unidos</w:t>
      </w:r>
      <w:r>
        <w:t xml:space="preserve">. Ese cambio estructural, en combinación con el fortalecimiento efectivo del tipo de cambio real del renminbi respecto del dólar, debido a la inflación y a salarios que aumentan rápidamente en los sectores de la exportación,  ofrece la esperanza de que el superávit de China </w:t>
      </w:r>
      <w:r w:rsidR="00FD69A7">
        <w:t>caiga</w:t>
      </w:r>
      <w:r>
        <w:t>.</w:t>
      </w:r>
    </w:p>
    <w:p w:rsidR="002F07D4" w:rsidRPr="00634092" w:rsidRDefault="002F07D4" w:rsidP="002F07D4">
      <w:pPr>
        <w:pStyle w:val="NormalWeb"/>
        <w:jc w:val="both"/>
        <w:rPr>
          <w:u w:val="single"/>
        </w:rPr>
      </w:pPr>
      <w:r w:rsidRPr="00634092">
        <w:rPr>
          <w:color w:val="FF0000"/>
          <w:u w:val="single"/>
        </w:rPr>
        <w:t>El cuarto tema tiene que ver con el hecho de que la economía global estará en desequilibrio mientras que los Estados Unidos tengan déficits amplios en la cuenta corriente.</w:t>
      </w:r>
      <w:r>
        <w:t xml:space="preserve"> Dado el reajuste posterior a la crisis del consumo y el ahorro internos, la demanda agregada de los Estados Unidos seguirá deprimida. </w:t>
      </w:r>
      <w:r w:rsidRPr="00634092">
        <w:rPr>
          <w:u w:val="single"/>
        </w:rPr>
        <w:t>A largo plazo, una mayor demanda externa y un aumento del potencial de exportación tendrán que cubrir el faltante.</w:t>
      </w:r>
    </w:p>
    <w:p w:rsidR="002F07D4" w:rsidRPr="00634092" w:rsidRDefault="002F07D4" w:rsidP="002F07D4">
      <w:pPr>
        <w:pStyle w:val="NormalWeb"/>
        <w:jc w:val="both"/>
        <w:rPr>
          <w:u w:val="single"/>
        </w:rPr>
      </w:pPr>
      <w:r w:rsidRPr="00634092">
        <w:rPr>
          <w:u w:val="single"/>
        </w:rPr>
        <w:t>El sector comercializable de los Estados Unidos está creciendo. Sus principales subsec</w:t>
      </w:r>
      <w:r>
        <w:rPr>
          <w:u w:val="single"/>
        </w:rPr>
        <w:t>tores -</w:t>
      </w:r>
      <w:r w:rsidRPr="00634092">
        <w:rPr>
          <w:u w:val="single"/>
        </w:rPr>
        <w:t>los servicios con un alto valor agregado (por persona empleada)- son altamente competitivos y están en crecimiento. Sin embargo, no son suficientes para cubrir el faltante. Las importaciones podrían caer, como lo hicieron durante la crisis, pero eso fue debido a que la demanda disminuyó, no por un cambio de la demanda a favor de los productores nacionales.</w:t>
      </w:r>
    </w:p>
    <w:p w:rsidR="002F07D4" w:rsidRPr="00FA262B" w:rsidRDefault="002F07D4" w:rsidP="002F07D4">
      <w:pPr>
        <w:pStyle w:val="NormalWeb"/>
        <w:jc w:val="both"/>
        <w:rPr>
          <w:u w:val="single"/>
        </w:rPr>
      </w:pPr>
      <w:r w:rsidRPr="00634092">
        <w:rPr>
          <w:u w:val="single"/>
        </w:rPr>
        <w:t>El sector comercializable representa solamente el 30% de la economía estadounidense (por valor agregado), y el crecimiento del empleo en ese sector es insignificante</w:t>
      </w:r>
      <w:r>
        <w:t xml:space="preserve">. Si el crecimiento del empleo en el sector no comercializable -dominado por el gobierno y el servicio de salud- se tambalea, el sector comercializable tendrá que compensar. El problema es que no puede, incluso con una moneda que se deprecia. </w:t>
      </w:r>
      <w:r w:rsidRPr="00634092">
        <w:rPr>
          <w:u w:val="single"/>
        </w:rPr>
        <w:t>Para que las exportaciones aumenten sustancialmente, el alcance del sector comercializable debe ampliarse.</w:t>
      </w:r>
    </w:p>
    <w:p w:rsidR="002F07D4" w:rsidRPr="00634092" w:rsidRDefault="002F07D4" w:rsidP="002F07D4">
      <w:pPr>
        <w:pStyle w:val="NormalWeb"/>
        <w:jc w:val="both"/>
        <w:rPr>
          <w:u w:val="single"/>
        </w:rPr>
      </w:pPr>
      <w:r w:rsidRPr="00634092">
        <w:rPr>
          <w:color w:val="FF0000"/>
          <w:u w:val="single"/>
        </w:rPr>
        <w:t xml:space="preserve">Quinto y último, la mayor parte de los tenedores de reservas deben ponerse de acuerdo para movilizarlas con el objetivo de mantener la estabilidad financiera y prevenir </w:t>
      </w:r>
      <w:r w:rsidRPr="00634092">
        <w:rPr>
          <w:color w:val="FF0000"/>
          <w:u w:val="single"/>
        </w:rPr>
        <w:lastRenderedPageBreak/>
        <w:t>movimientos excesivamente volátiles del tipo de cambio y de los capitales</w:t>
      </w:r>
      <w:r>
        <w:t xml:space="preserve">. Ante los brotes periódicos de contagio en la eurozona y la incertidumbre residual sobre el compromiso de los Estados Unidos con un dólar fuerte y la disciplina fiscal, </w:t>
      </w:r>
      <w:r w:rsidRPr="00634092">
        <w:rPr>
          <w:u w:val="single"/>
        </w:rPr>
        <w:t>los principales tenedores de reservas en Asia y en el Golfo necesitan convertirse en un contrapeso estabilizador.</w:t>
      </w:r>
    </w:p>
    <w:p w:rsidR="002F07D4" w:rsidRDefault="002F07D4" w:rsidP="002F07D4">
      <w:pPr>
        <w:pStyle w:val="NormalWeb"/>
        <w:jc w:val="both"/>
      </w:pPr>
      <w:r w:rsidRPr="00634092">
        <w:rPr>
          <w:color w:val="FF0000"/>
          <w:u w:val="single"/>
        </w:rPr>
        <w:t>No es fácil ninguna de estas medidas. Llevarán tiempo. Sin embargo, en conjunto, ayudarían a reducir la incertidumbre y restablecer el patrón de estabilidad y de crecimiento incluyente de la economía global, impulsando así su apertura continua</w:t>
      </w:r>
      <w:r>
        <w:t>. Al evitar un segundo o tercer mejor resultado y errores de política, la coordinación internacional de la política económica, aunque difícil, tiene un papel esencial que desempeñar.</w:t>
      </w:r>
    </w:p>
    <w:p w:rsidR="002F07D4" w:rsidRPr="00E27BFB" w:rsidRDefault="002F07D4" w:rsidP="002F07D4">
      <w:pPr>
        <w:pStyle w:val="NormalWeb"/>
        <w:jc w:val="both"/>
        <w:rPr>
          <w:lang w:val="en-GB"/>
        </w:rPr>
      </w:pPr>
      <w:r>
        <w:t xml:space="preserve">(Michael Spence es profesor de Economía de la Stern School of Business de la Universidad de Nueva York e investigador de la Hoover Institution de la Universidad de  Stanford. </w:t>
      </w:r>
      <w:r w:rsidRPr="00E27BFB">
        <w:rPr>
          <w:lang w:val="en-GB"/>
        </w:rPr>
        <w:t>Copyright: Project Syndicate, 2011)</w:t>
      </w:r>
    </w:p>
    <w:p w:rsidR="002F07D4" w:rsidRPr="001E1DE4" w:rsidRDefault="002F07D4" w:rsidP="002F07D4">
      <w:pPr>
        <w:pStyle w:val="NormalWeb"/>
        <w:jc w:val="both"/>
        <w:rPr>
          <w:lang w:val="en-US"/>
        </w:rPr>
      </w:pPr>
      <w:r w:rsidRPr="001E1DE4">
        <w:rPr>
          <w:lang w:val="en-US"/>
        </w:rPr>
        <w:t xml:space="preserve">- </w:t>
      </w:r>
      <w:r w:rsidRPr="001E1DE4">
        <w:rPr>
          <w:u w:val="single"/>
          <w:lang w:val="en-US"/>
        </w:rPr>
        <w:t>El mundo del G-Cero</w:t>
      </w:r>
      <w:r w:rsidRPr="001E1DE4">
        <w:rPr>
          <w:lang w:val="en-US"/>
        </w:rPr>
        <w:t xml:space="preserve"> (Project Syndicate - </w:t>
      </w:r>
      <w:r w:rsidRPr="001E1DE4">
        <w:rPr>
          <w:b/>
          <w:lang w:val="en-US"/>
        </w:rPr>
        <w:t>11/2/11</w:t>
      </w:r>
      <w:r w:rsidRPr="001E1DE4">
        <w:rPr>
          <w:lang w:val="en-US"/>
        </w:rPr>
        <w:t>)</w:t>
      </w:r>
    </w:p>
    <w:p w:rsidR="002F07D4" w:rsidRPr="00D813BC" w:rsidRDefault="002F07D4" w:rsidP="002F07D4">
      <w:pPr>
        <w:pStyle w:val="NormalWeb"/>
        <w:jc w:val="both"/>
      </w:pPr>
      <w:r w:rsidRPr="00D813BC">
        <w:t>(Por Nouriel Roubini)</w:t>
      </w:r>
      <w:r>
        <w:t xml:space="preserve">                                                                       Lectura recomendada</w:t>
      </w:r>
    </w:p>
    <w:p w:rsidR="002F07D4" w:rsidRPr="00440DD8" w:rsidRDefault="002F07D4" w:rsidP="002F07D4">
      <w:pPr>
        <w:pStyle w:val="NormalWeb"/>
        <w:jc w:val="both"/>
        <w:rPr>
          <w:color w:val="FF0000"/>
          <w:u w:val="single"/>
        </w:rPr>
      </w:pPr>
      <w:r>
        <w:t xml:space="preserve">Nueva York.- </w:t>
      </w:r>
      <w:r w:rsidRPr="00440DD8">
        <w:rPr>
          <w:u w:val="single"/>
        </w:rPr>
        <w:t>Vivimos en un mundo en el que, en teoría, la gobernanza económica y política global está en manos del G-20.</w:t>
      </w:r>
      <w:r w:rsidRPr="00440DD8">
        <w:rPr>
          <w:color w:val="FF0000"/>
          <w:u w:val="single"/>
        </w:rPr>
        <w:t>No obstante, en la práctica no hay un liderazgo global y existe una desorganización y desacuerdos graves entre los miembros del G-20 sobre la política monetaria y fiscal, los tipos de cambio y los desequilibrios globales, el cambio climático, el comercio, la estabilidad financiera, el sistema monetario internacional y la seguridad energética, alimentaria y global. En efecto, las potencias principales ahora consideran estos temas como juegos de suma cero y no como juegos de suma positiva. Así pues, el nuestro es el mundo del G-Cero.</w:t>
      </w:r>
    </w:p>
    <w:p w:rsidR="002F07D4" w:rsidRPr="00440DD8" w:rsidRDefault="002F07D4" w:rsidP="002F07D4">
      <w:pPr>
        <w:pStyle w:val="NormalWeb"/>
        <w:jc w:val="both"/>
        <w:rPr>
          <w:u w:val="single"/>
        </w:rPr>
      </w:pPr>
      <w:r w:rsidRPr="00440DD8">
        <w:rPr>
          <w:u w:val="single"/>
        </w:rPr>
        <w:t>En el siglo XIX, la potencia hegemónica estable era el Reino Unido, y el imperio británico imponía los bienes públicos globales del libre comercio, la libre circulación de capitales, el patrón oro y la libra británica como la principal moneda de reserva global. En el siglo XX, los Estados Unidos asumieron ese papel e impusieron su Pax Americana para dar seguridad a la mayor parte de Europa occidental, Asia, el Medio Oriente y América Latina. Los Estados Unidos también dominaron las i</w:t>
      </w:r>
      <w:r>
        <w:rPr>
          <w:u w:val="single"/>
        </w:rPr>
        <w:t>nstituciones de Bretton Woods -</w:t>
      </w:r>
      <w:r w:rsidRPr="00440DD8">
        <w:rPr>
          <w:u w:val="single"/>
        </w:rPr>
        <w:t>el Fondo Monetario Internacional, el Banco Mundial y, más tarde, la Organización Mun</w:t>
      </w:r>
      <w:r>
        <w:rPr>
          <w:u w:val="single"/>
        </w:rPr>
        <w:t xml:space="preserve">dial del Comercio- </w:t>
      </w:r>
      <w:r w:rsidRPr="00440DD8">
        <w:rPr>
          <w:u w:val="single"/>
        </w:rPr>
        <w:t>para determinar las normas comerciales y financieras globales, con el dólar como principal moneda de reserva.</w:t>
      </w:r>
    </w:p>
    <w:p w:rsidR="002F07D4" w:rsidRPr="00ED5A8A" w:rsidRDefault="002F07D4" w:rsidP="002F07D4">
      <w:pPr>
        <w:pStyle w:val="NormalWeb"/>
        <w:jc w:val="both"/>
        <w:rPr>
          <w:u w:val="single"/>
        </w:rPr>
      </w:pPr>
      <w:r w:rsidRPr="00440DD8">
        <w:rPr>
          <w:u w:val="single"/>
        </w:rPr>
        <w:t>Sin embargo, hoy el “imperio” estadounidense está en relativa decadencia y tiene muchas presiones a nivel fiscal</w:t>
      </w:r>
      <w:r>
        <w:t xml:space="preserve">. </w:t>
      </w:r>
      <w:r w:rsidRPr="00ED5A8A">
        <w:rPr>
          <w:u w:val="single"/>
        </w:rPr>
        <w:t>Además, la potencia en expansión, China, que no es una democracia liberal, está aplicando un modelo de capitalismo de Estado y se está aprovech</w:t>
      </w:r>
      <w:r w:rsidR="00AC745E">
        <w:rPr>
          <w:u w:val="single"/>
        </w:rPr>
        <w:t>ando del sistema global actual -</w:t>
      </w:r>
      <w:r w:rsidRPr="00ED5A8A">
        <w:rPr>
          <w:u w:val="single"/>
        </w:rPr>
        <w:t>en términos de comercio, tipos de</w:t>
      </w:r>
      <w:r w:rsidR="00AC745E">
        <w:rPr>
          <w:u w:val="single"/>
        </w:rPr>
        <w:t xml:space="preserve"> cambio, cambio climático-</w:t>
      </w:r>
      <w:r w:rsidRPr="00ED5A8A">
        <w:rPr>
          <w:u w:val="single"/>
        </w:rPr>
        <w:t xml:space="preserve"> en vez de participar en la provisión de bienes públicos comunes</w:t>
      </w:r>
      <w:r>
        <w:t xml:space="preserve">. Y, si bien hay un descontento general con el dólar estadounidense, </w:t>
      </w:r>
      <w:r w:rsidRPr="00ED5A8A">
        <w:rPr>
          <w:u w:val="single"/>
        </w:rPr>
        <w:t>el renminbi chino aún dista de convertirse en una de las principales monedas de reserva, ya no se diga en la dominante.</w:t>
      </w:r>
    </w:p>
    <w:p w:rsidR="002F07D4" w:rsidRDefault="002F07D4" w:rsidP="002F07D4">
      <w:pPr>
        <w:pStyle w:val="NormalWeb"/>
        <w:jc w:val="both"/>
      </w:pPr>
      <w:r w:rsidRPr="00ED5A8A">
        <w:rPr>
          <w:u w:val="single"/>
        </w:rPr>
        <w:lastRenderedPageBreak/>
        <w:t>Este vacío de poder ha reforzado la ausencia de liderazgo de la gobernanza política y económica global en el G-20 desde que se convirtió en el sucesor del G-7 al principio de la reciente crisis económica y financiera.</w:t>
      </w:r>
      <w:r>
        <w:t xml:space="preserve"> En efecto, con la excepción de la cumbre de Londres de abril de 2009, en la que se llegó a un consenso sobre los estímulos monetarios y fiscales conjuntos, el G-20 ha sido sólo un foro burocrático más en el que mucho se discute y muy poco se acuerda.</w:t>
      </w:r>
    </w:p>
    <w:p w:rsidR="002F07D4" w:rsidRPr="00ED5A8A" w:rsidRDefault="002F07D4" w:rsidP="002F07D4">
      <w:pPr>
        <w:pStyle w:val="NormalWeb"/>
        <w:jc w:val="both"/>
        <w:rPr>
          <w:u w:val="single"/>
        </w:rPr>
      </w:pPr>
      <w:r w:rsidRPr="00ED5A8A">
        <w:rPr>
          <w:u w:val="single"/>
        </w:rPr>
        <w:t>Como resultado, las potencias económicas globales se han quedado discutiendo si necesitamos más estímulos monetarios y fiscales o menos. También hay desacuerdos importantes sobre si se deben reducir los actuales dese</w:t>
      </w:r>
      <w:r>
        <w:rPr>
          <w:u w:val="single"/>
        </w:rPr>
        <w:t>quilibrios de cuenta corriente -</w:t>
      </w:r>
      <w:r w:rsidRPr="00ED5A8A">
        <w:rPr>
          <w:u w:val="single"/>
        </w:rPr>
        <w:t>y sobre el papel que los movimientos de las divisas deben desempeñar en este ajuste. Las tensiones sobre los tipos de cambio están conduciendo a guerras de divisas, que a su vez pueden provocar con el tiempo guerras comerciales y proteccionismo.</w:t>
      </w:r>
    </w:p>
    <w:p w:rsidR="002F07D4" w:rsidRPr="00ED5A8A" w:rsidRDefault="002F07D4" w:rsidP="002F07D4">
      <w:pPr>
        <w:pStyle w:val="NormalWeb"/>
        <w:jc w:val="both"/>
        <w:rPr>
          <w:color w:val="FF0000"/>
          <w:u w:val="single"/>
        </w:rPr>
      </w:pPr>
      <w:r w:rsidRPr="00ED5A8A">
        <w:rPr>
          <w:color w:val="FF0000"/>
          <w:u w:val="single"/>
        </w:rPr>
        <w:t>En efecto, no sólo está muerta de hecho la ronda de Doha de negociaciones multilaterales sobre el libre comercio, sino que ahora también hay un riesgo creciente de proteccionismo financiero a medida que los países vuelven a imponer controles de capital sobre los volátiles flujos financieros globales y la inversión extranjera directa. Del mismo modo, hay muy poco consenso sobre cómo reformar la regulación y supervisión de</w:t>
      </w:r>
      <w:r>
        <w:rPr>
          <w:color w:val="FF0000"/>
          <w:u w:val="single"/>
        </w:rPr>
        <w:t xml:space="preserve"> las instituciones financieras -</w:t>
      </w:r>
      <w:r w:rsidRPr="00ED5A8A">
        <w:rPr>
          <w:color w:val="FF0000"/>
          <w:u w:val="single"/>
        </w:rPr>
        <w:t xml:space="preserve">y menos </w:t>
      </w:r>
      <w:r w:rsidR="00FD69A7" w:rsidRPr="00ED5A8A">
        <w:rPr>
          <w:color w:val="FF0000"/>
          <w:u w:val="single"/>
        </w:rPr>
        <w:t>aún</w:t>
      </w:r>
      <w:r w:rsidRPr="00ED5A8A">
        <w:rPr>
          <w:color w:val="FF0000"/>
          <w:u w:val="single"/>
        </w:rPr>
        <w:t xml:space="preserve"> sobre cómo reformar un sistema monetario internacional basado en tipos de cambio flexibles y en el papel central del dólar como la principal moneda de reserva.</w:t>
      </w:r>
    </w:p>
    <w:p w:rsidR="002F07D4" w:rsidRDefault="002F07D4" w:rsidP="002F07D4">
      <w:pPr>
        <w:pStyle w:val="NormalWeb"/>
        <w:jc w:val="both"/>
      </w:pPr>
      <w:r w:rsidRPr="00ED5A8A">
        <w:rPr>
          <w:color w:val="FF0000"/>
          <w:u w:val="single"/>
        </w:rPr>
        <w:t>Las negociaciones sobre el cambio climático también han terminado en fracasos similares, Y predominan los desacuerdos sobre cómo abordar la seguridad alimentaria y energética en medio de una nueva lucha por los recursos globales</w:t>
      </w:r>
      <w:r>
        <w:t>. Además, en cuestiones de geopolítica mundial -las tensiones en la península de Corea, las ambiciones nucleares de Irán, el conflicto árabe-israelí, los desórdenes en Afganistán y Pakistán y la transición política en los regímenes autocráticos del Medio Oriente -las grandes potencias no se ponen de acuerdo y son incapaces de imponer soluciones estables.</w:t>
      </w:r>
    </w:p>
    <w:p w:rsidR="002F07D4" w:rsidRPr="00ED5A8A" w:rsidRDefault="002F07D4" w:rsidP="002F07D4">
      <w:pPr>
        <w:pStyle w:val="NormalWeb"/>
        <w:jc w:val="both"/>
        <w:rPr>
          <w:color w:val="FF0000"/>
          <w:u w:val="single"/>
        </w:rPr>
      </w:pPr>
      <w:r w:rsidRPr="00ED5A8A">
        <w:rPr>
          <w:u w:val="single"/>
        </w:rPr>
        <w:t>Existen varias razones por las que el mundo del G-20 se ha convertido en uno del G-Cero.</w:t>
      </w:r>
      <w:r w:rsidRPr="00ED5A8A">
        <w:rPr>
          <w:color w:val="FF0000"/>
          <w:u w:val="single"/>
        </w:rPr>
        <w:t>Primero, cuando las conversaciones dejan de girar en torno a la cuestión de los principios generales y pasan a la discusión detallada de las propuestas políticas, es mucho más difícil lograr acuerdos claros entre 20 negociadores que entre 7.</w:t>
      </w:r>
    </w:p>
    <w:p w:rsidR="002F07D4" w:rsidRPr="00ED5A8A" w:rsidRDefault="002F07D4" w:rsidP="002F07D4">
      <w:pPr>
        <w:pStyle w:val="NormalWeb"/>
        <w:jc w:val="both"/>
        <w:rPr>
          <w:color w:val="FF0000"/>
          <w:u w:val="single"/>
        </w:rPr>
      </w:pPr>
      <w:r w:rsidRPr="00ED5A8A">
        <w:rPr>
          <w:color w:val="FF0000"/>
          <w:u w:val="single"/>
        </w:rPr>
        <w:t>Segundo, los dirigentes del G-7 comparten la idea de que el libre mercado tiene el poder de generar prosperidad de largo plazo y de la importancia de la democracia para la estabilidad política y justicia social. El G-20, por otro lado, incluye gobiernos autocráticos con diferentes puntos de vista sobre el papel del Estado en la economía, sobre el Estado de derecho, los derechos de propiedad, la transparencia y la libertad de expresión.</w:t>
      </w:r>
    </w:p>
    <w:p w:rsidR="002F07D4" w:rsidRPr="00ED5A8A" w:rsidRDefault="002F07D4" w:rsidP="002F07D4">
      <w:pPr>
        <w:pStyle w:val="NormalWeb"/>
        <w:jc w:val="both"/>
        <w:rPr>
          <w:color w:val="FF0000"/>
          <w:u w:val="single"/>
        </w:rPr>
      </w:pPr>
      <w:r w:rsidRPr="00ED5A8A">
        <w:rPr>
          <w:color w:val="FF0000"/>
          <w:u w:val="single"/>
        </w:rPr>
        <w:t xml:space="preserve">Tercero, las potencias occidentales ahora no tienen el consenso político nacional y los recursos financieros para avanzar en los temas de la agenda internacional. Los Estados Unidos están polarizados políticamente, y en algún momento deben empezar a reducir su déficit presupuestal. Europa está concentrada intentando tratando de rescatar la eurozona y no tiene una política exterior o de defensa común. Además, la parálisis </w:t>
      </w:r>
      <w:r w:rsidRPr="00ED5A8A">
        <w:rPr>
          <w:color w:val="FF0000"/>
          <w:u w:val="single"/>
        </w:rPr>
        <w:lastRenderedPageBreak/>
        <w:t>política de Japón frente a las reformas estructurales lo ha dejado sin la capacidad de frenar el declive económico de largo plazo.</w:t>
      </w:r>
    </w:p>
    <w:p w:rsidR="002F07D4" w:rsidRPr="00ED5A8A" w:rsidRDefault="002F07D4" w:rsidP="002F07D4">
      <w:pPr>
        <w:pStyle w:val="NormalWeb"/>
        <w:jc w:val="both"/>
        <w:rPr>
          <w:color w:val="FF0000"/>
          <w:u w:val="single"/>
        </w:rPr>
      </w:pPr>
      <w:r w:rsidRPr="00ED5A8A">
        <w:rPr>
          <w:color w:val="FF0000"/>
          <w:u w:val="single"/>
        </w:rPr>
        <w:t>Por último, las potencias en ascenso como China, la India y Brasil están demasiado centradas en dirigir la siguiente etapa de su desarrollo nacional como para soportar los costos financieros y políticos que conllevan las nuevas responsabilidades internacionales.</w:t>
      </w:r>
    </w:p>
    <w:p w:rsidR="002F07D4" w:rsidRPr="00ED5A8A" w:rsidRDefault="002F07D4" w:rsidP="002F07D4">
      <w:pPr>
        <w:pStyle w:val="NormalWeb"/>
        <w:jc w:val="both"/>
        <w:rPr>
          <w:u w:val="single"/>
        </w:rPr>
      </w:pPr>
      <w:r w:rsidRPr="00ED5A8A">
        <w:rPr>
          <w:u w:val="single"/>
        </w:rPr>
        <w:t>En resumen, por primera vez desde la Segunda Guerra Mundial, ningún país o alianza fuerte de países tiene la voluntad política y la influencia económica para lograr sus metas en la escena mundial. Este vacío puede alentar, como ha sucedido en períodos históricos anteriores, a los ambiciosos y agresivos a buscar sus propios objetivos.</w:t>
      </w:r>
    </w:p>
    <w:p w:rsidR="002F07D4" w:rsidRPr="00ED5A8A" w:rsidRDefault="002F07D4" w:rsidP="002F07D4">
      <w:pPr>
        <w:pStyle w:val="NormalWeb"/>
        <w:jc w:val="both"/>
        <w:rPr>
          <w:color w:val="FF0000"/>
          <w:u w:val="single"/>
        </w:rPr>
      </w:pPr>
      <w:r w:rsidRPr="00ED5A8A">
        <w:rPr>
          <w:color w:val="FF0000"/>
          <w:u w:val="single"/>
        </w:rPr>
        <w:t xml:space="preserve">En un mundo así, la ausencia de un acuerdo de alto nivel sobre la creación de un nuevo </w:t>
      </w:r>
      <w:r>
        <w:rPr>
          <w:color w:val="FF0000"/>
          <w:u w:val="single"/>
        </w:rPr>
        <w:t>sistema de seguridad colectiva -</w:t>
      </w:r>
      <w:r w:rsidRPr="00ED5A8A">
        <w:rPr>
          <w:color w:val="FF0000"/>
          <w:u w:val="single"/>
        </w:rPr>
        <w:t>centrado en la ec</w:t>
      </w:r>
      <w:r>
        <w:rPr>
          <w:color w:val="FF0000"/>
          <w:u w:val="single"/>
        </w:rPr>
        <w:t xml:space="preserve">onomía y no en el poder militar- </w:t>
      </w:r>
      <w:r w:rsidRPr="00ED5A8A">
        <w:rPr>
          <w:color w:val="FF0000"/>
          <w:u w:val="single"/>
        </w:rPr>
        <w:t>no es sólo irresponsable, sino peligroso. Un mundo del G-Cero sin liderazgo y cooperación multilateral representa un equilibrio inestable para la prosperidad económica y la seguridad global.</w:t>
      </w:r>
    </w:p>
    <w:p w:rsidR="002F07D4" w:rsidRDefault="002F07D4" w:rsidP="002F07D4">
      <w:pPr>
        <w:pStyle w:val="NormalWeb"/>
        <w:jc w:val="both"/>
      </w:pPr>
      <w:r>
        <w:t>(Nouriel Roubini es presidente de Roubini Global Economics, profesor de Economía de la Escuela de Negocios Stern (Stern School of Business) de la Universidad de Nueva York, y coautor de Crisis Economics: A Crash Course in the Future of Finance. Este artículo se basó en uno elaborado en coautoría con Ian Bremmer, que se publicará en el número de marzo-abril de la revista Foreign Affairs)</w:t>
      </w:r>
    </w:p>
    <w:p w:rsidR="002F07D4" w:rsidRDefault="002F07D4" w:rsidP="002F07D4">
      <w:pPr>
        <w:pStyle w:val="NormalWeb"/>
        <w:jc w:val="both"/>
      </w:pPr>
      <w:r>
        <w:t xml:space="preserve">- </w:t>
      </w:r>
      <w:r w:rsidRPr="002A698E">
        <w:rPr>
          <w:u w:val="single"/>
        </w:rPr>
        <w:t xml:space="preserve">La estructura en evolución del crecimiento global </w:t>
      </w:r>
      <w:r>
        <w:t xml:space="preserve">(Project Syndicate - </w:t>
      </w:r>
      <w:r w:rsidRPr="002A698E">
        <w:rPr>
          <w:b/>
        </w:rPr>
        <w:t>14/2/11</w:t>
      </w:r>
      <w:r>
        <w:t>)</w:t>
      </w:r>
    </w:p>
    <w:p w:rsidR="002F07D4" w:rsidRPr="00BA4679" w:rsidRDefault="002F07D4" w:rsidP="002F07D4">
      <w:pPr>
        <w:pStyle w:val="NormalWeb"/>
        <w:jc w:val="both"/>
      </w:pPr>
      <w:r w:rsidRPr="00BA4679">
        <w:t>(Por Michael Spence and Sandile Hlatshwayo)                                Lectura recomendada</w:t>
      </w:r>
    </w:p>
    <w:p w:rsidR="002F07D4" w:rsidRPr="00901104" w:rsidRDefault="002F07D4" w:rsidP="002F07D4">
      <w:pPr>
        <w:pStyle w:val="NormalWeb"/>
        <w:jc w:val="both"/>
        <w:rPr>
          <w:u w:val="single"/>
        </w:rPr>
      </w:pPr>
      <w:r>
        <w:t xml:space="preserve">Nueva York.- </w:t>
      </w:r>
      <w:r w:rsidRPr="00901104">
        <w:rPr>
          <w:u w:val="single"/>
        </w:rPr>
        <w:t>Desde el final de la Segunda Guerra Mundial ha aumentado la apertura comercial y financiera de la economía global, gracias a instituciones como el Fondo Monetario Internacional y a rondas sucesivas de liberalización que empezaron en 1947 con el Acuerdo General sobre Aranceles Aduaneros y Comercio (GATT). Al mismo tiempo, el colonialismo se derrumbó y ahora estamos a poco más de la mitad de un proceso de modernización que durará un siglo para muchos de los países en desarrollo que surgieron. Pero, ¿adónde ha conducido ese proceso, adónde nos lleva ahora y, tal vez lo más importante, cómo podemos influir en su curso?</w:t>
      </w:r>
    </w:p>
    <w:p w:rsidR="002F07D4" w:rsidRDefault="002F07D4" w:rsidP="002F07D4">
      <w:pPr>
        <w:pStyle w:val="NormalWeb"/>
        <w:jc w:val="both"/>
      </w:pPr>
      <w:r>
        <w:t>Cuando disminuyeron las barreras formales a los flujos comerciales y de capital, varias tendencias se combinaron para acelerar el crecimiento y el cambio estructural en las economías postcoloniales y otras economías en desarrollo. Entre ellas estuvieron los avances tecnológicos (particularmente en el transporte y las comunicaciones), las innovaciones en la gestión de las empresas multinacionales y la integración de las cadenas productivas de estas empresas.</w:t>
      </w:r>
    </w:p>
    <w:p w:rsidR="002F07D4" w:rsidRDefault="002F07D4" w:rsidP="002F07D4">
      <w:pPr>
        <w:pStyle w:val="NormalWeb"/>
        <w:jc w:val="both"/>
      </w:pPr>
      <w:r>
        <w:t xml:space="preserve">Así pues, en los primeros años de la posguerra, los países en desarrollo, cuyas exportaciones habían consistido principalmente en recursos naturales y productos agrícolas, ampliaron sus operaciones a las manufacturas intensivas en mano de obra. Primero llegaron los textiles y el vestido, y después, las maletas, las vajillas, los juguetes, etc. Las cadenas de suministro también se dispersaron geográficamente, y los </w:t>
      </w:r>
      <w:r>
        <w:lastRenderedPageBreak/>
        <w:t>componentes y procesos de menor valor agregado se asignaron a los países de bajos ingresos.</w:t>
      </w:r>
    </w:p>
    <w:p w:rsidR="002F07D4" w:rsidRDefault="002F07D4" w:rsidP="002F07D4">
      <w:pPr>
        <w:pStyle w:val="NormalWeb"/>
        <w:jc w:val="both"/>
      </w:pPr>
      <w:r>
        <w:t>Por ejemplo, en el caso de los productos electrónicos de consumo, los países de bajos ingresos se convirtieron en el lugar natural para los procesos de ensamblado intensivos en mano de obra. Sin embargo, los semiconductores, las tarjetas de circuitos y otros componentes se diseñaban y fabricaban en países de ingreso medio, como Corea.</w:t>
      </w:r>
    </w:p>
    <w:p w:rsidR="002F07D4" w:rsidRDefault="002F07D4" w:rsidP="002F07D4">
      <w:pPr>
        <w:pStyle w:val="NormalWeb"/>
        <w:jc w:val="both"/>
      </w:pPr>
      <w:r w:rsidRPr="00901104">
        <w:rPr>
          <w:u w:val="single"/>
        </w:rPr>
        <w:t>Si bien la mejor descripción de la estructura cambiante de la economía global es como un viaje que se emprende una sola vez, el crecimiento en los países en desarrollo muestra ciertos patrones que se repiten. Hay fuerzas económicas poderosas que impulsan la evolución estructural y la diversificación económica que sustentan el crecimiento y producen transiciones que tienen elementos comunes</w:t>
      </w:r>
      <w:r>
        <w:t>.</w:t>
      </w:r>
    </w:p>
    <w:p w:rsidR="002F07D4" w:rsidRDefault="002F07D4" w:rsidP="002F07D4">
      <w:pPr>
        <w:pStyle w:val="NormalWeb"/>
        <w:jc w:val="both"/>
      </w:pPr>
      <w:r>
        <w:t>Por ejemplo, después de más de 30 años de crecimiento acelerado, China está entrando a una “transición a los ingresos medios”. Con el tiempo, los componentes intensivos en mano de obra de las cadenas de valor agregado se alejarán de las zonas de ingresos más altos de China. Con la ayuda de enormes inversiones públicas en infraestructura y capacidades logísticas, parte de esa labor se desplazará al interior, donde los ingresos son menores. No obstante, a la larga, las actividades intensivas en mano de obra se irán a países que estén en etapas menos avanzadas de desarrollo, mientras que China asciende en la cadena de valor en el sector de las exportaciones y, con ingresos crecientes, también en la producción para el consumo interno.</w:t>
      </w:r>
    </w:p>
    <w:p w:rsidR="002F07D4" w:rsidRPr="00901104" w:rsidRDefault="002F07D4" w:rsidP="002F07D4">
      <w:pPr>
        <w:pStyle w:val="NormalWeb"/>
        <w:jc w:val="both"/>
        <w:rPr>
          <w:color w:val="FF0000"/>
          <w:u w:val="single"/>
        </w:rPr>
      </w:pPr>
      <w:r w:rsidRPr="00901104">
        <w:rPr>
          <w:color w:val="FF0000"/>
          <w:u w:val="single"/>
        </w:rPr>
        <w:t xml:space="preserve">No obstante, a veces se considera que esta transición a los ingresos medios es una trampa. En efecto, el crecimiento de la mayoría de los países que entran a esta etapa se desacelera o incluso se detiene. De los 13 casos de crecimiento acelerado sostenido de la posguerra (que pronto serán 15 con la India y </w:t>
      </w:r>
      <w:r>
        <w:rPr>
          <w:color w:val="FF0000"/>
          <w:u w:val="single"/>
        </w:rPr>
        <w:t>Vietnam), sólo cinco economías -</w:t>
      </w:r>
      <w:r w:rsidRPr="00901104">
        <w:rPr>
          <w:color w:val="FF0000"/>
          <w:u w:val="single"/>
        </w:rPr>
        <w:t xml:space="preserve"> Japón, Corea,</w:t>
      </w:r>
      <w:r>
        <w:rPr>
          <w:color w:val="FF0000"/>
          <w:u w:val="single"/>
        </w:rPr>
        <w:t xml:space="preserve"> Taiwán, Hong Kong, y Singapur-</w:t>
      </w:r>
      <w:r w:rsidRPr="00901104">
        <w:rPr>
          <w:color w:val="FF0000"/>
          <w:u w:val="single"/>
        </w:rPr>
        <w:t xml:space="preserve"> han mantenido tasas elevadas de crecimiento durante la transición a los ingresos medios y han avanzado hasta llegar a los niveles de ingreso</w:t>
      </w:r>
      <w:r w:rsidR="00AC745E">
        <w:rPr>
          <w:color w:val="FF0000"/>
          <w:u w:val="single"/>
        </w:rPr>
        <w:t>s de los países avanzados de 20.</w:t>
      </w:r>
      <w:r w:rsidRPr="00901104">
        <w:rPr>
          <w:color w:val="FF0000"/>
          <w:u w:val="single"/>
        </w:rPr>
        <w:t>000 dólares per cápita o más.</w:t>
      </w:r>
    </w:p>
    <w:p w:rsidR="002F07D4" w:rsidRPr="00901104" w:rsidRDefault="002F07D4" w:rsidP="002F07D4">
      <w:pPr>
        <w:pStyle w:val="NormalWeb"/>
        <w:jc w:val="both"/>
        <w:rPr>
          <w:u w:val="single"/>
        </w:rPr>
      </w:pPr>
      <w:r w:rsidRPr="00901104">
        <w:rPr>
          <w:u w:val="single"/>
        </w:rPr>
        <w:t>Todos estos cambios estructurales son parte de un paisaje económico global que cambia constantemente y cuyo patrón agregado no es perfectamente previsible, en parte porque los países se integran a la economía global y empiezan a participar en ella en momentos distintos y crecen a tasas diferentes. Las primeras econom</w:t>
      </w:r>
      <w:r>
        <w:rPr>
          <w:u w:val="single"/>
        </w:rPr>
        <w:t>ías con crecimiento acelerado -Japón, Corea del Sur y Taiwán-</w:t>
      </w:r>
      <w:r w:rsidRPr="00901104">
        <w:rPr>
          <w:u w:val="single"/>
        </w:rPr>
        <w:t xml:space="preserve"> exportaron inicialmente productos intensivos en mano de obra, y luego pasaron a productos más intensivos en capital, como los automóviles, y posteriormente a actividades intensivas en capital humano, como el diseño y desarrollo de tecnología. A medida que crecieron los salarios, las viejas actividades intensivas en mano de obra se desplazaron hacia países que se integraron más tarde a la economía global.</w:t>
      </w:r>
    </w:p>
    <w:p w:rsidR="002F07D4" w:rsidRPr="00901104" w:rsidRDefault="002F07D4" w:rsidP="002F07D4">
      <w:pPr>
        <w:pStyle w:val="NormalWeb"/>
        <w:jc w:val="both"/>
        <w:rPr>
          <w:u w:val="single"/>
        </w:rPr>
      </w:pPr>
      <w:r w:rsidRPr="00901104">
        <w:rPr>
          <w:u w:val="single"/>
        </w:rPr>
        <w:t xml:space="preserve">China aceleró hasta llegar a un patrón de crecimiento elevado a finales de los años setenta y principios de los ochenta debido a los beneficios que le daba su mano de obra barata y a un cambio fundamental de la política económica. Sin embargo, nadie previó el cambio abrupto de ese país de una economía cerrada, centralmente planificada, a una más abierta, orientada al mercado, con una mayor libertad económica para las personas y las empresas por igual. </w:t>
      </w:r>
    </w:p>
    <w:p w:rsidR="002F07D4" w:rsidRPr="00901104" w:rsidRDefault="002F07D4" w:rsidP="002F07D4">
      <w:pPr>
        <w:pStyle w:val="NormalWeb"/>
        <w:jc w:val="both"/>
        <w:rPr>
          <w:color w:val="FF0000"/>
          <w:u w:val="single"/>
        </w:rPr>
      </w:pPr>
      <w:r w:rsidRPr="00901104">
        <w:rPr>
          <w:color w:val="FF0000"/>
          <w:u w:val="single"/>
        </w:rPr>
        <w:lastRenderedPageBreak/>
        <w:t>A medida que las economías de mercado emergentes pasan a los componentes de mayor valor agregado en las cadenas de suministro mundial, su capital físico, humano e institucional se fortalece. Ello hace que sus estructuras se acerquen a las de los países avanzados e introduce una mayor competencia en la que alguna vez fuera el área exclus</w:t>
      </w:r>
      <w:r>
        <w:rPr>
          <w:color w:val="FF0000"/>
          <w:u w:val="single"/>
        </w:rPr>
        <w:t>iva de las economías avanzadas -</w:t>
      </w:r>
      <w:r w:rsidRPr="00901104">
        <w:rPr>
          <w:color w:val="FF0000"/>
          <w:u w:val="single"/>
        </w:rPr>
        <w:t>los bienes y servicios de valor agregado más sofisticados.</w:t>
      </w:r>
    </w:p>
    <w:p w:rsidR="002F07D4" w:rsidRPr="00901104" w:rsidRDefault="002F07D4" w:rsidP="002F07D4">
      <w:pPr>
        <w:pStyle w:val="NormalWeb"/>
        <w:jc w:val="both"/>
        <w:rPr>
          <w:color w:val="FF0000"/>
          <w:u w:val="single"/>
        </w:rPr>
      </w:pPr>
      <w:r w:rsidRPr="00901104">
        <w:rPr>
          <w:color w:val="FF0000"/>
          <w:u w:val="single"/>
        </w:rPr>
        <w:t>En este punto, los países llegan a una encrucijada. El tamaño agregado de los países en desarrollo (en especial de las principales economías emergentes), sus ingresos crecientes y su continuo movimiento ascendente en la cadena de valor están teniendo un impacto cada vez mayor en las economías avanzadas, en particular en sus sectores comercializables.</w:t>
      </w:r>
    </w:p>
    <w:p w:rsidR="002F07D4" w:rsidRPr="00901104" w:rsidRDefault="002F07D4" w:rsidP="002F07D4">
      <w:pPr>
        <w:pStyle w:val="NormalWeb"/>
        <w:jc w:val="both"/>
        <w:rPr>
          <w:color w:val="FF0000"/>
          <w:u w:val="single"/>
        </w:rPr>
      </w:pPr>
      <w:r w:rsidRPr="00901104">
        <w:rPr>
          <w:color w:val="FF0000"/>
          <w:u w:val="single"/>
        </w:rPr>
        <w:t>¿Cuál es el impacto en un país avanzado de gran tamaño como los Estados Unidos? Aproximadamente el 98% de los 27.3 millones de nuevos empleos netos creados en ese país desde los años noventa han sido en el sector no comercializable –principalmente en el gobierno, los servicios de salud, el comercio minorista, las atenciones sociales y los bienes raíces. Dadas las limitaciones de largo plazo en el gasto fiscal y el de los hogares a raíz de la crisis financiera y las presiones que empujan a la baja los precios de los activos, la sostenibilidad de un patrón de empleo como ese es cuestionable.</w:t>
      </w:r>
    </w:p>
    <w:p w:rsidR="002F07D4" w:rsidRPr="00901104" w:rsidRDefault="002F07D4" w:rsidP="002F07D4">
      <w:pPr>
        <w:pStyle w:val="NormalWeb"/>
        <w:jc w:val="both"/>
        <w:rPr>
          <w:color w:val="FF0000"/>
          <w:u w:val="single"/>
        </w:rPr>
      </w:pPr>
      <w:r w:rsidRPr="00901104">
        <w:rPr>
          <w:color w:val="FF0000"/>
          <w:u w:val="single"/>
        </w:rPr>
        <w:t>En efecto, la insuficiente demanda interna posterior a la crisis está causando un desempleo persistentemente alto, incluso cuando la economía recupera algo de su impulso de crecimiento. En principio, la demanda externa, en especial la de los mercados emergentes de alto crecimiento, podría compensar parte de la diferencia. Sin embargo, eso no ha sucedi</w:t>
      </w:r>
      <w:r>
        <w:rPr>
          <w:color w:val="FF0000"/>
          <w:u w:val="single"/>
        </w:rPr>
        <w:t>do -</w:t>
      </w:r>
      <w:r w:rsidRPr="00901104">
        <w:rPr>
          <w:color w:val="FF0000"/>
          <w:u w:val="single"/>
        </w:rPr>
        <w:t>al menos, no por el momento. Aunque el déficit comercial de los Estados Uni</w:t>
      </w:r>
      <w:r w:rsidR="00AC745E">
        <w:rPr>
          <w:color w:val="FF0000"/>
          <w:u w:val="single"/>
        </w:rPr>
        <w:t>dos disminuyó de 702.</w:t>
      </w:r>
      <w:r w:rsidRPr="00901104">
        <w:rPr>
          <w:color w:val="FF0000"/>
          <w:u w:val="single"/>
        </w:rPr>
        <w:t>000 mi</w:t>
      </w:r>
      <w:r w:rsidR="00AC745E">
        <w:rPr>
          <w:color w:val="FF0000"/>
          <w:u w:val="single"/>
        </w:rPr>
        <w:t>llones de dólares en 2007 a 375.</w:t>
      </w:r>
      <w:r w:rsidRPr="00901104">
        <w:rPr>
          <w:color w:val="FF0000"/>
          <w:u w:val="single"/>
        </w:rPr>
        <w:t>000 millones de dólares en 2009, el ajuste se debió completamente a la caída drás</w:t>
      </w:r>
      <w:r w:rsidR="00AC745E">
        <w:rPr>
          <w:color w:val="FF0000"/>
          <w:u w:val="single"/>
        </w:rPr>
        <w:t>tica de las importaciones, de 2,35 billones de dólares a 1,</w:t>
      </w:r>
      <w:r w:rsidRPr="00901104">
        <w:rPr>
          <w:color w:val="FF0000"/>
          <w:u w:val="single"/>
        </w:rPr>
        <w:t>95 billones de dólares, mientras que las exportaciones en realidad</w:t>
      </w:r>
      <w:r w:rsidR="00AC745E">
        <w:rPr>
          <w:color w:val="FF0000"/>
          <w:u w:val="single"/>
        </w:rPr>
        <w:t xml:space="preserve"> disminuyeron ligeramente, de 1,65 billones de dólares a 1,</w:t>
      </w:r>
      <w:r w:rsidRPr="00901104">
        <w:rPr>
          <w:color w:val="FF0000"/>
          <w:u w:val="single"/>
        </w:rPr>
        <w:t>57 billones de dólares.</w:t>
      </w:r>
    </w:p>
    <w:p w:rsidR="002F07D4" w:rsidRPr="00C83396" w:rsidRDefault="002F07D4" w:rsidP="002F07D4">
      <w:pPr>
        <w:pStyle w:val="NormalWeb"/>
        <w:jc w:val="both"/>
        <w:rPr>
          <w:color w:val="FF0000"/>
          <w:u w:val="single"/>
        </w:rPr>
      </w:pPr>
      <w:r w:rsidRPr="00C83396">
        <w:rPr>
          <w:color w:val="FF0000"/>
          <w:u w:val="single"/>
        </w:rPr>
        <w:t>El crecimiento de las exportaciones podría proceder de una mayor expansión en partes de las cadenas de valor agregado en las que los Estados Unidos ya son competitivos (las finanzas, los seguros y el diseño de sistemas de computación, por ejemplo). Pero el alcance mismo del sector de las exportaciones tendrá que ampliarse a fin de generar empleo suficiente y reducir el déficit externo.</w:t>
      </w:r>
    </w:p>
    <w:p w:rsidR="002F07D4" w:rsidRDefault="002F07D4" w:rsidP="002F07D4">
      <w:pPr>
        <w:pStyle w:val="NormalWeb"/>
        <w:jc w:val="both"/>
      </w:pPr>
      <w:r w:rsidRPr="00C83396">
        <w:rPr>
          <w:u w:val="single"/>
        </w:rPr>
        <w:t>Para ello será necesario restablecer y crear competitividad en un conjunto ampliado de componentes de valor agregado del sector comercializable. Sería agradable que hubiera una forma fácil y razonablemente segura de lograrlo, pero no la hay, y el proteccionismo ciertamente no es la respuesta</w:t>
      </w:r>
      <w:r>
        <w:t>. Es un desafío complejo para cualquier país, que requiere un enfoque múltiple para aumentar la inversión en capital humano, la base tecnológica de la economía y la infraestructura.</w:t>
      </w:r>
    </w:p>
    <w:p w:rsidR="002F07D4" w:rsidRPr="00E27BFB" w:rsidRDefault="002F07D4" w:rsidP="002F07D4">
      <w:pPr>
        <w:pStyle w:val="NormalWeb"/>
        <w:jc w:val="both"/>
        <w:rPr>
          <w:lang w:val="en-GB"/>
        </w:rPr>
      </w:pPr>
      <w:r>
        <w:t xml:space="preserve">(Michael Spence, Premio Nobel de Economía, es profesor de Economía de la Stern School of Business de la Universidad de Nueva York. </w:t>
      </w:r>
      <w:r w:rsidRPr="00E27BFB">
        <w:rPr>
          <w:lang w:val="en-GB"/>
        </w:rPr>
        <w:t>Sandile Hlatshwayo es investigadora de la Stern School. Copyright: Project Syndicate, 2011)</w:t>
      </w:r>
    </w:p>
    <w:p w:rsidR="002F07D4" w:rsidRPr="00F12AF7" w:rsidRDefault="002F07D4" w:rsidP="002F07D4">
      <w:pPr>
        <w:spacing w:line="240" w:lineRule="auto"/>
        <w:jc w:val="both"/>
        <w:rPr>
          <w:rFonts w:ascii="Times New Roman" w:hAnsi="Times New Roman"/>
          <w:b/>
          <w:sz w:val="24"/>
          <w:szCs w:val="24"/>
          <w:lang w:val="en-US"/>
        </w:rPr>
      </w:pPr>
      <w:r w:rsidRPr="00F12AF7">
        <w:rPr>
          <w:rFonts w:ascii="Times New Roman" w:hAnsi="Times New Roman"/>
          <w:b/>
          <w:sz w:val="24"/>
          <w:szCs w:val="24"/>
          <w:lang w:val="en-US"/>
        </w:rPr>
        <w:t>The Too-Important-to-Fail Conundrum</w:t>
      </w:r>
    </w:p>
    <w:p w:rsidR="002F07D4" w:rsidRPr="00F01F4D" w:rsidRDefault="002F07D4" w:rsidP="002F07D4">
      <w:pPr>
        <w:spacing w:after="0" w:line="240" w:lineRule="auto"/>
        <w:jc w:val="both"/>
        <w:rPr>
          <w:rFonts w:ascii="Times New Roman" w:eastAsia="Times New Roman" w:hAnsi="Times New Roman"/>
          <w:sz w:val="24"/>
          <w:szCs w:val="24"/>
          <w:lang w:eastAsia="es-ES"/>
        </w:rPr>
      </w:pPr>
      <w:r w:rsidRPr="00F01F4D">
        <w:rPr>
          <w:rFonts w:ascii="Times New Roman" w:eastAsia="Times New Roman" w:hAnsi="Times New Roman"/>
          <w:sz w:val="24"/>
          <w:szCs w:val="24"/>
          <w:lang w:eastAsia="es-ES"/>
        </w:rPr>
        <w:lastRenderedPageBreak/>
        <w:t xml:space="preserve">En junio de 2011, al inversor Carl Icahn </w:t>
      </w:r>
      <w:r w:rsidRPr="00F01F4D">
        <w:rPr>
          <w:rFonts w:ascii="Times New Roman" w:eastAsia="Times New Roman" w:hAnsi="Times New Roman"/>
          <w:bCs/>
          <w:sz w:val="24"/>
          <w:szCs w:val="24"/>
          <w:lang w:eastAsia="es-ES"/>
        </w:rPr>
        <w:t xml:space="preserve">se le unía </w:t>
      </w:r>
      <w:hyperlink r:id="rId188" w:anchor="!/marcgarrigasait/status/77074480811347969" w:history="1">
        <w:r w:rsidRPr="00F01F4D">
          <w:rPr>
            <w:rFonts w:ascii="Times New Roman" w:eastAsia="Times New Roman" w:hAnsi="Times New Roman"/>
            <w:bCs/>
            <w:sz w:val="24"/>
            <w:szCs w:val="24"/>
            <w:lang w:eastAsia="es-ES"/>
          </w:rPr>
          <w:t>Mark Mobius</w:t>
        </w:r>
      </w:hyperlink>
      <w:r>
        <w:rPr>
          <w:rFonts w:ascii="Times New Roman" w:eastAsia="Times New Roman" w:hAnsi="Times New Roman"/>
          <w:bCs/>
          <w:sz w:val="24"/>
          <w:szCs w:val="24"/>
          <w:lang w:eastAsia="es-ES"/>
        </w:rPr>
        <w:t xml:space="preserve"> alertando sobre nuevos</w:t>
      </w:r>
      <w:r w:rsidRPr="00F01F4D">
        <w:rPr>
          <w:rFonts w:ascii="Times New Roman" w:eastAsia="Times New Roman" w:hAnsi="Times New Roman"/>
          <w:bCs/>
          <w:sz w:val="24"/>
          <w:szCs w:val="24"/>
          <w:lang w:eastAsia="es-ES"/>
        </w:rPr>
        <w:t xml:space="preserve"> problemas en el horizonte, porque se está cayendo en los mismos errores que en el pasado</w:t>
      </w:r>
      <w:r w:rsidRPr="00F01F4D">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Icahn hacía</w:t>
      </w:r>
      <w:r w:rsidRPr="00F01F4D">
        <w:rPr>
          <w:rFonts w:ascii="Times New Roman" w:eastAsia="Times New Roman" w:hAnsi="Times New Roman"/>
          <w:sz w:val="24"/>
          <w:szCs w:val="24"/>
          <w:lang w:eastAsia="es-ES"/>
        </w:rPr>
        <w:t xml:space="preserve"> hincapié en la asunción de riesgos y en su localización y control</w:t>
      </w:r>
      <w:r>
        <w:rPr>
          <w:rFonts w:ascii="Times New Roman" w:eastAsia="Times New Roman" w:hAnsi="Times New Roman"/>
          <w:sz w:val="24"/>
          <w:szCs w:val="24"/>
          <w:lang w:eastAsia="es-ES"/>
        </w:rPr>
        <w:t>, Mobius se le unía</w:t>
      </w:r>
      <w:r w:rsidRPr="00F01F4D">
        <w:rPr>
          <w:rFonts w:ascii="Times New Roman" w:eastAsia="Times New Roman" w:hAnsi="Times New Roman"/>
          <w:sz w:val="24"/>
          <w:szCs w:val="24"/>
          <w:lang w:eastAsia="es-ES"/>
        </w:rPr>
        <w:t xml:space="preserve"> con su temor sobre la complejidad de los derivados, todo parece girar</w:t>
      </w:r>
      <w:r>
        <w:rPr>
          <w:rFonts w:ascii="Times New Roman" w:eastAsia="Times New Roman" w:hAnsi="Times New Roman"/>
          <w:sz w:val="24"/>
          <w:szCs w:val="24"/>
          <w:lang w:eastAsia="es-ES"/>
        </w:rPr>
        <w:t xml:space="preserve"> en torno al mismo sitio. No eran</w:t>
      </w:r>
      <w:r w:rsidRPr="00F01F4D">
        <w:rPr>
          <w:rFonts w:ascii="Times New Roman" w:eastAsia="Times New Roman" w:hAnsi="Times New Roman"/>
          <w:sz w:val="24"/>
          <w:szCs w:val="24"/>
          <w:lang w:eastAsia="es-ES"/>
        </w:rPr>
        <w:t xml:space="preserve"> los únicos claro, pero sí los más recientes e importantes. Y es que, ¿ha cambiado algo para que lo que hemos visto no se repita? Parece que no.</w:t>
      </w:r>
    </w:p>
    <w:p w:rsidR="002F07D4" w:rsidRDefault="002F07D4" w:rsidP="002F07D4">
      <w:pPr>
        <w:spacing w:after="0" w:line="240" w:lineRule="auto"/>
        <w:jc w:val="both"/>
        <w:rPr>
          <w:rFonts w:ascii="Times New Roman" w:eastAsia="Times New Roman" w:hAnsi="Times New Roman"/>
          <w:sz w:val="24"/>
          <w:szCs w:val="24"/>
          <w:u w:val="single"/>
          <w:lang w:eastAsia="es-ES"/>
        </w:rPr>
      </w:pPr>
    </w:p>
    <w:p w:rsidR="002F07D4" w:rsidRPr="004B63C1"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sz w:val="24"/>
          <w:szCs w:val="24"/>
          <w:lang w:eastAsia="es-ES"/>
        </w:rPr>
        <w:t>Todo esto tiene mucho que ver con los “too big to fail”, y es que son estas grandes entidades quienes gestionan más riesgos, de forma más compleja y quienes amenazan más seriamente el futuro de la economía moderna si llegasen a caer</w:t>
      </w:r>
      <w:r w:rsidRPr="004B63C1">
        <w:rPr>
          <w:rFonts w:ascii="Times New Roman" w:eastAsia="Times New Roman" w:hAnsi="Times New Roman"/>
          <w:bCs/>
          <w:sz w:val="24"/>
          <w:szCs w:val="24"/>
          <w:lang w:eastAsia="es-ES"/>
        </w:rPr>
        <w:t>.</w:t>
      </w:r>
      <w:r w:rsidRPr="004B63C1">
        <w:rPr>
          <w:rFonts w:ascii="Times New Roman" w:eastAsia="Times New Roman" w:hAnsi="Times New Roman"/>
          <w:sz w:val="24"/>
          <w:szCs w:val="24"/>
          <w:lang w:eastAsia="es-ES"/>
        </w:rPr>
        <w:t xml:space="preserve"> Por ello me gustaría presentarles un reciente trabajo del FMI sobre este particular, </w:t>
      </w:r>
      <w:r w:rsidRPr="008231CF">
        <w:rPr>
          <w:rFonts w:ascii="Times New Roman" w:eastAsia="Times New Roman" w:hAnsi="Times New Roman"/>
          <w:iCs/>
          <w:sz w:val="24"/>
          <w:szCs w:val="24"/>
          <w:lang w:eastAsia="es-ES"/>
        </w:rPr>
        <w:t>“</w:t>
      </w:r>
      <w:hyperlink r:id="rId189" w:history="1">
        <w:r w:rsidRPr="008231CF">
          <w:rPr>
            <w:rFonts w:ascii="Times New Roman" w:eastAsia="Times New Roman" w:hAnsi="Times New Roman"/>
            <w:iCs/>
            <w:sz w:val="24"/>
            <w:szCs w:val="24"/>
            <w:lang w:eastAsia="es-ES"/>
          </w:rPr>
          <w:t>The Too-Important-to-Fail Conundrum: Impossible to Ignore and Difficult to Resolve</w:t>
        </w:r>
      </w:hyperlink>
      <w:r w:rsidRPr="008231CF">
        <w:rPr>
          <w:rFonts w:ascii="Times New Roman" w:eastAsia="Times New Roman" w:hAnsi="Times New Roman"/>
          <w:iCs/>
          <w:sz w:val="24"/>
          <w:szCs w:val="24"/>
          <w:lang w:eastAsia="es-ES"/>
        </w:rPr>
        <w:t>”</w:t>
      </w:r>
      <w:r w:rsidRPr="004B63C1">
        <w:rPr>
          <w:rFonts w:ascii="Times New Roman" w:eastAsia="Times New Roman" w:hAnsi="Times New Roman"/>
          <w:i/>
          <w:iCs/>
          <w:sz w:val="24"/>
          <w:szCs w:val="24"/>
          <w:lang w:eastAsia="es-ES"/>
        </w:rPr>
        <w:t xml:space="preserve">, </w:t>
      </w:r>
      <w:r w:rsidRPr="004B63C1">
        <w:rPr>
          <w:rFonts w:ascii="Times New Roman" w:eastAsia="Times New Roman" w:hAnsi="Times New Roman"/>
          <w:sz w:val="24"/>
          <w:szCs w:val="24"/>
          <w:lang w:eastAsia="es-ES"/>
        </w:rPr>
        <w:t>que trata de analizar esta cuestión.</w:t>
      </w:r>
    </w:p>
    <w:p w:rsidR="002F07D4" w:rsidRPr="00684775" w:rsidRDefault="002F07D4" w:rsidP="002F07D4">
      <w:pPr>
        <w:spacing w:after="0" w:line="240" w:lineRule="auto"/>
        <w:jc w:val="both"/>
        <w:rPr>
          <w:rFonts w:ascii="Times New Roman" w:eastAsia="Times New Roman" w:hAnsi="Times New Roman"/>
          <w:color w:val="FF0000"/>
          <w:sz w:val="24"/>
          <w:szCs w:val="24"/>
          <w:u w:val="single"/>
          <w:lang w:eastAsia="es-ES"/>
        </w:rPr>
      </w:pPr>
    </w:p>
    <w:p w:rsidR="002F07D4" w:rsidRPr="004B63C1"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sz w:val="24"/>
          <w:szCs w:val="24"/>
          <w:lang w:eastAsia="es-ES"/>
        </w:rPr>
        <w:t xml:space="preserve">El informe comienza con una idea lapidaria que mucha gente corroborará, el problema de las entidades financieras demasiado grandes para caer </w:t>
      </w:r>
      <w:r w:rsidRPr="004B63C1">
        <w:rPr>
          <w:rFonts w:ascii="Times New Roman" w:eastAsia="Times New Roman" w:hAnsi="Times New Roman"/>
          <w:bCs/>
          <w:sz w:val="24"/>
          <w:szCs w:val="24"/>
          <w:lang w:eastAsia="es-ES"/>
        </w:rPr>
        <w:t>no sólo no se ha solucionado con la crisis sino que éstas han salido reforzadas de ella, tienen ahora una posición mucho más beneficiosa por los competidores que se han quedado por el camino, son incluso más complejas y no han frenado su tendencia al riesgo</w:t>
      </w:r>
      <w:r w:rsidRPr="004B63C1">
        <w:rPr>
          <w:rFonts w:ascii="Times New Roman" w:eastAsia="Times New Roman" w:hAnsi="Times New Roman"/>
          <w:sz w:val="24"/>
          <w:szCs w:val="24"/>
          <w:lang w:eastAsia="es-ES"/>
        </w:rPr>
        <w:t>. Golpe fuerte y certero.</w:t>
      </w:r>
    </w:p>
    <w:p w:rsidR="002F07D4" w:rsidRPr="001F53B6" w:rsidRDefault="002F07D4" w:rsidP="002F07D4">
      <w:pPr>
        <w:spacing w:after="0" w:line="240" w:lineRule="auto"/>
        <w:jc w:val="both"/>
        <w:rPr>
          <w:rFonts w:ascii="Times New Roman" w:eastAsia="Times New Roman" w:hAnsi="Times New Roman"/>
          <w:sz w:val="24"/>
          <w:szCs w:val="24"/>
          <w:lang w:eastAsia="es-ES"/>
        </w:rPr>
      </w:pPr>
    </w:p>
    <w:p w:rsidR="002F07D4" w:rsidRPr="004B63C1" w:rsidRDefault="002F07D4" w:rsidP="002F07D4">
      <w:pPr>
        <w:spacing w:after="0" w:line="240" w:lineRule="auto"/>
        <w:jc w:val="both"/>
        <w:rPr>
          <w:rFonts w:ascii="Times New Roman" w:eastAsia="Times New Roman" w:hAnsi="Times New Roman"/>
          <w:iCs/>
          <w:sz w:val="24"/>
          <w:szCs w:val="24"/>
          <w:lang w:eastAsia="es-ES"/>
        </w:rPr>
      </w:pPr>
      <w:r w:rsidRPr="004B63C1">
        <w:rPr>
          <w:rFonts w:ascii="Times New Roman" w:eastAsia="Times New Roman" w:hAnsi="Times New Roman"/>
          <w:sz w:val="24"/>
          <w:szCs w:val="24"/>
          <w:lang w:eastAsia="es-ES"/>
        </w:rPr>
        <w:t xml:space="preserve">¿Cómo hemos llegado aquí? Pues verán, porque “too big to fail” no es un concepto etéreo, es una realidad que se refleja en el día a día y que provoca que poco a poco el poder se vaya concentrando más. Tanto prestamistas como agencias de rating ven más seguras este tipo de entidades porque si hay problemas reciben ayuda, por dicho motivo </w:t>
      </w:r>
      <w:r w:rsidRPr="004B63C1">
        <w:rPr>
          <w:rFonts w:ascii="Times New Roman" w:eastAsia="Times New Roman" w:hAnsi="Times New Roman"/>
          <w:bCs/>
          <w:sz w:val="24"/>
          <w:szCs w:val="24"/>
          <w:lang w:eastAsia="es-ES"/>
        </w:rPr>
        <w:t>el mercado no tiene en cuenta el riesgo real lo que se traduce en un mejor y más barato acceso a los fondos por parte de las empresas y a su vez en una mayor expansión</w:t>
      </w:r>
      <w:r w:rsidRPr="004B63C1">
        <w:rPr>
          <w:rFonts w:ascii="Times New Roman" w:eastAsia="Times New Roman" w:hAnsi="Times New Roman"/>
          <w:sz w:val="24"/>
          <w:szCs w:val="24"/>
          <w:lang w:eastAsia="es-ES"/>
        </w:rPr>
        <w:t xml:space="preserve">. El círculo sigue, porque motivado por esto los accionistas exigen más retornos, los managers cobran por el corto plazo y </w:t>
      </w:r>
      <w:r w:rsidRPr="004B63C1">
        <w:rPr>
          <w:rFonts w:ascii="Times New Roman" w:eastAsia="Times New Roman" w:hAnsi="Times New Roman"/>
          <w:bCs/>
          <w:sz w:val="24"/>
          <w:szCs w:val="24"/>
          <w:lang w:eastAsia="es-ES"/>
        </w:rPr>
        <w:t>todo el mundo bendice una mayor asunción de riesgo</w:t>
      </w:r>
      <w:r w:rsidRPr="004B63C1">
        <w:rPr>
          <w:rFonts w:ascii="Times New Roman" w:eastAsia="Times New Roman" w:hAnsi="Times New Roman"/>
          <w:sz w:val="24"/>
          <w:szCs w:val="24"/>
          <w:lang w:eastAsia="es-ES"/>
        </w:rPr>
        <w:t xml:space="preserve">. Por si fuese poco la crisis ha demostrado no se equivocaban aquellos que veían facilidades por parte de los gobiernos ante las dificultades. </w:t>
      </w:r>
      <w:r w:rsidRPr="004B63C1">
        <w:rPr>
          <w:rFonts w:ascii="Times New Roman" w:eastAsia="Times New Roman" w:hAnsi="Times New Roman"/>
          <w:iCs/>
          <w:sz w:val="24"/>
          <w:szCs w:val="24"/>
          <w:lang w:eastAsia="es-ES"/>
        </w:rPr>
        <w:t>¿Moral hazard? ¿What?</w:t>
      </w:r>
    </w:p>
    <w:p w:rsidR="002F07D4" w:rsidRPr="004B63C1" w:rsidRDefault="002F07D4" w:rsidP="002F07D4">
      <w:pPr>
        <w:spacing w:after="0" w:line="240" w:lineRule="auto"/>
        <w:jc w:val="both"/>
        <w:rPr>
          <w:rFonts w:ascii="Times New Roman" w:eastAsia="Times New Roman" w:hAnsi="Times New Roman"/>
          <w:sz w:val="24"/>
          <w:szCs w:val="24"/>
          <w:lang w:eastAsia="es-ES"/>
        </w:rPr>
      </w:pPr>
    </w:p>
    <w:p w:rsidR="002F07D4" w:rsidRPr="004B63C1"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sz w:val="24"/>
          <w:szCs w:val="24"/>
          <w:lang w:eastAsia="es-ES"/>
        </w:rPr>
        <w:t xml:space="preserve">Los datos revelan que los fondos más baratos (gráfico 1) y la concentración de activos tras la crisis a favor de los “bancos sistémicos” (gráfico 2) son reales. </w:t>
      </w:r>
      <w:r w:rsidRPr="004B63C1">
        <w:rPr>
          <w:rFonts w:ascii="Times New Roman" w:eastAsia="Times New Roman" w:hAnsi="Times New Roman"/>
          <w:bCs/>
          <w:sz w:val="24"/>
          <w:szCs w:val="24"/>
          <w:lang w:eastAsia="es-ES"/>
        </w:rPr>
        <w:t>Por si fuera poco gracias a las dificultades financieras estas entidades disfrutan aún de mayor facilidad para captar fondos con respecto a la competencia</w:t>
      </w:r>
      <w:r w:rsidRPr="004B63C1">
        <w:rPr>
          <w:rFonts w:ascii="Times New Roman" w:eastAsia="Times New Roman" w:hAnsi="Times New Roman"/>
          <w:sz w:val="24"/>
          <w:szCs w:val="24"/>
          <w:lang w:eastAsia="es-ES"/>
        </w:rPr>
        <w:t>, con lo que los incentivos para ser un “too big to fail” más complejo, con más riesgo y más peligroso aumentan, ya que ¡así seguirán recibiendo la recompensa que han recibo hasta ahora! Viendo lo que estamos viendo,</w:t>
      </w:r>
      <w:r w:rsidRPr="004B63C1">
        <w:rPr>
          <w:rFonts w:ascii="Times New Roman" w:eastAsia="Times New Roman" w:hAnsi="Times New Roman"/>
          <w:bCs/>
          <w:sz w:val="24"/>
          <w:szCs w:val="24"/>
          <w:lang w:eastAsia="es-ES"/>
        </w:rPr>
        <w:t xml:space="preserve"> ¿qué incentivos tienen los “bancos sistémicos” para no arriesgar al máximo y provocar otra crisis por las subprime o por cualquier otra causa por ejemplo los derivados?</w:t>
      </w:r>
      <w:r w:rsidRPr="004B63C1">
        <w:rPr>
          <w:rFonts w:ascii="Times New Roman" w:eastAsia="Times New Roman" w:hAnsi="Times New Roman"/>
          <w:sz w:val="24"/>
          <w:szCs w:val="24"/>
          <w:lang w:eastAsia="es-ES"/>
        </w:rPr>
        <w:t xml:space="preserve"> ¿Será esto a lo que se refieren Icahn y Mobius?</w:t>
      </w:r>
    </w:p>
    <w:p w:rsidR="002F07D4" w:rsidRPr="004B63C1" w:rsidRDefault="002F07D4" w:rsidP="002F07D4">
      <w:pPr>
        <w:spacing w:after="0" w:line="240" w:lineRule="auto"/>
        <w:jc w:val="both"/>
        <w:rPr>
          <w:rFonts w:ascii="Times New Roman" w:eastAsia="Times New Roman" w:hAnsi="Times New Roman"/>
          <w:sz w:val="24"/>
          <w:szCs w:val="24"/>
          <w:lang w:eastAsia="es-ES"/>
        </w:rPr>
      </w:pPr>
    </w:p>
    <w:p w:rsidR="002F07D4" w:rsidRPr="001F53B6"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val="en-GB" w:eastAsia="en-GB"/>
        </w:rPr>
        <w:lastRenderedPageBreak/>
        <w:drawing>
          <wp:inline distT="0" distB="0" distL="0" distR="0">
            <wp:extent cx="4762500" cy="2844800"/>
            <wp:effectExtent l="0" t="0" r="0" b="0"/>
            <wp:docPr id="337" name="Imagen 337" descr="2011060679fig1">
              <a:hlinkClick xmlns:a="http://schemas.openxmlformats.org/drawingml/2006/main" r:id="rId19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11060679fig1"/>
                    <pic:cNvPicPr>
                      <a:picLocks noChangeAspect="1" noChangeArrowheads="1"/>
                    </pic:cNvPicPr>
                  </pic:nvPicPr>
                  <pic:blipFill>
                    <a:blip r:embed="rId1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844800"/>
                    </a:xfrm>
                    <a:prstGeom prst="rect">
                      <a:avLst/>
                    </a:prstGeom>
                    <a:noFill/>
                    <a:ln>
                      <a:noFill/>
                    </a:ln>
                  </pic:spPr>
                </pic:pic>
              </a:graphicData>
            </a:graphic>
          </wp:inline>
        </w:drawing>
      </w:r>
    </w:p>
    <w:p w:rsidR="002F07D4" w:rsidRPr="001F53B6"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val="en-GB" w:eastAsia="en-GB"/>
        </w:rPr>
        <w:drawing>
          <wp:inline distT="0" distB="0" distL="0" distR="0">
            <wp:extent cx="4762500" cy="2609850"/>
            <wp:effectExtent l="0" t="0" r="0" b="0"/>
            <wp:docPr id="336" name="Imagen 336" descr="2011060683fig2">
              <a:hlinkClick xmlns:a="http://schemas.openxmlformats.org/drawingml/2006/main" r:id="rId19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11060683fig2"/>
                    <pic:cNvPicPr>
                      <a:picLocks noChangeAspect="1" noChangeArrowheads="1"/>
                    </pic:cNvPicPr>
                  </pic:nvPicPr>
                  <pic:blipFill>
                    <a:blip r:embed="rId1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609850"/>
                    </a:xfrm>
                    <a:prstGeom prst="rect">
                      <a:avLst/>
                    </a:prstGeom>
                    <a:noFill/>
                    <a:ln>
                      <a:noFill/>
                    </a:ln>
                  </pic:spPr>
                </pic:pic>
              </a:graphicData>
            </a:graphic>
          </wp:inline>
        </w:drawing>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4B63C1"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sz w:val="24"/>
          <w:szCs w:val="24"/>
          <w:lang w:eastAsia="es-ES"/>
        </w:rPr>
        <w:t xml:space="preserve">Este problema es aún mayor cuanto más interconectado está el mundo y más globalización financiera existe, algo que los reguladores y supervisores no han tenido en cuenta, por lo que </w:t>
      </w:r>
      <w:r w:rsidRPr="004B63C1">
        <w:rPr>
          <w:rFonts w:ascii="Times New Roman" w:eastAsia="Times New Roman" w:hAnsi="Times New Roman"/>
          <w:bCs/>
          <w:sz w:val="24"/>
          <w:szCs w:val="24"/>
          <w:lang w:eastAsia="es-ES"/>
        </w:rPr>
        <w:t>de</w:t>
      </w:r>
      <w:r>
        <w:rPr>
          <w:rFonts w:ascii="Times New Roman" w:eastAsia="Times New Roman" w:hAnsi="Times New Roman"/>
          <w:bCs/>
          <w:sz w:val="24"/>
          <w:szCs w:val="24"/>
          <w:lang w:eastAsia="es-ES"/>
        </w:rPr>
        <w:t>jando las cosas como están no só</w:t>
      </w:r>
      <w:r w:rsidRPr="004B63C1">
        <w:rPr>
          <w:rFonts w:ascii="Times New Roman" w:eastAsia="Times New Roman" w:hAnsi="Times New Roman"/>
          <w:bCs/>
          <w:sz w:val="24"/>
          <w:szCs w:val="24"/>
          <w:lang w:eastAsia="es-ES"/>
        </w:rPr>
        <w:t>lo no irán bien sino que nos arriesgamos a que vayan peor</w:t>
      </w:r>
      <w:r w:rsidRPr="004B63C1">
        <w:rPr>
          <w:rFonts w:ascii="Times New Roman" w:eastAsia="Times New Roman" w:hAnsi="Times New Roman"/>
          <w:sz w:val="24"/>
          <w:szCs w:val="24"/>
          <w:lang w:eastAsia="es-ES"/>
        </w:rPr>
        <w:t>. ¿Qué soluciones existen para evitarlo? El FMI propone varias.</w:t>
      </w:r>
    </w:p>
    <w:p w:rsidR="002F07D4" w:rsidRPr="004B63C1" w:rsidRDefault="002F07D4" w:rsidP="002F07D4">
      <w:pPr>
        <w:spacing w:after="0" w:line="240" w:lineRule="auto"/>
        <w:jc w:val="both"/>
        <w:rPr>
          <w:rFonts w:ascii="Times New Roman" w:eastAsia="Times New Roman" w:hAnsi="Times New Roman"/>
          <w:sz w:val="24"/>
          <w:szCs w:val="24"/>
          <w:lang w:eastAsia="es-ES"/>
        </w:rPr>
      </w:pPr>
    </w:p>
    <w:p w:rsidR="002F07D4" w:rsidRPr="004B63C1"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sz w:val="24"/>
          <w:szCs w:val="24"/>
          <w:lang w:eastAsia="es-ES"/>
        </w:rPr>
        <w:t xml:space="preserve">Se remarca que si bien la fortaleza del balance es importante, lo es aún mucho más localizar </w:t>
      </w:r>
      <w:r w:rsidRPr="004B63C1">
        <w:rPr>
          <w:rFonts w:ascii="Times New Roman" w:eastAsia="Times New Roman" w:hAnsi="Times New Roman"/>
          <w:bCs/>
          <w:sz w:val="24"/>
          <w:szCs w:val="24"/>
          <w:lang w:eastAsia="es-ES"/>
        </w:rPr>
        <w:t>los riesgos</w:t>
      </w:r>
      <w:r w:rsidRPr="004B63C1">
        <w:rPr>
          <w:rFonts w:ascii="Times New Roman" w:eastAsia="Times New Roman" w:hAnsi="Times New Roman"/>
          <w:sz w:val="24"/>
          <w:szCs w:val="24"/>
          <w:lang w:eastAsia="es-ES"/>
        </w:rPr>
        <w:t>, tratar de penalizarlos en la medida de lo posible y entender por qué se asumen yendo a la raíz de la cuestión. Para ello es imprescindible una supervisión y regulación competente, estricta y con medios, que establezcan las medidas correctas y garanticen la trasparencia y los requerimientos necesarios a cumplir por las entidades financieras prestando especial atención a los vehículos “off balance sheet” y mercados OTC.</w:t>
      </w:r>
    </w:p>
    <w:p w:rsidR="002F07D4" w:rsidRPr="004B63C1" w:rsidRDefault="002F07D4" w:rsidP="002F07D4">
      <w:pPr>
        <w:spacing w:after="0" w:line="240" w:lineRule="auto"/>
        <w:jc w:val="both"/>
        <w:rPr>
          <w:rFonts w:ascii="Times New Roman" w:eastAsia="Times New Roman" w:hAnsi="Times New Roman"/>
          <w:sz w:val="24"/>
          <w:szCs w:val="24"/>
          <w:lang w:eastAsia="es-ES"/>
        </w:rPr>
      </w:pPr>
    </w:p>
    <w:p w:rsidR="002F07D4" w:rsidRPr="004B63C1"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bCs/>
          <w:sz w:val="24"/>
          <w:szCs w:val="24"/>
          <w:lang w:eastAsia="es-ES"/>
        </w:rPr>
        <w:t>El capital</w:t>
      </w:r>
      <w:r w:rsidRPr="004B63C1">
        <w:rPr>
          <w:rFonts w:ascii="Times New Roman" w:eastAsia="Times New Roman" w:hAnsi="Times New Roman"/>
          <w:sz w:val="24"/>
          <w:szCs w:val="24"/>
          <w:lang w:eastAsia="es-ES"/>
        </w:rPr>
        <w:t xml:space="preserve"> es un arma de doble vertiente, debe ser suficiente para garantizar la solvencia como es lógico, pero también debe tener muy en cuenta los riesgos, incrementando la cantidad necesaria en forma de penalización. Además se deben obstaculizar los </w:t>
      </w:r>
      <w:r w:rsidRPr="004B63C1">
        <w:rPr>
          <w:rFonts w:ascii="Times New Roman" w:eastAsia="Times New Roman" w:hAnsi="Times New Roman"/>
          <w:sz w:val="24"/>
          <w:szCs w:val="24"/>
          <w:lang w:eastAsia="es-ES"/>
        </w:rPr>
        <w:lastRenderedPageBreak/>
        <w:t>comportamientos “pro-cíclicos” en donde los requerimientos anteriores podrían ser una opción, o bien estableciendo “tasas” para compensar las caídas.</w:t>
      </w:r>
    </w:p>
    <w:p w:rsidR="002F07D4" w:rsidRPr="004B63C1" w:rsidRDefault="002F07D4" w:rsidP="002F07D4">
      <w:pPr>
        <w:spacing w:after="0" w:line="240" w:lineRule="auto"/>
        <w:jc w:val="both"/>
        <w:rPr>
          <w:rFonts w:ascii="Times New Roman" w:eastAsia="Times New Roman" w:hAnsi="Times New Roman"/>
          <w:sz w:val="24"/>
          <w:szCs w:val="24"/>
          <w:lang w:eastAsia="es-ES"/>
        </w:rPr>
      </w:pPr>
    </w:p>
    <w:p w:rsidR="002F07D4" w:rsidRPr="004B63C1"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sz w:val="24"/>
          <w:szCs w:val="24"/>
          <w:lang w:eastAsia="es-ES"/>
        </w:rPr>
        <w:t xml:space="preserve">Importante: </w:t>
      </w:r>
      <w:r w:rsidRPr="004B63C1">
        <w:rPr>
          <w:rFonts w:ascii="Times New Roman" w:eastAsia="Times New Roman" w:hAnsi="Times New Roman"/>
          <w:bCs/>
          <w:sz w:val="24"/>
          <w:szCs w:val="24"/>
          <w:lang w:eastAsia="es-ES"/>
        </w:rPr>
        <w:t>la liquidez</w:t>
      </w:r>
      <w:r w:rsidRPr="004B63C1">
        <w:rPr>
          <w:rFonts w:ascii="Times New Roman" w:eastAsia="Times New Roman" w:hAnsi="Times New Roman"/>
          <w:sz w:val="24"/>
          <w:szCs w:val="24"/>
          <w:lang w:eastAsia="es-ES"/>
        </w:rPr>
        <w:t>. Debe controlarse para reducir el apalancamiento, la dependencia de financiación mayorista a corto plazo y sobre todo el “</w:t>
      </w:r>
      <w:r w:rsidRPr="004B63C1">
        <w:rPr>
          <w:rFonts w:ascii="Times New Roman" w:eastAsia="Times New Roman" w:hAnsi="Times New Roman"/>
          <w:bCs/>
          <w:sz w:val="24"/>
          <w:szCs w:val="24"/>
          <w:lang w:eastAsia="es-ES"/>
        </w:rPr>
        <w:t>maturity mismatch</w:t>
      </w:r>
      <w:r w:rsidRPr="004B63C1">
        <w:rPr>
          <w:rFonts w:ascii="Times New Roman" w:eastAsia="Times New Roman" w:hAnsi="Times New Roman"/>
          <w:sz w:val="24"/>
          <w:szCs w:val="24"/>
          <w:lang w:eastAsia="es-ES"/>
        </w:rPr>
        <w:t>”. O lo que es lo mismo, evitar técnicas muy agresivas como endeudarse excesivamente a corto plazo financiando a su vez un período demasiado largo.</w:t>
      </w:r>
    </w:p>
    <w:p w:rsidR="002F07D4" w:rsidRPr="004B63C1" w:rsidRDefault="002F07D4" w:rsidP="002F07D4">
      <w:pPr>
        <w:spacing w:after="0" w:line="240" w:lineRule="auto"/>
        <w:jc w:val="both"/>
        <w:rPr>
          <w:rFonts w:ascii="Times New Roman" w:eastAsia="Times New Roman" w:hAnsi="Times New Roman"/>
          <w:sz w:val="24"/>
          <w:szCs w:val="24"/>
          <w:lang w:eastAsia="es-ES"/>
        </w:rPr>
      </w:pPr>
    </w:p>
    <w:p w:rsidR="002F07D4" w:rsidRPr="004B63C1"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sz w:val="24"/>
          <w:szCs w:val="24"/>
          <w:lang w:eastAsia="es-ES"/>
        </w:rPr>
        <w:t>También muy importante: “</w:t>
      </w:r>
      <w:hyperlink r:id="rId194" w:history="1">
        <w:r w:rsidRPr="004B63C1">
          <w:rPr>
            <w:rFonts w:ascii="Times New Roman" w:eastAsia="Times New Roman" w:hAnsi="Times New Roman"/>
            <w:bCs/>
            <w:sz w:val="24"/>
            <w:szCs w:val="24"/>
            <w:lang w:eastAsia="es-ES"/>
          </w:rPr>
          <w:t>resolution regimes</w:t>
        </w:r>
      </w:hyperlink>
      <w:r w:rsidRPr="004B63C1">
        <w:rPr>
          <w:rFonts w:ascii="Times New Roman" w:eastAsia="Times New Roman" w:hAnsi="Times New Roman"/>
          <w:sz w:val="24"/>
          <w:szCs w:val="24"/>
          <w:lang w:eastAsia="es-ES"/>
        </w:rPr>
        <w:t>”. ¿Qué es esto? Una opción entre el bailout y la quiebra, ni tan costoso como lo primero ni tan dañino como lo segundo. Se trata de establecer unas condiciones claras para considerar que una entidad financiera está en problemas, tomando el control y actuando antes de que se extienda al resto del sistema y aprovechando que “la enfermedad” aún está germinando y hay margen de maniobra. Este tipo de planes ya se están estableciendo en muchos países y seguramente estamos solo ante el principio.</w:t>
      </w:r>
    </w:p>
    <w:p w:rsidR="002F07D4" w:rsidRPr="004B63C1" w:rsidRDefault="002F07D4" w:rsidP="002F07D4">
      <w:pPr>
        <w:spacing w:after="0" w:line="240" w:lineRule="auto"/>
        <w:jc w:val="both"/>
        <w:rPr>
          <w:rFonts w:ascii="Times New Roman" w:eastAsia="Times New Roman" w:hAnsi="Times New Roman"/>
          <w:sz w:val="24"/>
          <w:szCs w:val="24"/>
          <w:lang w:eastAsia="es-ES"/>
        </w:rPr>
      </w:pPr>
    </w:p>
    <w:p w:rsidR="002F07D4" w:rsidRPr="004B63C1"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sz w:val="24"/>
          <w:szCs w:val="24"/>
          <w:lang w:eastAsia="es-ES"/>
        </w:rPr>
        <w:t>No se descarta una nueva “</w:t>
      </w:r>
      <w:r w:rsidRPr="004B63C1">
        <w:rPr>
          <w:rFonts w:ascii="Times New Roman" w:eastAsia="Times New Roman" w:hAnsi="Times New Roman"/>
          <w:bCs/>
          <w:sz w:val="24"/>
          <w:szCs w:val="24"/>
          <w:lang w:eastAsia="es-ES"/>
        </w:rPr>
        <w:t>Glass-Steagall</w:t>
      </w:r>
      <w:r w:rsidRPr="004B63C1">
        <w:rPr>
          <w:rFonts w:ascii="Times New Roman" w:eastAsia="Times New Roman" w:hAnsi="Times New Roman"/>
          <w:sz w:val="24"/>
          <w:szCs w:val="24"/>
          <w:lang w:eastAsia="es-ES"/>
        </w:rPr>
        <w:t>” ni consideran descabellada la “</w:t>
      </w:r>
      <w:r w:rsidRPr="004B63C1">
        <w:rPr>
          <w:rFonts w:ascii="Times New Roman" w:eastAsia="Times New Roman" w:hAnsi="Times New Roman"/>
          <w:bCs/>
          <w:sz w:val="24"/>
          <w:szCs w:val="24"/>
          <w:lang w:eastAsia="es-ES"/>
        </w:rPr>
        <w:t>Volcker Rule</w:t>
      </w:r>
      <w:r w:rsidRPr="004B63C1">
        <w:rPr>
          <w:rFonts w:ascii="Times New Roman" w:eastAsia="Times New Roman" w:hAnsi="Times New Roman"/>
          <w:sz w:val="24"/>
          <w:szCs w:val="24"/>
          <w:lang w:eastAsia="es-ES"/>
        </w:rPr>
        <w:t xml:space="preserve">” de escindir las mesas de “propietary trading”. Y en última instancia, si con lo anterior no se consiguen los objetivos buscados se menciona incluso </w:t>
      </w:r>
      <w:r w:rsidRPr="004B63C1">
        <w:rPr>
          <w:rFonts w:ascii="Times New Roman" w:eastAsia="Times New Roman" w:hAnsi="Times New Roman"/>
          <w:bCs/>
          <w:sz w:val="24"/>
          <w:szCs w:val="24"/>
          <w:lang w:eastAsia="es-ES"/>
        </w:rPr>
        <w:t>la limitación del tamaño, del crecimiento, la venta de activos o la división de bancos</w:t>
      </w:r>
      <w:r w:rsidRPr="004B63C1">
        <w:rPr>
          <w:rFonts w:ascii="Times New Roman" w:eastAsia="Times New Roman" w:hAnsi="Times New Roman"/>
          <w:sz w:val="24"/>
          <w:szCs w:val="24"/>
          <w:lang w:eastAsia="es-ES"/>
        </w:rPr>
        <w:t>. Puede parecer radical, pero supongo que el FMI cree que si no actuamos lo que hemos visto hasta hoy será simplemente el principio, solo hay que ver lo que está pasando actualmente con la "reedición" de comportamientos pasados.</w:t>
      </w:r>
    </w:p>
    <w:p w:rsidR="002F07D4" w:rsidRPr="004B63C1"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4B63C1">
        <w:rPr>
          <w:rFonts w:ascii="Times New Roman" w:eastAsia="Times New Roman" w:hAnsi="Times New Roman"/>
          <w:sz w:val="24"/>
          <w:szCs w:val="24"/>
          <w:lang w:eastAsia="es-ES"/>
        </w:rPr>
        <w:t>Claro que todo ello no es fácil de implementar de forma certera y el propio organismo internacional admite que harán falta muchos años. Si funcionase y en el futuro crecer y tener beneficios fuese mucho más complicado</w:t>
      </w:r>
      <w:r w:rsidRPr="004B63C1">
        <w:rPr>
          <w:rFonts w:ascii="Times New Roman" w:eastAsia="Times New Roman" w:hAnsi="Times New Roman"/>
          <w:bCs/>
          <w:sz w:val="24"/>
          <w:szCs w:val="24"/>
          <w:lang w:eastAsia="es-ES"/>
        </w:rPr>
        <w:t xml:space="preserve"> tendríamos un fuerte incentivo para arriesgar lo máximo posible actualmente</w:t>
      </w:r>
      <w:r w:rsidRPr="004B63C1">
        <w:rPr>
          <w:rFonts w:ascii="Times New Roman" w:eastAsia="Times New Roman" w:hAnsi="Times New Roman"/>
          <w:sz w:val="24"/>
          <w:szCs w:val="24"/>
          <w:lang w:eastAsia="es-ES"/>
        </w:rPr>
        <w:t xml:space="preserve"> y “aprovechar mientras se pueda”. Claro que si hasta el día de hoy</w:t>
      </w:r>
      <w:r>
        <w:rPr>
          <w:rFonts w:ascii="Times New Roman" w:eastAsia="Times New Roman" w:hAnsi="Times New Roman"/>
          <w:sz w:val="24"/>
          <w:szCs w:val="24"/>
          <w:lang w:eastAsia="es-ES"/>
        </w:rPr>
        <w:t xml:space="preserve"> (noviembre 2011)</w:t>
      </w:r>
      <w:r w:rsidRPr="004B63C1">
        <w:rPr>
          <w:rFonts w:ascii="Times New Roman" w:eastAsia="Times New Roman" w:hAnsi="Times New Roman"/>
          <w:sz w:val="24"/>
          <w:szCs w:val="24"/>
          <w:lang w:eastAsia="es-ES"/>
        </w:rPr>
        <w:t xml:space="preserve"> las cosas no han cambiado, ¿lo harán en el futuro? Soros en el artículo “</w:t>
      </w:r>
      <w:hyperlink r:id="rId195" w:history="1">
        <w:r w:rsidRPr="004B63C1">
          <w:rPr>
            <w:rFonts w:ascii="Times New Roman" w:eastAsia="Times New Roman" w:hAnsi="Times New Roman"/>
            <w:sz w:val="24"/>
            <w:szCs w:val="24"/>
            <w:lang w:eastAsia="es-ES"/>
          </w:rPr>
          <w:t>Time to Fix the Euro</w:t>
        </w:r>
      </w:hyperlink>
      <w:r w:rsidRPr="004B63C1">
        <w:rPr>
          <w:rFonts w:ascii="Times New Roman" w:eastAsia="Times New Roman" w:hAnsi="Times New Roman"/>
          <w:sz w:val="24"/>
          <w:szCs w:val="24"/>
          <w:lang w:eastAsia="es-ES"/>
        </w:rPr>
        <w:t xml:space="preserve">” criticaba las fallas estructurales de la Eurozona, pero también advertía que sería necesario un ente supranacional bancario porque a nivel nacional un “too big to fail” es inmanejable. Es posible que por lo difícil que es controlar las transacciones “cross-border” y sus riesgos </w:t>
      </w:r>
      <w:r>
        <w:rPr>
          <w:rFonts w:ascii="Times New Roman" w:eastAsia="Times New Roman" w:hAnsi="Times New Roman"/>
          <w:sz w:val="24"/>
          <w:szCs w:val="24"/>
          <w:lang w:eastAsia="es-ES"/>
        </w:rPr>
        <w:t>caminemos hacia ahí pero, ¿y cuá</w:t>
      </w:r>
      <w:r w:rsidRPr="004B63C1">
        <w:rPr>
          <w:rFonts w:ascii="Times New Roman" w:eastAsia="Times New Roman" w:hAnsi="Times New Roman"/>
          <w:sz w:val="24"/>
          <w:szCs w:val="24"/>
          <w:lang w:eastAsia="es-ES"/>
        </w:rPr>
        <w:t xml:space="preserve">ndo sean “too big to fail” dentro de la Eurozona u otros entes mayores? </w:t>
      </w:r>
      <w:r w:rsidRPr="004B63C1">
        <w:rPr>
          <w:rFonts w:ascii="Times New Roman" w:eastAsia="Times New Roman" w:hAnsi="Times New Roman"/>
          <w:bCs/>
          <w:sz w:val="24"/>
          <w:szCs w:val="24"/>
          <w:lang w:eastAsia="es-ES"/>
        </w:rPr>
        <w:t>O manejamos los riesgos o ellos nos manejarán a nosotros, en ese caso habremos perdido la batalla</w:t>
      </w:r>
      <w:r w:rsidRPr="004B63C1">
        <w:rPr>
          <w:rFonts w:ascii="Times New Roman" w:eastAsia="Times New Roman" w:hAnsi="Times New Roman"/>
          <w:sz w:val="24"/>
          <w:szCs w:val="24"/>
          <w:lang w:eastAsia="es-ES"/>
        </w:rPr>
        <w:t>.</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F12AF7" w:rsidRDefault="002F07D4" w:rsidP="002F07D4">
      <w:pPr>
        <w:spacing w:after="0" w:line="240" w:lineRule="auto"/>
        <w:jc w:val="both"/>
        <w:rPr>
          <w:rFonts w:ascii="Times New Roman" w:eastAsia="Times New Roman" w:hAnsi="Times New Roman"/>
          <w:b/>
          <w:sz w:val="24"/>
          <w:szCs w:val="24"/>
          <w:lang w:eastAsia="es-ES"/>
        </w:rPr>
      </w:pPr>
      <w:r w:rsidRPr="00F12AF7">
        <w:rPr>
          <w:rFonts w:ascii="Times New Roman" w:eastAsia="Times New Roman" w:hAnsi="Times New Roman"/>
          <w:b/>
          <w:sz w:val="24"/>
          <w:szCs w:val="24"/>
          <w:lang w:eastAsia="es-ES"/>
        </w:rPr>
        <w:t>La Fed y su abultado balance (la argentinización total)</w:t>
      </w:r>
    </w:p>
    <w:p w:rsidR="002F07D4" w:rsidRDefault="002F07D4" w:rsidP="002F07D4">
      <w:pPr>
        <w:spacing w:after="0" w:line="240" w:lineRule="auto"/>
        <w:jc w:val="both"/>
        <w:rPr>
          <w:rFonts w:ascii="Times New Roman" w:eastAsia="Times New Roman" w:hAnsi="Times New Roman"/>
          <w:sz w:val="24"/>
          <w:szCs w:val="24"/>
          <w:u w:val="single"/>
          <w:lang w:eastAsia="es-ES"/>
        </w:rPr>
      </w:pPr>
    </w:p>
    <w:p w:rsidR="00C41607" w:rsidRDefault="002F07D4" w:rsidP="002F07D4">
      <w:pPr>
        <w:spacing w:line="240" w:lineRule="auto"/>
        <w:jc w:val="both"/>
        <w:rPr>
          <w:rFonts w:ascii="Times New Roman" w:eastAsia="Times New Roman" w:hAnsi="Times New Roman"/>
          <w:sz w:val="24"/>
          <w:szCs w:val="24"/>
          <w:lang w:eastAsia="es-ES"/>
        </w:rPr>
      </w:pPr>
      <w:r w:rsidRPr="000F434A">
        <w:rPr>
          <w:rFonts w:ascii="Times New Roman" w:eastAsia="Times New Roman" w:hAnsi="Times New Roman"/>
          <w:sz w:val="24"/>
          <w:szCs w:val="24"/>
          <w:lang w:eastAsia="es-ES"/>
        </w:rPr>
        <w:t xml:space="preserve">Si algo tiene de bueno Internet es el acceso que ha dado a cualquier inversor particular a una ingente cantidad de información que hace años era coto privado de las grandes corporaciones, siendo estas las únicas que tenían el personal y los recursos necesarios para recopilarla. Hoy en día cualquiera puede entrar en </w:t>
      </w:r>
      <w:r w:rsidRPr="008150D4">
        <w:rPr>
          <w:rFonts w:ascii="Times New Roman" w:eastAsia="Times New Roman" w:hAnsi="Times New Roman"/>
          <w:sz w:val="24"/>
          <w:szCs w:val="24"/>
          <w:lang w:eastAsia="es-ES"/>
        </w:rPr>
        <w:t>la web del Banco Central de un país, del Ministerio de turno o de la mismísima Reserva Federal</w:t>
      </w:r>
      <w:r w:rsidRPr="000F434A">
        <w:rPr>
          <w:rFonts w:ascii="Times New Roman" w:eastAsia="Times New Roman" w:hAnsi="Times New Roman"/>
          <w:sz w:val="24"/>
          <w:szCs w:val="24"/>
          <w:lang w:eastAsia="es-ES"/>
        </w:rPr>
        <w:t xml:space="preserve"> y tener acceso a la documentación que estos organismos y muchos otros publican de manera periódica.</w:t>
      </w:r>
      <w:r w:rsidRPr="000F434A">
        <w:rPr>
          <w:rFonts w:ascii="Times New Roman" w:eastAsia="Times New Roman" w:hAnsi="Times New Roman"/>
          <w:sz w:val="24"/>
          <w:szCs w:val="24"/>
          <w:lang w:eastAsia="es-ES"/>
        </w:rPr>
        <w:cr/>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Así es como, buscando en la página de la Reserva Federal, podemos encontrar los datos que semanalmente publican de su balance, es decir, de los activos que tiene, su capital, etc. Para los curiosos, pueden consultarlo en la siguiente dirección: http://www.federalreserve.gov/releases/h41/current/.</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lastRenderedPageBreak/>
        <w:t xml:space="preserve">De los últimos datos publicados al </w:t>
      </w:r>
      <w:r w:rsidRPr="00C96F42">
        <w:rPr>
          <w:rFonts w:ascii="Times New Roman" w:eastAsia="Times New Roman" w:hAnsi="Times New Roman"/>
          <w:b/>
          <w:sz w:val="24"/>
          <w:szCs w:val="24"/>
          <w:lang w:eastAsia="es-ES"/>
        </w:rPr>
        <w:t>21/7</w:t>
      </w:r>
      <w:r>
        <w:rPr>
          <w:rFonts w:ascii="Times New Roman" w:eastAsia="Times New Roman" w:hAnsi="Times New Roman"/>
          <w:b/>
          <w:sz w:val="24"/>
          <w:szCs w:val="24"/>
          <w:lang w:eastAsia="es-ES"/>
        </w:rPr>
        <w:t>/</w:t>
      </w:r>
      <w:r w:rsidRPr="00C96F42">
        <w:rPr>
          <w:rFonts w:ascii="Times New Roman" w:eastAsia="Times New Roman" w:hAnsi="Times New Roman"/>
          <w:b/>
          <w:sz w:val="24"/>
          <w:szCs w:val="24"/>
          <w:lang w:eastAsia="es-ES"/>
        </w:rPr>
        <w:t>11</w:t>
      </w:r>
      <w:r w:rsidRPr="00C96F42">
        <w:rPr>
          <w:rFonts w:ascii="Times New Roman" w:eastAsia="Times New Roman" w:hAnsi="Times New Roman"/>
          <w:sz w:val="24"/>
          <w:szCs w:val="24"/>
          <w:lang w:eastAsia="es-ES"/>
        </w:rPr>
        <w:t xml:space="preserve"> (por ejemplo), destaca como los activos en su balance ascienden a 2,85 billones (europeos) de dólares, con una subida de más del 300 % respecto al que tenía a cierre de 2007, antes de que estallara la crisis. A finales de junio, cuando terminen con el QE2, esa cifra estará aún más cerca de los 3 billones, casi nada.</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 xml:space="preserve">Algunas otras cosas que llaman la atención son los 119.093 millones de deuda de agencias, que aclaran es el valor nominal (me pregunto cuál sería el valor que le darían a esa deuda si estuviera en el balance de una Caja española por poner un ejemplo), y los 917.856 millones de MBS (Mortage-Backed Securities), es decir, activos respaldados por hipotecas que compraron en lo peor de la crisis a los bancos de inversión del país para darles liquidez. Añaden en una nota que esta deuda está garantizada por Fannie Mae, Freddy Mac y Ginnie Mae, ya me quedo más tranquilo, </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Pero el dato más llamativo de todos es el capital, que asciende a 52.689 millones de dólares, lo cual quiere decir que a 8 de junio de 2011 el apalancamiento de la FED es de 54 veces, lo que equivaldría a un core capital inferior al 2%. Si en vez de Reserva Federal se llamara Caja de Ahorros y Monte de Piedad de Ben Bernanke estoy seguro de que no obtendría una Triple A de las agencias de calificación anglosajonas, pero es la ventaja que tiene el poder darle a la maquinita e imprimir billetes.</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Resulta curioso que con las nuevas normativas de Basilea III se exija a los bancos que reduzcan el apalancamiento y mejoren sus ratios de capital y mientras los bancos centrales tiran la casa por la ventana comprando activos tóxicos a cualquiera que se los venda. Bueno, a cualquiera no, sólo a los “too big to fail”.</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En su defensa, decir que el BCE no está mucho mejor. Habrá que ver qué pasa con su capital si Grecia acaba en default, ya que según algunas estimaciones acumula 45.000 millones en bonos griegos, al margen de los que tenga de Portugal e Irlanda.</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Son los efectos de la crisis y de la política de creación de dinero que se ha seguido en estos años, pero, ¿realmente ha merecido la pena el esfuerzo?</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Si nos vamos a los datos económicos publicados en USA últimamente (julio 2011) y lo comparamos con lo que nos contaron que pretendían parece claro que no.</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 xml:space="preserve">La creación de empleo, teniendo en cuenta que se han inyectado casi dos billones de dólares, ha sido decepcionante. El consumo solo se consiguió aumentarlo a base de subvenciones, como en el caso de las casas y los coches. En su momento se vendió como una reactivación lo que posteriormente solo fue un espejismo. </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 xml:space="preserve">Los políticos nos tomaron por tontos cuando clamaban que había brotes verdes, porque esos planes no crearon nuevo consumo, sólo adelantaron consumo futuro. Los pocos con posibilidades para comprar casa o coche y que dudaban por la situación económica se animaron alentados por las ayudas, pero una vez que compraron se acabó con esa demanda futura. </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Pero volviendo al asunto principal, si la situación no ha mejorado gran cosa poniendo sobre la mesa dos billones de dólares, ¿qué pasará cuando la FED deje de meter dinero en la economía? De momento eso parece que se preguntan los mercados, que por si acaso, y tras una subida de más del 100% en un periodo corto de tiempo recogen velas y se quedan mirando desde la barrera.</w:t>
      </w:r>
    </w:p>
    <w:p w:rsidR="002F07D4" w:rsidRPr="00C96F42"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lastRenderedPageBreak/>
        <w:t>Uno, que es malpensado en temas bursátiles por naturaleza, se pregunta si no será esta la manera que tienen de forzar un QE3, ya que los grandes bancos de inversión que mueven los hilos saben que si cae la bolsa la economía irá detrás por el pesimismo que provoca en los consumidores, así que haciendo caja y bajando los mercados quizás consigan una nueva dosis de su droga preferida, la liquidez.</w:t>
      </w:r>
    </w:p>
    <w:p w:rsidR="002F07D4" w:rsidRDefault="002F07D4" w:rsidP="002F07D4">
      <w:pPr>
        <w:spacing w:line="240" w:lineRule="auto"/>
        <w:jc w:val="both"/>
        <w:rPr>
          <w:rFonts w:ascii="Times New Roman" w:eastAsia="Times New Roman" w:hAnsi="Times New Roman"/>
          <w:sz w:val="24"/>
          <w:szCs w:val="24"/>
          <w:lang w:eastAsia="es-ES"/>
        </w:rPr>
      </w:pPr>
      <w:r w:rsidRPr="00C96F42">
        <w:rPr>
          <w:rFonts w:ascii="Times New Roman" w:eastAsia="Times New Roman" w:hAnsi="Times New Roman"/>
          <w:sz w:val="24"/>
          <w:szCs w:val="24"/>
          <w:lang w:eastAsia="es-ES"/>
        </w:rPr>
        <w:t xml:space="preserve"> De lo que pase el día que la FED intente vender su cartera de bonos al mercado mejor no hablamos.</w:t>
      </w:r>
    </w:p>
    <w:p w:rsidR="002F07D4" w:rsidRPr="00F12AF7" w:rsidRDefault="002F07D4" w:rsidP="002F07D4">
      <w:pPr>
        <w:spacing w:line="240" w:lineRule="auto"/>
        <w:jc w:val="both"/>
        <w:rPr>
          <w:rFonts w:ascii="Times New Roman" w:eastAsia="Times New Roman" w:hAnsi="Times New Roman"/>
          <w:b/>
          <w:sz w:val="24"/>
          <w:szCs w:val="24"/>
          <w:lang w:eastAsia="es-ES"/>
        </w:rPr>
      </w:pPr>
      <w:r w:rsidRPr="00F12AF7">
        <w:rPr>
          <w:rFonts w:ascii="Times New Roman" w:eastAsia="Times New Roman" w:hAnsi="Times New Roman"/>
          <w:b/>
          <w:sz w:val="24"/>
          <w:szCs w:val="24"/>
          <w:lang w:eastAsia="es-ES"/>
        </w:rPr>
        <w:t>Adictos al crédito</w:t>
      </w:r>
    </w:p>
    <w:p w:rsidR="002F07D4" w:rsidRPr="00EE055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C96F42">
        <w:rPr>
          <w:rFonts w:ascii="Times New Roman" w:eastAsia="Times New Roman" w:hAnsi="Times New Roman"/>
          <w:i/>
          <w:sz w:val="24"/>
          <w:szCs w:val="24"/>
          <w:lang w:eastAsia="es-ES"/>
        </w:rPr>
        <w:t>En la última década, la deuda pública acumulada en el planeta se ha duplicado de largo hasta superar los 30 billones de euros, casi 30 veces el PIB español. Las Administraciones desplazan así al sector privado de la financiación ajena y abonan tensiones económicas como las europeas</w:t>
      </w:r>
      <w:r>
        <w:rPr>
          <w:rFonts w:ascii="Times New Roman" w:eastAsia="Times New Roman" w:hAnsi="Times New Roman"/>
          <w:i/>
          <w:sz w:val="24"/>
          <w:szCs w:val="24"/>
          <w:lang w:eastAsia="es-ES"/>
        </w:rPr>
        <w:t>”..</w:t>
      </w:r>
      <w:r w:rsidRPr="00C96F42">
        <w:rPr>
          <w:rFonts w:ascii="Times New Roman" w:eastAsia="Times New Roman" w:hAnsi="Times New Roman"/>
          <w:i/>
          <w:sz w:val="24"/>
          <w:szCs w:val="24"/>
          <w:lang w:eastAsia="es-ES"/>
        </w:rPr>
        <w:t>.</w:t>
      </w:r>
      <w:r w:rsidRPr="00EE055B">
        <w:rPr>
          <w:rFonts w:ascii="Times New Roman" w:eastAsia="Times New Roman" w:hAnsi="Times New Roman"/>
          <w:sz w:val="24"/>
          <w:szCs w:val="24"/>
          <w:u w:val="single"/>
          <w:lang w:eastAsia="es-ES"/>
        </w:rPr>
        <w:t>La deuda pública acumulada en el mundo multiplica por 30 el PIB español</w:t>
      </w:r>
      <w:r>
        <w:rPr>
          <w:rFonts w:ascii="Times New Roman" w:eastAsia="Times New Roman" w:hAnsi="Times New Roman"/>
          <w:sz w:val="24"/>
          <w:szCs w:val="24"/>
          <w:lang w:eastAsia="es-ES"/>
        </w:rPr>
        <w:t xml:space="preserve"> (Cinco Días - </w:t>
      </w:r>
      <w:r w:rsidRPr="00EE055B">
        <w:rPr>
          <w:rFonts w:ascii="Times New Roman" w:eastAsia="Times New Roman" w:hAnsi="Times New Roman"/>
          <w:b/>
          <w:sz w:val="24"/>
          <w:szCs w:val="24"/>
          <w:lang w:eastAsia="es-ES"/>
        </w:rPr>
        <w:t>24/7/11</w:t>
      </w:r>
      <w:r>
        <w:rPr>
          <w:rFonts w:ascii="Times New Roman" w:eastAsia="Times New Roman" w:hAnsi="Times New Roman"/>
          <w:sz w:val="24"/>
          <w:szCs w:val="24"/>
          <w:lang w:eastAsia="es-ES"/>
        </w:rPr>
        <w:t>)</w:t>
      </w:r>
    </w:p>
    <w:p w:rsidR="002F07D4" w:rsidRPr="00664E5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E055B">
        <w:rPr>
          <w:rFonts w:ascii="Times New Roman" w:eastAsia="Times New Roman" w:hAnsi="Times New Roman"/>
          <w:sz w:val="24"/>
          <w:szCs w:val="24"/>
          <w:lang w:eastAsia="es-ES"/>
        </w:rPr>
        <w:t xml:space="preserve">No es una cantidad que se suela manejar en los medios de comunicación, pero es extremadamente importante. Mucho más, cuando la crisis de la deuda originada en Grecia y extendida por la zona euro amenaza con sumir al planeta en una segunda recesión. </w:t>
      </w:r>
      <w:r w:rsidRPr="00664E5F">
        <w:rPr>
          <w:rFonts w:ascii="Times New Roman" w:eastAsia="Times New Roman" w:hAnsi="Times New Roman"/>
          <w:sz w:val="24"/>
          <w:szCs w:val="24"/>
          <w:lang w:eastAsia="es-ES"/>
        </w:rPr>
        <w:t>El nivel de endeudamiento público global supera ya los 40 billones de dólares: según la Intelligence Unit de la prestigiosa publicación británica The Economist, asciende a 42,6 billones de dólares; con los cálculos del Factbook de la CIA estadounidense, llegaría a 44,2 billones, nada menos que el 59,3% de la actividad económica del planeta. Traducido a euros, el montante de la deuda global se sitúa de este modo en el entorno de los 30 billones: casi 30 veces el producto interior bruto de España.</w:t>
      </w:r>
    </w:p>
    <w:p w:rsidR="002F07D4" w:rsidRPr="00664E5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64E5F">
        <w:rPr>
          <w:rFonts w:ascii="Times New Roman" w:eastAsia="Times New Roman" w:hAnsi="Times New Roman"/>
          <w:sz w:val="24"/>
          <w:szCs w:val="24"/>
          <w:lang w:eastAsia="es-ES"/>
        </w:rPr>
        <w:t>Desde el año 2007, cuando el estallido de la burbuja inmobiliaria de Estados Unidos dio el pistoletazo de salida a la Gran Recesión, el nivel de endeudamiento público se ha incrementado en un 50%. Ese impulso se explica por la aplicación de políticas keynesianas de gasto en la mayor parte de los Gobiernos del planeta, que incurrieron en voluminosos déficits presupuestarios y cebaron el endeudamiento. Pero el recurso a la deuda no es exclusivo de las vacas flacas: también se elevó en los años de crecimiento económico acelerado de la mitad de la pasada década. De hecho, en 2000 apenas sumaba 18 billones de dólares, menos de la mitad que en la actualidad.</w:t>
      </w:r>
    </w:p>
    <w:p w:rsidR="002F07D4" w:rsidRPr="00664E5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64E5F">
        <w:rPr>
          <w:rFonts w:ascii="Times New Roman" w:eastAsia="Times New Roman" w:hAnsi="Times New Roman"/>
          <w:sz w:val="24"/>
          <w:szCs w:val="24"/>
          <w:lang w:eastAsia="es-ES"/>
        </w:rPr>
        <w:t>Las implicaciones de la escalada no son menores. Si bien es cierto que la deuda financia el necesario tirón económico de países emergentes como China, India o Brasil, no lo es menos que la concentración del endeudamiento no se produce allí, sino en países ricos como Japón (225% del PIB), Italia (118%), Francia (83%) o Alemania (79%). Estos emisores destinan el grueso de los fondos captados al consumo, no a la inversión.</w:t>
      </w:r>
    </w:p>
    <w:p w:rsidR="002F07D4" w:rsidRPr="00EE055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E055B">
        <w:rPr>
          <w:rFonts w:ascii="Times New Roman" w:eastAsia="Times New Roman" w:hAnsi="Times New Roman"/>
          <w:sz w:val="24"/>
          <w:szCs w:val="24"/>
          <w:lang w:eastAsia="es-ES"/>
        </w:rPr>
        <w:t xml:space="preserve">El temido efecto crowding out (desplazamiento público del sector privado a la hora de captar fondos) se produce de este modo sin compensación a largo plazo. Las consecuencias son evidentes en países como España, donde la sequía de crédito a las empresas está difiriendo sine díe la </w:t>
      </w:r>
      <w:r>
        <w:rPr>
          <w:rFonts w:ascii="Times New Roman" w:eastAsia="Times New Roman" w:hAnsi="Times New Roman"/>
          <w:sz w:val="24"/>
          <w:szCs w:val="24"/>
          <w:lang w:eastAsia="es-ES"/>
        </w:rPr>
        <w:t>deseada recuperación económica.</w:t>
      </w:r>
    </w:p>
    <w:p w:rsidR="002F07D4" w:rsidRPr="00664E5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64E5F">
        <w:rPr>
          <w:rFonts w:ascii="Times New Roman" w:eastAsia="Times New Roman" w:hAnsi="Times New Roman"/>
          <w:sz w:val="24"/>
          <w:szCs w:val="24"/>
          <w:lang w:eastAsia="es-ES"/>
        </w:rPr>
        <w:t>Así las cosas, el endeudamiento implica que más de 30 billones de euros se encuentran en una situación cercana al estancamiento, contribuyendo poco al crecimiento económico global.</w:t>
      </w:r>
    </w:p>
    <w:p w:rsidR="002F07D4" w:rsidRPr="00664E5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64E5F">
        <w:rPr>
          <w:rFonts w:ascii="Times New Roman" w:eastAsia="Times New Roman" w:hAnsi="Times New Roman"/>
          <w:sz w:val="24"/>
          <w:szCs w:val="24"/>
          <w:lang w:eastAsia="es-ES"/>
        </w:rPr>
        <w:lastRenderedPageBreak/>
        <w:t>No terminan ahí los impactos negativos del acelerado endeudamiento público. Cuando este avanza más rápido que el crecimiento económico, como en los últimos años, lleva asociada una mayor intervención estatal en la economía por la vía de mayores impuestos futuros, que detraen recursos de la actividad. Además, para mantener elevados niveles de deuda se necesita acudir a los mercados de forma asidua, lo que eleva el riesgo de ser juzgado con severidad por los mismos. Un juicio negativo originó la crisis griega en la pasada primavera (2010), después contagiada a Irlanda y Portugal y que, poco más de un año más tarde, ha llegado a amenazar seriamente a España e Italia.</w:t>
      </w:r>
    </w:p>
    <w:p w:rsidR="002F07D4" w:rsidRPr="00664E5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64E5F">
        <w:rPr>
          <w:rFonts w:ascii="Times New Roman" w:eastAsia="Times New Roman" w:hAnsi="Times New Roman"/>
          <w:sz w:val="24"/>
          <w:szCs w:val="24"/>
          <w:lang w:eastAsia="es-ES"/>
        </w:rPr>
        <w:t>El último informe anual del Banco de Pagos Internacionales (junio 2011) explica de forma sencilla los hechos: “La deuda pública se disparó tras la quiebra de Lehman Brothers, sobre todo en los países que habían experimentado auges del mercado de la vivienda”. Y advierte de la necesidad de moderarla porque “el sentimiento del mercado puede cambiar rápidamente, obligando a las Administraciones a tomar medidas aún más drásticas que las que habrían sido necesarias en una fase anterior”. Los draconianos planes de ajuste de Grecia sirven de ejemplo, como también el más reciente de Italia, o el emprendido por el Gobierno español en mayo pasado, con el mayor recorte de gasto de la democracia.</w:t>
      </w:r>
    </w:p>
    <w:p w:rsidR="002F07D4" w:rsidRPr="00664E5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64E5F">
        <w:rPr>
          <w:rFonts w:ascii="Times New Roman" w:eastAsia="Times New Roman" w:hAnsi="Times New Roman"/>
          <w:sz w:val="24"/>
          <w:szCs w:val="24"/>
          <w:lang w:eastAsia="es-ES"/>
        </w:rPr>
        <w:t>Pero tal vez esas medidas no sean suficientes: según los cálculos del FMI, la deuda pública de los 20 países más ricos superará el 100% de su PIB dentro de tres años. Un ejemplo más de la escalada: a principios de siglo estaba en el 70%, y en 1980 apenas alcanzaba el 40% del producto interior bruto.</w:t>
      </w:r>
    </w:p>
    <w:p w:rsidR="002F07D4" w:rsidRPr="00664E5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64E5F">
        <w:rPr>
          <w:rFonts w:ascii="Times New Roman" w:eastAsia="Times New Roman" w:hAnsi="Times New Roman"/>
          <w:sz w:val="24"/>
          <w:szCs w:val="24"/>
          <w:lang w:eastAsia="es-ES"/>
        </w:rPr>
        <w:t>Las cifras</w:t>
      </w:r>
    </w:p>
    <w:p w:rsidR="002F07D4" w:rsidRPr="00EE055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E055B">
        <w:rPr>
          <w:rFonts w:ascii="Times New Roman" w:eastAsia="Times New Roman" w:hAnsi="Times New Roman"/>
          <w:sz w:val="24"/>
          <w:szCs w:val="24"/>
          <w:lang w:eastAsia="es-ES"/>
        </w:rPr>
        <w:t>44,2 billones de dólares deben los sectores públicos del mundo. La cantidad se ha duplicado en 10 años.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E055B">
        <w:rPr>
          <w:rFonts w:ascii="Times New Roman" w:eastAsia="Times New Roman" w:hAnsi="Times New Roman"/>
          <w:sz w:val="24"/>
          <w:szCs w:val="24"/>
          <w:lang w:eastAsia="es-ES"/>
        </w:rPr>
        <w:t>59,3% es la deuda pública acumulada por el conjunto del planeta, en porcentaje del PIB</w:t>
      </w:r>
      <w:r>
        <w:rPr>
          <w:rFonts w:ascii="Times New Roman" w:eastAsia="Times New Roman" w:hAnsi="Times New Roman"/>
          <w:sz w:val="24"/>
          <w:szCs w:val="24"/>
          <w:lang w:eastAsia="es-ES"/>
        </w:rPr>
        <w:t>…</w:t>
      </w:r>
    </w:p>
    <w:p w:rsidR="002F07D4" w:rsidRPr="00F12AF7"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F12AF7">
        <w:rPr>
          <w:rFonts w:ascii="Times New Roman" w:eastAsia="Times New Roman" w:hAnsi="Times New Roman"/>
          <w:b/>
          <w:sz w:val="24"/>
          <w:szCs w:val="24"/>
          <w:lang w:eastAsia="es-ES"/>
        </w:rPr>
        <w:t>La financierización de la economía (confundiendo deuda con riqueza)</w:t>
      </w:r>
    </w:p>
    <w:p w:rsidR="002F07D4" w:rsidRPr="00F12AF7" w:rsidRDefault="002F07D4" w:rsidP="002F07D4">
      <w:pPr>
        <w:pStyle w:val="NormalWeb"/>
        <w:jc w:val="both"/>
        <w:rPr>
          <w:i/>
        </w:rPr>
      </w:pPr>
      <w:r w:rsidRPr="00F12AF7">
        <w:rPr>
          <w:i/>
        </w:rPr>
        <w:t xml:space="preserve">“Durante las últimas décadas se ha venido produciendo un cambio en las economías occidentales. </w:t>
      </w:r>
      <w:r w:rsidRPr="00F12AF7">
        <w:rPr>
          <w:bCs/>
          <w:i/>
        </w:rPr>
        <w:t>Del capitalismo industrial se ha pasado al financiero</w:t>
      </w:r>
      <w:r w:rsidRPr="00F12AF7">
        <w:rPr>
          <w:i/>
        </w:rPr>
        <w:t xml:space="preserve">, de la preeminencia de la actividad productiva a la crediticia y de mercados”... </w:t>
      </w:r>
      <w:r w:rsidRPr="00F12AF7">
        <w:rPr>
          <w:u w:val="single"/>
        </w:rPr>
        <w:t>Ganan las finanzas, pierde la economía real: el futuro ya está aquí</w:t>
      </w:r>
      <w:r w:rsidRPr="00F12AF7">
        <w:t xml:space="preserve"> (El Confidencial - </w:t>
      </w:r>
      <w:r w:rsidRPr="00F12AF7">
        <w:rPr>
          <w:b/>
        </w:rPr>
        <w:t>14/9/11</w:t>
      </w:r>
    </w:p>
    <w:p w:rsidR="002F07D4" w:rsidRPr="00F12AF7" w:rsidRDefault="002F07D4" w:rsidP="002F07D4">
      <w:pPr>
        <w:pStyle w:val="NormalWeb"/>
        <w:jc w:val="both"/>
      </w:pPr>
      <w:r w:rsidRPr="00F12AF7">
        <w:rPr>
          <w:bCs/>
        </w:rPr>
        <w:t xml:space="preserve">Acaba de concluir su primera faseque ha implicado la casi desaparición de la economía “real” </w:t>
      </w:r>
      <w:r w:rsidRPr="00F12AF7">
        <w:t xml:space="preserve">en favor de la financiera y la concentración de poder en reducidas manos de este sector. Para ello se ha usado la </w:t>
      </w:r>
      <w:hyperlink r:id="rId196" w:history="1">
        <w:r w:rsidRPr="001142DC">
          <w:rPr>
            <w:rStyle w:val="Hipervnculo"/>
            <w:color w:val="auto"/>
          </w:rPr>
          <w:t>ilusión monetaria</w:t>
        </w:r>
      </w:hyperlink>
      <w:r w:rsidRPr="00F12AF7">
        <w:t xml:space="preserve"> que logró convencer a los ciudadanos que endeudarse significaba ser más rico, sin que, en realidad, se operara cambio alguno en su situación. Pero claro, cuanta más deuda, más dependencia del sector financiero. </w:t>
      </w:r>
    </w:p>
    <w:p w:rsidR="002F07D4" w:rsidRPr="00F12AF7" w:rsidRDefault="002F07D4" w:rsidP="002F07D4">
      <w:pPr>
        <w:pStyle w:val="NormalWeb"/>
        <w:jc w:val="both"/>
      </w:pPr>
      <w:r w:rsidRPr="00F12AF7">
        <w:rPr>
          <w:b/>
          <w:bCs/>
          <w:noProof/>
          <w:lang w:val="en-GB" w:eastAsia="en-GB"/>
        </w:rPr>
        <w:lastRenderedPageBreak/>
        <w:drawing>
          <wp:inline distT="0" distB="0" distL="0" distR="0">
            <wp:extent cx="4743450" cy="2914650"/>
            <wp:effectExtent l="0" t="0" r="0" b="0"/>
            <wp:docPr id="339" name="Imagen 339" descr="201109138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110913841409"/>
                    <pic:cNvPicPr>
                      <a:picLocks noChangeAspect="1" noChangeArrowheads="1"/>
                    </pic:cNvPicPr>
                  </pic:nvPicPr>
                  <pic:blipFill>
                    <a:blip r:embed="rId1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43450" cy="2914650"/>
                    </a:xfrm>
                    <a:prstGeom prst="rect">
                      <a:avLst/>
                    </a:prstGeom>
                    <a:noFill/>
                    <a:ln>
                      <a:noFill/>
                    </a:ln>
                  </pic:spPr>
                </pic:pic>
              </a:graphicData>
            </a:graphic>
          </wp:inline>
        </w:drawing>
      </w:r>
    </w:p>
    <w:p w:rsidR="002F07D4" w:rsidRPr="00F12AF7" w:rsidRDefault="002F07D4" w:rsidP="002F07D4">
      <w:pPr>
        <w:pStyle w:val="NormalWeb"/>
        <w:jc w:val="both"/>
      </w:pPr>
      <w:r w:rsidRPr="00F12AF7">
        <w:rPr>
          <w:bCs/>
        </w:rPr>
        <w:t xml:space="preserve">Ahora, con esta crisis, se está entrando en la segunda fase de esta transformación, la de la total ocupación de los fondos públicos. </w:t>
      </w:r>
      <w:r w:rsidRPr="00F12AF7">
        <w:t xml:space="preserve">¿Cómo lo logran? </w:t>
      </w:r>
    </w:p>
    <w:p w:rsidR="002F07D4" w:rsidRPr="001142DC" w:rsidRDefault="002F07D4" w:rsidP="002F07D4">
      <w:pPr>
        <w:pStyle w:val="NormalWeb"/>
        <w:jc w:val="both"/>
      </w:pPr>
      <w:r w:rsidRPr="00F12AF7">
        <w:t>Primero,</w:t>
      </w:r>
      <w:r w:rsidRPr="00F12AF7">
        <w:rPr>
          <w:bCs/>
        </w:rPr>
        <w:t xml:space="preserve"> a través del miedo</w:t>
      </w:r>
      <w:r w:rsidRPr="00F12AF7">
        <w:t xml:space="preserve">. Los trabajadores ven el despido tan cerca </w:t>
      </w:r>
      <w:r w:rsidRPr="001142DC">
        <w:t xml:space="preserve">(según la </w:t>
      </w:r>
      <w:hyperlink r:id="rId198" w:history="1">
        <w:r w:rsidRPr="001142DC">
          <w:rPr>
            <w:rStyle w:val="Hipervnculo"/>
            <w:color w:val="auto"/>
          </w:rPr>
          <w:t>OIT</w:t>
        </w:r>
      </w:hyperlink>
      <w:r w:rsidRPr="001142DC">
        <w:t xml:space="preserve">, el desempleo está en su nivel más alto nunca registrado) y se encuentran con tan poco ahorro y tan escasas posibilidades de encontrar otro trabajo, que </w:t>
      </w:r>
      <w:r w:rsidRPr="001142DC">
        <w:rPr>
          <w:bCs/>
        </w:rPr>
        <w:t>aceptan cualquier medida económica por dañina que les resulte.</w:t>
      </w:r>
    </w:p>
    <w:p w:rsidR="002F07D4" w:rsidRPr="001142DC" w:rsidRDefault="002F07D4" w:rsidP="002F07D4">
      <w:pPr>
        <w:pStyle w:val="NormalWeb"/>
        <w:jc w:val="both"/>
      </w:pPr>
      <w:r w:rsidRPr="001142DC">
        <w:t xml:space="preserve">Empecemos por </w:t>
      </w:r>
      <w:r w:rsidRPr="001142DC">
        <w:rPr>
          <w:bCs/>
        </w:rPr>
        <w:t>el descenso de los costes salariales</w:t>
      </w:r>
      <w:r w:rsidRPr="001142DC">
        <w:t xml:space="preserve">. Según </w:t>
      </w:r>
      <w:hyperlink r:id="rId199" w:history="1">
        <w:r w:rsidRPr="001142DC">
          <w:rPr>
            <w:rStyle w:val="Hipervnculo"/>
            <w:color w:val="auto"/>
          </w:rPr>
          <w:t>Greenspan</w:t>
        </w:r>
      </w:hyperlink>
      <w:r w:rsidRPr="001142DC">
        <w:t xml:space="preserve">, la deuda “cura” el problema laboral y está en la génesis de la </w:t>
      </w:r>
      <w:hyperlink r:id="rId200" w:history="1">
        <w:r w:rsidRPr="001142DC">
          <w:rPr>
            <w:rStyle w:val="Hipervnculo"/>
            <w:color w:val="auto"/>
          </w:rPr>
          <w:t>contracción</w:t>
        </w:r>
      </w:hyperlink>
      <w:r w:rsidRPr="001142DC">
        <w:t xml:space="preserve"> de la </w:t>
      </w:r>
      <w:hyperlink r:id="rId201" w:history="1">
        <w:r w:rsidRPr="001142DC">
          <w:rPr>
            <w:rStyle w:val="Hipervnculo"/>
            <w:color w:val="auto"/>
          </w:rPr>
          <w:t>retribución a los empleados</w:t>
        </w:r>
      </w:hyperlink>
      <w:r w:rsidRPr="001142DC">
        <w:t>. Vaya, haber empezado por ahí cuando fue Presidente de la Reserva Federal.</w:t>
      </w:r>
    </w:p>
    <w:p w:rsidR="002F07D4" w:rsidRPr="00F12AF7" w:rsidRDefault="002F07D4" w:rsidP="002F07D4">
      <w:pPr>
        <w:pStyle w:val="NormalWeb"/>
        <w:jc w:val="both"/>
      </w:pPr>
      <w:r w:rsidRPr="00F12AF7">
        <w:rPr>
          <w:noProof/>
          <w:lang w:val="en-GB" w:eastAsia="en-GB"/>
        </w:rPr>
        <w:drawing>
          <wp:inline distT="0" distB="0" distL="0" distR="0">
            <wp:extent cx="4743450" cy="2743200"/>
            <wp:effectExtent l="0" t="0" r="0" b="0"/>
            <wp:docPr id="338" name="Imagen 338" descr="2011091347140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110913471409_2"/>
                    <pic:cNvPicPr>
                      <a:picLocks noChangeAspect="1" noChangeArrowheads="1"/>
                    </pic:cNvPicPr>
                  </pic:nvPicPr>
                  <pic:blipFill>
                    <a:blip r:embed="rId2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43450" cy="2743200"/>
                    </a:xfrm>
                    <a:prstGeom prst="rect">
                      <a:avLst/>
                    </a:prstGeom>
                    <a:noFill/>
                    <a:ln>
                      <a:noFill/>
                    </a:ln>
                  </pic:spPr>
                </pic:pic>
              </a:graphicData>
            </a:graphic>
          </wp:inline>
        </w:drawing>
      </w:r>
    </w:p>
    <w:p w:rsidR="002F07D4" w:rsidRPr="00F12AF7" w:rsidRDefault="002F07D4" w:rsidP="002F07D4">
      <w:pPr>
        <w:pStyle w:val="NormalWeb"/>
        <w:jc w:val="both"/>
      </w:pPr>
      <w:r w:rsidRPr="00F12AF7">
        <w:t xml:space="preserve">Sigamos con el </w:t>
      </w:r>
      <w:r w:rsidRPr="00F12AF7">
        <w:rPr>
          <w:bCs/>
        </w:rPr>
        <w:t>déficit público</w:t>
      </w:r>
      <w:r w:rsidRPr="00F12AF7">
        <w:t xml:space="preserve">. En los Estados Unidos, </w:t>
      </w:r>
      <w:r w:rsidRPr="001142DC">
        <w:t xml:space="preserve">la </w:t>
      </w:r>
      <w:hyperlink r:id="rId203" w:history="1">
        <w:r w:rsidRPr="001142DC">
          <w:rPr>
            <w:rStyle w:val="Hipervnculo"/>
            <w:color w:val="auto"/>
          </w:rPr>
          <w:t>Comisión de Responsabilidad Fiscal</w:t>
        </w:r>
      </w:hyperlink>
      <w:r w:rsidRPr="001142DC">
        <w:t xml:space="preserve"> está más preocupada por el agujero presupuestario que por el crecimiento. El mismo título del estudio asusta: “</w:t>
      </w:r>
      <w:r w:rsidRPr="001142DC">
        <w:rPr>
          <w:iCs/>
        </w:rPr>
        <w:t>El Momento de la verdad</w:t>
      </w:r>
      <w:r w:rsidRPr="001142DC">
        <w:t xml:space="preserve">”. ¿De qué “verdad”? ¿La “verdad” de que su gobierno puede, siempre, pagar su deuda </w:t>
      </w:r>
      <w:r w:rsidRPr="00F12AF7">
        <w:t xml:space="preserve">al endeudarse en su propia </w:t>
      </w:r>
      <w:r w:rsidRPr="00F12AF7">
        <w:lastRenderedPageBreak/>
        <w:t>moneda? ¿La “verdad” que Estados Unidos jamás entrara en bancarrota, a menos que así lo desee? ¿Qué es esto?</w:t>
      </w:r>
    </w:p>
    <w:p w:rsidR="002F07D4" w:rsidRPr="00F12AF7" w:rsidRDefault="002F07D4" w:rsidP="002F07D4">
      <w:pPr>
        <w:pStyle w:val="NormalWeb"/>
        <w:jc w:val="both"/>
      </w:pPr>
      <w:r w:rsidRPr="00F12AF7">
        <w:t xml:space="preserve">Entre los miembros de esta Comisión hay ex vicepresidentes de la FED, ex directivos de Morgan Stanley y profesionales de perfil similar. Gente preparada que sabe que están mintiendo a sus compatriotas. Interesa transmitir la idea de que unos gobiernos sumamente ineptos y proclives a dispendios sin control convierten todo gasto público en improductivo. </w:t>
      </w:r>
    </w:p>
    <w:p w:rsidR="002F07D4" w:rsidRPr="00F12AF7" w:rsidRDefault="002F07D4" w:rsidP="002F07D4">
      <w:pPr>
        <w:pStyle w:val="NormalWeb"/>
        <w:jc w:val="both"/>
      </w:pPr>
      <w:r w:rsidRPr="00F12AF7">
        <w:t>Se busca convencer a los ciudadanos de que la situación actual no permite el déficit del Estado, que son inviables las estructuras públicas de pensiones o de salud. No se explica que no todo el gasto de la administración es dispendio ni que la falta de superávit comercial implica déficit del sector privado o el público.</w:t>
      </w:r>
    </w:p>
    <w:p w:rsidR="002F07D4" w:rsidRPr="001142DC" w:rsidRDefault="002F07D4" w:rsidP="002F07D4">
      <w:pPr>
        <w:pStyle w:val="NormalWeb"/>
        <w:jc w:val="both"/>
      </w:pPr>
      <w:r w:rsidRPr="00F12AF7">
        <w:rPr>
          <w:bCs/>
        </w:rPr>
        <w:t>El resultado es que los ciudadanos han asimilado que si no aceptan las medidas de austeridad, sufrirán la mayor recesión de la Historia.</w:t>
      </w:r>
      <w:r w:rsidRPr="00F12AF7">
        <w:t xml:space="preserve"> Si no acatan resignadamente los </w:t>
      </w:r>
      <w:r w:rsidRPr="001142DC">
        <w:t xml:space="preserve">recortes, el límite de la deuda USA no se podrá aprobar (dicho por el mismo partido que lo aumentó en </w:t>
      </w:r>
      <w:hyperlink r:id="rId204" w:history="1">
        <w:r w:rsidRPr="001142DC">
          <w:rPr>
            <w:rStyle w:val="Hipervnculo"/>
            <w:color w:val="auto"/>
          </w:rPr>
          <w:t>diez</w:t>
        </w:r>
      </w:hyperlink>
      <w:r w:rsidRPr="001142DC">
        <w:t xml:space="preserve"> ocasiones anteriores). Sin ajustes, sus pensiones corren peligro.</w:t>
      </w:r>
    </w:p>
    <w:p w:rsidR="002F07D4" w:rsidRPr="001142DC" w:rsidRDefault="002F07D4" w:rsidP="002F07D4">
      <w:pPr>
        <w:pStyle w:val="NormalWeb"/>
        <w:jc w:val="both"/>
      </w:pPr>
      <w:r w:rsidRPr="001142DC">
        <w:rPr>
          <w:bCs/>
        </w:rPr>
        <w:t>El objetivo es destinar los recursos públicos y el endeudamiento del Estado a apoyar el rescate de las entidades financieras y evitar minusvalías en las carteras de las entidades</w:t>
      </w:r>
      <w:r w:rsidRPr="001142DC">
        <w:t xml:space="preserve">. </w:t>
      </w:r>
    </w:p>
    <w:p w:rsidR="002F07D4" w:rsidRPr="001142DC" w:rsidRDefault="002F07D4" w:rsidP="002F07D4">
      <w:pPr>
        <w:pStyle w:val="NormalWeb"/>
        <w:jc w:val="both"/>
      </w:pPr>
      <w:r w:rsidRPr="001142DC">
        <w:rPr>
          <w:bCs/>
        </w:rPr>
        <w:t>El sector financiero sabe que el sistema no da más de sí</w:t>
      </w:r>
      <w:r w:rsidRPr="001142DC">
        <w:t xml:space="preserve">. Puede aguantar un poco más, coger el dinero del nuevo </w:t>
      </w:r>
      <w:hyperlink r:id="rId205" w:history="1">
        <w:r w:rsidRPr="001142DC">
          <w:rPr>
            <w:rStyle w:val="Hipervnculo"/>
            <w:color w:val="auto"/>
          </w:rPr>
          <w:t>QE</w:t>
        </w:r>
      </w:hyperlink>
      <w:r w:rsidRPr="001142DC">
        <w:t xml:space="preserve"> y moverlo hacia </w:t>
      </w:r>
      <w:hyperlink r:id="rId206" w:anchor="search=%22agreement%20singapore%20government%20american%20banks%22" w:history="1">
        <w:r w:rsidRPr="001142DC">
          <w:rPr>
            <w:rStyle w:val="Hipervnculo"/>
            <w:color w:val="auto"/>
          </w:rPr>
          <w:t>Asia</w:t>
        </w:r>
      </w:hyperlink>
      <w:r w:rsidRPr="001142DC">
        <w:t xml:space="preserve"> donde está el futuro gracias a una población ávida por </w:t>
      </w:r>
      <w:hyperlink r:id="rId207" w:history="1">
        <w:r w:rsidRPr="001142DC">
          <w:rPr>
            <w:rStyle w:val="Hipervnculo"/>
            <w:color w:val="auto"/>
          </w:rPr>
          <w:t>consumir</w:t>
        </w:r>
      </w:hyperlink>
      <w:r w:rsidRPr="001142DC">
        <w:t xml:space="preserve"> y endeudarse. Pero sabe que la deuda total, tanto en los </w:t>
      </w:r>
      <w:hyperlink r:id="rId208" w:history="1">
        <w:r w:rsidRPr="001142DC">
          <w:rPr>
            <w:rStyle w:val="Hipervnculo"/>
            <w:color w:val="auto"/>
          </w:rPr>
          <w:t>EEUU</w:t>
        </w:r>
      </w:hyperlink>
      <w:r w:rsidRPr="001142DC">
        <w:t xml:space="preserve"> como en la UE, no puede pagarse. </w:t>
      </w:r>
    </w:p>
    <w:p w:rsidR="002F07D4" w:rsidRPr="001142DC" w:rsidRDefault="002F07D4" w:rsidP="002F07D4">
      <w:pPr>
        <w:pStyle w:val="NormalWeb"/>
        <w:jc w:val="both"/>
      </w:pPr>
      <w:r w:rsidRPr="001142DC">
        <w:rPr>
          <w:bCs/>
        </w:rPr>
        <w:t>En esta operación, el papel del BCE es fundamental</w:t>
      </w:r>
      <w:r w:rsidRPr="001142DC">
        <w:t xml:space="preserve">. La labor principal de un banco central es la de financiar el gasto del Estado con la compra de su deuda. El BCE es diferente: tiene prohibido la compra en el mercado primario. Su tarea se limita a controlar la inflación. </w:t>
      </w:r>
    </w:p>
    <w:p w:rsidR="002F07D4" w:rsidRPr="001142DC" w:rsidRDefault="002F07D4" w:rsidP="002F07D4">
      <w:pPr>
        <w:pStyle w:val="NormalWeb"/>
        <w:jc w:val="both"/>
      </w:pPr>
      <w:r w:rsidRPr="001142DC">
        <w:t xml:space="preserve">Así, los países de la UE, en lugar de endeudarse a través de su banco central como ocurre en Estados Unidos, Inglaterra, Canadá, Noruega… lo hacen </w:t>
      </w:r>
      <w:hyperlink r:id="rId209" w:history="1">
        <w:r w:rsidRPr="001142DC">
          <w:rPr>
            <w:rStyle w:val="Hipervnculo"/>
            <w:color w:val="auto"/>
          </w:rPr>
          <w:t>pagando</w:t>
        </w:r>
      </w:hyperlink>
      <w:r w:rsidRPr="001142DC">
        <w:t xml:space="preserve"> el 5% a los bancos comerciales que después venden la misma deuda al BCE. Mientras, Estados Unidos se financia a través de la FED al 0%. ¿Quién gana con este mecanismo? ¿El ciudadano?...</w:t>
      </w:r>
    </w:p>
    <w:p w:rsidR="002F07D4" w:rsidRPr="00D0500C"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D0500C">
        <w:rPr>
          <w:rFonts w:ascii="Times New Roman" w:eastAsia="Times New Roman" w:hAnsi="Times New Roman"/>
          <w:sz w:val="24"/>
          <w:szCs w:val="24"/>
          <w:u w:val="single"/>
          <w:lang w:eastAsia="es-ES"/>
        </w:rPr>
        <w:t>La próxima sobreoferta de crédito global</w:t>
      </w:r>
      <w:r>
        <w:rPr>
          <w:rFonts w:ascii="Times New Roman" w:eastAsia="Times New Roman" w:hAnsi="Times New Roman"/>
          <w:sz w:val="24"/>
          <w:szCs w:val="24"/>
          <w:lang w:eastAsia="es-ES"/>
        </w:rPr>
        <w:t xml:space="preserve"> (Project Syndicate -  </w:t>
      </w:r>
      <w:r w:rsidRPr="00D0500C">
        <w:rPr>
          <w:rFonts w:ascii="Times New Roman" w:eastAsia="Times New Roman" w:hAnsi="Times New Roman"/>
          <w:b/>
          <w:sz w:val="24"/>
          <w:szCs w:val="24"/>
          <w:lang w:eastAsia="es-ES"/>
        </w:rPr>
        <w:t>31/10/11</w:t>
      </w:r>
      <w:r>
        <w:rPr>
          <w:rFonts w:ascii="Times New Roman" w:eastAsia="Times New Roman" w:hAnsi="Times New Roman"/>
          <w:sz w:val="24"/>
          <w:szCs w:val="24"/>
          <w:lang w:eastAsia="es-ES"/>
        </w:rPr>
        <w:t>)</w:t>
      </w:r>
    </w:p>
    <w:p w:rsidR="002F07D4" w:rsidRPr="00D0500C" w:rsidRDefault="002F07D4" w:rsidP="002F07D4">
      <w:pPr>
        <w:spacing w:after="0" w:line="240" w:lineRule="auto"/>
        <w:jc w:val="both"/>
        <w:rPr>
          <w:rFonts w:ascii="Times New Roman" w:eastAsia="Times New Roman" w:hAnsi="Times New Roman"/>
          <w:sz w:val="24"/>
          <w:szCs w:val="24"/>
          <w:lang w:eastAsia="es-ES"/>
        </w:rPr>
      </w:pPr>
    </w:p>
    <w:p w:rsidR="002F07D4" w:rsidRPr="000D3FA3" w:rsidRDefault="002F07D4" w:rsidP="002F07D4">
      <w:pPr>
        <w:spacing w:after="0" w:line="240" w:lineRule="auto"/>
        <w:jc w:val="both"/>
        <w:rPr>
          <w:rFonts w:ascii="Times New Roman" w:eastAsia="Times New Roman" w:hAnsi="Times New Roman"/>
          <w:b/>
          <w:color w:val="FF0000"/>
          <w:sz w:val="24"/>
          <w:szCs w:val="24"/>
          <w:lang w:eastAsia="es-ES"/>
        </w:rPr>
      </w:pPr>
      <w:r w:rsidRPr="000D3FA3">
        <w:rPr>
          <w:rFonts w:ascii="Times New Roman" w:eastAsia="Times New Roman" w:hAnsi="Times New Roman"/>
          <w:sz w:val="24"/>
          <w:szCs w:val="24"/>
          <w:lang w:eastAsia="es-ES"/>
        </w:rPr>
        <w:t>(Por Andrew Sheng</w:t>
      </w:r>
      <w:r w:rsidRPr="00DE69B3">
        <w:rPr>
          <w:rFonts w:ascii="Times New Roman" w:eastAsia="Times New Roman" w:hAnsi="Times New Roman"/>
          <w:sz w:val="24"/>
          <w:szCs w:val="24"/>
          <w:lang w:eastAsia="es-ES"/>
        </w:rPr>
        <w:t>)                            Lectura recomendada</w:t>
      </w:r>
    </w:p>
    <w:p w:rsidR="002F07D4" w:rsidRPr="000D3FA3" w:rsidRDefault="002F07D4" w:rsidP="002F07D4">
      <w:pPr>
        <w:spacing w:after="0" w:line="240" w:lineRule="auto"/>
        <w:jc w:val="both"/>
        <w:rPr>
          <w:rFonts w:ascii="Times New Roman" w:eastAsia="Times New Roman" w:hAnsi="Times New Roman"/>
          <w:color w:val="FF0000"/>
          <w:sz w:val="24"/>
          <w:szCs w:val="24"/>
          <w:lang w:eastAsia="es-ES"/>
        </w:rPr>
      </w:pPr>
    </w:p>
    <w:p w:rsidR="002F07D4" w:rsidRPr="008242C7" w:rsidRDefault="002F07D4" w:rsidP="002F07D4">
      <w:pPr>
        <w:spacing w:after="0"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lang w:eastAsia="es-ES"/>
        </w:rPr>
        <w:t>Hong Kong.-</w:t>
      </w:r>
      <w:r w:rsidRPr="008242C7">
        <w:rPr>
          <w:rFonts w:ascii="Times New Roman" w:eastAsia="Times New Roman" w:hAnsi="Times New Roman"/>
          <w:sz w:val="24"/>
          <w:szCs w:val="24"/>
          <w:u w:val="single"/>
          <w:lang w:eastAsia="es-ES"/>
        </w:rPr>
        <w:t>Cuando los líderes en la cumbre del G-20 se reúnan esta semana en Cannes, Francia, el próximo campo minado económico que enfrentarán ya estará saliendo a la luz. Es probable que adopte la forma de una sobreoferta global y opaca del crédito, impulsada por la combinación de una banca</w:t>
      </w:r>
      <w:r w:rsidR="00AC745E">
        <w:rPr>
          <w:rFonts w:ascii="Times New Roman" w:eastAsia="Times New Roman" w:hAnsi="Times New Roman"/>
          <w:sz w:val="24"/>
          <w:szCs w:val="24"/>
          <w:u w:val="single"/>
          <w:lang w:eastAsia="es-ES"/>
        </w:rPr>
        <w:t xml:space="preserve"> mundial “demasiado grande para quebrar”</w:t>
      </w:r>
      <w:r w:rsidRPr="008242C7">
        <w:rPr>
          <w:rFonts w:ascii="Times New Roman" w:eastAsia="Times New Roman" w:hAnsi="Times New Roman"/>
          <w:sz w:val="24"/>
          <w:szCs w:val="24"/>
          <w:u w:val="single"/>
          <w:lang w:eastAsia="es-ES"/>
        </w:rPr>
        <w:t xml:space="preserve"> con un enorme sector bancario en las sombras que, en gran</w:t>
      </w:r>
      <w:r>
        <w:rPr>
          <w:rFonts w:ascii="Times New Roman" w:eastAsia="Times New Roman" w:hAnsi="Times New Roman"/>
          <w:sz w:val="24"/>
          <w:szCs w:val="24"/>
          <w:u w:val="single"/>
          <w:lang w:eastAsia="es-ES"/>
        </w:rPr>
        <w:t xml:space="preserve"> medida</w:t>
      </w:r>
      <w:r w:rsidRPr="008242C7">
        <w:rPr>
          <w:rFonts w:ascii="Times New Roman" w:eastAsia="Times New Roman" w:hAnsi="Times New Roman"/>
          <w:sz w:val="24"/>
          <w:szCs w:val="24"/>
          <w:u w:val="single"/>
          <w:lang w:eastAsia="es-ES"/>
        </w:rPr>
        <w:t>, no ha sido advertido ni reglamentado.</w:t>
      </w:r>
    </w:p>
    <w:p w:rsidR="002F07D4" w:rsidRPr="00D0500C" w:rsidRDefault="002F07D4" w:rsidP="002F07D4">
      <w:pPr>
        <w:spacing w:after="0" w:line="240" w:lineRule="auto"/>
        <w:jc w:val="both"/>
        <w:rPr>
          <w:rFonts w:ascii="Times New Roman" w:eastAsia="Times New Roman" w:hAnsi="Times New Roman"/>
          <w:sz w:val="24"/>
          <w:szCs w:val="24"/>
          <w:lang w:eastAsia="es-ES"/>
        </w:rPr>
      </w:pPr>
    </w:p>
    <w:p w:rsidR="002F07D4" w:rsidRPr="008242C7" w:rsidRDefault="002F07D4" w:rsidP="002F07D4">
      <w:pPr>
        <w:spacing w:after="0" w:line="240" w:lineRule="auto"/>
        <w:jc w:val="both"/>
        <w:rPr>
          <w:rFonts w:ascii="Times New Roman" w:eastAsia="Times New Roman" w:hAnsi="Times New Roman"/>
          <w:sz w:val="24"/>
          <w:szCs w:val="24"/>
          <w:u w:val="single"/>
          <w:lang w:eastAsia="es-ES"/>
        </w:rPr>
      </w:pPr>
      <w:r w:rsidRPr="008242C7">
        <w:rPr>
          <w:rFonts w:ascii="Times New Roman" w:eastAsia="Times New Roman" w:hAnsi="Times New Roman"/>
          <w:sz w:val="24"/>
          <w:szCs w:val="24"/>
          <w:u w:val="single"/>
          <w:lang w:eastAsia="es-ES"/>
        </w:rPr>
        <w:lastRenderedPageBreak/>
        <w:t>Es cierto que no es lo que muchos ve</w:t>
      </w:r>
      <w:r w:rsidRPr="00D0500C">
        <w:rPr>
          <w:rFonts w:ascii="Times New Roman" w:eastAsia="Times New Roman" w:hAnsi="Times New Roman"/>
          <w:sz w:val="24"/>
          <w:szCs w:val="24"/>
          <w:lang w:eastAsia="es-ES"/>
        </w:rPr>
        <w:t xml:space="preserve">n. El Presidente de la Reserva Federal, Ben Bernanke, y otros personeros han atribuido la crisis financiera de 2008 a un exceso de ahorro global, que generó grandes flujos de dinero desde economías de mercados emergentes con altos niveles de ahorro -especialmente en Asia- que poseen superávits crónicos de la balanza de pagos. </w:t>
      </w:r>
      <w:r w:rsidRPr="008242C7">
        <w:rPr>
          <w:rFonts w:ascii="Times New Roman" w:eastAsia="Times New Roman" w:hAnsi="Times New Roman"/>
          <w:sz w:val="24"/>
          <w:szCs w:val="24"/>
          <w:u w:val="single"/>
          <w:lang w:eastAsia="es-ES"/>
        </w:rPr>
        <w:t>De acuerdo con esta escuela de pensamiento, el exceso de ahorro llevó las tasas de interés de largo plazo a niveles bajísimos, produciendo burbujas de activos en los Estados Unidos y otros países.</w:t>
      </w:r>
    </w:p>
    <w:p w:rsidR="002F07D4" w:rsidRPr="008242C7" w:rsidRDefault="002F07D4" w:rsidP="002F07D4">
      <w:pPr>
        <w:spacing w:after="0" w:line="240" w:lineRule="auto"/>
        <w:jc w:val="both"/>
        <w:rPr>
          <w:rFonts w:ascii="Times New Roman" w:eastAsia="Times New Roman" w:hAnsi="Times New Roman"/>
          <w:sz w:val="24"/>
          <w:szCs w:val="24"/>
          <w:u w:val="single"/>
          <w:lang w:eastAsia="es-ES"/>
        </w:rPr>
      </w:pPr>
    </w:p>
    <w:p w:rsidR="002F07D4" w:rsidRPr="00DE69B3" w:rsidRDefault="002F07D4" w:rsidP="002F07D4">
      <w:pPr>
        <w:spacing w:after="0" w:line="240" w:lineRule="auto"/>
        <w:jc w:val="both"/>
        <w:rPr>
          <w:rFonts w:ascii="Times New Roman" w:eastAsia="Times New Roman" w:hAnsi="Times New Roman"/>
          <w:color w:val="FF0000"/>
          <w:sz w:val="24"/>
          <w:szCs w:val="24"/>
          <w:u w:val="single"/>
          <w:lang w:eastAsia="es-ES"/>
        </w:rPr>
      </w:pPr>
      <w:r w:rsidRPr="00DE69B3">
        <w:rPr>
          <w:rFonts w:ascii="Times New Roman" w:eastAsia="Times New Roman" w:hAnsi="Times New Roman"/>
          <w:color w:val="FF0000"/>
          <w:sz w:val="24"/>
          <w:szCs w:val="24"/>
          <w:u w:val="single"/>
          <w:lang w:eastAsia="es-ES"/>
        </w:rPr>
        <w:t>Sin embargo, Claudio Borio y Disayat Piti, economistas del Banco de Pagos Internacionales, han argumentado de forma convincente que la teoría del exceso de ahorro no explica la insostenible creación de crédito en el período previo a la crisis de 2008. Han demostrado que los flujos de capital importantes no provenían de los mercados emergentes, sino de Europa, donde no había un superávit neto de la balanza de pagos.</w:t>
      </w:r>
    </w:p>
    <w:p w:rsidR="002F07D4" w:rsidRPr="00DE69B3" w:rsidRDefault="002F07D4" w:rsidP="002F07D4">
      <w:pPr>
        <w:spacing w:after="0" w:line="240" w:lineRule="auto"/>
        <w:jc w:val="both"/>
        <w:rPr>
          <w:rFonts w:ascii="Times New Roman" w:eastAsia="Times New Roman" w:hAnsi="Times New Roman"/>
          <w:color w:val="FF0000"/>
          <w:sz w:val="24"/>
          <w:szCs w:val="24"/>
          <w:u w:val="single"/>
          <w:lang w:eastAsia="es-ES"/>
        </w:rPr>
      </w:pPr>
    </w:p>
    <w:p w:rsidR="002F07D4" w:rsidRPr="00DE69B3" w:rsidRDefault="002F07D4" w:rsidP="002F07D4">
      <w:pPr>
        <w:spacing w:after="0" w:line="240" w:lineRule="auto"/>
        <w:jc w:val="both"/>
        <w:rPr>
          <w:rFonts w:ascii="Times New Roman" w:eastAsia="Times New Roman" w:hAnsi="Times New Roman"/>
          <w:color w:val="FF0000"/>
          <w:sz w:val="24"/>
          <w:szCs w:val="24"/>
          <w:u w:val="single"/>
          <w:lang w:eastAsia="es-ES"/>
        </w:rPr>
      </w:pPr>
      <w:r w:rsidRPr="00DE69B3">
        <w:rPr>
          <w:rFonts w:ascii="Times New Roman" w:eastAsia="Times New Roman" w:hAnsi="Times New Roman"/>
          <w:color w:val="FF0000"/>
          <w:sz w:val="24"/>
          <w:szCs w:val="24"/>
          <w:u w:val="single"/>
          <w:lang w:eastAsia="es-ES"/>
        </w:rPr>
        <w:t>La teoría alternativa -de un exceso de oferta mundial de crédito- ganó más terreno con la publicación la semana pasada del informe del Consejo de Estabilidad Financiera sobre intermed</w:t>
      </w:r>
      <w:r>
        <w:rPr>
          <w:rFonts w:ascii="Times New Roman" w:eastAsia="Times New Roman" w:hAnsi="Times New Roman"/>
          <w:color w:val="FF0000"/>
          <w:sz w:val="24"/>
          <w:szCs w:val="24"/>
          <w:u w:val="single"/>
          <w:lang w:eastAsia="es-ES"/>
        </w:rPr>
        <w:t>iación financiera no bancaria (“shadow banking”</w:t>
      </w:r>
      <w:r w:rsidRPr="00DE69B3">
        <w:rPr>
          <w:rFonts w:ascii="Times New Roman" w:eastAsia="Times New Roman" w:hAnsi="Times New Roman"/>
          <w:color w:val="FF0000"/>
          <w:sz w:val="24"/>
          <w:szCs w:val="24"/>
          <w:u w:val="single"/>
          <w:lang w:eastAsia="es-ES"/>
        </w:rPr>
        <w:t xml:space="preserve"> en inglés). El informe contiene sorprendentes revelaciones sobre la escala de la intermediación financiera no ba</w:t>
      </w:r>
      <w:r w:rsidR="00AC745E">
        <w:rPr>
          <w:rFonts w:ascii="Times New Roman" w:eastAsia="Times New Roman" w:hAnsi="Times New Roman"/>
          <w:color w:val="FF0000"/>
          <w:sz w:val="24"/>
          <w:szCs w:val="24"/>
          <w:u w:val="single"/>
          <w:lang w:eastAsia="es-ES"/>
        </w:rPr>
        <w:t>ncaria global, que define como “</w:t>
      </w:r>
      <w:r w:rsidRPr="00DE69B3">
        <w:rPr>
          <w:rFonts w:ascii="Times New Roman" w:eastAsia="Times New Roman" w:hAnsi="Times New Roman"/>
          <w:color w:val="FF0000"/>
          <w:sz w:val="24"/>
          <w:szCs w:val="24"/>
          <w:u w:val="single"/>
          <w:lang w:eastAsia="es-ES"/>
        </w:rPr>
        <w:t>la intermediación del crédito por parte de entidades y actividades fuer</w:t>
      </w:r>
      <w:r w:rsidR="00AC745E">
        <w:rPr>
          <w:rFonts w:ascii="Times New Roman" w:eastAsia="Times New Roman" w:hAnsi="Times New Roman"/>
          <w:color w:val="FF0000"/>
          <w:sz w:val="24"/>
          <w:szCs w:val="24"/>
          <w:u w:val="single"/>
          <w:lang w:eastAsia="es-ES"/>
        </w:rPr>
        <w:t>a del sistema bancario regular”.</w:t>
      </w:r>
    </w:p>
    <w:p w:rsidR="002F07D4" w:rsidRPr="00DE69B3" w:rsidRDefault="002F07D4" w:rsidP="002F07D4">
      <w:pPr>
        <w:spacing w:after="0" w:line="240" w:lineRule="auto"/>
        <w:jc w:val="both"/>
        <w:rPr>
          <w:rFonts w:ascii="Times New Roman" w:eastAsia="Times New Roman" w:hAnsi="Times New Roman"/>
          <w:sz w:val="24"/>
          <w:szCs w:val="24"/>
          <w:lang w:eastAsia="es-ES"/>
        </w:rPr>
      </w:pPr>
    </w:p>
    <w:p w:rsidR="002F07D4" w:rsidRPr="00DE69B3" w:rsidRDefault="002F07D4" w:rsidP="002F07D4">
      <w:pPr>
        <w:spacing w:after="0" w:line="240" w:lineRule="auto"/>
        <w:jc w:val="both"/>
        <w:rPr>
          <w:rFonts w:ascii="Times New Roman" w:eastAsia="Times New Roman" w:hAnsi="Times New Roman"/>
          <w:color w:val="FF0000"/>
          <w:sz w:val="24"/>
          <w:szCs w:val="24"/>
          <w:u w:val="single"/>
          <w:lang w:eastAsia="es-ES"/>
        </w:rPr>
      </w:pPr>
      <w:r w:rsidRPr="00DE69B3">
        <w:rPr>
          <w:rFonts w:ascii="Times New Roman" w:eastAsia="Times New Roman" w:hAnsi="Times New Roman"/>
          <w:color w:val="FF0000"/>
          <w:sz w:val="24"/>
          <w:szCs w:val="24"/>
          <w:u w:val="single"/>
          <w:lang w:eastAsia="es-ES"/>
        </w:rPr>
        <w:t>El informe, solicitado por los líderes del G20 en su cumbre en Seúl en noviembre pasado, determinó que entre 2002 y 2007 la intermediación financiera no bancaria creció en  33 billones de dólares, más que duplicando su volumen de activos desde $27 billones a $60 billones. Esto es 8,5 veces mayor que el total del dé</w:t>
      </w:r>
      <w:r>
        <w:rPr>
          <w:rFonts w:ascii="Times New Roman" w:eastAsia="Times New Roman" w:hAnsi="Times New Roman"/>
          <w:color w:val="FF0000"/>
          <w:sz w:val="24"/>
          <w:szCs w:val="24"/>
          <w:u w:val="single"/>
          <w:lang w:eastAsia="es-ES"/>
        </w:rPr>
        <w:t>ficit de cuenta corriente de EEUU</w:t>
      </w:r>
      <w:r w:rsidRPr="00DE69B3">
        <w:rPr>
          <w:rFonts w:ascii="Times New Roman" w:eastAsia="Times New Roman" w:hAnsi="Times New Roman"/>
          <w:color w:val="FF0000"/>
          <w:sz w:val="24"/>
          <w:szCs w:val="24"/>
          <w:u w:val="single"/>
          <w:lang w:eastAsia="es-ES"/>
        </w:rPr>
        <w:t>, de $ 3,9 billones durante el mismo período.</w:t>
      </w:r>
    </w:p>
    <w:p w:rsidR="002F07D4" w:rsidRPr="00DE69B3" w:rsidRDefault="002F07D4" w:rsidP="002F07D4">
      <w:pPr>
        <w:spacing w:after="0" w:line="240" w:lineRule="auto"/>
        <w:jc w:val="both"/>
        <w:rPr>
          <w:rFonts w:ascii="Times New Roman" w:eastAsia="Times New Roman" w:hAnsi="Times New Roman"/>
          <w:sz w:val="24"/>
          <w:szCs w:val="24"/>
          <w:lang w:eastAsia="es-ES"/>
        </w:rPr>
      </w:pPr>
    </w:p>
    <w:p w:rsidR="002F07D4" w:rsidRPr="000D3FA3" w:rsidRDefault="002F07D4" w:rsidP="002F07D4">
      <w:pPr>
        <w:spacing w:after="0" w:line="240" w:lineRule="auto"/>
        <w:jc w:val="both"/>
        <w:rPr>
          <w:rFonts w:ascii="Times New Roman" w:eastAsia="Times New Roman" w:hAnsi="Times New Roman"/>
          <w:b/>
          <w:sz w:val="24"/>
          <w:szCs w:val="24"/>
          <w:lang w:eastAsia="es-ES"/>
        </w:rPr>
      </w:pPr>
      <w:r w:rsidRPr="00DE69B3">
        <w:rPr>
          <w:rFonts w:ascii="Times New Roman" w:eastAsia="Times New Roman" w:hAnsi="Times New Roman"/>
          <w:color w:val="FF0000"/>
          <w:sz w:val="24"/>
          <w:szCs w:val="24"/>
          <w:u w:val="single"/>
          <w:lang w:eastAsia="es-ES"/>
        </w:rPr>
        <w:t>Se estima que el sistema de intermediación financiera no bancaria representa aproximadamente del 25 al 30% del sistema financiero global (250 billones de dólares, excluidos los derivados) y la mitad del total de los activos bancarios mund</w:t>
      </w:r>
      <w:r w:rsidR="00E61FFF">
        <w:rPr>
          <w:rFonts w:ascii="Times New Roman" w:eastAsia="Times New Roman" w:hAnsi="Times New Roman"/>
          <w:color w:val="FF0000"/>
          <w:sz w:val="24"/>
          <w:szCs w:val="24"/>
          <w:u w:val="single"/>
          <w:lang w:eastAsia="es-ES"/>
        </w:rPr>
        <w:t>iales. Esto representa un gran “agujero negro”</w:t>
      </w:r>
      <w:r w:rsidRPr="00DE69B3">
        <w:rPr>
          <w:rFonts w:ascii="Times New Roman" w:eastAsia="Times New Roman" w:hAnsi="Times New Roman"/>
          <w:color w:val="FF0000"/>
          <w:sz w:val="24"/>
          <w:szCs w:val="24"/>
          <w:u w:val="single"/>
          <w:lang w:eastAsia="es-ES"/>
        </w:rPr>
        <w:t xml:space="preserve"> regulatorio en el centro del sistema financiero global, hasta ahora no monitoreado de cerca para fines de estabilidad monetaria y financiera. Su importancia quedó al descubierto solo por el análisis de las funciones clave que desempeñan los vehículos de inversión estructurada (VIE) y los fondos del mercado monetario (FMM) en la crisis de 2008.</w:t>
      </w:r>
    </w:p>
    <w:p w:rsidR="002F07D4" w:rsidRPr="00D0500C" w:rsidRDefault="002F07D4" w:rsidP="002F07D4">
      <w:pPr>
        <w:spacing w:after="0" w:line="240" w:lineRule="auto"/>
        <w:jc w:val="both"/>
        <w:rPr>
          <w:rFonts w:ascii="Times New Roman" w:eastAsia="Times New Roman" w:hAnsi="Times New Roman"/>
          <w:sz w:val="24"/>
          <w:szCs w:val="24"/>
          <w:lang w:eastAsia="es-ES"/>
        </w:rPr>
      </w:pPr>
    </w:p>
    <w:p w:rsidR="002F07D4" w:rsidRPr="000D3FA3" w:rsidRDefault="002F07D4" w:rsidP="002F07D4">
      <w:pPr>
        <w:spacing w:after="0" w:line="240" w:lineRule="auto"/>
        <w:jc w:val="both"/>
        <w:rPr>
          <w:rFonts w:ascii="Times New Roman" w:eastAsia="Times New Roman" w:hAnsi="Times New Roman"/>
          <w:color w:val="FF0000"/>
          <w:sz w:val="24"/>
          <w:szCs w:val="24"/>
          <w:u w:val="single"/>
          <w:lang w:eastAsia="es-ES"/>
        </w:rPr>
      </w:pPr>
      <w:r w:rsidRPr="000D3FA3">
        <w:rPr>
          <w:rFonts w:ascii="Times New Roman" w:eastAsia="Times New Roman" w:hAnsi="Times New Roman"/>
          <w:sz w:val="24"/>
          <w:szCs w:val="24"/>
          <w:u w:val="single"/>
          <w:lang w:eastAsia="es-ES"/>
        </w:rPr>
        <w:t>El sistema de intermediación financiera no bancaria es complejo, porque comprende una mezcla de instituciones y vehículos. Otros fondos de inversión distintos a los FMM constituyen el 29% del total y los VIE el 9%, pero el sistema no bancario también incluye las instituciones financieras públicas (tales como Fannie Mae, la entidad de créditos hipotecarios respal</w:t>
      </w:r>
      <w:r>
        <w:rPr>
          <w:rFonts w:ascii="Times New Roman" w:eastAsia="Times New Roman" w:hAnsi="Times New Roman"/>
          <w:sz w:val="24"/>
          <w:szCs w:val="24"/>
          <w:u w:val="single"/>
          <w:lang w:eastAsia="es-ES"/>
        </w:rPr>
        <w:t>dados por el gobierno en los EEUU</w:t>
      </w:r>
      <w:r w:rsidRPr="000D3FA3">
        <w:rPr>
          <w:rFonts w:ascii="Times New Roman" w:eastAsia="Times New Roman" w:hAnsi="Times New Roman"/>
          <w:sz w:val="24"/>
          <w:szCs w:val="24"/>
          <w:u w:val="single"/>
          <w:lang w:eastAsia="es-ES"/>
        </w:rPr>
        <w:t xml:space="preserve">). </w:t>
      </w:r>
      <w:r w:rsidRPr="000D3FA3">
        <w:rPr>
          <w:rFonts w:ascii="Times New Roman" w:eastAsia="Times New Roman" w:hAnsi="Times New Roman"/>
          <w:color w:val="FF0000"/>
          <w:sz w:val="24"/>
          <w:szCs w:val="24"/>
          <w:u w:val="single"/>
          <w:lang w:eastAsia="es-ES"/>
        </w:rPr>
        <w:t>Son algunas de las mayores entidades de contrapartida al sistema bancario regular y, combinadas, su creación de crédito y operaciones por cuenta propia y de cobertura pueden explicar gran parte de los flujos de liquidez a nivel mundial que hacen que la estabilidad monetaria y financiera sea tan difícil de garantizar.</w:t>
      </w:r>
    </w:p>
    <w:p w:rsidR="002F07D4" w:rsidRPr="000D3FA3" w:rsidRDefault="002F07D4" w:rsidP="002F07D4">
      <w:pPr>
        <w:spacing w:after="0" w:line="240" w:lineRule="auto"/>
        <w:jc w:val="both"/>
        <w:rPr>
          <w:rFonts w:ascii="Times New Roman" w:eastAsia="Times New Roman" w:hAnsi="Times New Roman"/>
          <w:color w:val="FF0000"/>
          <w:sz w:val="24"/>
          <w:szCs w:val="24"/>
          <w:lang w:eastAsia="es-ES"/>
        </w:rPr>
      </w:pPr>
    </w:p>
    <w:p w:rsidR="002F07D4" w:rsidRDefault="002F07D4" w:rsidP="002F07D4">
      <w:pPr>
        <w:spacing w:after="0" w:line="240" w:lineRule="auto"/>
        <w:jc w:val="both"/>
        <w:rPr>
          <w:rFonts w:ascii="Times New Roman" w:eastAsia="Times New Roman" w:hAnsi="Times New Roman"/>
          <w:sz w:val="24"/>
          <w:szCs w:val="24"/>
          <w:u w:val="single"/>
          <w:lang w:eastAsia="es-ES"/>
        </w:rPr>
      </w:pPr>
      <w:r w:rsidRPr="00DE69B3">
        <w:rPr>
          <w:rFonts w:ascii="Times New Roman" w:eastAsia="Times New Roman" w:hAnsi="Times New Roman"/>
          <w:color w:val="FF0000"/>
          <w:sz w:val="24"/>
          <w:szCs w:val="24"/>
          <w:u w:val="single"/>
          <w:lang w:eastAsia="es-ES"/>
        </w:rPr>
        <w:t xml:space="preserve">El problema es que, para el año 2010, el sistema de intermediación financiera no bancaria tenía aproximadamente el mismo tamaño que el de justo antes del crash del mercado en 2007, mientras que el sistema bancario global sometido a regulación era un </w:t>
      </w:r>
      <w:r w:rsidRPr="00DE69B3">
        <w:rPr>
          <w:rFonts w:ascii="Times New Roman" w:eastAsia="Times New Roman" w:hAnsi="Times New Roman"/>
          <w:color w:val="FF0000"/>
          <w:sz w:val="24"/>
          <w:szCs w:val="24"/>
          <w:u w:val="single"/>
          <w:lang w:eastAsia="es-ES"/>
        </w:rPr>
        <w:lastRenderedPageBreak/>
        <w:t>18% mayor que en 2007.Es por eso que el informe del BPI  destaca el sistema de intermediación financiera no bancaria, junto con los grandes bancos internacionales, como fuente de riesgo sistémico</w:t>
      </w:r>
      <w:r w:rsidRPr="00D0500C">
        <w:rPr>
          <w:rFonts w:ascii="Times New Roman" w:eastAsia="Times New Roman" w:hAnsi="Times New Roman"/>
          <w:sz w:val="24"/>
          <w:szCs w:val="24"/>
          <w:lang w:eastAsia="es-ES"/>
        </w:rPr>
        <w:t xml:space="preserve">. </w:t>
      </w:r>
      <w:r w:rsidRPr="000D3FA3">
        <w:rPr>
          <w:rFonts w:ascii="Times New Roman" w:eastAsia="Times New Roman" w:hAnsi="Times New Roman"/>
          <w:sz w:val="24"/>
          <w:szCs w:val="24"/>
          <w:u w:val="single"/>
          <w:lang w:eastAsia="es-ES"/>
        </w:rPr>
        <w:t>Pero es probable que el problema mundial sea mucho mayor que la suma de sus partes. En concreto, es posible que la creación de crédito global por los sistemas bancarios regulares y en la sombra sea significativamente mayor que la suma de la creación de crédito medida en la actualidad por las estadísticas nacionales.</w:t>
      </w:r>
    </w:p>
    <w:p w:rsidR="00E61FFF" w:rsidRPr="000D3FA3" w:rsidRDefault="00E61FFF" w:rsidP="002F07D4">
      <w:pPr>
        <w:spacing w:after="0" w:line="240" w:lineRule="auto"/>
        <w:jc w:val="both"/>
        <w:rPr>
          <w:rFonts w:ascii="Times New Roman" w:eastAsia="Times New Roman" w:hAnsi="Times New Roman"/>
          <w:sz w:val="24"/>
          <w:szCs w:val="24"/>
          <w:u w:val="single"/>
          <w:lang w:eastAsia="es-ES"/>
        </w:rPr>
      </w:pPr>
    </w:p>
    <w:p w:rsidR="002F07D4" w:rsidRPr="00D0500C" w:rsidRDefault="002F07D4" w:rsidP="002F07D4">
      <w:pPr>
        <w:spacing w:after="0" w:line="240" w:lineRule="auto"/>
        <w:jc w:val="both"/>
        <w:rPr>
          <w:rFonts w:ascii="Times New Roman" w:eastAsia="Times New Roman" w:hAnsi="Times New Roman"/>
          <w:sz w:val="24"/>
          <w:szCs w:val="24"/>
          <w:lang w:eastAsia="es-ES"/>
        </w:rPr>
      </w:pPr>
      <w:r w:rsidRPr="00D0500C">
        <w:rPr>
          <w:rFonts w:ascii="Times New Roman" w:eastAsia="Times New Roman" w:hAnsi="Times New Roman"/>
          <w:sz w:val="24"/>
          <w:szCs w:val="24"/>
          <w:lang w:eastAsia="es-ES"/>
        </w:rPr>
        <w:t xml:space="preserve">Hay varias razones para esto. </w:t>
      </w:r>
      <w:r w:rsidRPr="000D3FA3">
        <w:rPr>
          <w:rFonts w:ascii="Times New Roman" w:eastAsia="Times New Roman" w:hAnsi="Times New Roman"/>
          <w:sz w:val="24"/>
          <w:szCs w:val="24"/>
          <w:u w:val="single"/>
          <w:lang w:eastAsia="es-ES"/>
        </w:rPr>
        <w:t>En primer lugar, el crédito que puede ser y es creado en el exterior y a través de los VIE fuera de la hoja de balance no se refleja en las estadísticas nacionales de balanza de pagos.</w:t>
      </w:r>
      <w:r w:rsidRPr="00D0500C">
        <w:rPr>
          <w:rFonts w:ascii="Times New Roman" w:eastAsia="Times New Roman" w:hAnsi="Times New Roman"/>
          <w:sz w:val="24"/>
          <w:szCs w:val="24"/>
          <w:lang w:eastAsia="es-ES"/>
        </w:rPr>
        <w:t xml:space="preserve"> En otras palabras, s</w:t>
      </w:r>
      <w:r>
        <w:rPr>
          <w:rFonts w:ascii="Times New Roman" w:eastAsia="Times New Roman" w:hAnsi="Times New Roman"/>
          <w:sz w:val="24"/>
          <w:szCs w:val="24"/>
          <w:lang w:eastAsia="es-ES"/>
        </w:rPr>
        <w:t>i bien un exceso de “ahorro”</w:t>
      </w:r>
      <w:r w:rsidRPr="00D0500C">
        <w:rPr>
          <w:rFonts w:ascii="Times New Roman" w:eastAsia="Times New Roman" w:hAnsi="Times New Roman"/>
          <w:sz w:val="24"/>
          <w:szCs w:val="24"/>
          <w:lang w:eastAsia="es-ES"/>
        </w:rPr>
        <w:t xml:space="preserve"> puede contribuir a que existan bajas tasas de interés e impulsar la creación de un exceso de crédito, no es la causa principal.</w:t>
      </w:r>
    </w:p>
    <w:p w:rsidR="002F07D4" w:rsidRPr="00D0500C" w:rsidRDefault="002F07D4" w:rsidP="002F07D4">
      <w:pPr>
        <w:spacing w:after="0" w:line="240" w:lineRule="auto"/>
        <w:jc w:val="both"/>
        <w:rPr>
          <w:rFonts w:ascii="Times New Roman" w:eastAsia="Times New Roman" w:hAnsi="Times New Roman"/>
          <w:sz w:val="24"/>
          <w:szCs w:val="24"/>
          <w:lang w:eastAsia="es-ES"/>
        </w:rPr>
      </w:pPr>
    </w:p>
    <w:p w:rsidR="002F07D4" w:rsidRPr="00D0500C" w:rsidRDefault="002F07D4" w:rsidP="002F07D4">
      <w:pPr>
        <w:spacing w:after="0" w:line="240" w:lineRule="auto"/>
        <w:jc w:val="both"/>
        <w:rPr>
          <w:rFonts w:ascii="Times New Roman" w:eastAsia="Times New Roman" w:hAnsi="Times New Roman"/>
          <w:sz w:val="24"/>
          <w:szCs w:val="24"/>
          <w:lang w:eastAsia="es-ES"/>
        </w:rPr>
      </w:pPr>
      <w:r w:rsidRPr="000D3FA3">
        <w:rPr>
          <w:rFonts w:ascii="Times New Roman" w:eastAsia="Times New Roman" w:hAnsi="Times New Roman"/>
          <w:sz w:val="24"/>
          <w:szCs w:val="24"/>
          <w:u w:val="single"/>
          <w:lang w:eastAsia="es-ES"/>
        </w:rPr>
        <w:t>En segundo</w:t>
      </w:r>
      <w:r>
        <w:rPr>
          <w:rFonts w:ascii="Times New Roman" w:eastAsia="Times New Roman" w:hAnsi="Times New Roman"/>
          <w:sz w:val="24"/>
          <w:szCs w:val="24"/>
          <w:u w:val="single"/>
          <w:lang w:eastAsia="es-ES"/>
        </w:rPr>
        <w:t xml:space="preserve"> lugar, el volátil intercambio “carry trade”</w:t>
      </w:r>
      <w:r w:rsidRPr="000D3FA3">
        <w:rPr>
          <w:rFonts w:ascii="Times New Roman" w:eastAsia="Times New Roman" w:hAnsi="Times New Roman"/>
          <w:sz w:val="24"/>
          <w:szCs w:val="24"/>
          <w:u w:val="single"/>
          <w:lang w:eastAsia="es-ES"/>
        </w:rPr>
        <w:t xml:space="preserve"> (el costo de financiar posiciones)  es muy difícil de medir, ya que la mayoría se lleva a cabo a través de derivados de opciones, contratos a plazo (forwards) y permutas financieras (swaps), que son tratados como fuera de la hoja balance, es decir, como números netos que están por debajo de la línea en términos contables</w:t>
      </w:r>
      <w:r w:rsidRPr="00D0500C">
        <w:rPr>
          <w:rFonts w:ascii="Times New Roman" w:eastAsia="Times New Roman" w:hAnsi="Times New Roman"/>
          <w:sz w:val="24"/>
          <w:szCs w:val="24"/>
          <w:lang w:eastAsia="es-ES"/>
        </w:rPr>
        <w:t>. Por lo tanto, en términos brutos, el efecto de apalancamiento es mayor que lo que se informa en la actualidad.</w:t>
      </w:r>
    </w:p>
    <w:p w:rsidR="002F07D4" w:rsidRPr="00D0500C" w:rsidRDefault="002F07D4" w:rsidP="002F07D4">
      <w:pPr>
        <w:spacing w:after="0" w:line="240" w:lineRule="auto"/>
        <w:jc w:val="both"/>
        <w:rPr>
          <w:rFonts w:ascii="Times New Roman" w:eastAsia="Times New Roman" w:hAnsi="Times New Roman"/>
          <w:sz w:val="24"/>
          <w:szCs w:val="24"/>
          <w:lang w:eastAsia="es-ES"/>
        </w:rPr>
      </w:pPr>
    </w:p>
    <w:p w:rsidR="002F07D4" w:rsidRPr="00D67F96" w:rsidRDefault="002F07D4" w:rsidP="002F07D4">
      <w:pPr>
        <w:spacing w:after="0" w:line="240" w:lineRule="auto"/>
        <w:jc w:val="both"/>
        <w:rPr>
          <w:rFonts w:ascii="Times New Roman" w:eastAsia="Times New Roman" w:hAnsi="Times New Roman"/>
          <w:color w:val="FF0000"/>
          <w:sz w:val="24"/>
          <w:szCs w:val="24"/>
          <w:u w:val="single"/>
          <w:lang w:eastAsia="es-ES"/>
        </w:rPr>
      </w:pPr>
      <w:r w:rsidRPr="00D67F96">
        <w:rPr>
          <w:rFonts w:ascii="Times New Roman" w:eastAsia="Times New Roman" w:hAnsi="Times New Roman"/>
          <w:color w:val="FF0000"/>
          <w:sz w:val="24"/>
          <w:szCs w:val="24"/>
          <w:u w:val="single"/>
          <w:lang w:eastAsia="es-ES"/>
        </w:rPr>
        <w:t>En tercer lugar, la interacción entre el sistema de intermediación financiera no bancaria y los bancos globales está altamente concentrada, ya que los bancos mundiales actúan como intermediarios principales, en particular para operaciones de derivados. Los datos de la Contraloría de la Moneda de EEUU sugieren que los cinco primeros bancos de EE</w:t>
      </w:r>
      <w:r>
        <w:rPr>
          <w:rFonts w:ascii="Times New Roman" w:eastAsia="Times New Roman" w:hAnsi="Times New Roman"/>
          <w:color w:val="FF0000"/>
          <w:sz w:val="24"/>
          <w:szCs w:val="24"/>
          <w:u w:val="single"/>
          <w:lang w:eastAsia="es-ES"/>
        </w:rPr>
        <w:t>UU</w:t>
      </w:r>
      <w:r w:rsidRPr="00D67F96">
        <w:rPr>
          <w:rFonts w:ascii="Times New Roman" w:eastAsia="Times New Roman" w:hAnsi="Times New Roman"/>
          <w:color w:val="FF0000"/>
          <w:sz w:val="24"/>
          <w:szCs w:val="24"/>
          <w:u w:val="single"/>
          <w:lang w:eastAsia="es-ES"/>
        </w:rPr>
        <w:t xml:space="preserve"> representan el 96% del total de operaciones de derivados extrabursátiles (OTC) en los EEUU.</w:t>
      </w:r>
    </w:p>
    <w:p w:rsidR="002F07D4" w:rsidRPr="00D0500C" w:rsidRDefault="002F07D4" w:rsidP="002F07D4">
      <w:pPr>
        <w:spacing w:after="0" w:line="240" w:lineRule="auto"/>
        <w:jc w:val="both"/>
        <w:rPr>
          <w:rFonts w:ascii="Times New Roman" w:eastAsia="Times New Roman" w:hAnsi="Times New Roman"/>
          <w:sz w:val="24"/>
          <w:szCs w:val="24"/>
          <w:lang w:eastAsia="es-ES"/>
        </w:rPr>
      </w:pPr>
    </w:p>
    <w:p w:rsidR="002F07D4" w:rsidRPr="000D3FA3" w:rsidRDefault="002F07D4" w:rsidP="002F07D4">
      <w:pPr>
        <w:spacing w:after="0" w:line="240" w:lineRule="auto"/>
        <w:jc w:val="both"/>
        <w:rPr>
          <w:rFonts w:ascii="Times New Roman" w:eastAsia="Times New Roman" w:hAnsi="Times New Roman"/>
          <w:sz w:val="24"/>
          <w:szCs w:val="24"/>
          <w:u w:val="single"/>
          <w:lang w:eastAsia="es-ES"/>
        </w:rPr>
      </w:pPr>
      <w:r w:rsidRPr="000D3FA3">
        <w:rPr>
          <w:rFonts w:ascii="Times New Roman" w:eastAsia="Times New Roman" w:hAnsi="Times New Roman"/>
          <w:sz w:val="24"/>
          <w:szCs w:val="24"/>
          <w:u w:val="single"/>
          <w:lang w:eastAsia="es-ES"/>
        </w:rPr>
        <w:t>De hecho, el escenario de pesadilla que el mundo teme es el colapso de otra entidad de intermediación financiera no bancaria que provoque que el comercio mundial se congele como ocurrió en 2008. El acuerdo de Basilea III sobre suficiencia de capital y otras reformas recientes todavía no ha protegido de manera contundente el financiamiento del comercio ante estos golpes potenciales.</w:t>
      </w:r>
    </w:p>
    <w:p w:rsidR="002F07D4" w:rsidRPr="00D0500C" w:rsidRDefault="002F07D4" w:rsidP="002F07D4">
      <w:pPr>
        <w:spacing w:after="0" w:line="240" w:lineRule="auto"/>
        <w:jc w:val="both"/>
        <w:rPr>
          <w:rFonts w:ascii="Times New Roman" w:eastAsia="Times New Roman" w:hAnsi="Times New Roman"/>
          <w:sz w:val="24"/>
          <w:szCs w:val="24"/>
          <w:lang w:eastAsia="es-ES"/>
        </w:rPr>
      </w:pPr>
    </w:p>
    <w:p w:rsidR="002F07D4" w:rsidRPr="00D67F96" w:rsidRDefault="002F07D4" w:rsidP="002F07D4">
      <w:pPr>
        <w:spacing w:after="0" w:line="240" w:lineRule="auto"/>
        <w:jc w:val="both"/>
        <w:rPr>
          <w:rFonts w:ascii="Times New Roman" w:eastAsia="Times New Roman" w:hAnsi="Times New Roman"/>
          <w:color w:val="FF0000"/>
          <w:sz w:val="24"/>
          <w:szCs w:val="24"/>
          <w:u w:val="single"/>
          <w:lang w:eastAsia="es-ES"/>
        </w:rPr>
      </w:pPr>
      <w:r w:rsidRPr="00D67F96">
        <w:rPr>
          <w:rFonts w:ascii="Times New Roman" w:eastAsia="Times New Roman" w:hAnsi="Times New Roman"/>
          <w:color w:val="FF0000"/>
          <w:sz w:val="24"/>
          <w:szCs w:val="24"/>
          <w:u w:val="single"/>
          <w:lang w:eastAsia="es-ES"/>
        </w:rPr>
        <w:t>Necesitamos con urgencia monitorear y comprender el papel de las entidades de intermediación finan</w:t>
      </w:r>
      <w:r>
        <w:rPr>
          <w:rFonts w:ascii="Times New Roman" w:eastAsia="Times New Roman" w:hAnsi="Times New Roman"/>
          <w:color w:val="FF0000"/>
          <w:sz w:val="24"/>
          <w:szCs w:val="24"/>
          <w:u w:val="single"/>
          <w:lang w:eastAsia="es-ES"/>
        </w:rPr>
        <w:t>ciera no bancaria y los bancos “demasiado grandes para quebrar”</w:t>
      </w:r>
      <w:r w:rsidRPr="00D67F96">
        <w:rPr>
          <w:rFonts w:ascii="Times New Roman" w:eastAsia="Times New Roman" w:hAnsi="Times New Roman"/>
          <w:color w:val="FF0000"/>
          <w:sz w:val="24"/>
          <w:szCs w:val="24"/>
          <w:u w:val="single"/>
          <w:lang w:eastAsia="es-ES"/>
        </w:rPr>
        <w:t xml:space="preserve"> en la creación de una superabundancia global de crédito. Un primer y vital paso es obtener una imagen completa de las cifras globales monetarias y de crédito, y sus determinantes.</w:t>
      </w:r>
    </w:p>
    <w:p w:rsidR="002F07D4" w:rsidRPr="00D0500C" w:rsidRDefault="002F07D4" w:rsidP="002F07D4">
      <w:pPr>
        <w:spacing w:after="0" w:line="240" w:lineRule="auto"/>
        <w:jc w:val="both"/>
        <w:rPr>
          <w:rFonts w:ascii="Times New Roman" w:eastAsia="Times New Roman" w:hAnsi="Times New Roman"/>
          <w:sz w:val="24"/>
          <w:szCs w:val="24"/>
          <w:lang w:eastAsia="es-ES"/>
        </w:rPr>
      </w:pPr>
    </w:p>
    <w:p w:rsidR="002F07D4" w:rsidRPr="00D0500C" w:rsidRDefault="002F07D4" w:rsidP="002F07D4">
      <w:pPr>
        <w:spacing w:after="0" w:line="240" w:lineRule="auto"/>
        <w:jc w:val="both"/>
        <w:rPr>
          <w:rFonts w:ascii="Times New Roman" w:eastAsia="Times New Roman" w:hAnsi="Times New Roman"/>
          <w:sz w:val="24"/>
          <w:szCs w:val="24"/>
          <w:lang w:eastAsia="es-ES"/>
        </w:rPr>
      </w:pPr>
      <w:r w:rsidRPr="00D0500C">
        <w:rPr>
          <w:rFonts w:ascii="Times New Roman" w:eastAsia="Times New Roman" w:hAnsi="Times New Roman"/>
          <w:sz w:val="24"/>
          <w:szCs w:val="24"/>
          <w:lang w:eastAsia="es-ES"/>
        </w:rPr>
        <w:t>Hast</w:t>
      </w:r>
      <w:r>
        <w:rPr>
          <w:rFonts w:ascii="Times New Roman" w:eastAsia="Times New Roman" w:hAnsi="Times New Roman"/>
          <w:sz w:val="24"/>
          <w:szCs w:val="24"/>
          <w:lang w:eastAsia="es-ES"/>
        </w:rPr>
        <w:t>a ahora, la llamada del G-20 a “pensar globalmente” se ha convertido en “acciones locales”</w:t>
      </w:r>
      <w:r w:rsidRPr="00D0500C">
        <w:rPr>
          <w:rFonts w:ascii="Times New Roman" w:eastAsia="Times New Roman" w:hAnsi="Times New Roman"/>
          <w:sz w:val="24"/>
          <w:szCs w:val="24"/>
          <w:lang w:eastAsia="es-ES"/>
        </w:rPr>
        <w:t>. Esperamos que los líderes del G-20 piensen sistémicamente en Cannes, y adopten medidas nacionales y de cooperación para desactivar el campo minado de la sobreoferta mundial de crédito.</w:t>
      </w:r>
    </w:p>
    <w:p w:rsidR="002F07D4" w:rsidRPr="00D0500C"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D0500C">
        <w:rPr>
          <w:rFonts w:ascii="Times New Roman" w:eastAsia="Times New Roman" w:hAnsi="Times New Roman"/>
          <w:sz w:val="24"/>
          <w:szCs w:val="24"/>
          <w:lang w:eastAsia="es-ES"/>
        </w:rPr>
        <w:t>Andrew Sheng es Presidente del Instituto Global Fung, un nuevo centro de estudios con sede en Hong Kong que busca entender los temas globales desde perspectivas asiáticas. Fue Presidente de la Comisión de Valores y Futuros de Hong Kong y es asesor de la Comisión Reguladora de Bancos de China. Cop</w:t>
      </w:r>
      <w:r>
        <w:rPr>
          <w:rFonts w:ascii="Times New Roman" w:eastAsia="Times New Roman" w:hAnsi="Times New Roman"/>
          <w:sz w:val="24"/>
          <w:szCs w:val="24"/>
          <w:lang w:eastAsia="es-ES"/>
        </w:rPr>
        <w:t>yright: Project Syndicate, 2011)</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u w:val="single"/>
          <w:lang w:eastAsia="es-ES"/>
        </w:rPr>
      </w:pPr>
      <w:r w:rsidRPr="00EB0572">
        <w:rPr>
          <w:rFonts w:ascii="Times New Roman" w:eastAsia="Times New Roman" w:hAnsi="Times New Roman"/>
          <w:sz w:val="24"/>
          <w:szCs w:val="24"/>
          <w:u w:val="single"/>
          <w:lang w:eastAsia="es-ES"/>
        </w:rPr>
        <w:t>La economía mundial sigue expuesta a los</w:t>
      </w:r>
      <w:r>
        <w:rPr>
          <w:rFonts w:ascii="Times New Roman" w:eastAsia="Times New Roman" w:hAnsi="Times New Roman"/>
          <w:sz w:val="24"/>
          <w:szCs w:val="24"/>
          <w:u w:val="single"/>
          <w:lang w:eastAsia="es-ES"/>
        </w:rPr>
        <w:t xml:space="preserve"> mismos peligros que en 2008</w:t>
      </w:r>
    </w:p>
    <w:p w:rsidR="002F07D4" w:rsidRDefault="002F07D4" w:rsidP="002F07D4">
      <w:pPr>
        <w:spacing w:after="0" w:line="240" w:lineRule="auto"/>
        <w:jc w:val="both"/>
        <w:rPr>
          <w:rFonts w:ascii="Times New Roman" w:eastAsia="Times New Roman" w:hAnsi="Times New Roman"/>
          <w:sz w:val="24"/>
          <w:szCs w:val="24"/>
          <w:u w:val="single"/>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EB0572">
        <w:rPr>
          <w:rFonts w:ascii="Times New Roman" w:eastAsia="Times New Roman" w:hAnsi="Times New Roman"/>
          <w:i/>
          <w:sz w:val="24"/>
          <w:szCs w:val="24"/>
          <w:lang w:eastAsia="es-ES"/>
        </w:rPr>
        <w:t>Cuando ya han transcurrido tres años desde el estallido de la crisis financiera y la reforma del sistema regulatorio de Estados Unidos, la economía mundial sigue expuesta a los peligros que casi derrumbaron la banca en 2008</w:t>
      </w:r>
      <w:r>
        <w:rPr>
          <w:rFonts w:ascii="Times New Roman" w:eastAsia="Times New Roman" w:hAnsi="Times New Roman"/>
          <w:i/>
          <w:sz w:val="24"/>
          <w:szCs w:val="24"/>
          <w:lang w:eastAsia="es-ES"/>
        </w:rPr>
        <w:t>”..</w:t>
      </w:r>
      <w:r w:rsidRPr="00EB0572">
        <w:rPr>
          <w:rFonts w:ascii="Times New Roman" w:eastAsia="Times New Roman" w:hAnsi="Times New Roman"/>
          <w:i/>
          <w:sz w:val="24"/>
          <w:szCs w:val="24"/>
          <w:lang w:eastAsia="es-ES"/>
        </w:rPr>
        <w:t xml:space="preserve">. </w:t>
      </w:r>
      <w:r w:rsidRPr="00E60113">
        <w:rPr>
          <w:rFonts w:ascii="Times New Roman" w:eastAsia="Times New Roman" w:hAnsi="Times New Roman"/>
          <w:sz w:val="24"/>
          <w:szCs w:val="24"/>
          <w:u w:val="single"/>
          <w:lang w:eastAsia="es-ES"/>
        </w:rPr>
        <w:t>Tres años después de Lehman, los bancos aún son vulnerables</w:t>
      </w:r>
      <w:r>
        <w:rPr>
          <w:rFonts w:ascii="Times New Roman" w:eastAsia="Times New Roman" w:hAnsi="Times New Roman"/>
          <w:sz w:val="24"/>
          <w:szCs w:val="24"/>
          <w:lang w:eastAsia="es-ES"/>
        </w:rPr>
        <w:t xml:space="preserve"> (The Wall Street Journal - </w:t>
      </w:r>
      <w:r w:rsidRPr="00E60113">
        <w:rPr>
          <w:rFonts w:ascii="Times New Roman" w:eastAsia="Times New Roman" w:hAnsi="Times New Roman"/>
          <w:b/>
          <w:sz w:val="24"/>
          <w:szCs w:val="24"/>
          <w:lang w:eastAsia="es-ES"/>
        </w:rPr>
        <w:t>2/11/11</w:t>
      </w:r>
      <w:r>
        <w:rPr>
          <w:rFonts w:ascii="Times New Roman" w:eastAsia="Times New Roman" w:hAnsi="Times New Roman"/>
          <w:sz w:val="24"/>
          <w:szCs w:val="24"/>
          <w:lang w:eastAsia="es-ES"/>
        </w:rPr>
        <w:t>)</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Cuando ya han transcurrido tres años desde el estallido de la crisis financiera y la reforma del sistema regulatorio de Estados Unidos, la economía mundial sigue expuesta a los peligros que casi derrumbaron la banca en 2008.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La Reserva Federal de EEUU (Fed) vuelve a estar ansiosa ante la posibilidad de que los inversionistas huyan en masa del mercado de fondos mutuos, un negocio de US$ 2,6 billones (millones de millones) donde millones de estadounidenses depositan sus ahorros y al que recurren los bancos del mundo en busca de financiamiento de corto plazo. Aún no hay reglas comunes entre los países para levantarse tras el colapso de un gigante financiero global. Los bancos parecen haberse subido a una montaña rusa desde hace meses y los gobiernos no pueden costear grandes rescates.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“Las preocupaciones sobre los problemas fiscales y de la banca de Europa han contribuido a nuevas fisuras en los mercados financieros del mundo”, dijo el presidente de la Fed, Ben Bernanke, el 2 de noviembre (2011) en una rueda de prensa. Estos temores, añadió, “probablemente tendrán efectos adversos sobre la confianza y el crecimiento”.</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El colapso la firma de valores de Wall Street MF Global Holdings Ltd., a principios de noviembre (2011) reflejan el alcance e irritabilidad del mercado global. Una serie de apuestas erróneas en Europa desataron una estampida de sus clientes que la obligó a acogerse a la ley de protección por bancarrota en cuestión de días. Las sospechas de fraude acentuaron los temores de los inversionistas.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Por ahora, la quiebra de MF Global parece ser un acontecimiento aislado. Su caso, no obstante, intensifica las dudas de los reguladores y el público de que el sistema financiero global no ha superado del todo la crisis de 2008 y es propenso a la inestabilidad.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Una entidad de mayor envergadura y más interconectada que MF Global podría acabar con una cartera incobrable ligada a un acreedor como Grecia. El impacto de su hundimiento se podría propagar, derrumbando los mercados y congelando el crédito, es decir lo mismo que pasó en 2008. Por el momento, ese escenario parece improbable ante la alerta de los reguladores, los inversionistas y los propios bancos. Sin embargo, no se puede descartar la posibilidad.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“Todo lo que se necesita para que los mercados se vuelvan a congelar es algún tipo de pánico”, dice Anil Kashyap, profesor de la Escuela de Negocios Booth de la Universidad de Chicago. “Si se esfuma la confianza y los mercados se congelan, nos enfrentamos a un problema gigantesco”, asevera.</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lastRenderedPageBreak/>
        <w:t xml:space="preserve">Las economías desarrolladas, altamente endeudadas, se encuentran en una posición más débil para abordar la crisis que en 2008. Cuentan con menos recursos y menos impulso político.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Por otra parte, el sistema financiero es más resistente que hace tres años. El patrimonio de la banca estadounidense, o sea los activos menos los pasivos, ha crecido 20%, unos US$ 264.000 millones, desde septiembre de 2008, según el gobierno. Esto les otorga a los bancos más capital de reserva contra pérdidas imprevistas.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Los bancos también son más líquidos. El efectivo a su disposición se ha más que cuadruplicado desde 2008, para bordear los US$ 1,8 billones, según la Fed, gracias en parte a las generosas sumas que el banco central ha inyectado en el sistema.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De todos modos, hay rincones del sistema financiero que siguen bajo presión. Los costos de financiar préstamos de bienes raíces comerciales se han disparado desde junio (2011). Los bancos europeos, a su vez, están pagando más para tomar prestados dólares.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Asimismo, las firmas financieras siguen estando tan interconectadas como cuando colapsó el banco de inversión Lehman Brothers. Cuando una tambalea, otras se preparan para lo peor. </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Pr>
          <w:rFonts w:ascii="Arial" w:eastAsia="Times New Roman" w:hAnsi="Arial" w:cs="Arial"/>
          <w:noProof/>
          <w:color w:val="000000"/>
          <w:sz w:val="15"/>
          <w:szCs w:val="15"/>
          <w:lang w:val="en-GB" w:eastAsia="en-GB"/>
        </w:rPr>
        <w:lastRenderedPageBreak/>
        <w:drawing>
          <wp:inline distT="0" distB="0" distL="0" distR="0">
            <wp:extent cx="5391150" cy="7727950"/>
            <wp:effectExtent l="0" t="0" r="0" b="6350"/>
            <wp:docPr id="341" name="Imagen 341" descr="[wsjamd1no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sjamd1nov3]"/>
                    <pic:cNvPicPr>
                      <a:picLocks noChangeAspect="1" noChangeArrowheads="1"/>
                    </pic:cNvPicPr>
                  </pic:nvPicPr>
                  <pic:blipFill>
                    <a:blip r:embed="rId2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7727950"/>
                    </a:xfrm>
                    <a:prstGeom prst="rect">
                      <a:avLst/>
                    </a:prstGeom>
                    <a:noFill/>
                    <a:ln>
                      <a:noFill/>
                    </a:ln>
                  </pic:spPr>
                </pic:pic>
              </a:graphicData>
            </a:graphic>
          </wp:inline>
        </w:drawing>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“Algunos se preguntan: ‘¿cómo puede haber contagio desde Europa a EEUU?’ Hasta cierto punto, y esto es discutible, ya lo tenemos”, afirmó, a principios de noviembre (2011) ante un grupo de economistas Eric Rosengren, presidente del Banco de la Reserva Federal de Boston.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lastRenderedPageBreak/>
        <w:t xml:space="preserve">El costo de un seguro contra una cesación de pagos de bancos estadounidenses como Morgan Stanley, Citigroup y Bank of America ha aumentado drásticamente en los últimos meses, al igual que el de los bancos europeos.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Aunque las instituciones financieras de EEUU han reducido su exposición a Grecia, que en junio (2011) alcanzaba US$ 8.300 millones, su vulnerabilidad ante Europa es mucho más significativa y totalizó US$ 1,8 billones en junio (2011), según datos del Banco Internacional de Pagos. Estas cifras no toman en cuenta la exposición mediante contratos conocidos como seguros contra cesaciones de pagos.</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 xml:space="preserve">“Lo que aprendí en 2008 es que en realidad no sabemos o no entendemos completamente todos los eslabones en nuestro sistema bancario y todas las conexiones que se descubren cuando las cosas salen mal”, afirma Carl Weinberg, economista jefe de la consultora High Frequency Economics. </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Pr="00F5462A"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Una de las preocupaciones de la Fed es que los temblores que atraviesan el sistema financiero generen un terremoto. Una falla geológica potencial es el mercado monetario, un engranaje vital del sistema. Un pánico podría rápidamente restarle, una fuente de recursos a los deudores y desestabilizar a los propios fondos.</w:t>
      </w:r>
    </w:p>
    <w:p w:rsidR="002F07D4" w:rsidRPr="00F5462A"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F5462A">
        <w:rPr>
          <w:rFonts w:ascii="Times New Roman" w:eastAsia="Times New Roman" w:hAnsi="Times New Roman"/>
          <w:sz w:val="24"/>
          <w:szCs w:val="24"/>
          <w:lang w:eastAsia="es-ES"/>
        </w:rPr>
        <w:t>Una preocupación es la exposición a los mercados internacionales. Las entidades no estadounidenses en busca de dólares acuden al mercado monetario para obtener efectivo de corto plazo y la exposición internacional ha aumentado desde el colapso de Lehman Brothers en 2008</w:t>
      </w:r>
      <w:r>
        <w:rPr>
          <w:rFonts w:ascii="Times New Roman" w:eastAsia="Times New Roman" w:hAnsi="Times New Roman"/>
          <w:sz w:val="24"/>
          <w:szCs w:val="24"/>
          <w:lang w:eastAsia="es-ES"/>
        </w:rPr>
        <w:t>…</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E6692E" w:rsidRDefault="002F07D4" w:rsidP="002F07D4">
      <w:pPr>
        <w:spacing w:after="0"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w:t>
      </w:r>
      <w:r w:rsidRPr="00E6692E">
        <w:rPr>
          <w:rFonts w:ascii="Times New Roman" w:eastAsia="Times New Roman" w:hAnsi="Times New Roman"/>
          <w:sz w:val="24"/>
          <w:szCs w:val="24"/>
          <w:u w:val="single"/>
          <w:lang w:eastAsia="es-ES"/>
        </w:rPr>
        <w:t>Los 29 Principales” (los “too big to fail”, que tendremos que continuar rescatando)</w:t>
      </w:r>
    </w:p>
    <w:p w:rsidR="002F07D4" w:rsidRPr="00EB0572"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E6692E">
        <w:rPr>
          <w:rFonts w:ascii="Times New Roman" w:eastAsia="Times New Roman" w:hAnsi="Times New Roman"/>
          <w:i/>
          <w:sz w:val="24"/>
          <w:szCs w:val="24"/>
          <w:lang w:eastAsia="es-ES"/>
        </w:rPr>
        <w:t>La agencia para la estabilidad financiera del G-20 publicó el viernes la tan esperada lista de los bancos a los que se obligará a tener más capital debido a su importancia para el sistema financiero global</w:t>
      </w:r>
      <w:r>
        <w:rPr>
          <w:rFonts w:ascii="Times New Roman" w:eastAsia="Times New Roman" w:hAnsi="Times New Roman"/>
          <w:i/>
          <w:sz w:val="24"/>
          <w:szCs w:val="24"/>
          <w:lang w:eastAsia="es-ES"/>
        </w:rPr>
        <w:t>”..</w:t>
      </w:r>
      <w:r w:rsidRPr="00E6692E">
        <w:rPr>
          <w:rFonts w:ascii="Times New Roman" w:eastAsia="Times New Roman" w:hAnsi="Times New Roman"/>
          <w:i/>
          <w:sz w:val="24"/>
          <w:szCs w:val="24"/>
          <w:lang w:eastAsia="es-ES"/>
        </w:rPr>
        <w:t xml:space="preserve">. </w:t>
      </w:r>
      <w:r>
        <w:rPr>
          <w:rFonts w:ascii="Times New Roman" w:eastAsia="Times New Roman" w:hAnsi="Times New Roman"/>
          <w:sz w:val="24"/>
          <w:szCs w:val="24"/>
          <w:u w:val="single"/>
          <w:lang w:eastAsia="es-ES"/>
        </w:rPr>
        <w:t>Los 29 bancos “sistémicos”</w:t>
      </w:r>
      <w:r w:rsidRPr="00890FDE">
        <w:rPr>
          <w:rFonts w:ascii="Times New Roman" w:eastAsia="Times New Roman" w:hAnsi="Times New Roman"/>
          <w:sz w:val="24"/>
          <w:szCs w:val="24"/>
          <w:u w:val="single"/>
          <w:lang w:eastAsia="es-ES"/>
        </w:rPr>
        <w:t xml:space="preserve"> del mundo</w:t>
      </w:r>
      <w:r>
        <w:rPr>
          <w:rFonts w:ascii="Times New Roman" w:eastAsia="Times New Roman" w:hAnsi="Times New Roman"/>
          <w:sz w:val="24"/>
          <w:szCs w:val="24"/>
          <w:lang w:eastAsia="es-ES"/>
        </w:rPr>
        <w:t xml:space="preserve"> (The Wall Street Journal - </w:t>
      </w:r>
      <w:r w:rsidRPr="00890FDE">
        <w:rPr>
          <w:rFonts w:ascii="Times New Roman" w:eastAsia="Times New Roman" w:hAnsi="Times New Roman"/>
          <w:b/>
          <w:sz w:val="24"/>
          <w:szCs w:val="24"/>
          <w:lang w:eastAsia="es-ES"/>
        </w:rPr>
        <w:t>4/11/11</w:t>
      </w:r>
      <w:r>
        <w:rPr>
          <w:rFonts w:ascii="Times New Roman" w:eastAsia="Times New Roman" w:hAnsi="Times New Roman"/>
          <w:sz w:val="24"/>
          <w:szCs w:val="24"/>
          <w:lang w:eastAsia="es-ES"/>
        </w:rPr>
        <w:t>)</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La lista de las instituciones financieros con importancia sistémica a nivel global es muy parecida a lo que se esperaba, con 17 bancos europeos, ocho de Estados Unidos, tres de Japón y uno de China. Llama la atención la ausencia del español Banco Bilbao </w:t>
      </w:r>
      <w:r>
        <w:rPr>
          <w:rFonts w:ascii="Times New Roman" w:eastAsia="Times New Roman" w:hAnsi="Times New Roman"/>
          <w:sz w:val="24"/>
          <w:szCs w:val="24"/>
          <w:lang w:eastAsia="es-ES"/>
        </w:rPr>
        <w:t>Vizcay</w:t>
      </w:r>
      <w:r w:rsidRPr="00890FDE">
        <w:rPr>
          <w:rFonts w:ascii="Times New Roman" w:eastAsia="Times New Roman" w:hAnsi="Times New Roman"/>
          <w:sz w:val="24"/>
          <w:szCs w:val="24"/>
          <w:lang w:eastAsia="es-ES"/>
        </w:rPr>
        <w:t xml:space="preserve">a Argentaria SA y del italiano Intesa Sanpaolo SpA, debido a que tienen una gran concentración de su negocio en sus mercados nacionales. </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Los bancos incluidos en la lista tienen hasta mitad del próximo año para explicar con detalle cómo se desmantelarían sus negocios en caso de quiebra. A partir de 2016, también tendrán que tene</w:t>
      </w:r>
      <w:r>
        <w:rPr>
          <w:rFonts w:ascii="Times New Roman" w:eastAsia="Times New Roman" w:hAnsi="Times New Roman"/>
          <w:sz w:val="24"/>
          <w:szCs w:val="24"/>
          <w:lang w:eastAsia="es-ES"/>
        </w:rPr>
        <w:t>r más capital que otros bancos “</w:t>
      </w:r>
      <w:r w:rsidRPr="00890FDE">
        <w:rPr>
          <w:rFonts w:ascii="Times New Roman" w:eastAsia="Times New Roman" w:hAnsi="Times New Roman"/>
          <w:sz w:val="24"/>
          <w:szCs w:val="24"/>
          <w:lang w:eastAsia="es-ES"/>
        </w:rPr>
        <w:t xml:space="preserve">para reflejar el mayor coste </w:t>
      </w:r>
      <w:r>
        <w:rPr>
          <w:rFonts w:ascii="Times New Roman" w:eastAsia="Times New Roman" w:hAnsi="Times New Roman"/>
          <w:sz w:val="24"/>
          <w:szCs w:val="24"/>
          <w:lang w:eastAsia="es-ES"/>
        </w:rPr>
        <w:t>para el sistema de sus quiebras”</w:t>
      </w:r>
      <w:r w:rsidRPr="00890FDE">
        <w:rPr>
          <w:rFonts w:ascii="Times New Roman" w:eastAsia="Times New Roman" w:hAnsi="Times New Roman"/>
          <w:sz w:val="24"/>
          <w:szCs w:val="24"/>
          <w:lang w:eastAsia="es-ES"/>
        </w:rPr>
        <w:t xml:space="preserve">. De este modo, para 2019 como tarde, estos bancos tendrán que tener un ratio de capital core tier 1 hasta 3,5 puntos porcentuales superior al de los bancos que no tienen importancia sistémica. </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La agencia dijo que la lista de los bancos con importancia sistémica se actualizará cada noviembre, mientras que la metodología utilizada se revisará cada tres años. </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Los criterios utilizados para determinar si un banco tiene importancia sistémica fueron su tamaño, su complejidad, el tamaño de sus actividades transnacionales, el grado en </w:t>
      </w:r>
      <w:r w:rsidRPr="00890FDE">
        <w:rPr>
          <w:rFonts w:ascii="Times New Roman" w:eastAsia="Times New Roman" w:hAnsi="Times New Roman"/>
          <w:sz w:val="24"/>
          <w:szCs w:val="24"/>
          <w:lang w:eastAsia="es-ES"/>
        </w:rPr>
        <w:lastRenderedPageBreak/>
        <w:t xml:space="preserve">que están interconectados con el resto del sistema financiero y la rapidez con que se pueden sustituir sus servicios en el caso de quiebra. </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La lista completa es la siguiente: </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r w:rsidRPr="00890FDE">
        <w:rPr>
          <w:rFonts w:ascii="Times New Roman" w:eastAsia="Times New Roman" w:hAnsi="Times New Roman"/>
          <w:sz w:val="24"/>
          <w:szCs w:val="24"/>
          <w:lang w:val="en-US" w:eastAsia="es-ES"/>
        </w:rPr>
        <w:t>Estados Unidos: Bank of A</w:t>
      </w:r>
      <w:r>
        <w:rPr>
          <w:rFonts w:ascii="Times New Roman" w:eastAsia="Times New Roman" w:hAnsi="Times New Roman"/>
          <w:sz w:val="24"/>
          <w:szCs w:val="24"/>
          <w:lang w:val="en-US" w:eastAsia="es-ES"/>
        </w:rPr>
        <w:t>merica, Bank of New York Mellon</w:t>
      </w:r>
      <w:r w:rsidRPr="00890FDE">
        <w:rPr>
          <w:rFonts w:ascii="Times New Roman" w:eastAsia="Times New Roman" w:hAnsi="Times New Roman"/>
          <w:sz w:val="24"/>
          <w:szCs w:val="24"/>
          <w:lang w:val="en-US" w:eastAsia="es-ES"/>
        </w:rPr>
        <w:t xml:space="preserve">, Citigroup, Goldman Sachs, J.P. Morgan, Morgan Stanley, State Street y Wells Fargo. </w:t>
      </w: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r w:rsidRPr="00890FDE">
        <w:rPr>
          <w:rFonts w:ascii="Times New Roman" w:eastAsia="Times New Roman" w:hAnsi="Times New Roman"/>
          <w:sz w:val="24"/>
          <w:szCs w:val="24"/>
          <w:lang w:val="en-US" w:eastAsia="es-ES"/>
        </w:rPr>
        <w:t xml:space="preserve">Reino Unido: Royal Bank of Scotland PLC, Lloyds Banking Group PLC, Barclays PLC, HSBC Holdings PLC; </w:t>
      </w: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Francia: Credit Agricole SA, BNP Paribas SA, Banque Populaire, Societe Generale SA </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r w:rsidRPr="00890FDE">
        <w:rPr>
          <w:rFonts w:ascii="Times New Roman" w:eastAsia="Times New Roman" w:hAnsi="Times New Roman"/>
          <w:sz w:val="24"/>
          <w:szCs w:val="24"/>
          <w:lang w:val="en-US" w:eastAsia="es-ES"/>
        </w:rPr>
        <w:t xml:space="preserve">Alemania: Deutsche Bank AG, Commerzbank AG </w:t>
      </w: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r w:rsidRPr="00890FDE">
        <w:rPr>
          <w:rFonts w:ascii="Times New Roman" w:eastAsia="Times New Roman" w:hAnsi="Times New Roman"/>
          <w:sz w:val="24"/>
          <w:szCs w:val="24"/>
          <w:lang w:val="en-US" w:eastAsia="es-ES"/>
        </w:rPr>
        <w:t xml:space="preserve">Italia: Unicredit Group SA </w:t>
      </w: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r w:rsidRPr="00890FDE">
        <w:rPr>
          <w:rFonts w:ascii="Times New Roman" w:eastAsia="Times New Roman" w:hAnsi="Times New Roman"/>
          <w:sz w:val="24"/>
          <w:szCs w:val="24"/>
          <w:lang w:val="en-US" w:eastAsia="es-ES"/>
        </w:rPr>
        <w:t xml:space="preserve">Suiza: UBS AG, Credit Suisse AG </w:t>
      </w:r>
    </w:p>
    <w:p w:rsidR="002F07D4" w:rsidRPr="00890FDE" w:rsidRDefault="002F07D4" w:rsidP="002F07D4">
      <w:pPr>
        <w:spacing w:after="0" w:line="240" w:lineRule="auto"/>
        <w:jc w:val="both"/>
        <w:rPr>
          <w:rFonts w:ascii="Times New Roman" w:eastAsia="Times New Roman" w:hAnsi="Times New Roman"/>
          <w:sz w:val="24"/>
          <w:szCs w:val="24"/>
          <w:lang w:val="en-US"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Bélgica: Dexia SA</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Países Bajos: ING Groep NV </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España: Banco Santander SA </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Suecia: Nordea AB </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Pr="00890FDE"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Japón: Mitsubishi UFJ FG, Mizuho FG, Sumitomo Mitsui FG </w:t>
      </w:r>
    </w:p>
    <w:p w:rsidR="002F07D4" w:rsidRPr="00890FDE"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890FDE">
        <w:rPr>
          <w:rFonts w:ascii="Times New Roman" w:eastAsia="Times New Roman" w:hAnsi="Times New Roman"/>
          <w:sz w:val="24"/>
          <w:szCs w:val="24"/>
          <w:lang w:eastAsia="es-ES"/>
        </w:rPr>
        <w:t xml:space="preserve">China: Bank of China </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1966F2" w:rsidRDefault="002F07D4" w:rsidP="002F07D4">
      <w:pPr>
        <w:spacing w:line="240" w:lineRule="auto"/>
        <w:jc w:val="both"/>
        <w:rPr>
          <w:rFonts w:ascii="Times New Roman" w:hAnsi="Times New Roman"/>
          <w:b/>
          <w:sz w:val="24"/>
          <w:szCs w:val="24"/>
        </w:rPr>
      </w:pPr>
      <w:r w:rsidRPr="001966F2">
        <w:rPr>
          <w:rFonts w:ascii="Times New Roman" w:hAnsi="Times New Roman"/>
          <w:b/>
          <w:sz w:val="24"/>
          <w:szCs w:val="24"/>
        </w:rPr>
        <w:t>Las máquinas que mueven las bolsas y el arma financiera de destrucción masiva</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Para finalizar este Apartado he seleccionado dos aspectos que permiten confirmar que “el casino sigue abierto”. No resultan novedosos (ya han sido tratados en anteriores Papers), pero me ayudan a sostener la presunción. Ambas pueden hacer mucho daño. </w:t>
      </w:r>
    </w:p>
    <w:p w:rsidR="002F07D4"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6510E6">
        <w:rPr>
          <w:rFonts w:ascii="Times New Roman" w:eastAsia="Times New Roman" w:hAnsi="Times New Roman"/>
          <w:i/>
          <w:sz w:val="24"/>
          <w:szCs w:val="24"/>
          <w:lang w:eastAsia="es-ES"/>
        </w:rPr>
        <w:t>Adam Smith apostó por una mano invisible; otros, por el criterio de corredores de bolsa calculadores. En la actualidad, ni la invisibilidad ni la frialdad humana parecen ser las fuerzas que rigen los mercados: muchas de las operaciones bursátiles están a cargo de computadoras</w:t>
      </w:r>
      <w:r>
        <w:rPr>
          <w:rFonts w:ascii="Times New Roman" w:eastAsia="Times New Roman" w:hAnsi="Times New Roman"/>
          <w:i/>
          <w:sz w:val="24"/>
          <w:szCs w:val="24"/>
          <w:lang w:eastAsia="es-ES"/>
        </w:rPr>
        <w:t>”..</w:t>
      </w:r>
      <w:r w:rsidRPr="006510E6">
        <w:rPr>
          <w:rFonts w:ascii="Times New Roman" w:eastAsia="Times New Roman" w:hAnsi="Times New Roman"/>
          <w:i/>
          <w:sz w:val="24"/>
          <w:szCs w:val="24"/>
          <w:lang w:eastAsia="es-ES"/>
        </w:rPr>
        <w:t>.</w:t>
      </w:r>
      <w:r w:rsidRPr="007B7C74">
        <w:rPr>
          <w:rFonts w:ascii="Times New Roman" w:eastAsia="Times New Roman" w:hAnsi="Times New Roman"/>
          <w:sz w:val="24"/>
          <w:szCs w:val="24"/>
          <w:u w:val="single"/>
          <w:lang w:eastAsia="es-ES"/>
        </w:rPr>
        <w:t>La tecnología que mueve las bolsas</w:t>
      </w:r>
      <w:r>
        <w:rPr>
          <w:rFonts w:ascii="Times New Roman" w:eastAsia="Times New Roman" w:hAnsi="Times New Roman"/>
          <w:sz w:val="24"/>
          <w:szCs w:val="24"/>
          <w:lang w:eastAsia="es-ES"/>
        </w:rPr>
        <w:t xml:space="preserve"> (BBCMundo - </w:t>
      </w:r>
      <w:r w:rsidRPr="007B7C74">
        <w:rPr>
          <w:rFonts w:ascii="Times New Roman" w:eastAsia="Times New Roman" w:hAnsi="Times New Roman"/>
          <w:b/>
          <w:sz w:val="24"/>
          <w:szCs w:val="24"/>
          <w:lang w:eastAsia="es-ES"/>
        </w:rPr>
        <w:t>17/11/11</w:t>
      </w:r>
      <w:r>
        <w:rPr>
          <w:rFonts w:ascii="Times New Roman" w:eastAsia="Times New Roman" w:hAnsi="Times New Roman"/>
          <w:sz w:val="24"/>
          <w:szCs w:val="24"/>
          <w:lang w:eastAsia="es-ES"/>
        </w:rPr>
        <w:t>)</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 xml:space="preserve">En la búsqueda de la productividad y la eficiencia en el sector financiero, varias bolsas en el mundo realizan un significativo porcentaje de sus operaciones a través del llamado algorithmic trading. </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Se trata de un método que se base en los algoritmos, los cuales como explica Javier Santomá, profesor de Gerencia Financiera de IESE Business School, no son más que métodos matemáticos de resolución de problemas.</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lastRenderedPageBreak/>
        <w:t>Funcionan como programas de cómputo que han sido diseñados para enviar órdenes de compra y de venta de acciones.</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“Se introduce una serie de reglas en una computadora y se deja que se ejecuten automáticamente de acuerdo con parámetros que previamente se han establecido”, explica Luis Raúl Rodríguez, director de análisis de la Casa de Bolsa Finamex.</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Las reglas pueden ser, por ejemplo, que si el precio de una acción X cae al nivel Y, hay que vender, o que si el precio del petróleo subió 3% hay que comprar 100.000 acciones de Z.</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La consigna es delegar las operaciones bursátiles a modelos informáticos en vez de a personas. “Estos algoritmos son capaces de escuchar, analizar y entender gran cantidad de información y pueden automáticamente responder a eventos del mercado en tiempo real en forma instantánea y continua”, señala en su página web Casa de Bolsa Finamex.</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De acuerdo con Rodríguez, con el uso de este tipo de métodos se eliminan los factores emocionales que pudieran afectar las transacciones. “Normalmente, las personas -incluso los inversionistas de valores más profesionales- están muchas veces guiadas por sus emociones. Un error muy típico que cometemos los traders es que dejas que el precio (de una acción) siga cayendo con la esperanza de que va a rebotar (que se va a recuperar). Algunos llegan al extremo de que meten más dinero con la esperanza de que (el precio) va a rebotar”, indica el economista. Ese “error muy típico” al que hace alusión Rodríguez puede llevar a que se pierda el doble.</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 xml:space="preserve">También hay circunstancias que aunque puedan parecer una tontería, como reflexiona el profesor Santomá, son </w:t>
      </w:r>
      <w:r w:rsidR="00FF0D17" w:rsidRPr="00484B62">
        <w:rPr>
          <w:rFonts w:ascii="Times New Roman" w:eastAsia="Times New Roman" w:hAnsi="Times New Roman"/>
          <w:sz w:val="24"/>
          <w:szCs w:val="24"/>
          <w:lang w:eastAsia="es-ES"/>
        </w:rPr>
        <w:t>fundamentales. “Este</w:t>
      </w:r>
      <w:r w:rsidRPr="00484B62">
        <w:rPr>
          <w:rFonts w:ascii="Times New Roman" w:eastAsia="Times New Roman" w:hAnsi="Times New Roman"/>
          <w:sz w:val="24"/>
          <w:szCs w:val="24"/>
          <w:lang w:eastAsia="es-ES"/>
        </w:rPr>
        <w:t xml:space="preserve"> tipo de software te permite salir de la oficina e ir a comer y si durante tu ausencia se producen las condiciones, la orden se ejecuta. Antes, estábamos acostumbrados a que cuando llegaba la información, la mirabas, la discutías con el jefe y tomabas la decisión a las 2:05 mientras que otros lo hacían a las 2:10”</w:t>
      </w:r>
      <w:r>
        <w:rPr>
          <w:rFonts w:ascii="Times New Roman" w:eastAsia="Times New Roman" w:hAnsi="Times New Roman"/>
          <w:sz w:val="24"/>
          <w:szCs w:val="24"/>
          <w:lang w:eastAsia="es-ES"/>
        </w:rPr>
        <w:t>, indica</w:t>
      </w:r>
      <w:r w:rsidRPr="00484B62">
        <w:rPr>
          <w:rFonts w:ascii="Times New Roman" w:eastAsia="Times New Roman" w:hAnsi="Times New Roman"/>
          <w:sz w:val="24"/>
          <w:szCs w:val="24"/>
          <w:lang w:eastAsia="es-ES"/>
        </w:rPr>
        <w:t xml:space="preserve"> el docente.</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Hasta el 70% de los intercambios de Wall Street son ejecutados por las llamadas black bo</w:t>
      </w:r>
      <w:r>
        <w:rPr>
          <w:rFonts w:ascii="Times New Roman" w:eastAsia="Times New Roman" w:hAnsi="Times New Roman"/>
          <w:sz w:val="24"/>
          <w:szCs w:val="24"/>
          <w:lang w:eastAsia="es-ES"/>
        </w:rPr>
        <w:t>x (cajas negras) o algo-trading.</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 xml:space="preserve">En el mundo financiero, el algorithmic trading ha ganado miles de seguidores. </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Uno de los beneficios de ese método, es que se pueden hacer muchísimas más operaciones en cuestión de segundos. “Es mucho más barato poner un algoritmo a funcionar que tener a cuatro o cinco personas trabajando y analizando qué va a pasar, qué comprar, cómo vender”, explica Rodríguez.</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Una de las razones por las cuales surgen sistemas automatizados en las bolsas es porque se busca utilizar la información que llega de diferentes fuentes financieras de la forma más eficiente posible. “Y ser el más eficiente es ser el primero”, dice Santomá. “Si soy el primero en usar esa información, seré el primero en comprar o en vender y probablemente tendré más margen en el cambio de precio”.</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Una desventaja evidente es que las máquinas no tienen criterio.</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lastRenderedPageBreak/>
        <w:t xml:space="preserve">“Si llegas a programar un error, lo van a ejecutar, o si se cae la red o el sistema, te dejan muy vulnerable”, señala el economista mexicano. “Ha llegado a pasar que, por ejemplo, por alguna razón no se actualizan los tipos de cambio o algún dato básico para que se lleve a cabo el algoritmo, las operaciones se siguen ejecutando y puedes llegar a perder dinero”, enfatiza Rodríguez. </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Por eso, es clave que alguien lo esté revisando constantemente.</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 xml:space="preserve">De hecho, las operaciones bursátiles ejecutadas por computadoras han sido vinculadas a algunas de las crisis bancarias, como por ejemplo la de 1987. “Efectivamente en aquellos momentos, estábamos hablando más del automated trading (comercio automatizado) que del algorithmic trading”, recuerda Santomá. </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“Cuando el Dow Jones bajó 500 puntos, había muchos programas de software que decían que si eso pasaba había que vender. De forma automática, hubo una avalancha de órdenes tremenda que lo único que hicieron fue producir otra caída de 500 puntos, con lo cual volvieron a reaccionar los software”, dice el experto.</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 xml:space="preserve">Fue así como para algunos, el famoso Viernes Negro tuvo sus orígenes en un proceso de cómputo, mientras que para otros, hubo otras variables más importantes que intervinieron en la estrepitosa caída. </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Más recientemente, en el llamado Flash Crash (Desplome Repentino) del 6 de mayo de 2010, una caída de cinco minutos en los mercados generó un momento de caos generalizado. Un operador fue acusado de una caída del 10% en el índice Dow Jones, pero en realidad el culpable fue un programa informático que el operador estaba utilizando. En sólo 20 minutos el algoritmo vendió 75.000 acciones por un valor de US$ 4.300 millones, haciendo que otros algoritmos lo siguieran.</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Pr="00484B62"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“Cuando apagaron los pilotos automáticos y frenaron los sistemas, se restauró el orden y el mercado se recuperó en cuestión de media hora”, señala el experto en Economía de la BBC Richard Anderson.</w:t>
      </w:r>
    </w:p>
    <w:p w:rsidR="002F07D4" w:rsidRPr="00484B62"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484B62">
        <w:rPr>
          <w:rFonts w:ascii="Times New Roman" w:eastAsia="Times New Roman" w:hAnsi="Times New Roman"/>
          <w:sz w:val="24"/>
          <w:szCs w:val="24"/>
          <w:lang w:eastAsia="es-ES"/>
        </w:rPr>
        <w:t>Pero ¿es positivo que se deshumanicen las bolsas de esta manera?</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484B62">
        <w:rPr>
          <w:rFonts w:ascii="Times New Roman" w:eastAsia="Times New Roman" w:hAnsi="Times New Roman"/>
          <w:i/>
          <w:sz w:val="24"/>
          <w:szCs w:val="24"/>
          <w:lang w:eastAsia="es-ES"/>
        </w:rPr>
        <w:t>Es uno de los mercados más opacos que existen, pero tiene la capacidad de crear el caos financiero y de orquestar rescates a su imagen y semejanza. El BIS ha cifrado su volumen: 2,14 billones de euros brutos en cobertura de deuda soberana</w:t>
      </w:r>
      <w:r>
        <w:rPr>
          <w:rFonts w:ascii="Times New Roman" w:eastAsia="Times New Roman" w:hAnsi="Times New Roman"/>
          <w:i/>
          <w:sz w:val="24"/>
          <w:szCs w:val="24"/>
          <w:lang w:eastAsia="es-ES"/>
        </w:rPr>
        <w:t>”..</w:t>
      </w:r>
      <w:r w:rsidRPr="00484B62">
        <w:rPr>
          <w:rFonts w:ascii="Times New Roman" w:eastAsia="Times New Roman" w:hAnsi="Times New Roman"/>
          <w:i/>
          <w:sz w:val="24"/>
          <w:szCs w:val="24"/>
          <w:lang w:eastAsia="es-ES"/>
        </w:rPr>
        <w:t>.</w:t>
      </w:r>
      <w:r w:rsidRPr="00B3377B">
        <w:rPr>
          <w:rFonts w:ascii="Times New Roman" w:eastAsia="Times New Roman" w:hAnsi="Times New Roman"/>
          <w:sz w:val="24"/>
          <w:szCs w:val="24"/>
          <w:u w:val="single"/>
          <w:lang w:eastAsia="es-ES"/>
        </w:rPr>
        <w:t xml:space="preserve">Dos </w:t>
      </w:r>
      <w:r>
        <w:rPr>
          <w:rFonts w:ascii="Times New Roman" w:eastAsia="Times New Roman" w:hAnsi="Times New Roman"/>
          <w:sz w:val="24"/>
          <w:szCs w:val="24"/>
          <w:u w:val="single"/>
          <w:lang w:eastAsia="es-ES"/>
        </w:rPr>
        <w:t>billones de “CDS soberanos”</w:t>
      </w:r>
      <w:r w:rsidRPr="00B3377B">
        <w:rPr>
          <w:rFonts w:ascii="Times New Roman" w:eastAsia="Times New Roman" w:hAnsi="Times New Roman"/>
          <w:sz w:val="24"/>
          <w:szCs w:val="24"/>
          <w:u w:val="single"/>
          <w:lang w:eastAsia="es-ES"/>
        </w:rPr>
        <w:t xml:space="preserve"> ponen en jaque al mundo</w:t>
      </w:r>
      <w:r>
        <w:rPr>
          <w:rFonts w:ascii="Times New Roman" w:eastAsia="Times New Roman" w:hAnsi="Times New Roman"/>
          <w:sz w:val="24"/>
          <w:szCs w:val="24"/>
          <w:lang w:eastAsia="es-ES"/>
        </w:rPr>
        <w:t xml:space="preserve"> (Cinco Días - </w:t>
      </w:r>
      <w:r w:rsidRPr="00B3377B">
        <w:rPr>
          <w:rFonts w:ascii="Times New Roman" w:eastAsia="Times New Roman" w:hAnsi="Times New Roman"/>
          <w:b/>
          <w:sz w:val="24"/>
          <w:szCs w:val="24"/>
          <w:lang w:eastAsia="es-ES"/>
        </w:rPr>
        <w:t>17/11/11</w:t>
      </w:r>
      <w:r>
        <w:rPr>
          <w:rFonts w:ascii="Times New Roman" w:eastAsia="Times New Roman" w:hAnsi="Times New Roman"/>
          <w:sz w:val="24"/>
          <w:szCs w:val="24"/>
          <w:lang w:eastAsia="es-ES"/>
        </w:rPr>
        <w:t>)</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 xml:space="preserve">El lenguaje coloquial ha cambiado mucho de un tiempo a esta parte. Deuda soberana, prima de riesgo, diferencial o bono alemán a diez años son expresiones que se han colado en las conversaciones diarias de millones de europeos cada vez más preocupados. Los CDS no están tan a la orden del día, pero después de la caída de Lehman Brothers y el casi colapso financiero mundial que se produjo por el efecto en cascada de la activación de los seguros de cobertura contra impagos (eso son los CDS) sobre hipotecas subprime y el rescate público de la aseguradora AIG que esto provocó, han ganado mucha popularidad. </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lastRenderedPageBreak/>
        <w:t>Y es que los CDS tiene la capacidad de multiplicar de forma exponencial el riesgo. De ahí su peligro..., y su leyenda negra. AIG fue nacionalizada porque tenía una exposición a derivados de más un billón de euros, según sus propias cifras, lo que significa que su quiebra hubiera repartido números rojos multimillonarios entre todos los inversores que hubieran asegurado con ella algún riesgo. A su lado, Lehman parece casi inofensivo: solo dejó en el aire derivados por valor de 400.000 millones de dólares y todavía están recientes en la memoria los efectos de esa caída. AIG, por tanto, simplemente no podía caer.</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Los credit default swaps (de ahí las siglas con las que se los conoce) vuelven ahora a condicionar el futuro de Europa y a hacer mundiales las ramificaciones de lo que pueda suceder en el Viejo Continente. Y es que igual que las hipotecas subprime tenían CDS como cobertura y el poseedor de casi cualquier activo puede tener un seguro contra su impago, también la deuda soberana puede estar cubierta frente a la amenaza de pérdidas.</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El Banco de Pagos Internacionales (BIS, por sus siglas en inglés) acaba de poner cifras a estas coberturas en su informe de noviembre</w:t>
      </w:r>
      <w:r>
        <w:rPr>
          <w:rFonts w:ascii="Times New Roman" w:eastAsia="Times New Roman" w:hAnsi="Times New Roman"/>
          <w:sz w:val="24"/>
          <w:szCs w:val="24"/>
          <w:lang w:eastAsia="es-ES"/>
        </w:rPr>
        <w:t xml:space="preserve"> (2011)</w:t>
      </w:r>
      <w:r w:rsidRPr="009563A8">
        <w:rPr>
          <w:rFonts w:ascii="Times New Roman" w:eastAsia="Times New Roman" w:hAnsi="Times New Roman"/>
          <w:sz w:val="24"/>
          <w:szCs w:val="24"/>
          <w:lang w:eastAsia="es-ES"/>
        </w:rPr>
        <w:t>. El volumen bruto nominal de CDS comprados y vendidos para asegurar impagos en deuda soberana alcanzaba a cierre del primer semestre los 2,9 billones de dólares (el equivalente a 2,14 billones de euros). Esta cifra no es muy elevada con respecto al total de CDS que hay en el mundo (32,4 billones de dólares), pero es la partida que más crece dentro de esa amalgama total. Frente a un alza del 8% en estos contratos desde 2010, los CDS soberanos (por así llamarlos) habrían crecido cerca de un 15%, aunque el BIS no da cifras totalmente comparables de cierre de 2010.</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Tampoco hay datos desagregados por naciones o zonas geográficas. Es decir, esos CDS pueden estar en manos de inversores estadounidenses con deuda japonesa en su cartera o en manos de fondos taiwaneses con exposición a bonos griegos. Lo que sí se sabe es que el riesgo está muy concentrado en zonas muy sensibles del mundo. Según cifras oficiales del Departamento del Tesoro de EEUU, cinco bancos controlan el 95% de los riesgos en derivados asumidos por la banca de Estados Unidos.</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 xml:space="preserve">Y hay otro condicionante más. Nadie se pone de acuerdo en cómo hay que computar los CDS, si por el nominal (los contratos vendidos más los comprados) o intentar llegar a una cifra neta, porque unos contratos se dan contrapartida a otros. </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 xml:space="preserve">El caso griego es el mejor ejemplo de esta paradoja. Los líderes de Europa han orquestado un rescate para la deuda helena con una quita del 50% diseñado de forma voluntaria y que no afecte a todos los acreedores para evitar que la reestructuración active los CDS. Es decir, serán los dueños de la deuda los que asuman las pérdidas, porque el seguro contra impagos que tengan contratado no les va a cubrir, puesto que acudirían al canje de deuda de forma voluntaria. </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 xml:space="preserve">La razón de este esquema es el temor a que una activación de los CDS dañe a los bancos y a las aseguradoras que tengan que responder por las coberturas y se cree otro momento Lehman. Pero la ISDA, la asociación que regula los CDS, asegura que el volumen efectivo de CDS sobre deuda griega no supera los 3.700 millones de dólares (unos 2.740 millones de euros), una cifra que en modo alguno puede poner en peligro nada. Mientras, otros números dicen que el volumen bruto total de seguros sobre deuda </w:t>
      </w:r>
      <w:r w:rsidRPr="009563A8">
        <w:rPr>
          <w:rFonts w:ascii="Times New Roman" w:eastAsia="Times New Roman" w:hAnsi="Times New Roman"/>
          <w:sz w:val="24"/>
          <w:szCs w:val="24"/>
          <w:lang w:eastAsia="es-ES"/>
        </w:rPr>
        <w:lastRenderedPageBreak/>
        <w:t>helena alcanzaría los 75.000 millones de dólares, así que se podría deducir que el riesgo real de un CDS es una vigésima parte de su volumen bruto nominal, lo que reduciría muchísimo el peligro de este tipo de coberturas.</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Pero no todos están de acuerdo en esta reducción, ya que no todos los CDS tienen colateral. Además, por mucho que el riesgo pueda reasegurarse, siempre habrá un pagador al final. Por ejemplo, un banco vende un CDS a un inversor y cubre el riesgo con un tercero, que a su vez contrata una cobertura con un cuarto y así sucesivamente. De ahí que un CDS original de 100 se convierta en uno mucho más alto, aunque el riesgo subyacente siga siendo 100. Pero si se produce la quiebra, siempre habrá un eslabón que tendrá que pagar y en caso de que no pueda responder a la cobertura perjudicará a todos los que forman la cadena.</w:t>
      </w:r>
    </w:p>
    <w:p w:rsidR="002F07D4" w:rsidRPr="009563A8"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Otra vez, Grecia es la referencia. Todos los involucrados han hecho malabarismos para que no se activaran los CDS en el rescate. Y eso sólo tiene una explicación: el riesgo que entrañan es muy alto.</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563A8">
        <w:rPr>
          <w:rFonts w:ascii="Times New Roman" w:eastAsia="Times New Roman" w:hAnsi="Times New Roman"/>
          <w:sz w:val="24"/>
          <w:szCs w:val="24"/>
          <w:lang w:eastAsia="es-ES"/>
        </w:rPr>
        <w:t>Por todo ello, la realidad es que los dos billones largos de euros en CDS que planean sobre la deuda soberana actúan como una losa ahora que media Europa tiene los diferenciales disparados. En caso de que algún país además de Grecia (¿Italia? ¿Portugal? ¿España? ¿Francia?), incumpla sus pagos y se activen efectivamente los CDS, las ramificaciones serían incalculables.El resultado es una bomba de relojería de la que nadie conoce el tamaño, pero a la que todos temen</w:t>
      </w:r>
      <w:r>
        <w:rPr>
          <w:rFonts w:ascii="Times New Roman" w:eastAsia="Times New Roman" w:hAnsi="Times New Roman"/>
          <w:sz w:val="24"/>
          <w:szCs w:val="24"/>
          <w:lang w:eastAsia="es-ES"/>
        </w:rPr>
        <w:t>…</w:t>
      </w:r>
    </w:p>
    <w:p w:rsidR="002F07D4" w:rsidRDefault="002F07D4" w:rsidP="002F07D4">
      <w:pPr>
        <w:jc w:val="both"/>
        <w:rPr>
          <w:rFonts w:ascii="Times New Roman" w:hAnsi="Times New Roman"/>
          <w:b/>
          <w:sz w:val="24"/>
          <w:szCs w:val="24"/>
        </w:rPr>
      </w:pPr>
      <w:r>
        <w:rPr>
          <w:rFonts w:ascii="Times New Roman" w:hAnsi="Times New Roman"/>
          <w:b/>
          <w:sz w:val="24"/>
          <w:szCs w:val="24"/>
        </w:rPr>
        <w:t>Economías Fallidas (Finale)</w:t>
      </w:r>
    </w:p>
    <w:p w:rsidR="002F07D4" w:rsidRPr="00EA3637" w:rsidRDefault="002F07D4" w:rsidP="002F07D4">
      <w:pPr>
        <w:spacing w:after="0"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w:t>
      </w:r>
      <w:r w:rsidRPr="00EA3637">
        <w:rPr>
          <w:rFonts w:ascii="Times New Roman" w:hAnsi="Times New Roman"/>
          <w:sz w:val="24"/>
          <w:szCs w:val="24"/>
          <w:u w:val="single"/>
        </w:rPr>
        <w:t>El mito del crecimiento económico infinito es un fracaso</w:t>
      </w:r>
      <w:r>
        <w:rPr>
          <w:rFonts w:ascii="Times New Roman" w:hAnsi="Times New Roman"/>
          <w:sz w:val="24"/>
          <w:szCs w:val="24"/>
          <w:u w:val="single"/>
        </w:rPr>
        <w:t>”</w:t>
      </w:r>
      <w:r>
        <w:rPr>
          <w:rFonts w:ascii="Times New Roman" w:hAnsi="Times New Roman"/>
          <w:sz w:val="24"/>
          <w:szCs w:val="24"/>
        </w:rPr>
        <w:t xml:space="preserve"> (BBCMundo - </w:t>
      </w:r>
      <w:r w:rsidRPr="00EA3637">
        <w:rPr>
          <w:rFonts w:ascii="Times New Roman" w:hAnsi="Times New Roman"/>
          <w:b/>
          <w:sz w:val="24"/>
          <w:szCs w:val="24"/>
        </w:rPr>
        <w:t>29/9/11</w:t>
      </w:r>
      <w:r>
        <w:rPr>
          <w:rFonts w:ascii="Times New Roman" w:hAnsi="Times New Roman"/>
          <w:sz w:val="24"/>
          <w:szCs w:val="24"/>
        </w:rPr>
        <w:t>)</w:t>
      </w:r>
    </w:p>
    <w:p w:rsidR="002F07D4" w:rsidRDefault="002F07D4" w:rsidP="002F07D4">
      <w:pPr>
        <w:spacing w:after="0" w:line="240" w:lineRule="auto"/>
        <w:jc w:val="both"/>
        <w:rPr>
          <w:rFonts w:ascii="Times New Roman" w:hAnsi="Times New Roman"/>
          <w:sz w:val="24"/>
          <w:szCs w:val="24"/>
        </w:rPr>
      </w:pPr>
    </w:p>
    <w:p w:rsidR="002F07D4" w:rsidRPr="00EA3637" w:rsidRDefault="002F07D4" w:rsidP="002F07D4">
      <w:pPr>
        <w:spacing w:after="0" w:line="240" w:lineRule="auto"/>
        <w:jc w:val="both"/>
        <w:rPr>
          <w:rFonts w:ascii="Times New Roman" w:hAnsi="Times New Roman"/>
          <w:sz w:val="24"/>
          <w:szCs w:val="24"/>
        </w:rPr>
      </w:pPr>
      <w:r>
        <w:rPr>
          <w:rFonts w:ascii="Times New Roman" w:hAnsi="Times New Roman"/>
          <w:sz w:val="24"/>
          <w:szCs w:val="24"/>
        </w:rPr>
        <w:t xml:space="preserve">(Por Tim Jackson - </w:t>
      </w:r>
      <w:r w:rsidRPr="00EA3637">
        <w:rPr>
          <w:rFonts w:ascii="Times New Roman" w:hAnsi="Times New Roman"/>
          <w:sz w:val="24"/>
          <w:szCs w:val="24"/>
        </w:rPr>
        <w:t>Universidad de Surrey</w:t>
      </w:r>
      <w:r>
        <w:rPr>
          <w:rFonts w:ascii="Times New Roman" w:hAnsi="Times New Roman"/>
          <w:sz w:val="24"/>
          <w:szCs w:val="24"/>
        </w:rPr>
        <w:t>)                                      Lectura recomendada</w:t>
      </w:r>
    </w:p>
    <w:p w:rsidR="002F07D4" w:rsidRPr="00EA3637" w:rsidRDefault="002F07D4" w:rsidP="002F07D4">
      <w:pPr>
        <w:spacing w:after="0" w:line="240" w:lineRule="auto"/>
        <w:jc w:val="both"/>
        <w:rPr>
          <w:rFonts w:ascii="Times New Roman" w:hAnsi="Times New Roman"/>
          <w:sz w:val="24"/>
          <w:szCs w:val="24"/>
        </w:rPr>
      </w:pPr>
    </w:p>
    <w:p w:rsidR="002F07D4" w:rsidRPr="000967F4" w:rsidRDefault="002F07D4" w:rsidP="002F07D4">
      <w:pPr>
        <w:spacing w:after="0" w:line="240" w:lineRule="auto"/>
        <w:jc w:val="both"/>
        <w:rPr>
          <w:rFonts w:ascii="Times New Roman" w:hAnsi="Times New Roman"/>
          <w:color w:val="FF0000"/>
          <w:sz w:val="24"/>
          <w:szCs w:val="24"/>
          <w:u w:val="single"/>
        </w:rPr>
      </w:pPr>
      <w:r w:rsidRPr="000967F4">
        <w:rPr>
          <w:rFonts w:ascii="Times New Roman" w:hAnsi="Times New Roman"/>
          <w:color w:val="FF0000"/>
          <w:sz w:val="24"/>
          <w:szCs w:val="24"/>
          <w:u w:val="single"/>
        </w:rPr>
        <w:t>Toda sociedad se aferra a un mito y vive por él. El nuestro es el del crecimiento económico. Las últimas cinco décadas la persecución del crecimiento ha sido el más importante de los objetivos políticos en el mundo. La economía global tiene cinco veces el tamaño de hace medio siglo. Si continúa creciendo al mismo ritmo, será 80 veces en el año 2100.</w:t>
      </w:r>
    </w:p>
    <w:p w:rsidR="002F07D4" w:rsidRPr="000967F4" w:rsidRDefault="002F07D4" w:rsidP="002F07D4">
      <w:pPr>
        <w:spacing w:after="0" w:line="240" w:lineRule="auto"/>
        <w:jc w:val="both"/>
        <w:rPr>
          <w:rFonts w:ascii="Times New Roman" w:hAnsi="Times New Roman"/>
          <w:color w:val="FF0000"/>
          <w:sz w:val="24"/>
          <w:szCs w:val="24"/>
          <w:u w:val="single"/>
        </w:rPr>
      </w:pPr>
    </w:p>
    <w:p w:rsidR="002F07D4" w:rsidRPr="000967F4" w:rsidRDefault="002F07D4" w:rsidP="002F07D4">
      <w:pPr>
        <w:spacing w:after="0" w:line="240" w:lineRule="auto"/>
        <w:jc w:val="both"/>
        <w:rPr>
          <w:rFonts w:ascii="Times New Roman" w:hAnsi="Times New Roman"/>
          <w:color w:val="FF0000"/>
          <w:sz w:val="24"/>
          <w:szCs w:val="24"/>
          <w:u w:val="single"/>
        </w:rPr>
      </w:pPr>
      <w:r w:rsidRPr="000967F4">
        <w:rPr>
          <w:rFonts w:ascii="Times New Roman" w:hAnsi="Times New Roman"/>
          <w:color w:val="FF0000"/>
          <w:sz w:val="24"/>
          <w:szCs w:val="24"/>
          <w:u w:val="single"/>
        </w:rPr>
        <w:t>Este extraordinario salto de la actividad económica global no tiene precedentes en la historia. Y es algo que no puede estar más en desacuerdo con la base de recursos finitos y frágil equilibrio ecológico del que depende para su supervivencia. Y ya ha venido acompañado de una degradación estimada de un 60% de los ecosistemas del mundo.</w:t>
      </w:r>
    </w:p>
    <w:p w:rsidR="002F07D4" w:rsidRPr="00EA3637" w:rsidRDefault="002F07D4" w:rsidP="002F07D4">
      <w:pPr>
        <w:spacing w:after="0" w:line="240" w:lineRule="auto"/>
        <w:jc w:val="both"/>
        <w:rPr>
          <w:rFonts w:ascii="Times New Roman" w:hAnsi="Times New Roman"/>
          <w:sz w:val="24"/>
          <w:szCs w:val="24"/>
        </w:rPr>
      </w:pPr>
    </w:p>
    <w:p w:rsidR="002F07D4" w:rsidRPr="00EA3637" w:rsidRDefault="002F07D4" w:rsidP="002F07D4">
      <w:pPr>
        <w:spacing w:after="0" w:line="240" w:lineRule="auto"/>
        <w:jc w:val="both"/>
        <w:rPr>
          <w:rFonts w:ascii="Times New Roman" w:hAnsi="Times New Roman"/>
          <w:sz w:val="24"/>
          <w:szCs w:val="24"/>
        </w:rPr>
      </w:pPr>
      <w:r w:rsidRPr="00EA3637">
        <w:rPr>
          <w:rFonts w:ascii="Times New Roman" w:hAnsi="Times New Roman"/>
          <w:sz w:val="24"/>
          <w:szCs w:val="24"/>
        </w:rPr>
        <w:t xml:space="preserve">La mayor parte del tiempo, evitamos la realidad de estos números. El crecimiento debe continuar, insistimos. </w:t>
      </w:r>
      <w:r>
        <w:rPr>
          <w:rFonts w:ascii="Times New Roman" w:hAnsi="Times New Roman"/>
          <w:sz w:val="24"/>
          <w:szCs w:val="24"/>
        </w:rPr>
        <w:t>“</w:t>
      </w:r>
      <w:r w:rsidRPr="00EA3637">
        <w:rPr>
          <w:rFonts w:ascii="Times New Roman" w:hAnsi="Times New Roman"/>
          <w:sz w:val="24"/>
          <w:szCs w:val="24"/>
        </w:rPr>
        <w:t>¡Acumulad!, ¡acumulad!, es lo que di</w:t>
      </w:r>
      <w:r>
        <w:rPr>
          <w:rFonts w:ascii="Times New Roman" w:hAnsi="Times New Roman"/>
          <w:sz w:val="24"/>
          <w:szCs w:val="24"/>
        </w:rPr>
        <w:t>cen Moisés y todos los profetas”</w:t>
      </w:r>
      <w:r w:rsidRPr="00EA3637">
        <w:rPr>
          <w:rFonts w:ascii="Times New Roman" w:hAnsi="Times New Roman"/>
          <w:sz w:val="24"/>
          <w:szCs w:val="24"/>
        </w:rPr>
        <w:t>, como dijo Karl Marx.</w:t>
      </w:r>
    </w:p>
    <w:p w:rsidR="002F07D4" w:rsidRPr="00EA3637" w:rsidRDefault="002F07D4" w:rsidP="002F07D4">
      <w:pPr>
        <w:spacing w:after="0" w:line="240" w:lineRule="auto"/>
        <w:jc w:val="both"/>
        <w:rPr>
          <w:rFonts w:ascii="Times New Roman" w:hAnsi="Times New Roman"/>
          <w:sz w:val="24"/>
          <w:szCs w:val="24"/>
        </w:rPr>
      </w:pPr>
    </w:p>
    <w:p w:rsidR="002F07D4" w:rsidRPr="00EA3637" w:rsidRDefault="002F07D4" w:rsidP="002F07D4">
      <w:pPr>
        <w:spacing w:after="0" w:line="240" w:lineRule="auto"/>
        <w:jc w:val="both"/>
        <w:rPr>
          <w:rFonts w:ascii="Times New Roman" w:hAnsi="Times New Roman"/>
          <w:sz w:val="24"/>
          <w:szCs w:val="24"/>
        </w:rPr>
      </w:pPr>
      <w:r w:rsidRPr="00EA3637">
        <w:rPr>
          <w:rFonts w:ascii="Times New Roman" w:hAnsi="Times New Roman"/>
          <w:sz w:val="24"/>
          <w:szCs w:val="24"/>
        </w:rPr>
        <w:t>Y no sólo por el bien de los países más pobres, donde (lo sabe el cielo) es desesperadamente urgente una calidad de vida mejor, sino en el opulento Occidente, donde el consumismo rampante amenaza el tejido de nuestra sociedad.</w:t>
      </w:r>
    </w:p>
    <w:p w:rsidR="002F07D4" w:rsidRPr="00EA3637" w:rsidRDefault="002F07D4" w:rsidP="002F07D4">
      <w:pPr>
        <w:spacing w:after="0" w:line="240" w:lineRule="auto"/>
        <w:jc w:val="both"/>
        <w:rPr>
          <w:rFonts w:ascii="Times New Roman" w:hAnsi="Times New Roman"/>
          <w:sz w:val="24"/>
          <w:szCs w:val="24"/>
        </w:rPr>
      </w:pPr>
    </w:p>
    <w:p w:rsidR="002F07D4" w:rsidRPr="000967F4" w:rsidRDefault="002F07D4" w:rsidP="002F07D4">
      <w:pPr>
        <w:spacing w:after="0" w:line="240" w:lineRule="auto"/>
        <w:jc w:val="both"/>
        <w:rPr>
          <w:rFonts w:ascii="Times New Roman" w:hAnsi="Times New Roman"/>
          <w:sz w:val="24"/>
          <w:szCs w:val="24"/>
          <w:u w:val="single"/>
        </w:rPr>
      </w:pPr>
      <w:r w:rsidRPr="000967F4">
        <w:rPr>
          <w:rFonts w:ascii="Times New Roman" w:hAnsi="Times New Roman"/>
          <w:sz w:val="24"/>
          <w:szCs w:val="24"/>
          <w:u w:val="single"/>
        </w:rPr>
        <w:lastRenderedPageBreak/>
        <w:t>Las razones por esta ceguera colectiva son fáciles de encontrar. El capitalismo occidental se basa de forma estructural en el crecimiento para su estabilidad. Cuando la expansión se tambalea, como ha pasado recientemente, los políticos entran en pánico.</w:t>
      </w:r>
    </w:p>
    <w:p w:rsidR="002F07D4" w:rsidRPr="00EA3637" w:rsidRDefault="002F07D4" w:rsidP="002F07D4">
      <w:pPr>
        <w:spacing w:after="0" w:line="240" w:lineRule="auto"/>
        <w:jc w:val="both"/>
        <w:rPr>
          <w:rFonts w:ascii="Times New Roman" w:hAnsi="Times New Roman"/>
          <w:sz w:val="24"/>
          <w:szCs w:val="24"/>
        </w:rPr>
      </w:pPr>
    </w:p>
    <w:p w:rsidR="002F07D4" w:rsidRPr="000967F4" w:rsidRDefault="002F07D4" w:rsidP="002F07D4">
      <w:pPr>
        <w:spacing w:after="0" w:line="240" w:lineRule="auto"/>
        <w:jc w:val="both"/>
        <w:rPr>
          <w:rFonts w:ascii="Times New Roman" w:hAnsi="Times New Roman"/>
          <w:sz w:val="24"/>
          <w:szCs w:val="24"/>
          <w:u w:val="single"/>
        </w:rPr>
      </w:pPr>
      <w:r w:rsidRPr="000967F4">
        <w:rPr>
          <w:rFonts w:ascii="Times New Roman" w:hAnsi="Times New Roman"/>
          <w:sz w:val="24"/>
          <w:szCs w:val="24"/>
          <w:u w:val="single"/>
        </w:rPr>
        <w:t>Los negocios batallan por sobrevivir. La gente pierde sus trabajos y en ocasiones sus viviendas. La espiral de la recesión es una amenaza. Cuestionar el crecimiento se toma como un acto de lunáticos, idealistas y revolucionarios.</w:t>
      </w:r>
    </w:p>
    <w:p w:rsidR="002F07D4" w:rsidRPr="00EA3637" w:rsidRDefault="002F07D4" w:rsidP="002F07D4">
      <w:pPr>
        <w:spacing w:after="0" w:line="240" w:lineRule="auto"/>
        <w:jc w:val="both"/>
        <w:rPr>
          <w:rFonts w:ascii="Times New Roman" w:hAnsi="Times New Roman"/>
          <w:sz w:val="24"/>
          <w:szCs w:val="24"/>
        </w:rPr>
      </w:pPr>
    </w:p>
    <w:p w:rsidR="002F07D4" w:rsidRDefault="002F07D4" w:rsidP="002F07D4">
      <w:pPr>
        <w:spacing w:after="0" w:line="240" w:lineRule="auto"/>
        <w:jc w:val="both"/>
        <w:rPr>
          <w:rFonts w:ascii="Times New Roman" w:hAnsi="Times New Roman"/>
          <w:color w:val="FF0000"/>
          <w:sz w:val="24"/>
          <w:szCs w:val="24"/>
          <w:u w:val="single"/>
        </w:rPr>
      </w:pPr>
      <w:r w:rsidRPr="000967F4">
        <w:rPr>
          <w:rFonts w:ascii="Times New Roman" w:hAnsi="Times New Roman"/>
          <w:color w:val="FF0000"/>
          <w:sz w:val="24"/>
          <w:szCs w:val="24"/>
          <w:u w:val="single"/>
        </w:rPr>
        <w:t>Ahora, cuestionarlo es un deber. El mito del crecimiento infinito ha fracasado, ha fracasado para 2.000 millones de personas que viven con menos de US$ 2 al día. Ha fracasado para el frágil sistema ecológico de cuya supervivencia depende. Ha fracasado, espectacularmente, en sus propios términos, para proveer estabilidad económica y asegurar la vida de las personas. La prosperidad para unos pocos, basada en la destrucción medioambiental y la persistente injusticia social, no es fundamento para una sociedad civilizada.</w:t>
      </w:r>
    </w:p>
    <w:p w:rsidR="002F07D4" w:rsidRDefault="002F07D4" w:rsidP="002F07D4">
      <w:pPr>
        <w:spacing w:after="0" w:line="240" w:lineRule="auto"/>
        <w:jc w:val="both"/>
        <w:rPr>
          <w:rFonts w:ascii="Times New Roman" w:hAnsi="Times New Roman"/>
          <w:color w:val="FF0000"/>
          <w:sz w:val="24"/>
          <w:szCs w:val="24"/>
          <w:u w:val="single"/>
        </w:rPr>
      </w:pPr>
    </w:p>
    <w:p w:rsidR="002F07D4" w:rsidRPr="00EA3637" w:rsidRDefault="002F07D4" w:rsidP="002F07D4">
      <w:pPr>
        <w:spacing w:after="0" w:line="240" w:lineRule="auto"/>
        <w:jc w:val="both"/>
        <w:rPr>
          <w:rFonts w:ascii="Times New Roman" w:hAnsi="Times New Roman"/>
          <w:sz w:val="24"/>
          <w:szCs w:val="24"/>
        </w:rPr>
      </w:pPr>
      <w:r w:rsidRPr="00EA3637">
        <w:rPr>
          <w:rFonts w:ascii="Times New Roman" w:hAnsi="Times New Roman"/>
          <w:sz w:val="24"/>
          <w:szCs w:val="24"/>
        </w:rPr>
        <w:t>Pero la crisis económica se nos presenta como una oportunidad única para invertir en el cambio, barrer las creencias en el beneficio a corto plazo que fueron una plaga durante décadas. Y para el compromiso, por ejemplo, en una reforma radical de las disfuncionales instituciones de los mercados de capitales.</w:t>
      </w:r>
    </w:p>
    <w:p w:rsidR="002F07D4" w:rsidRPr="00EA3637" w:rsidRDefault="002F07D4" w:rsidP="002F07D4">
      <w:pPr>
        <w:spacing w:after="0" w:line="240" w:lineRule="auto"/>
        <w:jc w:val="both"/>
        <w:rPr>
          <w:rFonts w:ascii="Times New Roman" w:hAnsi="Times New Roman"/>
          <w:sz w:val="24"/>
          <w:szCs w:val="24"/>
        </w:rPr>
      </w:pPr>
    </w:p>
    <w:p w:rsidR="002F07D4" w:rsidRPr="00DE7FED" w:rsidRDefault="002F07D4" w:rsidP="002F07D4">
      <w:pPr>
        <w:spacing w:after="0" w:line="240" w:lineRule="auto"/>
        <w:jc w:val="both"/>
        <w:rPr>
          <w:rFonts w:ascii="Times New Roman" w:hAnsi="Times New Roman"/>
          <w:color w:val="FF0000"/>
          <w:sz w:val="24"/>
          <w:szCs w:val="24"/>
          <w:u w:val="single"/>
        </w:rPr>
      </w:pPr>
      <w:r w:rsidRPr="00DE7FED">
        <w:rPr>
          <w:rFonts w:ascii="Times New Roman" w:hAnsi="Times New Roman"/>
          <w:color w:val="FF0000"/>
          <w:sz w:val="24"/>
          <w:szCs w:val="24"/>
          <w:u w:val="single"/>
        </w:rPr>
        <w:t>La especulación sin trabas en materias primas y derivados financieros llevaron al mundo financiero al filo del colapso hace tres años. Es necesario que sea remplazado por un más duradero y lento sentido de las finanzas: inversión sólida en activos productivos, en tecnologías limpias de bajas emisiones de carbono, en salud y educación, en viviendas de calidad y en sistema de transporte eficientes, en espacios públicos abiertos. Es decir, inversión en el futuro de las comunidades.</w:t>
      </w:r>
    </w:p>
    <w:p w:rsidR="002F07D4" w:rsidRPr="00EA3637" w:rsidRDefault="002F07D4" w:rsidP="002F07D4">
      <w:pPr>
        <w:spacing w:after="0" w:line="240" w:lineRule="auto"/>
        <w:jc w:val="both"/>
        <w:rPr>
          <w:rFonts w:ascii="Times New Roman" w:hAnsi="Times New Roman"/>
          <w:sz w:val="24"/>
          <w:szCs w:val="24"/>
        </w:rPr>
      </w:pPr>
    </w:p>
    <w:p w:rsidR="002F07D4" w:rsidRPr="00EA3637" w:rsidRDefault="002F07D4" w:rsidP="002F07D4">
      <w:pPr>
        <w:spacing w:after="0" w:line="240" w:lineRule="auto"/>
        <w:jc w:val="both"/>
        <w:rPr>
          <w:rFonts w:ascii="Times New Roman" w:hAnsi="Times New Roman"/>
          <w:sz w:val="24"/>
          <w:szCs w:val="24"/>
        </w:rPr>
      </w:pPr>
      <w:r w:rsidRPr="00EA3637">
        <w:rPr>
          <w:rFonts w:ascii="Times New Roman" w:hAnsi="Times New Roman"/>
          <w:sz w:val="24"/>
          <w:szCs w:val="24"/>
        </w:rPr>
        <w:t>El empresariado también debe ser revisado. Obtener beneficios a expensas de los contribuyentes es inmoral. La mano invisible del mercado debe ser domesticada y puesta al servicio del pueblo. Los ejecutivos más previsores de las empresas más visionarias ya entienden estas demandas. La empresa social está comenzando a prosperar en la economía post-crisis.</w:t>
      </w:r>
    </w:p>
    <w:p w:rsidR="002F07D4" w:rsidRPr="00EA3637" w:rsidRDefault="002F07D4" w:rsidP="002F07D4">
      <w:pPr>
        <w:spacing w:after="0" w:line="240" w:lineRule="auto"/>
        <w:jc w:val="both"/>
        <w:rPr>
          <w:rFonts w:ascii="Times New Roman" w:hAnsi="Times New Roman"/>
          <w:sz w:val="24"/>
          <w:szCs w:val="24"/>
        </w:rPr>
      </w:pPr>
    </w:p>
    <w:p w:rsidR="002F07D4" w:rsidRPr="00DE7FED" w:rsidRDefault="002F07D4" w:rsidP="002F07D4">
      <w:pPr>
        <w:spacing w:after="0" w:line="240" w:lineRule="auto"/>
        <w:jc w:val="both"/>
        <w:rPr>
          <w:rFonts w:ascii="Times New Roman" w:hAnsi="Times New Roman"/>
          <w:color w:val="FF0000"/>
          <w:sz w:val="24"/>
          <w:szCs w:val="24"/>
          <w:u w:val="single"/>
        </w:rPr>
      </w:pPr>
      <w:r w:rsidRPr="00DE7FED">
        <w:rPr>
          <w:rFonts w:ascii="Times New Roman" w:hAnsi="Times New Roman"/>
          <w:color w:val="FF0000"/>
          <w:sz w:val="24"/>
          <w:szCs w:val="24"/>
          <w:u w:val="single"/>
        </w:rPr>
        <w:t>Arreglar la economía es sólo parte de la batalla. También tenemos que confrontar la lógica del consumismo. Los días de gastar dinero que no tenemos en cosas que no necesitamos para impresionar a personas que no nos importan deben terminar. Vivir bien es buena nutrición, un hogar decente, buenos servicios públicos, comunidad estable y un empleo satisfactorio.</w:t>
      </w:r>
    </w:p>
    <w:p w:rsidR="002F07D4" w:rsidRPr="00EA3637" w:rsidRDefault="002F07D4" w:rsidP="002F07D4">
      <w:pPr>
        <w:spacing w:after="0" w:line="240" w:lineRule="auto"/>
        <w:jc w:val="both"/>
        <w:rPr>
          <w:rFonts w:ascii="Times New Roman" w:hAnsi="Times New Roman"/>
          <w:sz w:val="24"/>
          <w:szCs w:val="24"/>
        </w:rPr>
      </w:pPr>
    </w:p>
    <w:p w:rsidR="002F07D4" w:rsidRDefault="002F07D4" w:rsidP="002F07D4">
      <w:pPr>
        <w:spacing w:after="0" w:line="240" w:lineRule="auto"/>
        <w:jc w:val="both"/>
        <w:rPr>
          <w:rFonts w:ascii="Times New Roman" w:hAnsi="Times New Roman"/>
          <w:color w:val="FF0000"/>
          <w:sz w:val="24"/>
          <w:szCs w:val="24"/>
          <w:u w:val="single"/>
        </w:rPr>
      </w:pPr>
      <w:r w:rsidRPr="00DE7FED">
        <w:rPr>
          <w:rFonts w:ascii="Times New Roman" w:hAnsi="Times New Roman"/>
          <w:color w:val="FF0000"/>
          <w:sz w:val="24"/>
          <w:szCs w:val="24"/>
          <w:u w:val="single"/>
        </w:rPr>
        <w:t>La prosperidad, en todos los sentidos de la palabra, trasciende las preocupaciones materiales, reside en el amor de nuestras familias, el apoyo de nuestros amigos y la fuerza de nuestras comunidades, en nuestra capacidad para participar en la vida en sociedad, en tener un propósito para darle sentido a la vida. El desafío para nuestra sociedad es crear las condiciones para que hacer esto posible.</w:t>
      </w:r>
    </w:p>
    <w:p w:rsidR="002F07D4" w:rsidRDefault="002F07D4" w:rsidP="002F07D4">
      <w:pPr>
        <w:spacing w:after="0" w:line="240" w:lineRule="auto"/>
        <w:jc w:val="both"/>
        <w:rPr>
          <w:rFonts w:ascii="Times New Roman" w:hAnsi="Times New Roman"/>
          <w:color w:val="FF0000"/>
          <w:sz w:val="24"/>
          <w:szCs w:val="24"/>
          <w:u w:val="single"/>
        </w:rPr>
      </w:pPr>
    </w:p>
    <w:p w:rsidR="002F07D4" w:rsidRDefault="002F07D4" w:rsidP="002F07D4">
      <w:pPr>
        <w:pStyle w:val="figcaption"/>
        <w:jc w:val="both"/>
        <w:rPr>
          <w:rStyle w:val="firmafoto2"/>
          <w:b/>
        </w:rPr>
      </w:pPr>
      <w:r>
        <w:rPr>
          <w:rStyle w:val="firmafoto2"/>
          <w:b/>
        </w:rPr>
        <w:t>Coda: p</w:t>
      </w:r>
      <w:r w:rsidRPr="0092725D">
        <w:rPr>
          <w:rStyle w:val="firmafoto2"/>
          <w:b/>
        </w:rPr>
        <w:t>uede pasar lo peor o lo mejor</w:t>
      </w:r>
      <w:r>
        <w:rPr>
          <w:rStyle w:val="firmafoto2"/>
          <w:b/>
        </w:rPr>
        <w:t xml:space="preserve"> (viejas y queridas causas perdidas)</w:t>
      </w:r>
    </w:p>
    <w:p w:rsidR="002F07D4" w:rsidRDefault="002F07D4" w:rsidP="002F07D4">
      <w:pPr>
        <w:spacing w:after="0" w:line="240" w:lineRule="auto"/>
        <w:jc w:val="both"/>
        <w:rPr>
          <w:rFonts w:ascii="Times New Roman" w:hAnsi="Times New Roman"/>
          <w:color w:val="FF0000"/>
          <w:sz w:val="24"/>
          <w:szCs w:val="24"/>
          <w:u w:val="single"/>
        </w:rPr>
      </w:pPr>
    </w:p>
    <w:p w:rsidR="002F07D4"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Estos “relatos” (de cabotaje), representan una manera “solidaria” de iniciar las “Conclusiones” sobre las “Economías Fallidas”. Se trata de resaltar el poder del dinero </w:t>
      </w:r>
      <w:r>
        <w:rPr>
          <w:rFonts w:ascii="Times New Roman" w:eastAsia="Times New Roman" w:hAnsi="Times New Roman"/>
          <w:sz w:val="24"/>
          <w:szCs w:val="24"/>
          <w:lang w:eastAsia="es-ES"/>
        </w:rPr>
        <w:lastRenderedPageBreak/>
        <w:t>frente a la fuerza de la verdad. Denunciar que reinan los principales por encima de los principios. Afirmar que la economía (y la justicia) queda(n) huérfana(s) de esperanza.</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Las mías son “advertencias”, no “predicciones”. Puedo estar equivocado (probablemente), pero no soy “interesado” (cómplice), ni “pluma mercenaria” (lacayo), con absoluta seguridad. A partir de esta confesión, ustedes mismos. </w:t>
      </w:r>
    </w:p>
    <w:p w:rsidR="002F07D4" w:rsidRPr="00D50D56" w:rsidRDefault="002F07D4" w:rsidP="002F07D4">
      <w:pPr>
        <w:spacing w:after="0" w:line="240" w:lineRule="auto"/>
        <w:jc w:val="both"/>
        <w:rPr>
          <w:rFonts w:ascii="Times New Roman" w:eastAsia="Times New Roman" w:hAnsi="Times New Roman"/>
          <w:color w:val="FF0000"/>
          <w:sz w:val="24"/>
          <w:szCs w:val="24"/>
          <w:lang w:eastAsia="es-ES"/>
        </w:rPr>
      </w:pPr>
    </w:p>
    <w:p w:rsidR="002F07D4" w:rsidRPr="00CA26A7" w:rsidRDefault="002F07D4" w:rsidP="002F07D4">
      <w:pPr>
        <w:spacing w:line="240" w:lineRule="auto"/>
        <w:jc w:val="both"/>
        <w:rPr>
          <w:rFonts w:ascii="Times New Roman" w:hAnsi="Times New Roman"/>
          <w:sz w:val="24"/>
          <w:szCs w:val="24"/>
          <w:u w:val="single"/>
        </w:rPr>
      </w:pPr>
      <w:r w:rsidRPr="00CA26A7">
        <w:rPr>
          <w:rFonts w:ascii="Times New Roman" w:hAnsi="Times New Roman"/>
          <w:sz w:val="24"/>
          <w:szCs w:val="24"/>
          <w:u w:val="single"/>
        </w:rPr>
        <w:t>Una crisis camaleónica</w:t>
      </w:r>
    </w:p>
    <w:p w:rsidR="002F07D4" w:rsidRPr="00D50D56" w:rsidRDefault="002F07D4" w:rsidP="002F07D4">
      <w:pPr>
        <w:spacing w:line="240" w:lineRule="auto"/>
        <w:jc w:val="both"/>
        <w:rPr>
          <w:rFonts w:ascii="Times New Roman" w:hAnsi="Times New Roman"/>
          <w:sz w:val="24"/>
          <w:szCs w:val="24"/>
        </w:rPr>
      </w:pPr>
      <w:r w:rsidRPr="00D50D56">
        <w:rPr>
          <w:rFonts w:ascii="Times New Roman" w:hAnsi="Times New Roman"/>
          <w:sz w:val="24"/>
          <w:szCs w:val="24"/>
        </w:rPr>
        <w:t>Entre los factores que impulsaron esta crisis figuran una política monetaria expansiva que propició un aumento del endeudamiento, ya que los costes de las obligaciones financieras eran muy reducidos y la abundante liquidez hizo que los tipos de interés fueran inferiores a la inflación, con lo que los incentivos para ahorrar en vez de consumir eran menores. Una errónea evaluación del riesgo por parte de las agencias de rating y de una falta de regulación externa por parte de la Fed, y sobre todo por un exceso de avaricia por parte de los responsables de las entidades financieras.</w:t>
      </w:r>
    </w:p>
    <w:p w:rsidR="002F07D4" w:rsidRPr="006C622C" w:rsidRDefault="002F07D4" w:rsidP="002F07D4">
      <w:pPr>
        <w:spacing w:line="240" w:lineRule="auto"/>
        <w:jc w:val="both"/>
        <w:rPr>
          <w:rFonts w:ascii="Times New Roman" w:hAnsi="Times New Roman"/>
          <w:sz w:val="24"/>
          <w:szCs w:val="24"/>
        </w:rPr>
      </w:pPr>
      <w:r w:rsidRPr="006C622C">
        <w:rPr>
          <w:rFonts w:ascii="Times New Roman" w:hAnsi="Times New Roman"/>
          <w:sz w:val="24"/>
          <w:szCs w:val="24"/>
        </w:rPr>
        <w:t>El detonante fue la elevada morosidad de las hipotecas subprime desarrolladas a raíz del boom inmobiliario en EEUU y que se concedieron sin ningún control a clientes apodados como ninjas, personas sin renta, sin trabajo y sin activos (no income, no job, no assets). La pregunta es: ¿por qué los bancos concedieron créditos a gente que seguramente no podría pagar? Para seguir alimentando la máquina del dinero. El fin no era la concesión de créditos de vivienda en sí mismos, sino el deseo de otorgarlos para posteriormente emitir títulos respaldados por esos préstamos hipotecarios. Cuantas más hipotecas daban, más títulos podían emitir y mayor altura tomaban los precios de la vivienda, con el consiguiente efecto riqueza sobre la economía real. Sin embargo esto sólo se podía sostener si el boom inmobiliario duraba indefinidamente, pero ninguna burbuja es eterna. Y ésta se desinfló el primer trimestre de 2007, cuando por la saturación del mercado cayeron los precios de la vivienda. Ante esta situación, algunos propietarios con bajo nivel de renta, al ver que el valor de la vivienda quedaba por debajo del valor hipotecado empezaron a no pagar los préstamos y a devolverles las llaves de las casas al banco. De este modo nacieron los activos tóxicos, en el sentido de que el valor subyacente de las titulizaciones de las hipotecas era mucho menor al de los bonos emitidos.</w:t>
      </w:r>
    </w:p>
    <w:p w:rsidR="002F07D4" w:rsidRPr="006C622C" w:rsidRDefault="002F07D4" w:rsidP="002F07D4">
      <w:pPr>
        <w:spacing w:line="240" w:lineRule="auto"/>
        <w:jc w:val="both"/>
        <w:rPr>
          <w:rFonts w:ascii="Times New Roman" w:hAnsi="Times New Roman"/>
          <w:sz w:val="24"/>
          <w:szCs w:val="24"/>
        </w:rPr>
      </w:pPr>
      <w:r w:rsidRPr="006C622C">
        <w:rPr>
          <w:rFonts w:ascii="Times New Roman" w:hAnsi="Times New Roman"/>
          <w:sz w:val="24"/>
          <w:szCs w:val="24"/>
        </w:rPr>
        <w:t xml:space="preserve">Pero, el principal problema vino a la hora de asumir e identificar el riesgo de los activos. Ya que, estas hipotecas una vez concedidas en títulos transferibles, se vendieron por todo el mundo. Quienes las contrataban en EEUU eran agentes a comisión, que cobraban en función del número de hipotecas colocadas. Los ejecutivos de estas empresas no se veían afectados por el creciente riesgo que el sistema financiero asumía. Su trabajo consistía en vender hipotecas y sólo de ello dependía su sueldo. Por otra parte, los bancos a través de la titulización -convertir activos, generalmente préstamos en valores negociables en el mercado- tampoco fueron conscientes del riesgo ya que diseñaron unos instrumentos financieros llamados CDO (Collaterised Debt Obligations) con los que las entidades sacaban de sus balances activos provenientes de su negocio hipotecario, sustituyéndolos por dinero nuevo. En una operación opaca que hacía difícil saber quién era el tenedor final de ese título. Así, cuando estalló la crisis los mercados de capitales se secaron. Los bancos no sabían quiénes estaban contaminados con estas emisiones, ni en qué cuantía por lo que no prestaban dinero a nadie. </w:t>
      </w:r>
    </w:p>
    <w:p w:rsidR="002F07D4" w:rsidRPr="006C622C" w:rsidRDefault="002F07D4" w:rsidP="002F07D4">
      <w:pPr>
        <w:spacing w:line="240" w:lineRule="auto"/>
        <w:jc w:val="both"/>
        <w:rPr>
          <w:rFonts w:ascii="Times New Roman" w:hAnsi="Times New Roman"/>
          <w:sz w:val="24"/>
          <w:szCs w:val="24"/>
        </w:rPr>
      </w:pPr>
      <w:r w:rsidRPr="006C622C">
        <w:rPr>
          <w:rFonts w:ascii="Times New Roman" w:hAnsi="Times New Roman"/>
          <w:sz w:val="24"/>
          <w:szCs w:val="24"/>
        </w:rPr>
        <w:lastRenderedPageBreak/>
        <w:t>Como consecuencia de esta restricción del crédito muchos proyectos de inversión se cancelaron provocando pérdidas empresariales, caída del crecimiento económico y destrucción del empleo. Tenemos así cómo, en un tiempo récord una crisis en el sector hipotecario estadounidense se transforma en una crisis financiera y posteriormente en una crisis económica global.</w:t>
      </w:r>
    </w:p>
    <w:p w:rsidR="002F07D4" w:rsidRPr="00CA26A7" w:rsidRDefault="002F07D4" w:rsidP="002F07D4">
      <w:pPr>
        <w:spacing w:line="240" w:lineRule="auto"/>
        <w:jc w:val="both"/>
        <w:rPr>
          <w:rFonts w:ascii="Times New Roman" w:hAnsi="Times New Roman"/>
          <w:sz w:val="24"/>
          <w:szCs w:val="24"/>
          <w:u w:val="single"/>
        </w:rPr>
      </w:pPr>
      <w:r w:rsidRPr="00CA26A7">
        <w:rPr>
          <w:rFonts w:ascii="Times New Roman" w:hAnsi="Times New Roman"/>
          <w:sz w:val="24"/>
          <w:szCs w:val="24"/>
          <w:u w:val="single"/>
        </w:rPr>
        <w:t>Ahora la deuda es el problema</w:t>
      </w:r>
    </w:p>
    <w:p w:rsidR="002F07D4" w:rsidRPr="006C622C" w:rsidRDefault="002F07D4" w:rsidP="002F07D4">
      <w:pPr>
        <w:spacing w:line="240" w:lineRule="auto"/>
        <w:jc w:val="both"/>
        <w:rPr>
          <w:rFonts w:ascii="Times New Roman" w:hAnsi="Times New Roman"/>
          <w:sz w:val="24"/>
          <w:szCs w:val="24"/>
        </w:rPr>
      </w:pPr>
      <w:r w:rsidRPr="006C622C">
        <w:rPr>
          <w:rFonts w:ascii="Times New Roman" w:hAnsi="Times New Roman"/>
          <w:sz w:val="24"/>
          <w:szCs w:val="24"/>
        </w:rPr>
        <w:t>Ante esta tesitura, los Estados intervinieron a través de estímulos fiscales y dando soporte de liquidez y apoyo a los bancos. Tanto en EEUU como en Europa el riesgo de quiebra del sistema financiero propició una rápida y desorganizada ayuda a los bancos, mientras que las respuestas en política fiscal y monetaria fueron más coordinadas. En Asia la respuesta fue más tradicional y, prioritariamente, se centró en expandir el crédito y dar estímulos en ciertos sectores.</w:t>
      </w:r>
    </w:p>
    <w:p w:rsidR="002F07D4" w:rsidRPr="006C622C" w:rsidRDefault="002F07D4" w:rsidP="002F07D4">
      <w:pPr>
        <w:spacing w:line="240" w:lineRule="auto"/>
        <w:jc w:val="both"/>
        <w:rPr>
          <w:rFonts w:ascii="Times New Roman" w:hAnsi="Times New Roman"/>
          <w:sz w:val="24"/>
          <w:szCs w:val="24"/>
        </w:rPr>
      </w:pPr>
      <w:r w:rsidRPr="006C622C">
        <w:rPr>
          <w:rFonts w:ascii="Times New Roman" w:hAnsi="Times New Roman"/>
          <w:sz w:val="24"/>
          <w:szCs w:val="24"/>
        </w:rPr>
        <w:t>Este esfuerzo que tuvieron que realizar algunas economías para evitar el colapso de su sistema financiero -nacionalizando incluso entidades bancarias-, y desatascar la congestión de su sector productivo hizo que los niveles de endeudamiento de estos países se incrementaran notablemente y en un breve periodo de tiempo. Todo ello, unido a un crecimiento prácticamente nulo de su PIB, hizo que en los mercados financieros, comenzara a cuajar la idea de que algunos países podrían no ser capaces de hacer frente a su endeudamiento.</w:t>
      </w:r>
    </w:p>
    <w:p w:rsidR="002F07D4" w:rsidRPr="006C622C" w:rsidRDefault="002F07D4" w:rsidP="002F07D4">
      <w:pPr>
        <w:spacing w:line="240" w:lineRule="auto"/>
        <w:jc w:val="both"/>
        <w:rPr>
          <w:rFonts w:ascii="Times New Roman" w:hAnsi="Times New Roman"/>
          <w:sz w:val="24"/>
          <w:szCs w:val="24"/>
        </w:rPr>
      </w:pPr>
      <w:r w:rsidRPr="006C622C">
        <w:rPr>
          <w:rFonts w:ascii="Times New Roman" w:hAnsi="Times New Roman"/>
          <w:sz w:val="24"/>
          <w:szCs w:val="24"/>
        </w:rPr>
        <w:t>Un temor que cobró forma cuando, en octubre de 2009, el nuevo gobierno griego indicó que se había disimulado el verdadero tamaño de su deuda desde hacía casi una década, los problemas se dispararon en los meses posteriores, hasta que en abril de 2010 Atenas pidió el rescate y el 8 de mayo, se concedió una línea de crédito de 110.000 millones de euros para rescatar a Grecia (80.000 por parte de la UE y 30.000 del FMI), quien ahora (noviembre 2011) está pendiente de un segundo rescate. No fue la única, el 22 de noviembre de 2010 le siguió Irlanda, que percibió una ayuda de 67.500 millones de euros; y el 6 de abril del año 2011 Portugal claudicó y se le destinó un fondo de ayuda por valor de 78.000 millones. Ahora España e Italia están en el punto de mira al ubicar su prima de riesgo por encima de los 400 puntos básicos. Un nivel a partir del cual la intervención se realizó</w:t>
      </w:r>
      <w:r>
        <w:rPr>
          <w:rFonts w:ascii="Times New Roman" w:hAnsi="Times New Roman"/>
          <w:sz w:val="24"/>
          <w:szCs w:val="24"/>
        </w:rPr>
        <w:t xml:space="preserve"> en</w:t>
      </w:r>
      <w:r w:rsidRPr="006C622C">
        <w:rPr>
          <w:rFonts w:ascii="Times New Roman" w:hAnsi="Times New Roman"/>
          <w:sz w:val="24"/>
          <w:szCs w:val="24"/>
        </w:rPr>
        <w:t xml:space="preserve"> los anteriores países.</w:t>
      </w:r>
    </w:p>
    <w:p w:rsidR="002F07D4" w:rsidRPr="006C622C" w:rsidRDefault="002F07D4" w:rsidP="002F07D4">
      <w:pPr>
        <w:spacing w:line="240" w:lineRule="auto"/>
        <w:jc w:val="both"/>
        <w:rPr>
          <w:rFonts w:ascii="Times New Roman" w:hAnsi="Times New Roman"/>
          <w:sz w:val="24"/>
          <w:szCs w:val="24"/>
        </w:rPr>
      </w:pPr>
      <w:r w:rsidRPr="006C622C">
        <w:rPr>
          <w:rFonts w:ascii="Times New Roman" w:hAnsi="Times New Roman"/>
          <w:sz w:val="24"/>
          <w:szCs w:val="24"/>
        </w:rPr>
        <w:t xml:space="preserve">También al otro lado del Atlántico, han tenido su particular vía crucis con la deuda. Demócratas y republicanos tras una ardua negociación alcanzaron un acuerdo para elevar el techo de endeudamiento de la economía estadounidense -que se establecía como límite en los 14,29 billones de dólares- , un acuerdo que se alcanzó in extremis el 2 de agosto de 2011 para evitar que la primera potencia económica entrara en quiebra. </w:t>
      </w:r>
    </w:p>
    <w:p w:rsidR="002F07D4" w:rsidRDefault="002F07D4" w:rsidP="002F07D4">
      <w:pPr>
        <w:spacing w:line="240" w:lineRule="auto"/>
        <w:jc w:val="both"/>
        <w:rPr>
          <w:rFonts w:ascii="Times New Roman" w:hAnsi="Times New Roman"/>
          <w:sz w:val="24"/>
          <w:szCs w:val="24"/>
        </w:rPr>
      </w:pPr>
      <w:r w:rsidRPr="006C622C">
        <w:rPr>
          <w:rFonts w:ascii="Times New Roman" w:hAnsi="Times New Roman"/>
          <w:sz w:val="24"/>
          <w:szCs w:val="24"/>
        </w:rPr>
        <w:t>Bajo los términos de lo pactado, la autorización de endeudamiento subió de inmediato en 900.000 millones de dólares, y se añadirán otr</w:t>
      </w:r>
      <w:r>
        <w:rPr>
          <w:rFonts w:ascii="Times New Roman" w:hAnsi="Times New Roman"/>
          <w:sz w:val="24"/>
          <w:szCs w:val="24"/>
        </w:rPr>
        <w:t xml:space="preserve">os 1.5 billones para el </w:t>
      </w:r>
      <w:r w:rsidRPr="006C622C">
        <w:rPr>
          <w:rFonts w:ascii="Times New Roman" w:hAnsi="Times New Roman"/>
          <w:sz w:val="24"/>
          <w:szCs w:val="24"/>
        </w:rPr>
        <w:t>año</w:t>
      </w:r>
      <w:r>
        <w:rPr>
          <w:rFonts w:ascii="Times New Roman" w:hAnsi="Times New Roman"/>
          <w:sz w:val="24"/>
          <w:szCs w:val="24"/>
        </w:rPr>
        <w:t xml:space="preserve"> 2012</w:t>
      </w:r>
      <w:r w:rsidRPr="006C622C">
        <w:rPr>
          <w:rFonts w:ascii="Times New Roman" w:hAnsi="Times New Roman"/>
          <w:sz w:val="24"/>
          <w:szCs w:val="24"/>
        </w:rPr>
        <w:t xml:space="preserve">. A cambio se aplicarán de inmediato recortes de casi un billón de dólares, mientras un comité bipartidista tiene de plazo hasta fin del año 2011 para buscar una reducción del déficit federal en otros... </w:t>
      </w:r>
      <w:r>
        <w:rPr>
          <w:rFonts w:ascii="Times New Roman" w:hAnsi="Times New Roman"/>
          <w:sz w:val="24"/>
          <w:szCs w:val="24"/>
        </w:rPr>
        <w:t>2 billones de dólares (hasta el 22/11/11, no lo han logrado).</w:t>
      </w: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u w:val="single"/>
        </w:rPr>
      </w:pPr>
      <w:r w:rsidRPr="00CA26A7">
        <w:rPr>
          <w:rFonts w:ascii="Times New Roman" w:hAnsi="Times New Roman"/>
          <w:sz w:val="24"/>
          <w:szCs w:val="24"/>
          <w:u w:val="single"/>
        </w:rPr>
        <w:t>Pero los “fallos” de la economía venían de antes</w:t>
      </w:r>
    </w:p>
    <w:p w:rsidR="002F07D4" w:rsidRPr="00C91CCB" w:rsidRDefault="002F07D4" w:rsidP="002F07D4">
      <w:pPr>
        <w:spacing w:line="240" w:lineRule="auto"/>
        <w:jc w:val="both"/>
        <w:rPr>
          <w:rFonts w:ascii="Times New Roman" w:hAnsi="Times New Roman"/>
          <w:sz w:val="24"/>
          <w:szCs w:val="24"/>
        </w:rPr>
      </w:pPr>
      <w:r w:rsidRPr="00C91CCB">
        <w:rPr>
          <w:rFonts w:ascii="Times New Roman" w:hAnsi="Times New Roman"/>
          <w:sz w:val="24"/>
          <w:szCs w:val="24"/>
        </w:rPr>
        <w:lastRenderedPageBreak/>
        <w:t>El factor evidente que precipitó la crisis fue la imprudencia imperdonable del sector financiero, sumada a la insensatez de una desregulación que le dio rienda suelta. La herencia que nos dejó (capacidad excedente en el sector inmobiliario y hogares demasiado endeudados) dificulta todavía más la recuperación.</w:t>
      </w:r>
    </w:p>
    <w:p w:rsidR="002F07D4" w:rsidRPr="00C91CCB" w:rsidRDefault="002F07D4" w:rsidP="002F07D4">
      <w:pPr>
        <w:spacing w:line="240" w:lineRule="auto"/>
        <w:jc w:val="both"/>
        <w:rPr>
          <w:rFonts w:ascii="Times New Roman" w:hAnsi="Times New Roman"/>
          <w:sz w:val="24"/>
          <w:szCs w:val="24"/>
        </w:rPr>
      </w:pPr>
      <w:r w:rsidRPr="00C91CCB">
        <w:rPr>
          <w:rFonts w:ascii="Times New Roman" w:hAnsi="Times New Roman"/>
          <w:sz w:val="24"/>
          <w:szCs w:val="24"/>
        </w:rPr>
        <w:t>Pero la economía se encontraba muy mal ya antes de la crisis, y la burbuja inmobiliaria no hizo más que ocultar sus debilidades. Si no hubiera estado la burbuja para estimular el consumo, se habría producido una enorme escasez de demanda agregada. Lo que ocurrió en cambio fue que la tasa de ahorro personal se redujo a apenas el 1%, mientras el 80% de los estadounidenses menos pudientes gastaban cada año aproximadamente el 110% de sus ingresos. Incluso si el sector financiero se recuperara completamente y estos estadounidenses pródigos no hubieran aprendido nada sobre la importancia del ahorro, su consumo no superaría el 100% de sus ingresos.</w:t>
      </w:r>
    </w:p>
    <w:p w:rsidR="002F07D4" w:rsidRPr="00C91CCB" w:rsidRDefault="002F07D4" w:rsidP="002F07D4">
      <w:pPr>
        <w:spacing w:line="240" w:lineRule="auto"/>
        <w:jc w:val="both"/>
        <w:rPr>
          <w:rFonts w:ascii="Times New Roman" w:hAnsi="Times New Roman"/>
          <w:sz w:val="24"/>
          <w:szCs w:val="24"/>
        </w:rPr>
      </w:pPr>
      <w:r w:rsidRPr="00C91CCB">
        <w:rPr>
          <w:rFonts w:ascii="Times New Roman" w:hAnsi="Times New Roman"/>
          <w:sz w:val="24"/>
          <w:szCs w:val="24"/>
        </w:rPr>
        <w:t>En alguna medida Estados Unidos y el mundo fueron víctimas de su propio éxito. El acelerado aumento de la productividad en el sector industrial superó el crecimiento de la demanda, lo que supuso una reducción del nivel de empleo en ese sector. Esto implicaba un desplazamiento de mano de obra al sector de servicios.</w:t>
      </w:r>
    </w:p>
    <w:p w:rsidR="002F07D4" w:rsidRPr="00C91CCB" w:rsidRDefault="002F07D4" w:rsidP="002F07D4">
      <w:pPr>
        <w:spacing w:line="240" w:lineRule="auto"/>
        <w:jc w:val="both"/>
        <w:rPr>
          <w:rFonts w:ascii="Times New Roman" w:hAnsi="Times New Roman"/>
          <w:sz w:val="24"/>
          <w:szCs w:val="24"/>
        </w:rPr>
      </w:pPr>
      <w:r w:rsidRPr="00C91CCB">
        <w:rPr>
          <w:rFonts w:ascii="Times New Roman" w:hAnsi="Times New Roman"/>
          <w:sz w:val="24"/>
          <w:szCs w:val="24"/>
        </w:rPr>
        <w:t>La necesidad que tienen los Estados Unidos y Europa de retirar mano de obra del sector industrial se agrava por el cambio de las ventajas comparativas: además de que hay un límite global para la cantidad de empleos fabriles, una proporción mayor de esos puestos de trabajo se irá a otros países.</w:t>
      </w:r>
    </w:p>
    <w:p w:rsidR="002F07D4" w:rsidRPr="00C91CCB" w:rsidRDefault="002F07D4" w:rsidP="002F07D4">
      <w:pPr>
        <w:spacing w:line="240" w:lineRule="auto"/>
        <w:jc w:val="both"/>
        <w:rPr>
          <w:rFonts w:ascii="Times New Roman" w:hAnsi="Times New Roman"/>
          <w:sz w:val="24"/>
          <w:szCs w:val="24"/>
        </w:rPr>
      </w:pPr>
      <w:r w:rsidRPr="00C91CCB">
        <w:rPr>
          <w:rFonts w:ascii="Times New Roman" w:hAnsi="Times New Roman"/>
          <w:sz w:val="24"/>
          <w:szCs w:val="24"/>
        </w:rPr>
        <w:t>Mientras tanto, la globalización fue uno de los factores (aunque no el único) que contribuyeron a que surgiera el siguiente problema clave: el aumento de la desigualdad. Como una parte de los ingresos se trasladó de personas que los gastan a personas que no los gastan, la demanda agregada se redujo. Asimismo, el enorme encarecimiento de la energía derivó poder adquisitivo de los Estados Unidos y Europa a los países productores de petróleo, que al darse cuenta de la volatilidad de sus precios, eligieron acertadamente ahorrar gran parte de esta renta.</w:t>
      </w:r>
    </w:p>
    <w:p w:rsidR="002F07D4" w:rsidRPr="00C91CCB" w:rsidRDefault="002F07D4" w:rsidP="002F07D4">
      <w:pPr>
        <w:pStyle w:val="NormalWeb"/>
        <w:jc w:val="both"/>
      </w:pPr>
      <w:r w:rsidRPr="00C91CCB">
        <w:t>Las protestas durante el año 2011 por todo el mundo han expresado la preocupación de la clase media y trabajadora ante su futuro económico, el aumento de la desigualdad de los salarios y la riqueza, y la concentración de poder por la élite.</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 xml:space="preserve">El argumento de que el 99% de la población se hunde, mientras que el 1% prospera, tal vez simplifique una realidad compleja, pero suena certero; el capitalismo no regulado y la globalización no han beneficiado a todos, y entre sus consecuencias adversas se incluyen las pérdidas masivas de empleo, </w:t>
      </w:r>
      <w:r w:rsidRPr="00C91CCB">
        <w:rPr>
          <w:rFonts w:ascii="Times New Roman" w:eastAsia="Times New Roman" w:hAnsi="Times New Roman"/>
          <w:bCs/>
          <w:sz w:val="24"/>
          <w:szCs w:val="24"/>
          <w:lang w:eastAsia="es-ES"/>
        </w:rPr>
        <w:t>un crecimiento salarial mediocre y un aumento de las desigualdades.</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La desigualdad alimenta la inestabilidad sociopolítica y reduce el crecimiento económico</w:t>
      </w:r>
      <w:r w:rsidRPr="00C91CCB">
        <w:rPr>
          <w:rFonts w:ascii="Times New Roman" w:eastAsia="Times New Roman" w:hAnsi="Times New Roman"/>
          <w:bCs/>
          <w:sz w:val="24"/>
          <w:szCs w:val="24"/>
          <w:lang w:eastAsia="es-ES"/>
        </w:rPr>
        <w:t xml:space="preserve">. También conlleva la ausencia de demanda agregada que debilita el crecimiento </w:t>
      </w:r>
      <w:r w:rsidRPr="00C91CCB">
        <w:rPr>
          <w:rFonts w:ascii="Times New Roman" w:eastAsia="Times New Roman" w:hAnsi="Times New Roman"/>
          <w:sz w:val="24"/>
          <w:szCs w:val="24"/>
          <w:lang w:eastAsia="es-ES"/>
        </w:rPr>
        <w:t>porque redistribuye las rentas de los actores con mayor propensión marginal a gastar a los actores con mayor propensión a ahorrar.</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 xml:space="preserve">Los levantamientos y las revueltas árabes, los últimos disturbios en Inglaterra y las protestas anteriores en ese mismo país contra los recortes de pensiones y la subida de las tasas académicas, las protestas de la clase media israelí contra el alto precio de la vivienda y la presión de una inflación alta, la preocupación de los estudiantes chilenos </w:t>
      </w:r>
      <w:r w:rsidRPr="00C91CCB">
        <w:rPr>
          <w:rFonts w:ascii="Times New Roman" w:eastAsia="Times New Roman" w:hAnsi="Times New Roman"/>
          <w:sz w:val="24"/>
          <w:szCs w:val="24"/>
          <w:lang w:eastAsia="es-ES"/>
        </w:rPr>
        <w:lastRenderedPageBreak/>
        <w:t xml:space="preserve">sobre la educación y el empleo, el vandalismo de coches caros de los peces gordos alemanes, las manifestaciones griegas contra la austeridad fiscal. </w:t>
      </w:r>
      <w:r w:rsidRPr="00C91CCB">
        <w:rPr>
          <w:rFonts w:ascii="Times New Roman" w:eastAsia="Times New Roman" w:hAnsi="Times New Roman"/>
          <w:bCs/>
          <w:sz w:val="24"/>
          <w:szCs w:val="24"/>
          <w:lang w:eastAsia="es-ES"/>
        </w:rPr>
        <w:t xml:space="preserve">Aunque no todas compartan un mismo lema, expresan (de formas diferentes) la preocupación de la clase media y trabajadora </w:t>
      </w:r>
      <w:r w:rsidRPr="00C91CCB">
        <w:rPr>
          <w:rFonts w:ascii="Times New Roman" w:eastAsia="Times New Roman" w:hAnsi="Times New Roman"/>
          <w:sz w:val="24"/>
          <w:szCs w:val="24"/>
          <w:lang w:eastAsia="es-ES"/>
        </w:rPr>
        <w:t>sobre su futuro económico, los problemas de acceso a las oportunidades económicas y la concentración de poder por las élites económicas, financieras y políticas.</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val="en-GB" w:eastAsia="en-GB"/>
        </w:rPr>
        <w:drawing>
          <wp:inline distT="0" distB="0" distL="0" distR="0">
            <wp:extent cx="5588000" cy="4806950"/>
            <wp:effectExtent l="0" t="0" r="0" b="0"/>
            <wp:docPr id="343" name="Imagen 343" descr="diferencias-crecientes-620x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iferencias-crecientes-620x505"/>
                    <pic:cNvPicPr>
                      <a:picLocks noChangeAspect="1" noChangeArrowheads="1"/>
                    </pic:cNvPicPr>
                  </pic:nvPicPr>
                  <pic:blipFill>
                    <a:blip r:embed="rId2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88000" cy="4806950"/>
                    </a:xfrm>
                    <a:prstGeom prst="rect">
                      <a:avLst/>
                    </a:prstGeom>
                    <a:noFill/>
                    <a:ln>
                      <a:noFill/>
                    </a:ln>
                  </pic:spPr>
                </pic:pic>
              </a:graphicData>
            </a:graphic>
          </wp:inline>
        </w:drawing>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 xml:space="preserve">Diversos efectos de la globalización económica y financiera, así como una fiscalización menos progresiva. La incorporación de 2.500 millones de </w:t>
      </w:r>
      <w:r w:rsidRPr="00C91CCB">
        <w:rPr>
          <w:rFonts w:ascii="Times New Roman" w:eastAsia="Times New Roman" w:hAnsi="Times New Roman"/>
          <w:iCs/>
          <w:sz w:val="24"/>
          <w:szCs w:val="24"/>
          <w:lang w:eastAsia="es-ES"/>
        </w:rPr>
        <w:t>chinos e hindúes</w:t>
      </w:r>
      <w:r w:rsidRPr="00C91CCB">
        <w:rPr>
          <w:rFonts w:ascii="Times New Roman" w:eastAsia="Times New Roman" w:hAnsi="Times New Roman"/>
          <w:sz w:val="24"/>
          <w:szCs w:val="24"/>
          <w:lang w:eastAsia="es-ES"/>
        </w:rPr>
        <w:t xml:space="preserve">a la mano de obra internacional,  reduce los puestos de trabajo y los salarios de los obreros y oficinas externalizables de las economías avanzadas. El cambio tecnológico, hace que los puestos de trabajo estén orientados a unas habilidades y a una formación, específicas. </w:t>
      </w:r>
      <w:r w:rsidRPr="00C91CCB">
        <w:rPr>
          <w:rFonts w:ascii="Times New Roman" w:eastAsia="Times New Roman" w:hAnsi="Times New Roman"/>
          <w:bCs/>
          <w:sz w:val="24"/>
          <w:szCs w:val="24"/>
          <w:lang w:eastAsia="es-ES"/>
        </w:rPr>
        <w:t>Elaumento de la desigualdad</w:t>
      </w:r>
      <w:r w:rsidRPr="00C91CCB">
        <w:rPr>
          <w:rFonts w:ascii="Times New Roman" w:eastAsia="Times New Roman" w:hAnsi="Times New Roman"/>
          <w:sz w:val="24"/>
          <w:szCs w:val="24"/>
          <w:lang w:eastAsia="es-ES"/>
        </w:rPr>
        <w:t xml:space="preserve"> en economías anteriormente de rentas bajas pero en rápido crecimiento. </w:t>
      </w:r>
      <w:r w:rsidRPr="00C91CCB">
        <w:rPr>
          <w:rFonts w:ascii="Times New Roman" w:eastAsia="Times New Roman" w:hAnsi="Times New Roman"/>
          <w:bCs/>
          <w:sz w:val="24"/>
          <w:szCs w:val="24"/>
          <w:lang w:eastAsia="es-ES"/>
        </w:rPr>
        <w:t>El crecimiento de los oligopolios</w:t>
      </w:r>
      <w:r w:rsidRPr="00C91CCB">
        <w:rPr>
          <w:rFonts w:ascii="Times New Roman" w:eastAsia="Times New Roman" w:hAnsi="Times New Roman"/>
          <w:sz w:val="24"/>
          <w:szCs w:val="24"/>
          <w:lang w:eastAsia="es-ES"/>
        </w:rPr>
        <w:t xml:space="preserve"> menos competitivos y que aumentan los márgenes. </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bCs/>
          <w:sz w:val="24"/>
          <w:szCs w:val="24"/>
          <w:lang w:eastAsia="es-ES"/>
        </w:rPr>
        <w:t>En EEUU, en 2010 la desigualdad salarial recuperó valores de 1928</w:t>
      </w:r>
      <w:r w:rsidRPr="00C91CCB">
        <w:rPr>
          <w:rFonts w:ascii="Times New Roman" w:eastAsia="Times New Roman" w:hAnsi="Times New Roman"/>
          <w:sz w:val="24"/>
          <w:szCs w:val="24"/>
          <w:lang w:eastAsia="es-ES"/>
        </w:rPr>
        <w:t xml:space="preserve"> (ver gráfico). El año pasado, la proporción de los ingresos del 1% superior (es decir, de la parte de la población más rica) fue del 23% tras un aumento del 10% en dos décadas. El 5% superior controla el 75% de la riqueza. El coeficiente de Gini (que mide la desigualdad) </w:t>
      </w:r>
      <w:r w:rsidRPr="00C91CCB">
        <w:rPr>
          <w:rFonts w:ascii="Times New Roman" w:eastAsia="Times New Roman" w:hAnsi="Times New Roman"/>
          <w:bCs/>
          <w:sz w:val="24"/>
          <w:szCs w:val="24"/>
          <w:lang w:eastAsia="es-ES"/>
        </w:rPr>
        <w:t xml:space="preserve">indica un aumento brusco de la misma. </w:t>
      </w:r>
      <w:r w:rsidRPr="00C91CCB">
        <w:rPr>
          <w:rFonts w:ascii="Times New Roman" w:eastAsia="Times New Roman" w:hAnsi="Times New Roman"/>
          <w:sz w:val="24"/>
          <w:szCs w:val="24"/>
          <w:lang w:eastAsia="es-ES"/>
        </w:rPr>
        <w:t xml:space="preserve">La media de ingresos de los hogares </w:t>
      </w:r>
      <w:r w:rsidRPr="00C91CCB">
        <w:rPr>
          <w:rFonts w:ascii="Times New Roman" w:eastAsia="Times New Roman" w:hAnsi="Times New Roman"/>
          <w:sz w:val="24"/>
          <w:szCs w:val="24"/>
          <w:lang w:eastAsia="es-ES"/>
        </w:rPr>
        <w:lastRenderedPageBreak/>
        <w:t>estadounidenses ha vuelto a niveles de 1999. Las clases trabajadoras se encuentran muy oprimidas en términos de salarios y riqueza.</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val="en-GB" w:eastAsia="en-GB"/>
        </w:rPr>
        <w:drawing>
          <wp:inline distT="0" distB="0" distL="0" distR="0">
            <wp:extent cx="5314950" cy="3429000"/>
            <wp:effectExtent l="0" t="0" r="0" b="0"/>
            <wp:docPr id="342" name="Imagen 342" descr="ingresos-paises-620x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ngresos-paises-620x458"/>
                    <pic:cNvPicPr>
                      <a:picLocks noChangeAspect="1" noChangeArrowheads="1"/>
                    </pic:cNvPicPr>
                  </pic:nvPicPr>
                  <pic:blipFill>
                    <a:blip r:embed="rId2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4950" cy="3429000"/>
                    </a:xfrm>
                    <a:prstGeom prst="rect">
                      <a:avLst/>
                    </a:prstGeom>
                    <a:noFill/>
                    <a:ln>
                      <a:noFill/>
                    </a:ln>
                  </pic:spPr>
                </pic:pic>
              </a:graphicData>
            </a:graphic>
          </wp:inline>
        </w:drawing>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El aumento de las desigualdades y el consiguiente débil crecimiento de los salarios de las clases medias y trabajadoras obedecen a muchas y complejas causas. También es problemático por muchos motivos,</w:t>
      </w:r>
      <w:r w:rsidRPr="00C91CCB">
        <w:rPr>
          <w:rFonts w:ascii="Times New Roman" w:eastAsia="Times New Roman" w:hAnsi="Times New Roman"/>
          <w:bCs/>
          <w:sz w:val="24"/>
          <w:szCs w:val="24"/>
          <w:lang w:eastAsia="es-ES"/>
        </w:rPr>
        <w:t xml:space="preserve"> incluso sin tener en cuenta la cuestión de la justicia de la desigualdad.</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 xml:space="preserve">En primer lugar, el aumento del apalancamiento público y privado, y las correspondientes burbujas de crédito y activos, son en parte consecuencia de la desigualdad. El mediocre crecimiento de los sueldos de las últimas décadas ha creado un vacío entre los salarios y las aspiraciones de gastos. En los países anglosajones (no sólo Estados Unidos y el Reino Unido, sino también en otros que han seguido ese modelo en los últimos años, como Islandia, Irlanda, España o Australia), </w:t>
      </w:r>
      <w:r w:rsidRPr="00C91CCB">
        <w:rPr>
          <w:rFonts w:ascii="Times New Roman" w:eastAsia="Times New Roman" w:hAnsi="Times New Roman"/>
          <w:bCs/>
          <w:sz w:val="24"/>
          <w:szCs w:val="24"/>
          <w:lang w:eastAsia="es-ES"/>
        </w:rPr>
        <w:t>la respuesta ha sido una democratización del crédito</w:t>
      </w:r>
      <w:r w:rsidRPr="00C91CCB">
        <w:rPr>
          <w:rFonts w:ascii="Times New Roman" w:eastAsia="Times New Roman" w:hAnsi="Times New Roman"/>
          <w:sz w:val="24"/>
          <w:szCs w:val="24"/>
          <w:lang w:eastAsia="es-ES"/>
        </w:rPr>
        <w:t xml:space="preserve"> (mediante la liberalización financiera) que ha permitido a los hogares en apuros pedir prestado para compensar la diferencia entre gastos e ingresos, y ha conducido a un aumento de la deuda privada. </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 xml:space="preserve">En las economías del Estado del bienestar social de la Europa continental, ese vacío se ha ido llenando mediante el suministro de servicios públicos (educación gratuita, sanidad, etcétera), aunque no se cubren íntegramente con los impuestos y, por lo tanto, </w:t>
      </w:r>
      <w:r w:rsidRPr="00C91CCB">
        <w:rPr>
          <w:rFonts w:ascii="Times New Roman" w:eastAsia="Times New Roman" w:hAnsi="Times New Roman"/>
          <w:bCs/>
          <w:sz w:val="24"/>
          <w:szCs w:val="24"/>
          <w:lang w:eastAsia="es-ES"/>
        </w:rPr>
        <w:t>provocan un aumento del déficit público y de la deuda.</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En ambos casos, la creciente deuda pública y privada se acabó volviendo insostenible y condujo a una crisis financiera. Cuando la burbuja de la deuda privada estalló con el hundimiento del precio de los activos, los déficits públicos y las deudas subieron incluso en las economías anglosajonas porque se socializaron las pérdidas privadas, irrumpieron los estabilizadores automáticos y se implantaron políticas fiscales contra-cíclicas para</w:t>
      </w:r>
      <w:r w:rsidRPr="00C91CCB">
        <w:rPr>
          <w:rFonts w:ascii="Times New Roman" w:eastAsia="Times New Roman" w:hAnsi="Times New Roman"/>
          <w:bCs/>
          <w:sz w:val="24"/>
          <w:szCs w:val="24"/>
          <w:lang w:eastAsia="es-ES"/>
        </w:rPr>
        <w:t xml:space="preserve"> evitar que la Gran Recesión de 2007/ 2009 se convirtiera en la Gran Depresión 2.0.</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lastRenderedPageBreak/>
        <w:t xml:space="preserve">En segundo lugar, las empresas de las economías avanzadas están recortando las plantillas porque </w:t>
      </w:r>
      <w:r w:rsidRPr="00C91CCB">
        <w:rPr>
          <w:rFonts w:ascii="Times New Roman" w:eastAsia="Times New Roman" w:hAnsi="Times New Roman"/>
          <w:bCs/>
          <w:sz w:val="24"/>
          <w:szCs w:val="24"/>
          <w:lang w:eastAsia="es-ES"/>
        </w:rPr>
        <w:t>aseguran que existe incertidumbre, exceso de capacidades e insuficiente demanda final.</w:t>
      </w:r>
      <w:r w:rsidRPr="00C91CCB">
        <w:rPr>
          <w:rFonts w:ascii="Times New Roman" w:eastAsia="Times New Roman" w:hAnsi="Times New Roman"/>
          <w:sz w:val="24"/>
          <w:szCs w:val="24"/>
          <w:lang w:eastAsia="es-ES"/>
        </w:rPr>
        <w:t xml:space="preserve"> Pero suprimir puestos de trabajo reduce las rentas del trabajo, incrementa las desigualdades y limita la demanda final. Es decir, que lo que es racional individualmente (las empresas necesitan sobrevivir y prosperar) es destructivo en el agregado macro porque los costes laborales de una empresa son las rentas individuales del trabajo y la demanda.</w:t>
      </w:r>
    </w:p>
    <w:p w:rsidR="002F07D4" w:rsidRPr="00A44FA8" w:rsidRDefault="002F07D4" w:rsidP="002F07D4">
      <w:pPr>
        <w:spacing w:before="100" w:beforeAutospacing="1" w:after="100" w:afterAutospacing="1" w:line="240" w:lineRule="auto"/>
        <w:jc w:val="both"/>
        <w:outlineLvl w:val="1"/>
        <w:rPr>
          <w:rFonts w:ascii="Times New Roman" w:eastAsia="Times New Roman" w:hAnsi="Times New Roman"/>
          <w:b/>
          <w:bCs/>
          <w:sz w:val="24"/>
          <w:szCs w:val="24"/>
          <w:lang w:eastAsia="es-ES"/>
        </w:rPr>
      </w:pPr>
      <w:r w:rsidRPr="00A44FA8">
        <w:rPr>
          <w:rFonts w:ascii="Times New Roman" w:eastAsia="Times New Roman" w:hAnsi="Times New Roman"/>
          <w:b/>
          <w:bCs/>
          <w:sz w:val="24"/>
          <w:szCs w:val="24"/>
          <w:lang w:eastAsia="es-ES"/>
        </w:rPr>
        <w:t>Algunas propuestas de los “grandes bonetes” (les enfants terribles de la economía)</w:t>
      </w:r>
    </w:p>
    <w:p w:rsidR="002F07D4" w:rsidRPr="00C91CCB" w:rsidRDefault="002F07D4" w:rsidP="002F07D4">
      <w:pPr>
        <w:spacing w:line="240" w:lineRule="auto"/>
        <w:jc w:val="both"/>
        <w:rPr>
          <w:rFonts w:ascii="Times New Roman" w:hAnsi="Times New Roman"/>
          <w:sz w:val="24"/>
          <w:szCs w:val="24"/>
        </w:rPr>
      </w:pPr>
      <w:r w:rsidRPr="00C91CCB">
        <w:rPr>
          <w:rFonts w:ascii="Times New Roman" w:hAnsi="Times New Roman"/>
          <w:sz w:val="24"/>
          <w:szCs w:val="24"/>
        </w:rPr>
        <w:t>Joseph E. Stiglitz: “La receta para el mal que aqueja a la economía global se deduce inmediatamente a partir del diagnóstico: hacen falta sólidos programas de gasto público que apunten a facilitar la reestructuración, promover el ahorro energético y reducir la desigualdad; y junto con esto, una reforma del sistema financiero internacional que cree alternativas a la acumulación de reservas.</w:t>
      </w:r>
    </w:p>
    <w:p w:rsidR="002F07D4" w:rsidRPr="00C91CCB" w:rsidRDefault="002F07D4" w:rsidP="002F07D4">
      <w:pPr>
        <w:spacing w:line="240" w:lineRule="auto"/>
        <w:jc w:val="both"/>
        <w:rPr>
          <w:rFonts w:ascii="Times New Roman" w:hAnsi="Times New Roman"/>
          <w:sz w:val="24"/>
          <w:szCs w:val="24"/>
        </w:rPr>
      </w:pPr>
      <w:r w:rsidRPr="00C91CCB">
        <w:rPr>
          <w:rFonts w:ascii="Times New Roman" w:hAnsi="Times New Roman"/>
          <w:sz w:val="24"/>
          <w:szCs w:val="24"/>
        </w:rPr>
        <w:t xml:space="preserve">Tarde o temprano, los líderes mundiales (y los votantes que los eligen) se darán cuenta de que es así, ya que conforme las perspectivas de crecimiento sigan empeorando, no les quedará otra alternativa. ¿Pero cuánto sufrimiento deberemos soportar hasta que eso ocurra?”.  </w:t>
      </w:r>
      <w:r w:rsidRPr="00C91CCB">
        <w:rPr>
          <w:rFonts w:ascii="Times New Roman" w:hAnsi="Times New Roman"/>
          <w:sz w:val="24"/>
          <w:szCs w:val="24"/>
          <w:u w:val="single"/>
        </w:rPr>
        <w:t>La cura para la economía</w:t>
      </w:r>
      <w:r w:rsidRPr="00C91CCB">
        <w:rPr>
          <w:rFonts w:ascii="Times New Roman" w:hAnsi="Times New Roman"/>
          <w:sz w:val="24"/>
          <w:szCs w:val="24"/>
        </w:rPr>
        <w:t xml:space="preserve"> (Project Syndicate - </w:t>
      </w:r>
      <w:r w:rsidRPr="00C91CCB">
        <w:rPr>
          <w:rFonts w:ascii="Times New Roman" w:hAnsi="Times New Roman"/>
          <w:b/>
          <w:sz w:val="24"/>
          <w:szCs w:val="24"/>
        </w:rPr>
        <w:t>3/10/11</w:t>
      </w:r>
      <w:r w:rsidRPr="00C91CCB">
        <w:rPr>
          <w:rFonts w:ascii="Times New Roman" w:hAnsi="Times New Roman"/>
          <w:sz w:val="24"/>
          <w:szCs w:val="24"/>
        </w:rPr>
        <w:t>)</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hAnsi="Times New Roman"/>
          <w:sz w:val="24"/>
          <w:szCs w:val="24"/>
        </w:rPr>
        <w:t>Nouriel Roubini:</w:t>
      </w:r>
      <w:r w:rsidRPr="00C91CCB">
        <w:rPr>
          <w:rFonts w:ascii="Times New Roman" w:eastAsia="Times New Roman" w:hAnsi="Times New Roman"/>
          <w:sz w:val="24"/>
          <w:szCs w:val="24"/>
          <w:lang w:eastAsia="es-ES"/>
        </w:rPr>
        <w:t xml:space="preserve"> “Para que las economías de mercado puedan operar de una forma más estable y equilibrada</w:t>
      </w:r>
      <w:r w:rsidRPr="00C91CCB">
        <w:rPr>
          <w:rFonts w:ascii="Times New Roman" w:eastAsia="Times New Roman" w:hAnsi="Times New Roman"/>
          <w:bCs/>
          <w:sz w:val="24"/>
          <w:szCs w:val="24"/>
          <w:lang w:eastAsia="es-ES"/>
        </w:rPr>
        <w:t xml:space="preserve"> debemos recuperar el equilibrio correcto entre los mercados y el suministro de servicios públicos.</w:t>
      </w:r>
      <w:r w:rsidRPr="00C91CCB">
        <w:rPr>
          <w:rFonts w:ascii="Times New Roman" w:eastAsia="Times New Roman" w:hAnsi="Times New Roman"/>
          <w:sz w:val="24"/>
          <w:szCs w:val="24"/>
          <w:lang w:eastAsia="es-ES"/>
        </w:rPr>
        <w:t xml:space="preserve"> Y eso implica alejarse tanto del modelo anglosajón del capitalismo desregulado del </w:t>
      </w:r>
      <w:r w:rsidRPr="00C91CCB">
        <w:rPr>
          <w:rFonts w:ascii="Times New Roman" w:eastAsia="Times New Roman" w:hAnsi="Times New Roman"/>
          <w:iCs/>
          <w:sz w:val="24"/>
          <w:szCs w:val="24"/>
          <w:lang w:eastAsia="es-ES"/>
        </w:rPr>
        <w:t>laissez</w:t>
      </w:r>
      <w:r w:rsidRPr="00C91CCB">
        <w:rPr>
          <w:rFonts w:ascii="Times New Roman" w:eastAsia="Times New Roman" w:hAnsi="Times New Roman"/>
          <w:sz w:val="24"/>
          <w:szCs w:val="24"/>
          <w:lang w:eastAsia="es-ES"/>
        </w:rPr>
        <w:t>-</w:t>
      </w:r>
      <w:r w:rsidRPr="00C91CCB">
        <w:rPr>
          <w:rFonts w:ascii="Times New Roman" w:eastAsia="Times New Roman" w:hAnsi="Times New Roman"/>
          <w:iCs/>
          <w:sz w:val="24"/>
          <w:szCs w:val="24"/>
          <w:lang w:eastAsia="es-ES"/>
        </w:rPr>
        <w:t>faire</w:t>
      </w:r>
      <w:r w:rsidRPr="00C91CCB">
        <w:rPr>
          <w:rFonts w:ascii="Times New Roman" w:eastAsia="Times New Roman" w:hAnsi="Times New Roman"/>
          <w:sz w:val="24"/>
          <w:szCs w:val="24"/>
          <w:lang w:eastAsia="es-ES"/>
        </w:rPr>
        <w:t xml:space="preserve">y la economía vudú, como del modelo continental europeo del estado de bienestar deficitario. </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 xml:space="preserve">Ni siquiera el modelo alternativo del crecimiento asiático (si es que existe) ha evitado el aumento de las desigualdades en China, la India y muchos otros lugares del continente. Las economías emergentes (desde Asia a Latinoamérica) necesitan desarrollar más algunas de las instituciones fundamentales del estado moderno del bienestar social para evitar la </w:t>
      </w:r>
      <w:r w:rsidRPr="00C91CCB">
        <w:rPr>
          <w:rFonts w:ascii="Times New Roman" w:eastAsia="Times New Roman" w:hAnsi="Times New Roman"/>
          <w:bCs/>
          <w:sz w:val="24"/>
          <w:szCs w:val="24"/>
          <w:lang w:eastAsia="es-ES"/>
        </w:rPr>
        <w:t>inestabilidad sociopolítica y promover el crecimiento de una economía de consumo.</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Cualquier modelo económico que no aborde debidamente las desigualdades suministrando servicios públicos y oportunidades económicas a todos está abocado a enfrentarse a una crisis de legitimidad. Muchos estudios de investigación académica, incluido uno reciente del Fondo Monetario Internacional (FMI),</w:t>
      </w:r>
      <w:r w:rsidRPr="00C91CCB">
        <w:rPr>
          <w:rFonts w:ascii="Times New Roman" w:eastAsia="Times New Roman" w:hAnsi="Times New Roman"/>
          <w:bCs/>
          <w:sz w:val="24"/>
          <w:szCs w:val="24"/>
          <w:lang w:eastAsia="es-ES"/>
        </w:rPr>
        <w:t xml:space="preserve"> demuestran que el ensanchamiento de la desigualdad conduce a un menor crecimiento económico. </w:t>
      </w:r>
    </w:p>
    <w:p w:rsidR="002F07D4" w:rsidRPr="00C91CCB"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1CCB">
        <w:rPr>
          <w:rFonts w:ascii="Times New Roman" w:eastAsia="Times New Roman" w:hAnsi="Times New Roman"/>
          <w:sz w:val="24"/>
          <w:szCs w:val="24"/>
          <w:lang w:eastAsia="es-ES"/>
        </w:rPr>
        <w:t>Incluso dejando de lado la cuestión de la justicia, la desigualdad también es negativa siguiendo el criter</w:t>
      </w:r>
      <w:r>
        <w:rPr>
          <w:rFonts w:ascii="Times New Roman" w:eastAsia="Times New Roman" w:hAnsi="Times New Roman"/>
          <w:sz w:val="24"/>
          <w:szCs w:val="24"/>
          <w:lang w:eastAsia="es-ES"/>
        </w:rPr>
        <w:t>io tradicional económico de la “eficiencia”</w:t>
      </w:r>
      <w:r w:rsidRPr="00C91CCB">
        <w:rPr>
          <w:rFonts w:ascii="Times New Roman" w:eastAsia="Times New Roman" w:hAnsi="Times New Roman"/>
          <w:sz w:val="24"/>
          <w:szCs w:val="24"/>
          <w:lang w:eastAsia="es-ES"/>
        </w:rPr>
        <w:t xml:space="preserve">. Y la frecuencia, gravedad y consecuencias recientes de las crisis económicas y financieras, en parte provocadas por el aumento de la desigualdad y la inseguridad salarial, son perjudiciales y podrían provocar una reacción contra la globalización y las reformas de mercado. Por ello, </w:t>
      </w:r>
      <w:r w:rsidRPr="00C91CCB">
        <w:rPr>
          <w:rFonts w:ascii="Times New Roman" w:eastAsia="Times New Roman" w:hAnsi="Times New Roman"/>
          <w:bCs/>
          <w:sz w:val="24"/>
          <w:szCs w:val="24"/>
          <w:lang w:eastAsia="es-ES"/>
        </w:rPr>
        <w:t xml:space="preserve">es necesario encontrar una tercera vía que equilibre el papel de los mercados y los estados en la economía. </w:t>
      </w:r>
    </w:p>
    <w:p w:rsidR="002F07D4" w:rsidRPr="00C91CCB" w:rsidRDefault="002F07D4" w:rsidP="002F07D4">
      <w:pPr>
        <w:spacing w:line="240" w:lineRule="auto"/>
        <w:jc w:val="both"/>
        <w:rPr>
          <w:rFonts w:ascii="Times New Roman" w:hAnsi="Times New Roman"/>
          <w:sz w:val="24"/>
          <w:szCs w:val="24"/>
        </w:rPr>
      </w:pPr>
      <w:r w:rsidRPr="00C91CCB">
        <w:rPr>
          <w:rFonts w:ascii="Times New Roman" w:eastAsia="Times New Roman" w:hAnsi="Times New Roman"/>
          <w:sz w:val="24"/>
          <w:szCs w:val="24"/>
          <w:lang w:eastAsia="es-ES"/>
        </w:rPr>
        <w:t xml:space="preserve">De lo contrario, las protestas de 2011 adquirirán más importancia y provocarán una inestabilidad social y política trastornadora, que acabará minando el crecimiento </w:t>
      </w:r>
      <w:r w:rsidRPr="00C91CCB">
        <w:rPr>
          <w:rFonts w:ascii="Times New Roman" w:eastAsia="Times New Roman" w:hAnsi="Times New Roman"/>
          <w:sz w:val="24"/>
          <w:szCs w:val="24"/>
          <w:lang w:eastAsia="es-ES"/>
        </w:rPr>
        <w:lastRenderedPageBreak/>
        <w:t xml:space="preserve">económico a largo plazo y el bienestar, y </w:t>
      </w:r>
      <w:r w:rsidRPr="00C91CCB">
        <w:rPr>
          <w:rFonts w:ascii="Times New Roman" w:eastAsia="Times New Roman" w:hAnsi="Times New Roman"/>
          <w:bCs/>
          <w:sz w:val="24"/>
          <w:szCs w:val="24"/>
          <w:lang w:eastAsia="es-ES"/>
        </w:rPr>
        <w:t>desencadenará una reacción contra la globalización y las economías de mercado</w:t>
      </w:r>
      <w:r w:rsidRPr="00C91CCB">
        <w:rPr>
          <w:rFonts w:ascii="Times New Roman" w:eastAsia="Times New Roman" w:hAnsi="Times New Roman"/>
          <w:sz w:val="24"/>
          <w:szCs w:val="24"/>
          <w:lang w:eastAsia="es-ES"/>
        </w:rPr>
        <w:t xml:space="preserve"> tanto en las economías avanzadas como en las emergentes”. </w:t>
      </w:r>
      <w:r w:rsidRPr="00C91CCB">
        <w:rPr>
          <w:rFonts w:ascii="Times New Roman" w:hAnsi="Times New Roman"/>
          <w:sz w:val="24"/>
          <w:szCs w:val="24"/>
          <w:u w:val="single"/>
        </w:rPr>
        <w:t>Los peligrosos efectos de la desigualdad</w:t>
      </w:r>
      <w:r w:rsidRPr="00C91CCB">
        <w:rPr>
          <w:rFonts w:ascii="Times New Roman" w:hAnsi="Times New Roman"/>
          <w:sz w:val="24"/>
          <w:szCs w:val="24"/>
        </w:rPr>
        <w:t xml:space="preserve"> (El Economista - </w:t>
      </w:r>
      <w:r w:rsidRPr="00C91CCB">
        <w:rPr>
          <w:rFonts w:ascii="Times New Roman" w:hAnsi="Times New Roman"/>
          <w:b/>
          <w:sz w:val="24"/>
          <w:szCs w:val="24"/>
        </w:rPr>
        <w:t>17/10/11</w:t>
      </w:r>
      <w:r w:rsidRPr="00C91CCB">
        <w:rPr>
          <w:rFonts w:ascii="Times New Roman" w:hAnsi="Times New Roman"/>
          <w:sz w:val="24"/>
          <w:szCs w:val="24"/>
        </w:rPr>
        <w:t>)</w:t>
      </w:r>
    </w:p>
    <w:p w:rsidR="002F07D4" w:rsidRPr="00BC2DC1"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210F03">
        <w:rPr>
          <w:rFonts w:ascii="Times New Roman" w:eastAsia="Times New Roman" w:hAnsi="Times New Roman"/>
          <w:i/>
          <w:sz w:val="24"/>
          <w:szCs w:val="24"/>
          <w:lang w:eastAsia="es-ES"/>
        </w:rPr>
        <w:t>La banca mundial recibió ayudas por valor de más de la mitad del PIB de EEUU sin el conocimiento del Congreso de EEUU, obteniendo con ellas un beneficio de 13.000 millones de dólares. Este rescate encubierto se organizó mediante préstamos secretos a intereses prácticamente inexistentes. Y mientras, las entidades mintieron públicamente sobre su salud financiera, se dedicaron a crecer y a seguir pagando a sus empleados salarios astronómicos</w:t>
      </w:r>
      <w:r>
        <w:rPr>
          <w:rFonts w:ascii="Times New Roman" w:eastAsia="Times New Roman" w:hAnsi="Times New Roman"/>
          <w:i/>
          <w:sz w:val="24"/>
          <w:szCs w:val="24"/>
          <w:lang w:eastAsia="es-ES"/>
        </w:rPr>
        <w:t>”..</w:t>
      </w:r>
      <w:r w:rsidRPr="00210F03">
        <w:rPr>
          <w:rFonts w:ascii="Times New Roman" w:eastAsia="Times New Roman" w:hAnsi="Times New Roman"/>
          <w:i/>
          <w:sz w:val="24"/>
          <w:szCs w:val="24"/>
          <w:lang w:eastAsia="es-ES"/>
        </w:rPr>
        <w:t>.</w:t>
      </w:r>
      <w:r w:rsidRPr="00BC2DC1">
        <w:rPr>
          <w:rFonts w:ascii="Times New Roman" w:eastAsia="Times New Roman" w:hAnsi="Times New Roman"/>
          <w:sz w:val="24"/>
          <w:szCs w:val="24"/>
          <w:u w:val="single"/>
          <w:lang w:eastAsia="es-ES"/>
        </w:rPr>
        <w:t>La Fed orquestó el rescate secreto de los bancos inyectando 7,7 billones de dólares</w:t>
      </w:r>
      <w:r>
        <w:rPr>
          <w:rFonts w:ascii="Times New Roman" w:eastAsia="Times New Roman" w:hAnsi="Times New Roman"/>
          <w:sz w:val="24"/>
          <w:szCs w:val="24"/>
          <w:lang w:eastAsia="es-ES"/>
        </w:rPr>
        <w:t xml:space="preserve"> (El Economista - </w:t>
      </w:r>
      <w:r w:rsidRPr="00BC2DC1">
        <w:rPr>
          <w:rFonts w:ascii="Times New Roman" w:eastAsia="Times New Roman" w:hAnsi="Times New Roman"/>
          <w:b/>
          <w:sz w:val="24"/>
          <w:szCs w:val="24"/>
          <w:lang w:eastAsia="es-ES"/>
        </w:rPr>
        <w:t>27/11/11</w:t>
      </w:r>
      <w:r>
        <w:rPr>
          <w:rFonts w:ascii="Times New Roman" w:eastAsia="Times New Roman" w:hAnsi="Times New Roman"/>
          <w:sz w:val="24"/>
          <w:szCs w:val="24"/>
          <w:lang w:eastAsia="es-ES"/>
        </w:rPr>
        <w:t>)</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BC2DC1">
        <w:rPr>
          <w:rFonts w:ascii="Times New Roman" w:eastAsia="Times New Roman" w:hAnsi="Times New Roman"/>
          <w:sz w:val="24"/>
          <w:szCs w:val="24"/>
          <w:lang w:eastAsia="es-ES"/>
        </w:rPr>
        <w:t>La banca mundial recibió ayudas por valor de más de la mitad del PIB de EEUU sin el conocimiento del Congreso de EEUU, obteniendo con ellas un beneficio de 13.000 millones de dólares. Este rescate encubierto se organizó mediante préstamos secretos a intereses prácticamente inexistentes. Y mientras, las entidades mintieron públicamente sobre su salud financiera, se dedicaron a crecer y a seguir pagando a sus empleados salarios astronómicos.</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Según recoge la revista Bloomberg Markets, la Fed llegó comprometer 7,77 billones de dólares entre 2007 y 2009, incluyendo garantías además de préstamos, para salvar al sistema financiero mundial. Entre los bancos que recibieron las ayudas se encuentran los españoles Santander y BBVA, que obtuvieron unos beneficios de 96,2 y 84,1 millones de dólares, respectivamente, gracias a ello.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A parte de esto estaba el rescate oficial del TARP (Trouble Asset Relief Program), que ascendió a 700.000 millones de dólares.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El día más terrible fue el 5 de diciembre de 2008, cuando la banca necesitó 1,2 billones de dólares. Aquel día, Wall Street cerró con subidas de más del 3% con una fuerte remontada a última hora liderada por el sector financiero, después de caer durante la mayor parte de la sesión. También en esa jornada se nombró a Ken Lewis, consejero delegado de Bank of America, banquero del año: unos días antes, el 26 de noviembre, su banco debía 86.000 millones encubiertos a la Fed y había necesitado préstamos de emergencia para completar la adquisición de Merrill Lynch.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Desde la Fed se asegura que prácticamente todos los préstamos han sido devueltos y no ha habido pérdidas para el contribuyente. Sin embargo, su actuación siembra dudas porque permitió mantener con vida a instituciones quebradas que además aprovecharon ese dinero para crecer más y seguir repartiendo salarios y bonus desorbitados entre sus empleados.</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Estas nuevas revelaciones llegan gracias a que Bloomberg LP ganó un juicio contra la Fed y un grupo de grandes bancos estadounidenses, lo que forzó a que se hicieran públicos los detalles de las operaciones entre el banco central y el sector financiero.</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La Fed argumentaba que publicar estos datos en su momento crearía un estigma que cerraría el crédito a las entidades que utilizaran al banco como prestamista de último recurso.</w:t>
      </w:r>
    </w:p>
    <w:p w:rsidR="00B50437" w:rsidRDefault="00B50437" w:rsidP="002F07D4">
      <w:pPr>
        <w:spacing w:after="0" w:line="240" w:lineRule="auto"/>
        <w:jc w:val="both"/>
        <w:rPr>
          <w:rFonts w:ascii="Times New Roman" w:eastAsia="Times New Roman" w:hAnsi="Times New Roman"/>
          <w:sz w:val="24"/>
          <w:szCs w:val="24"/>
          <w:lang w:eastAsia="es-ES"/>
        </w:rPr>
      </w:pPr>
    </w:p>
    <w:p w:rsidR="00B50437" w:rsidRPr="00BC2DC1" w:rsidRDefault="00B50437"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lastRenderedPageBreak/>
        <w:t>Préstamos sin intereses</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La Fed ha realizado préstamos de emergencia a través de la llamada ventanilla de descuentos desde su fundación en 1913, pero a partir de agosto de 2007 creó numerosas herramientas para ayudar al sector financiero, y a finales de 2008 ya había creado 11 facilidades de crédito distintas.</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Normalmente, estos préstamos de emergencia son más caros para que los bancos no abusen de este privilegio. Sin embargo, durante la crisis, estos préstamos de la Fed fueron los más baratos del mercado, llegando a un mínimo del 0,01% en diciembre de 2008, como ya se publicó en primavera de este año.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Esto</w:t>
      </w:r>
      <w:r>
        <w:rPr>
          <w:rFonts w:ascii="Times New Roman" w:eastAsia="Times New Roman" w:hAnsi="Times New Roman"/>
          <w:sz w:val="24"/>
          <w:szCs w:val="24"/>
          <w:lang w:eastAsia="es-ES"/>
        </w:rPr>
        <w:t>s programas de emergencia iban “mano a mano”</w:t>
      </w:r>
      <w:r w:rsidRPr="00BC2DC1">
        <w:rPr>
          <w:rFonts w:ascii="Times New Roman" w:eastAsia="Times New Roman" w:hAnsi="Times New Roman"/>
          <w:sz w:val="24"/>
          <w:szCs w:val="24"/>
          <w:lang w:eastAsia="es-ES"/>
        </w:rPr>
        <w:t xml:space="preserve"> con el TARP, explica Sherrill Shaffer, profesor de la Universidad de Wyoming y ex economista jefe de la Fed de Nueva York. El TARP ayudó al banco central a aislarse de las pérdidas, mientras que la decisión de la Fed de dar financiación ilimitada a la banca permitió que ésta no se colapsara, protegiendo a su vez el dinero que el Tesoro puso para el TARP.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BC2DC1">
        <w:rPr>
          <w:rFonts w:ascii="Times New Roman" w:eastAsia="Times New Roman" w:hAnsi="Times New Roman"/>
          <w:sz w:val="24"/>
          <w:szCs w:val="24"/>
          <w:lang w:eastAsia="es-ES"/>
        </w:rPr>
        <w:t>Aunque el Tesoro estuviera en los titulares, era la Fed quien</w:t>
      </w:r>
      <w:r>
        <w:rPr>
          <w:rFonts w:ascii="Times New Roman" w:eastAsia="Times New Roman" w:hAnsi="Times New Roman"/>
          <w:sz w:val="24"/>
          <w:szCs w:val="24"/>
          <w:lang w:eastAsia="es-ES"/>
        </w:rPr>
        <w:t xml:space="preserve"> realmente estaba orquestándolo”</w:t>
      </w:r>
      <w:r w:rsidRPr="00BC2DC1">
        <w:rPr>
          <w:rFonts w:ascii="Times New Roman" w:eastAsia="Times New Roman" w:hAnsi="Times New Roman"/>
          <w:sz w:val="24"/>
          <w:szCs w:val="24"/>
          <w:lang w:eastAsia="es-ES"/>
        </w:rPr>
        <w:t>, añade Shaffer.</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Por ejemplo, Bank of America y Citigroup recibieron oficialmente 45.000 millones de dólares del TARP. Sin embargo, al mismo tiempo estaban recibiendo préstamos regalados de manera secreta por la Fed, llegando tocar picos de cerca de 100.000 millones de dólares a comienzos de 2009 en ambos casos.</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Secretismo absoluto</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El problema es que los congresistas no sabían nada de que se estuviera organizando un rescate que permitió que Morgan Stanley recibiera 107.000 millones de dólares en septiembre de 2008, poco después de la caída de Lehman Brothers. Incluso los miembros del gobierno de George W. Bush que gestionaban el TARP desconocían estas actividades.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Judd Greg, ex senador republicano de New Hampshire y que encabezó las negociacio</w:t>
      </w:r>
      <w:r>
        <w:rPr>
          <w:rFonts w:ascii="Times New Roman" w:eastAsia="Times New Roman" w:hAnsi="Times New Roman"/>
          <w:sz w:val="24"/>
          <w:szCs w:val="24"/>
          <w:lang w:eastAsia="es-ES"/>
        </w:rPr>
        <w:t>nes sobre el TARP, asegura que “no sabíamos los detalles”</w:t>
      </w:r>
      <w:r w:rsidRPr="00BC2DC1">
        <w:rPr>
          <w:rFonts w:ascii="Times New Roman" w:eastAsia="Times New Roman" w:hAnsi="Times New Roman"/>
          <w:sz w:val="24"/>
          <w:szCs w:val="24"/>
          <w:lang w:eastAsia="es-ES"/>
        </w:rPr>
        <w:t xml:space="preserve">. Gregg es ahora asesor de Goldman Sachs.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BC2DC1">
        <w:rPr>
          <w:rFonts w:ascii="Times New Roman" w:eastAsia="Times New Roman" w:hAnsi="Times New Roman"/>
          <w:sz w:val="24"/>
          <w:szCs w:val="24"/>
          <w:lang w:eastAsia="es-ES"/>
        </w:rPr>
        <w:t>Teníamos conciencia de que se estaban llevando a cabo esfuerzos de emergencia</w:t>
      </w:r>
      <w:r>
        <w:rPr>
          <w:rFonts w:ascii="Times New Roman" w:eastAsia="Times New Roman" w:hAnsi="Times New Roman"/>
          <w:sz w:val="24"/>
          <w:szCs w:val="24"/>
          <w:lang w:eastAsia="es-ES"/>
        </w:rPr>
        <w:t>, pero no sabíamos los detalles”</w:t>
      </w:r>
      <w:r w:rsidRPr="00BC2DC1">
        <w:rPr>
          <w:rFonts w:ascii="Times New Roman" w:eastAsia="Times New Roman" w:hAnsi="Times New Roman"/>
          <w:sz w:val="24"/>
          <w:szCs w:val="24"/>
          <w:lang w:eastAsia="es-ES"/>
        </w:rPr>
        <w:t>, añade Barney Frank, congresista demócrata que presidía el Comité de Servicios Financieros de la Cámara.</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Frank fue también uno de los impulsores de la reforma de Wall Street con la que se pretendía acabar con los excesos de la industria financiera. El Congreso debatió esa reforma en 2010 sin el conocimiento completo del nivel de dependencia de la Fed que tenían las entidades financieras, denuncia Bloomberg.</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lastRenderedPageBreak/>
        <w:t>Bancos demasiado grandes para caer</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Mientras, las grandes entidades estadounidenses siguieron creciendo y siguieron pagando a sus empleados tanto como en los momentos más álgidos de la burbuja inmobiliaria.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En concreto, los activos de los seis mayores bancos crecieron un 39% entre septiembre de 2006 y septiembre de 2011, hasta alcanzar los 9,5 billones de dólares. Los empleados de estas entidades vieron crecer sus compensaciones un 20% en esos cinco años, siendo el salario media el mismo en 2010 que en 2007, antes de la crisis y los rescates.</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Estas ayudas encubiertas de la Fed permitieron, por ejemplo, que Wells Fargo comprara Wachovia, que estaba recibiendo préstamos secretos por valor de 50.000 millones para evitar su colapso. Algo similar se hizo con Bear Stearns, que recibió 3</w:t>
      </w:r>
      <w:r>
        <w:rPr>
          <w:rFonts w:ascii="Times New Roman" w:eastAsia="Times New Roman" w:hAnsi="Times New Roman"/>
          <w:sz w:val="24"/>
          <w:szCs w:val="24"/>
          <w:lang w:eastAsia="es-ES"/>
        </w:rPr>
        <w:t>0.000 millones para mantenerse</w:t>
      </w:r>
      <w:r w:rsidRPr="00BC2DC1">
        <w:rPr>
          <w:rFonts w:ascii="Times New Roman" w:eastAsia="Times New Roman" w:hAnsi="Times New Roman"/>
          <w:sz w:val="24"/>
          <w:szCs w:val="24"/>
          <w:lang w:eastAsia="es-ES"/>
        </w:rPr>
        <w:t xml:space="preserve"> a flote y que JP Morgan pudiera finalizar su adquisición.</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BC2DC1">
        <w:rPr>
          <w:rFonts w:ascii="Times New Roman" w:eastAsia="Times New Roman" w:hAnsi="Times New Roman"/>
          <w:sz w:val="24"/>
          <w:szCs w:val="24"/>
          <w:lang w:eastAsia="es-ES"/>
        </w:rPr>
        <w:t xml:space="preserve">Cuando ves los dólares que obtuvieron los bancos es difícil decir </w:t>
      </w:r>
      <w:r>
        <w:rPr>
          <w:rFonts w:ascii="Times New Roman" w:eastAsia="Times New Roman" w:hAnsi="Times New Roman"/>
          <w:sz w:val="24"/>
          <w:szCs w:val="24"/>
          <w:lang w:eastAsia="es-ES"/>
        </w:rPr>
        <w:t>que eran instituciones exitosas”</w:t>
      </w:r>
      <w:r w:rsidRPr="00BC2DC1">
        <w:rPr>
          <w:rFonts w:ascii="Times New Roman" w:eastAsia="Times New Roman" w:hAnsi="Times New Roman"/>
          <w:sz w:val="24"/>
          <w:szCs w:val="24"/>
          <w:lang w:eastAsia="es-ES"/>
        </w:rPr>
        <w:t>, asegura Sherrod Brown, senador de Ohio que intentó introducir una ley en 2010 para limit</w:t>
      </w:r>
      <w:r>
        <w:rPr>
          <w:rFonts w:ascii="Times New Roman" w:eastAsia="Times New Roman" w:hAnsi="Times New Roman"/>
          <w:sz w:val="24"/>
          <w:szCs w:val="24"/>
          <w:lang w:eastAsia="es-ES"/>
        </w:rPr>
        <w:t>ar el tamaño de las entidades. “</w:t>
      </w:r>
      <w:r w:rsidRPr="00BC2DC1">
        <w:rPr>
          <w:rFonts w:ascii="Times New Roman" w:eastAsia="Times New Roman" w:hAnsi="Times New Roman"/>
          <w:sz w:val="24"/>
          <w:szCs w:val="24"/>
          <w:lang w:eastAsia="es-ES"/>
        </w:rPr>
        <w:t>Esto es un tema que puede unir al Tea Party con Occupy Wall Street. Hay congresistas en ambos partidos</w:t>
      </w:r>
      <w:r>
        <w:rPr>
          <w:rFonts w:ascii="Times New Roman" w:eastAsia="Times New Roman" w:hAnsi="Times New Roman"/>
          <w:sz w:val="24"/>
          <w:szCs w:val="24"/>
          <w:lang w:eastAsia="es-ES"/>
        </w:rPr>
        <w:t xml:space="preserve"> que cambiarían sus votos ahora”</w:t>
      </w:r>
      <w:r w:rsidRPr="00BC2DC1">
        <w:rPr>
          <w:rFonts w:ascii="Times New Roman" w:eastAsia="Times New Roman" w:hAnsi="Times New Roman"/>
          <w:sz w:val="24"/>
          <w:szCs w:val="24"/>
          <w:lang w:eastAsia="es-ES"/>
        </w:rPr>
        <w:t>.</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Esta propuesta de Ley habría obligado a las seis mayores entidades a reducir su tamaño, pero la banca consiguió salirse con </w:t>
      </w:r>
      <w:r>
        <w:rPr>
          <w:rFonts w:ascii="Times New Roman" w:eastAsia="Times New Roman" w:hAnsi="Times New Roman"/>
          <w:sz w:val="24"/>
          <w:szCs w:val="24"/>
          <w:lang w:eastAsia="es-ES"/>
        </w:rPr>
        <w:t>la suya argumentando que sería “castigar el éxito”</w:t>
      </w:r>
      <w:r w:rsidRPr="00BC2DC1">
        <w:rPr>
          <w:rFonts w:ascii="Times New Roman" w:eastAsia="Times New Roman" w:hAnsi="Times New Roman"/>
          <w:sz w:val="24"/>
          <w:szCs w:val="24"/>
          <w:lang w:eastAsia="es-ES"/>
        </w:rPr>
        <w:t>, recuerda Brown. Pero ahora que se sabe la cantidad de dinero que necesitó el sector puede que los senadores y representantes pensaran distinto.</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Kauffman conclu</w:t>
      </w:r>
      <w:r>
        <w:rPr>
          <w:rFonts w:ascii="Times New Roman" w:eastAsia="Times New Roman" w:hAnsi="Times New Roman"/>
          <w:sz w:val="24"/>
          <w:szCs w:val="24"/>
          <w:lang w:eastAsia="es-ES"/>
        </w:rPr>
        <w:t>ye: “</w:t>
      </w:r>
      <w:r w:rsidRPr="00BC2DC1">
        <w:rPr>
          <w:rFonts w:ascii="Times New Roman" w:eastAsia="Times New Roman" w:hAnsi="Times New Roman"/>
          <w:sz w:val="24"/>
          <w:szCs w:val="24"/>
          <w:lang w:eastAsia="es-ES"/>
        </w:rPr>
        <w:t>No estamos en absoluto, prepara</w:t>
      </w:r>
      <w:r>
        <w:rPr>
          <w:rFonts w:ascii="Times New Roman" w:eastAsia="Times New Roman" w:hAnsi="Times New Roman"/>
          <w:sz w:val="24"/>
          <w:szCs w:val="24"/>
          <w:lang w:eastAsia="es-ES"/>
        </w:rPr>
        <w:t>dos para otra crisis financiera”</w:t>
      </w:r>
      <w:r w:rsidRPr="00BC2DC1">
        <w:rPr>
          <w:rFonts w:ascii="Times New Roman" w:eastAsia="Times New Roman" w:hAnsi="Times New Roman"/>
          <w:sz w:val="24"/>
          <w:szCs w:val="24"/>
          <w:lang w:eastAsia="es-ES"/>
        </w:rPr>
        <w:t>.</w:t>
      </w:r>
    </w:p>
    <w:p w:rsidR="002F07D4" w:rsidRDefault="002F07D4" w:rsidP="002F07D4">
      <w:pPr>
        <w:spacing w:after="0" w:line="240" w:lineRule="auto"/>
        <w:jc w:val="both"/>
        <w:rPr>
          <w:rFonts w:ascii="Times New Roman" w:eastAsia="Times New Roman" w:hAnsi="Times New Roman"/>
          <w:sz w:val="24"/>
          <w:szCs w:val="24"/>
          <w:lang w:eastAsia="es-ES"/>
        </w:rPr>
      </w:pPr>
    </w:p>
    <w:p w:rsidR="002F07D4" w:rsidRPr="00A44FA8" w:rsidRDefault="002F07D4" w:rsidP="002F07D4">
      <w:pPr>
        <w:spacing w:after="0" w:line="240" w:lineRule="auto"/>
        <w:jc w:val="both"/>
        <w:rPr>
          <w:rFonts w:ascii="Times New Roman" w:eastAsia="Times New Roman" w:hAnsi="Times New Roman"/>
          <w:b/>
          <w:sz w:val="24"/>
          <w:szCs w:val="24"/>
          <w:lang w:eastAsia="es-ES"/>
        </w:rPr>
      </w:pPr>
      <w:r w:rsidRPr="00A44FA8">
        <w:rPr>
          <w:rFonts w:ascii="Times New Roman" w:eastAsia="Times New Roman" w:hAnsi="Times New Roman"/>
          <w:b/>
          <w:sz w:val="24"/>
          <w:szCs w:val="24"/>
          <w:lang w:eastAsia="es-ES"/>
        </w:rPr>
        <w:t xml:space="preserve">El “espectáculo” debe continuar: a la espera de la próxima ronda de la Fed </w:t>
      </w:r>
    </w:p>
    <w:p w:rsidR="002F07D4" w:rsidRDefault="002F07D4" w:rsidP="002F07D4">
      <w:pPr>
        <w:spacing w:after="0" w:line="240" w:lineRule="auto"/>
        <w:jc w:val="both"/>
        <w:rPr>
          <w:rFonts w:ascii="Times New Roman" w:eastAsia="Times New Roman" w:hAnsi="Times New Roman"/>
          <w:sz w:val="24"/>
          <w:szCs w:val="24"/>
          <w:u w:val="single"/>
          <w:lang w:eastAsia="es-ES"/>
        </w:rPr>
      </w:pPr>
    </w:p>
    <w:p w:rsidR="002F07D4" w:rsidRPr="00B51E38" w:rsidRDefault="002F07D4" w:rsidP="002F07D4">
      <w:pPr>
        <w:spacing w:line="240" w:lineRule="auto"/>
        <w:jc w:val="both"/>
        <w:rPr>
          <w:rFonts w:ascii="Times New Roman" w:hAnsi="Times New Roman"/>
          <w:sz w:val="24"/>
          <w:szCs w:val="24"/>
        </w:rPr>
      </w:pPr>
      <w:r w:rsidRPr="00B51E38">
        <w:rPr>
          <w:rFonts w:ascii="Times New Roman" w:hAnsi="Times New Roman"/>
          <w:i/>
          <w:sz w:val="24"/>
          <w:szCs w:val="24"/>
        </w:rPr>
        <w:t xml:space="preserve">“Societe Generale ha presentado su informe </w:t>
      </w:r>
      <w:r>
        <w:rPr>
          <w:rFonts w:ascii="Times New Roman" w:hAnsi="Times New Roman"/>
          <w:i/>
          <w:sz w:val="24"/>
          <w:szCs w:val="24"/>
        </w:rPr>
        <w:t>‘</w:t>
      </w:r>
      <w:r w:rsidRPr="00B51E38">
        <w:rPr>
          <w:rFonts w:ascii="Times New Roman" w:hAnsi="Times New Roman"/>
          <w:i/>
          <w:sz w:val="24"/>
          <w:szCs w:val="24"/>
        </w:rPr>
        <w:t>Paciencia, las malas noticias se convertirán en buenas noticias</w:t>
      </w:r>
      <w:r>
        <w:rPr>
          <w:rFonts w:ascii="Times New Roman" w:hAnsi="Times New Roman"/>
          <w:i/>
          <w:sz w:val="24"/>
          <w:szCs w:val="24"/>
        </w:rPr>
        <w:t>’</w:t>
      </w:r>
      <w:r w:rsidRPr="00B51E38">
        <w:rPr>
          <w:rFonts w:ascii="Times New Roman" w:hAnsi="Times New Roman"/>
          <w:i/>
          <w:sz w:val="24"/>
          <w:szCs w:val="24"/>
        </w:rPr>
        <w:t>, donde el banco francés se ha mostrado de lo más alcista con el oro ya que aventura una nueva ronda de estímulos por parte de la Reserva Federal. Según aseguran los expertos de la entidad es difícil que la economía mundial se enfrente a una crisis de liquidez ya que ‘estamos en vísperas de nuevos estímulos por parte del Banco Central de Inglaterra en Reino Unido, la Fed en Estados Unidos y más tarde en la Eurozona’”...</w:t>
      </w:r>
      <w:r w:rsidRPr="009C4518">
        <w:rPr>
          <w:rFonts w:ascii="Times New Roman" w:hAnsi="Times New Roman"/>
          <w:sz w:val="24"/>
          <w:szCs w:val="24"/>
          <w:u w:val="single"/>
        </w:rPr>
        <w:t>La Fed lanzará un QE3 en primavera que disparará al oro entre los 1.900 y 8.500 dólares por onza</w:t>
      </w:r>
      <w:r>
        <w:rPr>
          <w:rFonts w:ascii="Times New Roman" w:hAnsi="Times New Roman"/>
          <w:sz w:val="24"/>
          <w:szCs w:val="24"/>
        </w:rPr>
        <w:t xml:space="preserve"> (El Economista - </w:t>
      </w:r>
      <w:r w:rsidRPr="009C4518">
        <w:rPr>
          <w:rFonts w:ascii="Times New Roman" w:hAnsi="Times New Roman"/>
          <w:b/>
          <w:sz w:val="24"/>
          <w:szCs w:val="24"/>
        </w:rPr>
        <w:t>28/11/11</w:t>
      </w:r>
      <w:r>
        <w:rPr>
          <w:rFonts w:ascii="Times New Roman" w:hAnsi="Times New Roman"/>
          <w:sz w:val="24"/>
          <w:szCs w:val="24"/>
        </w:rPr>
        <w:t>)</w:t>
      </w:r>
    </w:p>
    <w:p w:rsidR="002F07D4" w:rsidRPr="00B51E38" w:rsidRDefault="002F07D4" w:rsidP="002F07D4">
      <w:pPr>
        <w:pStyle w:val="NormalWeb"/>
        <w:jc w:val="both"/>
      </w:pPr>
      <w:r w:rsidRPr="00B51E38">
        <w:t xml:space="preserve">“En EEUU, según explican los especialistas del banco galo, la combinación de </w:t>
      </w:r>
      <w:r w:rsidRPr="00B51E38">
        <w:rPr>
          <w:bCs/>
        </w:rPr>
        <w:t>la debilidad económica que se experimentará durante el primer trimestre de 2012 junto con la inflación acabarán por presionar a la Fed</w:t>
      </w:r>
      <w:r w:rsidRPr="00B51E38">
        <w:t xml:space="preserve">, que dará vía libre a una nueva ronda de expansión monetaria. Esta operación se llevará a cabo en dos fases. La primera tendrá lugar en enero de 2012, cuando la Reserva Federal anuncie que mantendrá las tasas en el cero por ciento hasta que el desempleo se sitúe por debajo del 7,5%. </w:t>
      </w:r>
    </w:p>
    <w:p w:rsidR="002F07D4" w:rsidRPr="00B51E38" w:rsidRDefault="002F07D4" w:rsidP="002F07D4">
      <w:pPr>
        <w:pStyle w:val="NormalWeb"/>
        <w:jc w:val="both"/>
      </w:pPr>
      <w:r w:rsidRPr="00B51E38">
        <w:t>La segunda fase tendrá lugar en marzo del año que viene, cuando se haga oficial el anuncio de una nueva ronda de Quantitative Easing (QE). “</w:t>
      </w:r>
      <w:r w:rsidRPr="00B51E38">
        <w:rPr>
          <w:bCs/>
        </w:rPr>
        <w:t>Esperamos que la próxima ronda de QE se concent</w:t>
      </w:r>
      <w:r>
        <w:rPr>
          <w:bCs/>
        </w:rPr>
        <w:t>r</w:t>
      </w:r>
      <w:r w:rsidRPr="00B51E38">
        <w:rPr>
          <w:bCs/>
        </w:rPr>
        <w:t xml:space="preserve">e en la compras de Mortgage Backed Securities (activos </w:t>
      </w:r>
      <w:r w:rsidRPr="00B51E38">
        <w:rPr>
          <w:bCs/>
        </w:rPr>
        <w:lastRenderedPageBreak/>
        <w:t>respaldados por hipotecas) por un valor aproximado de 600.000 millones de dólares durante un periodo comprendido entre seis y ocho meses</w:t>
      </w:r>
      <w:r w:rsidRPr="00B51E38">
        <w:t>”, explica el informe. Esto aumentaría la cartera de activos de la Fed desde 2,65 billones de dólares actuales hasta los 3,25 billones de dólares previsto para finales de 2012.</w:t>
      </w:r>
    </w:p>
    <w:p w:rsidR="002F07D4" w:rsidRPr="00B51E38" w:rsidRDefault="002F07D4" w:rsidP="002F07D4">
      <w:pPr>
        <w:pStyle w:val="NormalWeb"/>
        <w:jc w:val="both"/>
      </w:pPr>
      <w:r w:rsidRPr="00B51E38">
        <w:t xml:space="preserve">En este sentido, Societe Generale se muestra especialmente alcista con el oro, sobre todo a largo plazo. “Si el oro llegase a alcanzar el incremento registrado en la base monetaria desde 1920, como ya hizo a comienzo de los 80, su precio podría alcanzar los 8.500 dólares por onza”, aseguran los analistas del banco. </w:t>
      </w:r>
      <w:r w:rsidR="00FF0D17" w:rsidRPr="00B51E38">
        <w:t>Aun</w:t>
      </w:r>
      <w:r w:rsidRPr="00B51E38">
        <w:t xml:space="preserve"> así, aunque esto no ocurra, para “</w:t>
      </w:r>
      <w:r w:rsidRPr="00B51E38">
        <w:rPr>
          <w:bCs/>
        </w:rPr>
        <w:t>cerrar la brecha con el incremento en la base monetaria desde julio de 2007, el precio de la onza debería subir hasta los 1.900 dólares por onza</w:t>
      </w:r>
      <w:r w:rsidRPr="00B51E38">
        <w:t>”, añaden.</w:t>
      </w:r>
    </w:p>
    <w:p w:rsidR="002F07D4" w:rsidRPr="00B51E38" w:rsidRDefault="002F07D4" w:rsidP="002F07D4">
      <w:pPr>
        <w:pStyle w:val="NormalWeb"/>
        <w:jc w:val="both"/>
      </w:pPr>
      <w:r w:rsidRPr="00B51E38">
        <w:t xml:space="preserve">Como referencia, el banco francés apunta que durante la primera ronda de estímulos orquestada por Bernanke y sus chicos entre finales de 2008 y mediados de 2010, el precio de la onza de oro sufrió un incremento del 36 por ciento, seguido de un aumento del 21 por ciento durante la duración del QE2, que finalizó el pasado 30 de junio. Con estas referencias sobre la mesa, </w:t>
      </w:r>
      <w:r w:rsidRPr="00B51E38">
        <w:rPr>
          <w:bCs/>
        </w:rPr>
        <w:t>Societe Generale estima que un próximo QE3 será “muy p</w:t>
      </w:r>
      <w:r w:rsidR="00E61FFF">
        <w:rPr>
          <w:bCs/>
        </w:rPr>
        <w:t>ositivo para el precio del oro”</w:t>
      </w:r>
      <w:r w:rsidRPr="00B51E38">
        <w:t>.Es por eso que recomiendan a sus clientes comprar oro antes de una posible nueva ronda de estímulos en 2012”...</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La amargura de la victoria (después de tantas viejas y queridas causas perdidas)</w:t>
      </w:r>
    </w:p>
    <w:p w:rsidR="002F07D4" w:rsidRPr="007B69E3" w:rsidRDefault="002F07D4" w:rsidP="002F07D4">
      <w:pPr>
        <w:pStyle w:val="NormalWeb"/>
        <w:jc w:val="both"/>
      </w:pPr>
      <w:r w:rsidRPr="00966319">
        <w:t>Han pasado cinco años desde que reventó la burbuja inmobiliaria de Estados Unidos. El sector de la vivienda sigue siendo una de las principales razones por las que la economía del país tiene un desempeño tan débil.</w:t>
      </w:r>
    </w:p>
    <w:p w:rsidR="002F07D4" w:rsidRPr="00966319" w:rsidRDefault="002F07D4" w:rsidP="002F07D4">
      <w:pPr>
        <w:pStyle w:val="NormalWeb"/>
        <w:jc w:val="both"/>
      </w:pPr>
      <w:r w:rsidRPr="00966319">
        <w:t>Ya han pasado dos años desde que las llamas aparecieron por primera vez en Grecia, y sin embargo el fuego aún no ha sido apagado. Ahora se ha propagado a Italia.</w:t>
      </w:r>
    </w:p>
    <w:p w:rsidR="002F07D4" w:rsidRPr="00966319" w:rsidRDefault="002F07D4" w:rsidP="002F07D4">
      <w:pPr>
        <w:pStyle w:val="NormalWeb"/>
        <w:jc w:val="both"/>
      </w:pPr>
      <w:r w:rsidRPr="00966319">
        <w:t xml:space="preserve">En ambos continentes, ya no quedan dudas sobre la severidad de la amenaza o la urgencia con la que se necesitan mejores políticas. Aun así, los jugadores parecen completamente incapaces de actuar. </w:t>
      </w:r>
    </w:p>
    <w:p w:rsidR="002F07D4" w:rsidRPr="00966319" w:rsidRDefault="002F07D4" w:rsidP="002F07D4">
      <w:pPr>
        <w:pStyle w:val="NormalWeb"/>
        <w:jc w:val="both"/>
      </w:pPr>
      <w:r w:rsidRPr="00966319">
        <w:t xml:space="preserve">¿Qué les está llevando tanto tiempo? Decidir </w:t>
      </w:r>
      <w:r>
        <w:t>“</w:t>
      </w:r>
      <w:r w:rsidRPr="00966319">
        <w:t>quién tendrá que pagar la cuenta</w:t>
      </w:r>
      <w:r>
        <w:t>”</w:t>
      </w:r>
      <w:r w:rsidRPr="00966319">
        <w:t>.</w:t>
      </w:r>
    </w:p>
    <w:p w:rsidR="002F07D4" w:rsidRPr="00966319" w:rsidRDefault="002F07D4" w:rsidP="002F07D4">
      <w:pPr>
        <w:pStyle w:val="NormalWeb"/>
        <w:jc w:val="both"/>
        <w:rPr>
          <w:i/>
        </w:rPr>
      </w:pPr>
      <w:r w:rsidRPr="00966319">
        <w:rPr>
          <w:i/>
        </w:rPr>
        <w:t>“En todas las crisis, se deben repartir las pérdidas entre deudores, acreedores y contribuyentes”, explica Anna Gelpern, profesora de derecho de la Universidad Americana y ex funcionaria del Tesoro de EEUU “Es un concepto sorprendentemente simple, y completamente irreconciliable”.</w:t>
      </w:r>
    </w:p>
    <w:p w:rsidR="002F07D4" w:rsidRPr="00966319" w:rsidRDefault="002F07D4" w:rsidP="002F07D4">
      <w:pPr>
        <w:pStyle w:val="NormalWeb"/>
        <w:jc w:val="both"/>
      </w:pPr>
      <w:r w:rsidRPr="00966319">
        <w:rPr>
          <w:i/>
        </w:rPr>
        <w:t>“Por definición, es un problema político”, agrega. “Incluso si surgiera la idea de una distribución óptima, si no es vendible políticamente, no puede concretarse”...</w:t>
      </w:r>
      <w:r w:rsidRPr="00966319">
        <w:rPr>
          <w:u w:val="single"/>
        </w:rPr>
        <w:t>Por qué duran tanto las crisis: nadie quiere pagar la cuenta</w:t>
      </w:r>
      <w:r w:rsidRPr="00966319">
        <w:t xml:space="preserve"> (The Wall Street Journal - </w:t>
      </w:r>
      <w:r w:rsidRPr="00C249F1">
        <w:rPr>
          <w:b/>
        </w:rPr>
        <w:t>10/11/11</w:t>
      </w:r>
      <w:r w:rsidRPr="00966319">
        <w:t>)</w:t>
      </w:r>
    </w:p>
    <w:p w:rsidR="002F07D4" w:rsidRPr="00966319" w:rsidRDefault="002F07D4" w:rsidP="002F07D4">
      <w:pPr>
        <w:pStyle w:val="NormalWeb"/>
        <w:jc w:val="both"/>
      </w:pPr>
      <w:r w:rsidRPr="00966319">
        <w:t>Esta vez, la escala es intimidatoria. El Fondo Monetario Internacional estima que los tenedores de hipotecas en EE</w:t>
      </w:r>
      <w:r>
        <w:t>UU</w:t>
      </w:r>
      <w:r w:rsidRPr="00966319">
        <w:t xml:space="preserve"> y otras deudas perdieron US$ 2,7 billones (millones de millones) en la fase estadounidense de la crisis global, parte de cuya suma ya fue trasladada a los contribuyentes. Las viviendas del país valen casi US$ 7 billones menos que hace cinco años, una caída de 25%.</w:t>
      </w:r>
    </w:p>
    <w:p w:rsidR="002F07D4" w:rsidRPr="00966319" w:rsidRDefault="002F07D4" w:rsidP="002F07D4">
      <w:pPr>
        <w:pStyle w:val="NormalWeb"/>
        <w:jc w:val="both"/>
      </w:pPr>
      <w:r w:rsidRPr="00966319">
        <w:lastRenderedPageBreak/>
        <w:t>Se han hecho toda clase de intentos por reducir los pagos mensuales de hipotecas para algunos, por refinanciar créditos con intereses altos, por asegurarse de que los embargos se llevan a cabo correctamente, por recapitalizar bancos para que puedan absorber pérdidas, y demás. El gran paso que no se dio: reducir el principal sobre las hipotecas. El gran obstáculo: ¿quién paga los platos rotos? ¿Los bancos? ¿Los inversionistas hipotecarios? ¿Los contribuyentes?</w:t>
      </w:r>
    </w:p>
    <w:p w:rsidR="002F07D4" w:rsidRPr="00966319" w:rsidRDefault="002F07D4" w:rsidP="002F07D4">
      <w:pPr>
        <w:pStyle w:val="NormalWeb"/>
        <w:jc w:val="both"/>
      </w:pPr>
      <w:r w:rsidRPr="00966319">
        <w:t>En Europa, los retrasos para admitir que Grecia pidió prestado demasiado convirtieron lo que hubiera sido un problema difícil pero manejable en una calamidad. Un gran motivo para el retraso: decidir quién pagaría la cuenta. ¿Los contribuyentes alemanes? ¿Los accionistas de bancos franceses? ¿Los tenedores de bonos extranjeros?</w:t>
      </w:r>
    </w:p>
    <w:p w:rsidR="002F07D4" w:rsidRPr="00966319" w:rsidRDefault="002F07D4" w:rsidP="002F07D4">
      <w:pPr>
        <w:pStyle w:val="NormalWeb"/>
        <w:jc w:val="both"/>
      </w:pPr>
      <w:r w:rsidRPr="00966319">
        <w:t>Cuando un prestatario</w:t>
      </w:r>
      <w:r>
        <w:t xml:space="preserve"> -un banco, una empresa, un país-</w:t>
      </w:r>
      <w:r w:rsidRPr="00966319">
        <w:t xml:space="preserve"> tiene problemas, la reacción inicial es decir, bueno, tienen el dinero, sólo que están cortos de efectivo. A menudo eso es verdad. Así que el prestamista le da un respiro al prestatario, la empresa empeña sus cuentas por c</w:t>
      </w:r>
      <w:r>
        <w:t>obrar, o el “acreedor de último recurso”</w:t>
      </w:r>
      <w:r w:rsidRPr="00966319">
        <w:t>, el banco central, otorga préstamos de emergencia porque está seguro de que le devolverán el diner</w:t>
      </w:r>
      <w:r>
        <w:t>o. El problema, se dice, es de “liquidez”</w:t>
      </w:r>
      <w:r w:rsidRPr="00966319">
        <w:t xml:space="preserve"> (lo que significa que nadie perderá dine</w:t>
      </w:r>
      <w:r>
        <w:t>ro al final) en lugar de decir “</w:t>
      </w:r>
      <w:r w:rsidRPr="00966319">
        <w:t>sol</w:t>
      </w:r>
      <w:r>
        <w:t>vencia”</w:t>
      </w:r>
      <w:r w:rsidRPr="00966319">
        <w:t xml:space="preserve"> (lo que significa que alguien perderá dinero).</w:t>
      </w:r>
    </w:p>
    <w:p w:rsidR="002F07D4" w:rsidRPr="00966319" w:rsidRDefault="002F07D4" w:rsidP="002F07D4">
      <w:pPr>
        <w:pStyle w:val="NormalWeb"/>
        <w:jc w:val="both"/>
      </w:pPr>
      <w:r w:rsidRPr="00966319">
        <w:t>La tentación de extender esa lógica más allá de la razón es grande. Admitir que, por ejemplo, algunos gobiernos europeos no pagarán 100 centavos por cada dólar, o que algunos préstamos hipotecarios no valen lo que dicen los libros contables, obligaría a los prestamistas a asumir pérdidas. Si éstas son grandes, la solvencia de los bancos está en duda. En Francia, los mercados no están tan escépticos ante la capacidad del gobierno de pagar sus cuentas y cumplir con las obligaciones de intereses, sino que se preocupan más por un potencialmente costoso rescate gubernamental de los bancos que tienen mucha deuda de gobiernos extranjeros.</w:t>
      </w:r>
    </w:p>
    <w:p w:rsidR="002F07D4" w:rsidRPr="00966319" w:rsidRDefault="002F07D4" w:rsidP="002F07D4">
      <w:pPr>
        <w:pStyle w:val="NormalWeb"/>
        <w:jc w:val="both"/>
      </w:pPr>
      <w:r w:rsidRPr="00966319">
        <w:t>Entonces, los bancos y los inversionistas igualmente prestan, a menudo a tasas de interés que reflejan el riesgo de que no cobren. Si todo sale bien, ganan mucho dinero. De lo contrario, y hay mucho dinero en juego, los contribuyentes pagan las cuentas.</w:t>
      </w:r>
    </w:p>
    <w:p w:rsidR="002F07D4" w:rsidRPr="00966319" w:rsidRDefault="002F07D4" w:rsidP="002F07D4">
      <w:pPr>
        <w:pStyle w:val="NormalWeb"/>
        <w:jc w:val="both"/>
        <w:rPr>
          <w:i/>
        </w:rPr>
      </w:pPr>
      <w:r>
        <w:rPr>
          <w:i/>
        </w:rPr>
        <w:t>“‘</w:t>
      </w:r>
      <w:r w:rsidRPr="00966319">
        <w:rPr>
          <w:i/>
        </w:rPr>
        <w:t>Las partes que tienen pérdidas contractuales intentan pasar esas pérdidas a otros, especialmente a los contribuyentes</w:t>
      </w:r>
      <w:r>
        <w:rPr>
          <w:i/>
        </w:rPr>
        <w:t>’</w:t>
      </w:r>
      <w:r w:rsidRPr="00966319">
        <w:rPr>
          <w:i/>
        </w:rPr>
        <w:t xml:space="preserve">, afirma Edward Kane, economista de Boston College. </w:t>
      </w:r>
      <w:r>
        <w:rPr>
          <w:i/>
        </w:rPr>
        <w:t>‘</w:t>
      </w:r>
      <w:r w:rsidRPr="00966319">
        <w:rPr>
          <w:i/>
        </w:rPr>
        <w:t>Estas crisis tienden a prolongarse mientras haya una posibilidad de trasladar las pérdidas a los contribuyentes</w:t>
      </w:r>
      <w:r>
        <w:rPr>
          <w:i/>
        </w:rPr>
        <w:t>’</w:t>
      </w:r>
      <w:r w:rsidRPr="00966319">
        <w:rPr>
          <w:i/>
        </w:rPr>
        <w:t>.</w:t>
      </w:r>
    </w:p>
    <w:p w:rsidR="002F07D4" w:rsidRDefault="002F07D4" w:rsidP="002F07D4">
      <w:pPr>
        <w:pStyle w:val="NormalWeb"/>
        <w:jc w:val="both"/>
      </w:pPr>
      <w:r w:rsidRPr="00966319">
        <w:rPr>
          <w:i/>
        </w:rPr>
        <w:t xml:space="preserve">Entonces primero está la negación, luego los retrasos y por último, el disimulo. Esto tiene costos. Los préstamos bancarios son uno. </w:t>
      </w:r>
      <w:r>
        <w:rPr>
          <w:i/>
        </w:rPr>
        <w:t>‘</w:t>
      </w:r>
      <w:r w:rsidRPr="00966319">
        <w:rPr>
          <w:i/>
        </w:rPr>
        <w:t>Los bancos no están ansiosos de otorgar crédito, porque no saben cuánto capital tienen, y les resulta difícil levantar dinero, porque los inversionistas no están seguros de su condición financiera</w:t>
      </w:r>
      <w:r>
        <w:rPr>
          <w:i/>
        </w:rPr>
        <w:t>’</w:t>
      </w:r>
      <w:r w:rsidRPr="00966319">
        <w:rPr>
          <w:i/>
        </w:rPr>
        <w:t>, sostiene John Makin, del American Enterprise Institute</w:t>
      </w:r>
      <w:r>
        <w:rPr>
          <w:i/>
        </w:rPr>
        <w:t>”..</w:t>
      </w:r>
      <w:r w:rsidRPr="00966319">
        <w:rPr>
          <w:i/>
        </w:rPr>
        <w:t>.</w:t>
      </w:r>
      <w:r>
        <w:t>(The Wall Street Journal, op. cit.)</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¿Pero quién pierde aquí? </w:t>
      </w:r>
      <w:r w:rsidRPr="00C249F1">
        <w:rPr>
          <w:rFonts w:ascii="Times New Roman" w:hAnsi="Times New Roman"/>
          <w:sz w:val="24"/>
          <w:szCs w:val="24"/>
        </w:rPr>
        <w:t>Los contribuye</w:t>
      </w:r>
      <w:r>
        <w:rPr>
          <w:rFonts w:ascii="Times New Roman" w:hAnsi="Times New Roman"/>
          <w:sz w:val="24"/>
          <w:szCs w:val="24"/>
        </w:rPr>
        <w:t>ntes terminarán pagando todos (o casi todos) los</w:t>
      </w:r>
      <w:r w:rsidRPr="00C249F1">
        <w:rPr>
          <w:rFonts w:ascii="Times New Roman" w:hAnsi="Times New Roman"/>
          <w:sz w:val="24"/>
          <w:szCs w:val="24"/>
        </w:rPr>
        <w:t xml:space="preserve"> platos rotos. ¿Cuántos? Hasta que no se decida eso, la crisis continuará.</w:t>
      </w:r>
    </w:p>
    <w:p w:rsidR="002F07D4" w:rsidRPr="00A44FA8" w:rsidRDefault="002F07D4" w:rsidP="002F07D4">
      <w:pPr>
        <w:spacing w:line="240" w:lineRule="auto"/>
        <w:jc w:val="both"/>
        <w:rPr>
          <w:rFonts w:ascii="Times New Roman" w:eastAsia="Times New Roman" w:hAnsi="Times New Roman"/>
          <w:b/>
          <w:sz w:val="24"/>
          <w:szCs w:val="24"/>
          <w:lang w:eastAsia="es-ES"/>
        </w:rPr>
      </w:pPr>
      <w:r w:rsidRPr="00A44FA8">
        <w:rPr>
          <w:rFonts w:ascii="Times New Roman" w:eastAsia="Times New Roman" w:hAnsi="Times New Roman"/>
          <w:b/>
          <w:sz w:val="24"/>
          <w:szCs w:val="24"/>
          <w:lang w:eastAsia="es-ES"/>
        </w:rPr>
        <w:t>De chantaje en chantaje hasta la hecatombe final</w:t>
      </w:r>
    </w:p>
    <w:p w:rsidR="002F07D4" w:rsidRPr="00A44FA8" w:rsidRDefault="002F07D4" w:rsidP="002F07D4">
      <w:pPr>
        <w:spacing w:line="240" w:lineRule="auto"/>
        <w:jc w:val="both"/>
        <w:rPr>
          <w:rFonts w:ascii="Arial" w:hAnsi="Arial" w:cs="Arial"/>
          <w:sz w:val="15"/>
          <w:szCs w:val="15"/>
        </w:rPr>
      </w:pPr>
      <w:r>
        <w:rPr>
          <w:rFonts w:ascii="Times New Roman" w:eastAsia="Times New Roman" w:hAnsi="Times New Roman"/>
          <w:sz w:val="24"/>
          <w:szCs w:val="24"/>
          <w:lang w:eastAsia="es-ES"/>
        </w:rPr>
        <w:t xml:space="preserve">Seguramente van a pensar (tal vez con razón) que aprovechando que la crisis pasa por los Estados Unidos y la Unión Europea, quiero “llevar agua para mi molino”, criticando </w:t>
      </w:r>
      <w:r>
        <w:rPr>
          <w:rFonts w:ascii="Times New Roman" w:eastAsia="Times New Roman" w:hAnsi="Times New Roman"/>
          <w:sz w:val="24"/>
          <w:szCs w:val="24"/>
          <w:lang w:eastAsia="es-ES"/>
        </w:rPr>
        <w:lastRenderedPageBreak/>
        <w:t>la globalización (una vez más). Pero como “</w:t>
      </w:r>
      <w:r w:rsidRPr="00C249F1">
        <w:rPr>
          <w:rFonts w:ascii="Times New Roman" w:eastAsia="Times New Roman" w:hAnsi="Times New Roman"/>
          <w:b/>
          <w:sz w:val="24"/>
          <w:szCs w:val="24"/>
          <w:lang w:eastAsia="es-ES"/>
        </w:rPr>
        <w:t>testigo de cargo</w:t>
      </w:r>
      <w:r>
        <w:rPr>
          <w:rFonts w:ascii="Times New Roman" w:eastAsia="Times New Roman" w:hAnsi="Times New Roman"/>
          <w:sz w:val="24"/>
          <w:szCs w:val="24"/>
          <w:lang w:eastAsia="es-ES"/>
        </w:rPr>
        <w:t>” (título del Apartado donde publico mis Papers, dentro de la página web “</w:t>
      </w:r>
      <w:r w:rsidRPr="00C249F1">
        <w:rPr>
          <w:rFonts w:ascii="Times New Roman" w:eastAsia="Times New Roman" w:hAnsi="Times New Roman"/>
          <w:b/>
          <w:sz w:val="24"/>
          <w:szCs w:val="24"/>
          <w:lang w:eastAsia="es-ES"/>
        </w:rPr>
        <w:t>realidad económica</w:t>
      </w:r>
      <w:r>
        <w:rPr>
          <w:rFonts w:ascii="Times New Roman" w:eastAsia="Times New Roman" w:hAnsi="Times New Roman"/>
          <w:sz w:val="24"/>
          <w:szCs w:val="24"/>
          <w:lang w:eastAsia="es-ES"/>
        </w:rPr>
        <w:t>”), me animo a sostener que estas “</w:t>
      </w:r>
      <w:r w:rsidRPr="00026E87">
        <w:rPr>
          <w:rFonts w:ascii="Times New Roman" w:eastAsia="Times New Roman" w:hAnsi="Times New Roman"/>
          <w:b/>
          <w:sz w:val="24"/>
          <w:szCs w:val="24"/>
          <w:lang w:eastAsia="es-ES"/>
        </w:rPr>
        <w:t>economías fallidas</w:t>
      </w:r>
      <w:r>
        <w:rPr>
          <w:rFonts w:ascii="Times New Roman" w:eastAsia="Times New Roman" w:hAnsi="Times New Roman"/>
          <w:sz w:val="24"/>
          <w:szCs w:val="24"/>
          <w:lang w:eastAsia="es-ES"/>
        </w:rPr>
        <w:t>” llevan provocando una “década perdida” en sus  respectivos países (antes “avanzados”), para conseguir la “década prodigiosa” de los países BRIC (y otros “emergentes”, antes “sumergentes”). ¿A cambio de qué?</w:t>
      </w:r>
      <w:r>
        <w:rPr>
          <w:rFonts w:ascii="Times New Roman" w:eastAsia="Times New Roman" w:hAnsi="Times New Roman"/>
          <w:sz w:val="24"/>
          <w:szCs w:val="24"/>
          <w:lang w:eastAsia="es-ES"/>
        </w:rPr>
        <w:tab/>
      </w:r>
      <w:r>
        <w:rPr>
          <w:rFonts w:ascii="Times New Roman" w:eastAsia="Times New Roman" w:hAnsi="Times New Roman"/>
          <w:sz w:val="24"/>
          <w:szCs w:val="24"/>
          <w:lang w:eastAsia="es-ES"/>
        </w:rPr>
        <w:tab/>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globalización ha facilitado la financierización de la economía (si no fue ésta, la causa de aquella), y el libre movimiento de capitales ha sido el vaso comunicante del tsunami financiero. La desregulación (privatización) y la laxitud de los controles (connivencia), hicieron el resto. Nada de esto ha ocurrido de manera fortuita; de ningún modo es un “hecho de la naturaleza”; el “cisne negro” se transformó en una bandada migratoria de aves carroñeras que recorre el planeta depredando bienes y empleos.</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Los “bíblicos” ciclos económicos (que alguna vez ciertos “profetas” de la globalización, dieron por terminados), no afectarían simultáneamente a tantos países si no existiera el libre movimiento de capitales. La pérdida de puestos de trabajo serían menores si no existiera el libre movimiento de mercancías. Los daños y los rescates serían inferiores.</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“economías fallidas” han logrado que no haya “contrapartidas” a las locuras especulativas que se comenten. Se pasa de la “euforia excesiva” al “pánico irracional”, donde algunos (siempre los mismos) ganan dinero (demasiado), en detrimento de muchos (casi todos) que pierden lo poco que tienen.</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Las “economías fallidas” han destruido las clases medias propias para promover el surgimiento de clases medias en los países donde han delocalizado la producción. Creyeron (o hicieron creer) que la “sopa boba” del “crédito para todos” sustituiría a los salarios perdidos, para terminar descubriendo (o haciendo descubrir) que el “pago fácil” no suple al empleo, ni los precios baratos de los bienes importados (que renunciaron a producir localmente) compensan los menores ingresos salariales de los empleos basura, temporales o precarios.</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El mayor “éxito” de la globalización y sus hijas putativas, las “economías fallidas”, ha sido que, por primera vez desde el fin de la Segunda Guerra Mundial, los hijos tengan  menores expectativas de ingresos que la de sus padres. Genial, “todo un triunfo”.</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En las “economías fallidas” se da la triste paradoja que la generación mejor formada de la historia se está muriendo a las puertas del paraíso. Entran caminando hacia atrás en el futuro. No pueden conseguir empleo, y si lo consiguen, es precario; viven atenazados por el salario del miedo; trabajan dos (hombre y mujer) por el salario de uno; no pueden integrar una familia; no pueden comprar una casa; no pueden tener hijos... eso se lo dejan a lo hacen los inmigrantes (con lo que el suicidio cultural está asegurado)…</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Lo único que se ofrece a la juventud, repito, “la (supuestamente) mejor formada de la historia”, son chupetes (teléfonos móviles, Smartphone, iPhone, iPad, mp3, mp4…), anestésicos de masas (Facebook, </w:t>
      </w:r>
      <w:r w:rsidR="00FF0D17">
        <w:rPr>
          <w:rFonts w:ascii="Times New Roman" w:eastAsia="Times New Roman" w:hAnsi="Times New Roman"/>
          <w:sz w:val="24"/>
          <w:szCs w:val="24"/>
          <w:lang w:eastAsia="es-ES"/>
        </w:rPr>
        <w:t>YouTube</w:t>
      </w:r>
      <w:r>
        <w:rPr>
          <w:rFonts w:ascii="Times New Roman" w:eastAsia="Times New Roman" w:hAnsi="Times New Roman"/>
          <w:sz w:val="24"/>
          <w:szCs w:val="24"/>
          <w:lang w:eastAsia="es-ES"/>
        </w:rPr>
        <w:t>…), y fórmulas de analfabetismo funcional (SMS, Messenger, Twitter)…Trabajo no encuentran pero, eso sí, todos tienen un mundo feliz en la “cloud computing”… “Nube”, “niebla”, “ceguera voluntaria”, qué más da…</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Para aquellos que no toleran la “excepción justificada”, la droga y/o el alcohol son la(s) fórmula(s) ofrecida(s) y utilizada(s) por el establishment para domesticarlos, mientras realizan la travesía del desierto. Adicción por adhesión. Un mensaje escalofriante.</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A los “sobrevivientes” de este viaje a ninguna parte, les aplican un “masaje” mental de fútbol, beisbol, baloncesto, o Super Bowl, para completar la “gibarización” (lobotomía). ¿Será este el “Fin de la Historia” que profetizó Fukuyama? Una analogía patética.</w:t>
      </w:r>
    </w:p>
    <w:p w:rsidR="002F07D4" w:rsidRDefault="002F07D4" w:rsidP="002F07D4">
      <w:pPr>
        <w:spacing w:line="240" w:lineRule="auto"/>
        <w:jc w:val="both"/>
        <w:rPr>
          <w:rFonts w:ascii="Times New Roman" w:hAnsi="Times New Roman"/>
          <w:sz w:val="24"/>
          <w:szCs w:val="24"/>
        </w:rPr>
      </w:pPr>
      <w:r>
        <w:rPr>
          <w:rFonts w:ascii="Times New Roman" w:eastAsia="Times New Roman" w:hAnsi="Times New Roman"/>
          <w:sz w:val="24"/>
          <w:szCs w:val="24"/>
          <w:lang w:eastAsia="es-ES"/>
        </w:rPr>
        <w:t xml:space="preserve">Ante la falta de perspectivas que tiene ser miembro de una “economía fallida” (norteamericana o europea, tanto monta, monta tanto), ante tamaño surrealismo, ante tal ópera bufa… ¿no habrá llegado la hora de desaprender el dogma neoliberal? </w:t>
      </w:r>
      <w:r>
        <w:rPr>
          <w:rFonts w:ascii="Times New Roman" w:hAnsi="Times New Roman"/>
          <w:sz w:val="24"/>
          <w:szCs w:val="24"/>
        </w:rPr>
        <w:t>¿e</w:t>
      </w:r>
      <w:r w:rsidRPr="007C219D">
        <w:rPr>
          <w:rFonts w:ascii="Times New Roman" w:hAnsi="Times New Roman"/>
          <w:sz w:val="24"/>
          <w:szCs w:val="24"/>
        </w:rPr>
        <w:t xml:space="preserve">n un  momento tan difícil, no habría que hacer que lo impensable sea realmente impensable?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¿Alguien se imaginó en algún momento que en los EEUU se podría alcanzar un nivel de desempleo real del 22,2% (</w:t>
      </w:r>
      <w:r w:rsidRPr="00893E38">
        <w:rPr>
          <w:rFonts w:ascii="Times New Roman" w:hAnsi="Times New Roman"/>
          <w:sz w:val="24"/>
          <w:szCs w:val="24"/>
        </w:rPr>
        <w:t>según Shadowstats.com</w:t>
      </w:r>
      <w:r>
        <w:rPr>
          <w:rFonts w:ascii="Times New Roman" w:hAnsi="Times New Roman"/>
          <w:sz w:val="24"/>
          <w:szCs w:val="24"/>
        </w:rPr>
        <w:t>), de la población activa?</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¿Alguien se imaginó en algún momento que </w:t>
      </w:r>
      <w:r w:rsidRPr="00F9389A">
        <w:rPr>
          <w:rFonts w:ascii="Times New Roman" w:eastAsia="Times New Roman" w:hAnsi="Times New Roman"/>
          <w:sz w:val="24"/>
          <w:szCs w:val="24"/>
          <w:lang w:eastAsia="es-ES"/>
        </w:rPr>
        <w:t>el número de estad</w:t>
      </w:r>
      <w:r>
        <w:rPr>
          <w:rFonts w:ascii="Times New Roman" w:eastAsia="Times New Roman" w:hAnsi="Times New Roman"/>
          <w:sz w:val="24"/>
          <w:szCs w:val="24"/>
          <w:lang w:eastAsia="es-ES"/>
        </w:rPr>
        <w:t>ounidenses que recibiría</w:t>
      </w:r>
      <w:r w:rsidRPr="00F9389A">
        <w:rPr>
          <w:rFonts w:ascii="Times New Roman" w:eastAsia="Times New Roman" w:hAnsi="Times New Roman"/>
          <w:sz w:val="24"/>
          <w:szCs w:val="24"/>
          <w:lang w:eastAsia="es-ES"/>
        </w:rPr>
        <w:t xml:space="preserve"> cupones de alimento p</w:t>
      </w:r>
      <w:r>
        <w:rPr>
          <w:rFonts w:ascii="Times New Roman" w:eastAsia="Times New Roman" w:hAnsi="Times New Roman"/>
          <w:sz w:val="24"/>
          <w:szCs w:val="24"/>
          <w:lang w:eastAsia="es-ES"/>
        </w:rPr>
        <w:t>or parte del Gobierno alcanzara</w:t>
      </w:r>
      <w:r w:rsidRPr="00F9389A">
        <w:rPr>
          <w:rFonts w:ascii="Times New Roman" w:eastAsia="Times New Roman" w:hAnsi="Times New Roman"/>
          <w:sz w:val="24"/>
          <w:szCs w:val="24"/>
          <w:lang w:eastAsia="es-ES"/>
        </w:rPr>
        <w:t xml:space="preserve"> a más del 14% de la población?</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¿Alguien se imaginó en algún momento que en la Unión Europea el 50% de los jóvenes estuviera desempleado? </w:t>
      </w:r>
    </w:p>
    <w:p w:rsidR="002F07D4" w:rsidRPr="007C219D"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¿Alguien se imaginó en algún momento que  en la Unión Europea se alcanzaría </w:t>
      </w:r>
      <w:r w:rsidRPr="00F9389A">
        <w:rPr>
          <w:rFonts w:ascii="Times New Roman" w:eastAsia="Times New Roman" w:hAnsi="Times New Roman"/>
          <w:sz w:val="24"/>
          <w:szCs w:val="24"/>
          <w:lang w:eastAsia="es-ES"/>
        </w:rPr>
        <w:t>una tasa de población</w:t>
      </w:r>
      <w:r>
        <w:rPr>
          <w:rFonts w:ascii="Times New Roman" w:eastAsia="Times New Roman" w:hAnsi="Times New Roman"/>
          <w:sz w:val="24"/>
          <w:szCs w:val="24"/>
          <w:lang w:eastAsia="es-ES"/>
        </w:rPr>
        <w:t xml:space="preserve"> en riesgo de pobreza del 19,5%?</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¿Alguien se imaginó en algún momento que China iba a terminar financiando “the american way of life” (la adicción al consumo de los Estados Unidos)?</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¿Alguien se </w:t>
      </w:r>
      <w:r w:rsidR="00FF0D17">
        <w:rPr>
          <w:rFonts w:ascii="Times New Roman" w:eastAsia="Times New Roman" w:hAnsi="Times New Roman"/>
          <w:sz w:val="24"/>
          <w:szCs w:val="24"/>
          <w:lang w:eastAsia="es-ES"/>
        </w:rPr>
        <w:t>imaginó</w:t>
      </w:r>
      <w:r>
        <w:rPr>
          <w:rFonts w:ascii="Times New Roman" w:eastAsia="Times New Roman" w:hAnsi="Times New Roman"/>
          <w:sz w:val="24"/>
          <w:szCs w:val="24"/>
          <w:lang w:eastAsia="es-ES"/>
        </w:rPr>
        <w:t xml:space="preserve"> en algún momento que la </w:t>
      </w:r>
      <w:r w:rsidRPr="00DE3EFB">
        <w:rPr>
          <w:rFonts w:ascii="Times New Roman" w:eastAsia="Times New Roman" w:hAnsi="Times New Roman"/>
          <w:sz w:val="24"/>
          <w:szCs w:val="24"/>
          <w:lang w:eastAsia="es-ES"/>
        </w:rPr>
        <w:t>falta de solvencia de la banca europea obliga</w:t>
      </w:r>
      <w:r>
        <w:rPr>
          <w:rFonts w:ascii="Times New Roman" w:eastAsia="Times New Roman" w:hAnsi="Times New Roman"/>
          <w:sz w:val="24"/>
          <w:szCs w:val="24"/>
          <w:lang w:eastAsia="es-ES"/>
        </w:rPr>
        <w:t xml:space="preserve">ría </w:t>
      </w:r>
      <w:r w:rsidRPr="00DE3EFB">
        <w:rPr>
          <w:rFonts w:ascii="Times New Roman" w:eastAsia="Times New Roman" w:hAnsi="Times New Roman"/>
          <w:sz w:val="24"/>
          <w:szCs w:val="24"/>
          <w:lang w:eastAsia="es-ES"/>
        </w:rPr>
        <w:t>a intervenir a la desesperada a los bancos centrales</w:t>
      </w:r>
      <w:r>
        <w:rPr>
          <w:rFonts w:ascii="Times New Roman" w:eastAsia="Times New Roman" w:hAnsi="Times New Roman"/>
          <w:sz w:val="24"/>
          <w:szCs w:val="24"/>
          <w:lang w:eastAsia="es-ES"/>
        </w:rPr>
        <w:t xml:space="preserve"> (Reserva Federal de  Estados Unidos, Banco Central Europeo, Banco de Japón, Banco de Inglaterra, Banco Nacional de Suiza, Banco de Canadá), por segunda vez en menos de tres meses? ¿Y qué tuvieran que prorrogar la “barra libre” para los bancos, hasta el año 2013?</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¿Alguien se imaginó en algún momento que la Unión Europea tendría que recurrir al Fondo Monetario Internacional en busca de auxilio financiero?</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¿Alguien se imaginó en algún momento que la deuda soberana de los Estados Unidos pudiera perder la calificación de Triple A?</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¿Alguien se imaginó en algún momento que el dinero que el BCE facilitara a los bancos (“ilimitadamente”) no sería inflacionario y que el dinero utilizado (por el mismo BCE) para adquirir deuda pública (“limitadamente”) podría ser inflacionario?</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¿Alguien se imaginó en algún momento que la Fed llegaría a</w:t>
      </w:r>
      <w:r w:rsidRPr="00BC2DC1">
        <w:rPr>
          <w:rFonts w:ascii="Times New Roman" w:eastAsia="Times New Roman" w:hAnsi="Times New Roman"/>
          <w:sz w:val="24"/>
          <w:szCs w:val="24"/>
          <w:lang w:eastAsia="es-ES"/>
        </w:rPr>
        <w:t xml:space="preserve"> comprometer 7,77 billones de dólares entre 2007 y 2009, incluyendo garantías adem</w:t>
      </w:r>
      <w:r>
        <w:rPr>
          <w:rFonts w:ascii="Times New Roman" w:eastAsia="Times New Roman" w:hAnsi="Times New Roman"/>
          <w:sz w:val="24"/>
          <w:szCs w:val="24"/>
          <w:lang w:eastAsia="es-ES"/>
        </w:rPr>
        <w:t xml:space="preserve">ás de préstamos, un </w:t>
      </w:r>
      <w:r w:rsidRPr="00BC2DC1">
        <w:rPr>
          <w:rFonts w:ascii="Times New Roman" w:eastAsia="Times New Roman" w:hAnsi="Times New Roman"/>
          <w:sz w:val="24"/>
          <w:szCs w:val="24"/>
          <w:lang w:eastAsia="es-ES"/>
        </w:rPr>
        <w:t>valor</w:t>
      </w:r>
      <w:r>
        <w:rPr>
          <w:rFonts w:ascii="Times New Roman" w:eastAsia="Times New Roman" w:hAnsi="Times New Roman"/>
          <w:sz w:val="24"/>
          <w:szCs w:val="24"/>
          <w:lang w:eastAsia="es-ES"/>
        </w:rPr>
        <w:t xml:space="preserve"> equivalente a </w:t>
      </w:r>
      <w:r w:rsidRPr="00BC2DC1">
        <w:rPr>
          <w:rFonts w:ascii="Times New Roman" w:eastAsia="Times New Roman" w:hAnsi="Times New Roman"/>
          <w:sz w:val="24"/>
          <w:szCs w:val="24"/>
          <w:lang w:eastAsia="es-ES"/>
        </w:rPr>
        <w:t>más de la mitad del PIB de EEUU</w:t>
      </w:r>
      <w:r>
        <w:rPr>
          <w:rFonts w:ascii="Times New Roman" w:eastAsia="Times New Roman" w:hAnsi="Times New Roman"/>
          <w:sz w:val="24"/>
          <w:szCs w:val="24"/>
          <w:lang w:eastAsia="es-ES"/>
        </w:rPr>
        <w:t>,</w:t>
      </w:r>
      <w:r w:rsidRPr="00BC2DC1">
        <w:rPr>
          <w:rFonts w:ascii="Times New Roman" w:eastAsia="Times New Roman" w:hAnsi="Times New Roman"/>
          <w:sz w:val="24"/>
          <w:szCs w:val="24"/>
          <w:lang w:eastAsia="es-ES"/>
        </w:rPr>
        <w:t xml:space="preserve"> sin el conocimiento del Congreso de EEUU</w:t>
      </w:r>
      <w:r>
        <w:rPr>
          <w:rFonts w:ascii="Times New Roman" w:eastAsia="Times New Roman" w:hAnsi="Times New Roman"/>
          <w:sz w:val="24"/>
          <w:szCs w:val="24"/>
          <w:lang w:eastAsia="es-ES"/>
        </w:rPr>
        <w:t xml:space="preserve">, </w:t>
      </w:r>
      <w:r w:rsidRPr="00BC2DC1">
        <w:rPr>
          <w:rFonts w:ascii="Times New Roman" w:eastAsia="Times New Roman" w:hAnsi="Times New Roman"/>
          <w:sz w:val="24"/>
          <w:szCs w:val="24"/>
          <w:lang w:eastAsia="es-ES"/>
        </w:rPr>
        <w:t xml:space="preserve">para salvar al </w:t>
      </w:r>
      <w:r>
        <w:rPr>
          <w:rFonts w:ascii="Times New Roman" w:eastAsia="Times New Roman" w:hAnsi="Times New Roman"/>
          <w:sz w:val="24"/>
          <w:szCs w:val="24"/>
          <w:lang w:eastAsia="es-ES"/>
        </w:rPr>
        <w:t>sistema financiero mundial?</w:t>
      </w:r>
    </w:p>
    <w:p w:rsidR="002F07D4" w:rsidRDefault="002F07D4" w:rsidP="002F07D4">
      <w:pPr>
        <w:spacing w:line="240" w:lineRule="auto"/>
        <w:jc w:val="both"/>
        <w:rPr>
          <w:rFonts w:ascii="Times New Roman" w:hAnsi="Times New Roman"/>
          <w:sz w:val="24"/>
          <w:szCs w:val="24"/>
        </w:rPr>
      </w:pPr>
      <w:r>
        <w:rPr>
          <w:rFonts w:ascii="Times New Roman" w:eastAsia="Times New Roman" w:hAnsi="Times New Roman"/>
          <w:sz w:val="24"/>
          <w:szCs w:val="24"/>
          <w:lang w:eastAsia="es-ES"/>
        </w:rPr>
        <w:t>¿Alguien se imaginó en algún momento que e</w:t>
      </w:r>
      <w:r>
        <w:rPr>
          <w:rFonts w:ascii="Times New Roman" w:hAnsi="Times New Roman"/>
          <w:sz w:val="24"/>
          <w:szCs w:val="24"/>
        </w:rPr>
        <w:t>l sector bancario recibiría</w:t>
      </w:r>
      <w:r w:rsidRPr="000A6114">
        <w:rPr>
          <w:rFonts w:ascii="Times New Roman" w:hAnsi="Times New Roman"/>
          <w:sz w:val="24"/>
          <w:szCs w:val="24"/>
        </w:rPr>
        <w:t xml:space="preserve"> un total de ayudas públicas de 1,6 billones de euros entre octubre de 2008 y diciembre de 2010 procedente de los países de la Unión Europea (UE), lo que supone un 13 % del Produc</w:t>
      </w:r>
      <w:r>
        <w:rPr>
          <w:rFonts w:ascii="Times New Roman" w:hAnsi="Times New Roman"/>
          <w:sz w:val="24"/>
          <w:szCs w:val="24"/>
        </w:rPr>
        <w:t xml:space="preserve">to Interior Bruto (PIB) europeo? </w:t>
      </w:r>
    </w:p>
    <w:p w:rsidR="002F07D4" w:rsidRPr="00635162" w:rsidRDefault="002F07D4" w:rsidP="002F07D4">
      <w:pPr>
        <w:spacing w:line="240" w:lineRule="auto"/>
        <w:jc w:val="both"/>
        <w:rPr>
          <w:rFonts w:ascii="Times New Roman" w:hAnsi="Times New Roman"/>
          <w:sz w:val="24"/>
          <w:szCs w:val="24"/>
        </w:rPr>
      </w:pPr>
      <w:r w:rsidRPr="00D05477">
        <w:rPr>
          <w:rFonts w:ascii="Times New Roman" w:hAnsi="Times New Roman"/>
          <w:sz w:val="24"/>
          <w:szCs w:val="24"/>
        </w:rPr>
        <w:t>¿</w:t>
      </w:r>
      <w:r>
        <w:rPr>
          <w:rFonts w:ascii="Times New Roman" w:hAnsi="Times New Roman"/>
          <w:sz w:val="24"/>
          <w:szCs w:val="24"/>
        </w:rPr>
        <w:t xml:space="preserve">Alguien se imaginó en algún momento que los </w:t>
      </w:r>
      <w:r w:rsidRPr="00D05477">
        <w:rPr>
          <w:rFonts w:ascii="Times New Roman" w:hAnsi="Times New Roman"/>
          <w:sz w:val="24"/>
          <w:szCs w:val="24"/>
        </w:rPr>
        <w:t>líderes europeos</w:t>
      </w:r>
      <w:r>
        <w:rPr>
          <w:rFonts w:ascii="Times New Roman" w:hAnsi="Times New Roman"/>
          <w:sz w:val="24"/>
          <w:szCs w:val="24"/>
        </w:rPr>
        <w:t xml:space="preserve"> reaccionarían con tantos titubeos(</w:t>
      </w:r>
      <w:r w:rsidRPr="0056003F">
        <w:rPr>
          <w:rFonts w:ascii="Times New Roman" w:hAnsi="Times New Roman"/>
          <w:sz w:val="24"/>
          <w:szCs w:val="24"/>
        </w:rPr>
        <w:t>parsimonia, zigzagueos y retrocesos</w:t>
      </w:r>
      <w:r>
        <w:rPr>
          <w:rFonts w:ascii="Times New Roman" w:hAnsi="Times New Roman"/>
          <w:sz w:val="24"/>
          <w:szCs w:val="24"/>
        </w:rPr>
        <w:t>)</w:t>
      </w:r>
      <w:r w:rsidRPr="00D05477">
        <w:rPr>
          <w:rFonts w:ascii="Times New Roman" w:hAnsi="Times New Roman"/>
          <w:sz w:val="24"/>
          <w:szCs w:val="24"/>
        </w:rPr>
        <w:t>,</w:t>
      </w:r>
      <w:r>
        <w:rPr>
          <w:rFonts w:ascii="Times New Roman" w:hAnsi="Times New Roman"/>
          <w:sz w:val="24"/>
          <w:szCs w:val="24"/>
        </w:rPr>
        <w:t xml:space="preserve"> o actuarían</w:t>
      </w:r>
      <w:r w:rsidRPr="00D05477">
        <w:rPr>
          <w:rFonts w:ascii="Times New Roman" w:hAnsi="Times New Roman"/>
          <w:sz w:val="24"/>
          <w:szCs w:val="24"/>
        </w:rPr>
        <w:t xml:space="preserve"> con torpes intentos, malinterpretando la realidad e ignorando el inminente peligro hasta que hayan hecho incluso más d</w:t>
      </w:r>
      <w:r>
        <w:rPr>
          <w:rFonts w:ascii="Times New Roman" w:hAnsi="Times New Roman"/>
          <w:sz w:val="24"/>
          <w:szCs w:val="24"/>
        </w:rPr>
        <w:t>año a la economía mundial que el</w:t>
      </w:r>
      <w:r w:rsidRPr="00D05477">
        <w:rPr>
          <w:rFonts w:ascii="Times New Roman" w:hAnsi="Times New Roman"/>
          <w:sz w:val="24"/>
          <w:szCs w:val="24"/>
        </w:rPr>
        <w:t xml:space="preserve"> q</w:t>
      </w:r>
      <w:r>
        <w:rPr>
          <w:rFonts w:ascii="Times New Roman" w:hAnsi="Times New Roman"/>
          <w:sz w:val="24"/>
          <w:szCs w:val="24"/>
        </w:rPr>
        <w:t>ue hizo Estados Unidos en 2008?</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¿Alguien se </w:t>
      </w:r>
      <w:r w:rsidR="00FF0D17">
        <w:rPr>
          <w:rFonts w:ascii="Times New Roman" w:eastAsia="Times New Roman" w:hAnsi="Times New Roman"/>
          <w:sz w:val="24"/>
          <w:szCs w:val="24"/>
          <w:lang w:eastAsia="es-ES"/>
        </w:rPr>
        <w:t>imaginó</w:t>
      </w:r>
      <w:r>
        <w:rPr>
          <w:rFonts w:ascii="Times New Roman" w:eastAsia="Times New Roman" w:hAnsi="Times New Roman"/>
          <w:sz w:val="24"/>
          <w:szCs w:val="24"/>
          <w:lang w:eastAsia="es-ES"/>
        </w:rPr>
        <w:t xml:space="preserve"> en algún momento que se pudiera romper la Zona Euro, desaparecer el Euro o disolverse la Unión Europea?</w:t>
      </w:r>
    </w:p>
    <w:p w:rsidR="002F07D4" w:rsidRDefault="002F07D4" w:rsidP="002F07D4">
      <w:pPr>
        <w:spacing w:line="240" w:lineRule="auto"/>
        <w:jc w:val="both"/>
        <w:rPr>
          <w:rFonts w:ascii="Times New Roman" w:hAnsi="Times New Roman"/>
          <w:sz w:val="24"/>
          <w:szCs w:val="24"/>
        </w:rPr>
      </w:pPr>
      <w:r>
        <w:rPr>
          <w:rFonts w:ascii="Times New Roman" w:eastAsia="Times New Roman" w:hAnsi="Times New Roman"/>
          <w:sz w:val="24"/>
          <w:szCs w:val="24"/>
          <w:lang w:eastAsia="es-ES"/>
        </w:rPr>
        <w:t>¿Alguien se imaginó en algún momento que</w:t>
      </w:r>
      <w:r w:rsidRPr="009F5A2A">
        <w:rPr>
          <w:rFonts w:ascii="Times New Roman" w:hAnsi="Times New Roman"/>
          <w:sz w:val="24"/>
          <w:szCs w:val="24"/>
        </w:rPr>
        <w:t>Barack Obama registra</w:t>
      </w:r>
      <w:r>
        <w:rPr>
          <w:rFonts w:ascii="Times New Roman" w:hAnsi="Times New Roman"/>
          <w:sz w:val="24"/>
          <w:szCs w:val="24"/>
        </w:rPr>
        <w:t>ría</w:t>
      </w:r>
      <w:r w:rsidRPr="009F5A2A">
        <w:rPr>
          <w:rFonts w:ascii="Times New Roman" w:hAnsi="Times New Roman"/>
          <w:sz w:val="24"/>
          <w:szCs w:val="24"/>
        </w:rPr>
        <w:t xml:space="preserve"> el peor índice de popularidad de la historia moderna de</w:t>
      </w:r>
      <w:r>
        <w:rPr>
          <w:rFonts w:ascii="Times New Roman" w:hAnsi="Times New Roman"/>
          <w:sz w:val="24"/>
          <w:szCs w:val="24"/>
        </w:rPr>
        <w:t xml:space="preserve"> los</w:t>
      </w:r>
      <w:r w:rsidRPr="009F5A2A">
        <w:rPr>
          <w:rFonts w:ascii="Times New Roman" w:hAnsi="Times New Roman"/>
          <w:sz w:val="24"/>
          <w:szCs w:val="24"/>
        </w:rPr>
        <w:t xml:space="preserve"> EEUU justo un año antes de optar a la reelección presidencial</w:t>
      </w:r>
      <w:r>
        <w:rPr>
          <w:rFonts w:ascii="Times New Roman" w:hAnsi="Times New Roman"/>
          <w:sz w:val="24"/>
          <w:szCs w:val="24"/>
        </w:rPr>
        <w:t>?</w:t>
      </w:r>
    </w:p>
    <w:p w:rsidR="002F07D4" w:rsidRPr="0055051E"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¿Alguien se imaginó en algún momento a Sarkozy “pegado a la teta” de Merkel, o al todopoderoso Berlusconi expulsado del poder por un “golpe” acreedor-tecnocrático? </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¿Alguien se imaginó en algún momento que tanto EEUU, como la UE pudieran estar tan cerca de formar parte de los Países del Tercer Mundo?</w:t>
      </w:r>
    </w:p>
    <w:p w:rsidR="002F07D4" w:rsidRDefault="002F07D4" w:rsidP="002F07D4">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Hasta ahora nada de lo “actuado” (otra vez con los artistas) por la Fed y el BCE ha servido para apoyar el crecimiento económico (demanda) o aumentar la ocupación de la mano de obra (empleo), en medio de la turbulencia. Toda la “barra libre” de liquidez se empleó para aliviar las tensiones de la banca y alentar la especulación bursátil.</w:t>
      </w:r>
    </w:p>
    <w:p w:rsidR="002F07D4" w:rsidRPr="00A551F2" w:rsidRDefault="002F07D4" w:rsidP="002F07D4">
      <w:pPr>
        <w:spacing w:line="240" w:lineRule="auto"/>
        <w:jc w:val="both"/>
        <w:rPr>
          <w:rFonts w:ascii="Times New Roman" w:hAnsi="Times New Roman"/>
          <w:sz w:val="24"/>
          <w:szCs w:val="24"/>
        </w:rPr>
      </w:pPr>
      <w:r w:rsidRPr="00AD3E0C">
        <w:rPr>
          <w:rFonts w:ascii="Times New Roman" w:hAnsi="Times New Roman"/>
          <w:sz w:val="24"/>
          <w:szCs w:val="24"/>
        </w:rPr>
        <w:t>Tras cuatro años de crisis del crédito, los bancos y los Estados están entrelazados en un abrazo mortal: los primeros tienen en su balance la deuda de los Estados y estos se encuentran en una situación de tal debilidad presupuestaria que les impide recapitalizar a los bancos adecuadament</w:t>
      </w:r>
      <w:r>
        <w:rPr>
          <w:rFonts w:ascii="Times New Roman" w:hAnsi="Times New Roman"/>
          <w:sz w:val="24"/>
          <w:szCs w:val="24"/>
        </w:rPr>
        <w:t xml:space="preserve">e (una ironía más de la crisis: </w:t>
      </w:r>
      <w:r w:rsidRPr="00AD3E0C">
        <w:rPr>
          <w:rFonts w:ascii="Times New Roman" w:hAnsi="Times New Roman"/>
          <w:sz w:val="24"/>
          <w:szCs w:val="24"/>
        </w:rPr>
        <w:t>aunque quisiera nacion</w:t>
      </w:r>
      <w:r>
        <w:rPr>
          <w:rFonts w:ascii="Times New Roman" w:hAnsi="Times New Roman"/>
          <w:sz w:val="24"/>
          <w:szCs w:val="24"/>
        </w:rPr>
        <w:t>alizarlos quizá no podrían).</w:t>
      </w:r>
      <w:r w:rsidRPr="00472BB7">
        <w:rPr>
          <w:rFonts w:ascii="Times New Roman" w:hAnsi="Times New Roman"/>
          <w:sz w:val="24"/>
          <w:szCs w:val="24"/>
        </w:rPr>
        <w:t>Mientras,</w:t>
      </w:r>
      <w:r>
        <w:rPr>
          <w:rFonts w:ascii="Times New Roman" w:hAnsi="Times New Roman"/>
          <w:sz w:val="24"/>
          <w:szCs w:val="24"/>
        </w:rPr>
        <w:t xml:space="preserve"> el 70% de la operativa bursátil en los EEUU, está en manos de “autómatas” (high frequency trading). ¡40.000 operaciones, en un parpadeo!...</w:t>
      </w:r>
    </w:p>
    <w:p w:rsidR="002F07D4" w:rsidRDefault="002F07D4" w:rsidP="002F07D4">
      <w:pPr>
        <w:spacing w:line="240" w:lineRule="auto"/>
        <w:jc w:val="both"/>
        <w:rPr>
          <w:rFonts w:ascii="Times New Roman" w:hAnsi="Times New Roman"/>
          <w:sz w:val="24"/>
          <w:szCs w:val="24"/>
        </w:rPr>
      </w:pPr>
      <w:r w:rsidRPr="00D05477">
        <w:rPr>
          <w:rFonts w:ascii="Times New Roman" w:hAnsi="Times New Roman"/>
          <w:sz w:val="24"/>
          <w:szCs w:val="24"/>
        </w:rPr>
        <w:t>La mitad de los países desarrollados tiene tanta deuda que no pueden costear más estímulos fiscales, dice la OCDE. El Fondo Monetario Internacional no tiene dinero suf</w:t>
      </w:r>
      <w:r>
        <w:rPr>
          <w:rFonts w:ascii="Times New Roman" w:hAnsi="Times New Roman"/>
          <w:sz w:val="24"/>
          <w:szCs w:val="24"/>
        </w:rPr>
        <w:t>iciente para rescatar a Europa. ¡Y los “programas algorítmicos”… juegan a Dios!...</w:t>
      </w:r>
    </w:p>
    <w:p w:rsidR="002F07D4" w:rsidRPr="00017D5B"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Estos funambulistas de la economía de casino han pasado del “demasiado grandes para caer” (bancos), al “demasiado grandes para ser rescatados” (países), sin importarles un “carajo” (antes y después) los “demasiado pequeños para ocuparse de ellos” (la gente común) que, finalmente, resultan ser los únicos “paganinis” de todas las apuestas. Rojas o negras, pares o nones (cuando sale cara, yo gano, y cuando sale cruz, tú pierdes).  </w:t>
      </w:r>
    </w:p>
    <w:p w:rsidR="002F07D4" w:rsidRDefault="002F07D4" w:rsidP="002F07D4">
      <w:pPr>
        <w:spacing w:line="240" w:lineRule="auto"/>
        <w:jc w:val="both"/>
      </w:pPr>
      <w:r>
        <w:rPr>
          <w:rFonts w:ascii="Times New Roman" w:hAnsi="Times New Roman"/>
          <w:sz w:val="24"/>
          <w:szCs w:val="24"/>
        </w:rPr>
        <w:t xml:space="preserve">¿Será este </w:t>
      </w:r>
      <w:r w:rsidRPr="00762069">
        <w:rPr>
          <w:rFonts w:ascii="Times New Roman" w:hAnsi="Times New Roman"/>
          <w:sz w:val="24"/>
          <w:szCs w:val="24"/>
        </w:rPr>
        <w:t>un paréntesis histórico plagado de experimentos patológicos perpetrados por pensadores</w:t>
      </w:r>
      <w:r>
        <w:rPr>
          <w:rFonts w:ascii="Times New Roman" w:hAnsi="Times New Roman"/>
          <w:sz w:val="24"/>
          <w:szCs w:val="24"/>
        </w:rPr>
        <w:t xml:space="preserve"> mercenarios, especuladores desenfrenados, organismos no electos, </w:t>
      </w:r>
      <w:r w:rsidRPr="00762069">
        <w:rPr>
          <w:rFonts w:ascii="Times New Roman" w:hAnsi="Times New Roman"/>
          <w:sz w:val="24"/>
          <w:szCs w:val="24"/>
        </w:rPr>
        <w:t xml:space="preserve"> y políticos trastornados</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sidRPr="00D05477">
        <w:rPr>
          <w:rFonts w:ascii="Times New Roman" w:hAnsi="Times New Roman"/>
          <w:sz w:val="24"/>
          <w:szCs w:val="24"/>
        </w:rPr>
        <w:t>Es difícil tener perspectiva sobre los acontecimientos cuando todavía están pasando</w:t>
      </w:r>
      <w:r>
        <w:rPr>
          <w:rFonts w:ascii="Times New Roman" w:hAnsi="Times New Roman"/>
          <w:sz w:val="24"/>
          <w:szCs w:val="24"/>
        </w:rPr>
        <w:t xml:space="preserve"> (</w:t>
      </w:r>
      <w:r w:rsidRPr="00E01FE7">
        <w:rPr>
          <w:rFonts w:ascii="Times New Roman" w:hAnsi="Times New Roman"/>
          <w:b/>
          <w:sz w:val="24"/>
          <w:szCs w:val="24"/>
        </w:rPr>
        <w:t>2/12/11</w:t>
      </w:r>
      <w:r>
        <w:rPr>
          <w:rFonts w:ascii="Times New Roman" w:hAnsi="Times New Roman"/>
          <w:sz w:val="24"/>
          <w:szCs w:val="24"/>
        </w:rPr>
        <w:t>) pero, antes de la despedida, les invito a observar “la raya de abajo” (así se expresaba, oportunamente, un ex-vicepresidente del City Bank -antes que fuera el Citigroup y viviera de la teta de la Fed- cuando se refería al “resultado final” de un negocio), lo que “realmente” interesa saber de este Armagedón. ¿Es causa o efecto?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Puedo ser “políticamente incorrecto” (y me congratulo), pero esta crisis (siendo tan grave y extensa) no es la “causa” del paro, ni de la pobreza en los países (antes) avanzados, es un “efecto” de la globalización, del librecambio, de la desregulación, de la financierización, de la deslocalización y de la externalización. Tampoco es un “daño colateral”; está implícito en el modelo de economía de casino (en línea con lo esperado, vamos). Los montajes piramidales, tienen (antes o después) este tipo de consecuencias, el que gana “se lleva todo”, pero cuando pierde… “se ponen todos”. El “reaseguro” </w:t>
      </w:r>
      <w:r>
        <w:rPr>
          <w:rFonts w:ascii="Times New Roman" w:hAnsi="Times New Roman"/>
          <w:sz w:val="24"/>
          <w:szCs w:val="24"/>
        </w:rPr>
        <w:lastRenderedPageBreak/>
        <w:t xml:space="preserve">(inconfesado) de la economía de mercado. Un capitalismo de manos libres, pero de vía estrecha. Un capitalismo “unilateral”. En definitiva, un capitalismo “no sostenible”.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Estas son pruebas, aunque otros (muchos) intentan (e intentarán) borrarlas, o sembrar pruebas falsas. El siniestro proceso de socialización de las pérdidas (aunque manteniendo la privatización de las ganancias) resulta la más clara señal de la soberbia, de la indiferencia, de la mofa y befa, con que los dirigentes de los países (antes) desarrollados tratan a su propio pueblo en beneficio del poder de dinero (y en el suyo propio, todo hay que decirlo). Personajes mediocres (algunos, democráticamente ilegítimos), pusilánimes, pero arrogantes, fatuos, e inimputables, que </w:t>
      </w:r>
      <w:r w:rsidRPr="006C36CC">
        <w:rPr>
          <w:rFonts w:ascii="Times New Roman" w:hAnsi="Times New Roman"/>
          <w:sz w:val="24"/>
          <w:szCs w:val="24"/>
        </w:rPr>
        <w:t>segu</w:t>
      </w:r>
      <w:r>
        <w:rPr>
          <w:rFonts w:ascii="Times New Roman" w:hAnsi="Times New Roman"/>
          <w:sz w:val="24"/>
          <w:szCs w:val="24"/>
        </w:rPr>
        <w:t>irán mandando en provecho de</w:t>
      </w:r>
      <w:r w:rsidRPr="006C36CC">
        <w:rPr>
          <w:rFonts w:ascii="Times New Roman" w:hAnsi="Times New Roman"/>
          <w:sz w:val="24"/>
          <w:szCs w:val="24"/>
        </w:rPr>
        <w:t xml:space="preserve"> los que </w:t>
      </w:r>
      <w:r>
        <w:rPr>
          <w:rFonts w:ascii="Times New Roman" w:hAnsi="Times New Roman"/>
          <w:sz w:val="24"/>
          <w:szCs w:val="24"/>
        </w:rPr>
        <w:t>“</w:t>
      </w:r>
      <w:r w:rsidRPr="006C36CC">
        <w:rPr>
          <w:rFonts w:ascii="Times New Roman" w:hAnsi="Times New Roman"/>
          <w:sz w:val="24"/>
          <w:szCs w:val="24"/>
        </w:rPr>
        <w:t>comen como ratones, pero cagan como elefantes</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A</w:t>
      </w:r>
      <w:r w:rsidRPr="00F9063C">
        <w:rPr>
          <w:rFonts w:ascii="Times New Roman" w:hAnsi="Times New Roman"/>
          <w:sz w:val="24"/>
          <w:szCs w:val="24"/>
        </w:rPr>
        <w:t xml:space="preserve"> los norteamericanos</w:t>
      </w:r>
      <w:r>
        <w:rPr>
          <w:rFonts w:ascii="Times New Roman" w:hAnsi="Times New Roman"/>
          <w:sz w:val="24"/>
          <w:szCs w:val="24"/>
        </w:rPr>
        <w:t xml:space="preserve"> y a los europeos (extasiados con lo que venía de Hollywood)</w:t>
      </w:r>
      <w:r w:rsidRPr="00F9063C">
        <w:rPr>
          <w:rFonts w:ascii="Times New Roman" w:hAnsi="Times New Roman"/>
          <w:sz w:val="24"/>
          <w:szCs w:val="24"/>
        </w:rPr>
        <w:t xml:space="preserve"> se les inyectó la ilusión de que cuanto más consumieran más felices serían, y en cambio se quedaron con una pila de deuda</w:t>
      </w:r>
      <w:r w:rsidRPr="00647DF0">
        <w:rPr>
          <w:rFonts w:ascii="Times New Roman" w:hAnsi="Times New Roman"/>
          <w:sz w:val="24"/>
          <w:szCs w:val="24"/>
        </w:rPr>
        <w:t>. Se les pidió que admiraran a la parte superior de la pirámide de ingresos, para descubrir que lo que estaban mirando, en realidad, era un esquema de pirámide.</w:t>
      </w:r>
      <w:r>
        <w:rPr>
          <w:rFonts w:ascii="Times New Roman" w:hAnsi="Times New Roman"/>
          <w:sz w:val="24"/>
          <w:szCs w:val="24"/>
        </w:rPr>
        <w:t xml:space="preserve"> Montañas de mierda que acabaron deslizándose sobre ellos.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Como prueba concluyente del desastroso desempeño colectivo de estas “economías fallidas” </w:t>
      </w:r>
      <w:r w:rsidRPr="00D83BAC">
        <w:rPr>
          <w:rFonts w:ascii="Times New Roman" w:hAnsi="Times New Roman"/>
          <w:sz w:val="24"/>
          <w:szCs w:val="24"/>
        </w:rPr>
        <w:t xml:space="preserve">hemos presenciado durante la </w:t>
      </w:r>
      <w:r>
        <w:rPr>
          <w:rFonts w:ascii="Times New Roman" w:hAnsi="Times New Roman"/>
          <w:sz w:val="24"/>
          <w:szCs w:val="24"/>
        </w:rPr>
        <w:t>última generación el</w:t>
      </w:r>
      <w:r w:rsidRPr="00D83BAC">
        <w:rPr>
          <w:rFonts w:ascii="Times New Roman" w:hAnsi="Times New Roman"/>
          <w:sz w:val="24"/>
          <w:szCs w:val="24"/>
        </w:rPr>
        <w:t xml:space="preserve"> enorme aumento de la desigualdad entre la clase media industrial y los superricos plutocráticos.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Y no pasa nada. Ante tanta “ceguera interesada” (esconder y extender), yo me pregunto: ¿“a</w:t>
      </w:r>
      <w:r w:rsidRPr="0069358A">
        <w:rPr>
          <w:rFonts w:ascii="Times New Roman" w:hAnsi="Times New Roman"/>
          <w:sz w:val="24"/>
          <w:szCs w:val="24"/>
        </w:rPr>
        <w:t>lea jacta est</w:t>
      </w:r>
      <w:r>
        <w:rPr>
          <w:rFonts w:ascii="Times New Roman" w:hAnsi="Times New Roman"/>
          <w:sz w:val="24"/>
          <w:szCs w:val="24"/>
        </w:rPr>
        <w:t>”</w:t>
      </w:r>
      <w:r>
        <w:t xml:space="preserve">? </w:t>
      </w:r>
      <w:r>
        <w:rPr>
          <w:rFonts w:ascii="Times New Roman" w:hAnsi="Times New Roman"/>
          <w:sz w:val="24"/>
          <w:szCs w:val="24"/>
        </w:rPr>
        <w:t xml:space="preserve">¿qué tiene que pasar para que pase algo?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Recuerden: “estar al borde del precipicio no evita dar un decidido paso hacia adelante”.</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Ahí quedan estas pistas sobre las “economías fallidas”, para vuestra reflexión… A los “causantes” de esta lúgubre situación, sólo dos palabras: “memento mori”… </w:t>
      </w:r>
      <w:r w:rsidRPr="006647A0">
        <w:rPr>
          <w:rFonts w:ascii="Times New Roman" w:hAnsi="Times New Roman"/>
          <w:sz w:val="24"/>
          <w:szCs w:val="24"/>
        </w:rPr>
        <w:t>Esta dis</w:t>
      </w:r>
      <w:r>
        <w:rPr>
          <w:rFonts w:ascii="Times New Roman" w:hAnsi="Times New Roman"/>
          <w:sz w:val="24"/>
          <w:szCs w:val="24"/>
        </w:rPr>
        <w:t>cusión recién acaba de comenzar.</w:t>
      </w:r>
    </w:p>
    <w:p w:rsidR="002F07D4" w:rsidRPr="00C41607" w:rsidRDefault="002F07D4" w:rsidP="002F07D4">
      <w:pPr>
        <w:spacing w:line="240" w:lineRule="auto"/>
        <w:jc w:val="both"/>
        <w:rPr>
          <w:rFonts w:ascii="Times New Roman" w:hAnsi="Times New Roman"/>
          <w:b/>
          <w:color w:val="FF0000"/>
          <w:sz w:val="24"/>
          <w:szCs w:val="24"/>
        </w:rPr>
      </w:pPr>
      <w:r w:rsidRPr="00C41607">
        <w:rPr>
          <w:rFonts w:ascii="Times New Roman" w:hAnsi="Times New Roman"/>
          <w:b/>
          <w:color w:val="FF0000"/>
          <w:sz w:val="24"/>
          <w:szCs w:val="24"/>
        </w:rPr>
        <w:t>(Año 2013)</w:t>
      </w:r>
    </w:p>
    <w:p w:rsidR="002F07D4" w:rsidRPr="00C53976" w:rsidRDefault="002F07D4" w:rsidP="002F07D4">
      <w:pPr>
        <w:spacing w:line="240" w:lineRule="auto"/>
        <w:jc w:val="both"/>
        <w:rPr>
          <w:rFonts w:ascii="Times New Roman" w:hAnsi="Times New Roman"/>
          <w:sz w:val="24"/>
          <w:szCs w:val="24"/>
        </w:rPr>
      </w:pPr>
      <w:r w:rsidRPr="008073A1">
        <w:rPr>
          <w:rFonts w:ascii="Times New Roman" w:hAnsi="Times New Roman"/>
          <w:sz w:val="24"/>
          <w:szCs w:val="24"/>
        </w:rPr>
        <w:t>Del Paper -</w:t>
      </w:r>
      <w:r w:rsidRPr="00433946">
        <w:rPr>
          <w:rFonts w:ascii="Times New Roman" w:hAnsi="Times New Roman"/>
          <w:b/>
          <w:sz w:val="24"/>
          <w:szCs w:val="24"/>
        </w:rPr>
        <w:t>El “factor” Bernanke: otro “Maestro</w:t>
      </w:r>
      <w:r>
        <w:rPr>
          <w:rFonts w:ascii="Times New Roman" w:hAnsi="Times New Roman"/>
          <w:b/>
          <w:sz w:val="24"/>
          <w:szCs w:val="24"/>
        </w:rPr>
        <w:t xml:space="preserve">” que se cae del tabernáculo Hagiografía -no autorizada- del heterodoxo “socializador” de las pérdidas del sistema financiero - </w:t>
      </w:r>
      <w:r w:rsidRPr="00045439">
        <w:rPr>
          <w:rFonts w:ascii="Times New Roman" w:hAnsi="Times New Roman"/>
          <w:b/>
          <w:sz w:val="24"/>
          <w:szCs w:val="24"/>
        </w:rPr>
        <w:t>Una larga “cadena de favores” en la que los intereses comerciales han ido por delante de las cuestiones</w:t>
      </w:r>
      <w:r>
        <w:rPr>
          <w:rFonts w:ascii="Times New Roman" w:hAnsi="Times New Roman"/>
          <w:b/>
          <w:sz w:val="24"/>
          <w:szCs w:val="24"/>
        </w:rPr>
        <w:t xml:space="preserve"> legales, económicas y sociales. </w:t>
      </w:r>
      <w:r w:rsidRPr="00C53976">
        <w:rPr>
          <w:rFonts w:ascii="Times New Roman" w:hAnsi="Times New Roman"/>
          <w:sz w:val="24"/>
          <w:szCs w:val="24"/>
        </w:rPr>
        <w:t>Publicado el 15/1/13</w:t>
      </w:r>
    </w:p>
    <w:p w:rsidR="00B50437" w:rsidRDefault="002F07D4" w:rsidP="002F07D4">
      <w:pPr>
        <w:spacing w:line="240" w:lineRule="auto"/>
        <w:jc w:val="both"/>
        <w:rPr>
          <w:rFonts w:ascii="Times New Roman" w:hAnsi="Times New Roman"/>
          <w:b/>
          <w:sz w:val="24"/>
          <w:szCs w:val="24"/>
        </w:rPr>
      </w:pPr>
      <w:r>
        <w:rPr>
          <w:rFonts w:ascii="Times New Roman" w:hAnsi="Times New Roman"/>
          <w:b/>
          <w:sz w:val="24"/>
          <w:szCs w:val="24"/>
        </w:rPr>
        <w:t xml:space="preserve">Introducción         </w:t>
      </w:r>
      <w:r w:rsidRPr="00C33846">
        <w:rPr>
          <w:rFonts w:ascii="Times New Roman" w:hAnsi="Times New Roman"/>
          <w:sz w:val="24"/>
          <w:szCs w:val="24"/>
        </w:rPr>
        <w:t xml:space="preserve">(Anticipo de </w:t>
      </w:r>
      <w:r>
        <w:rPr>
          <w:rFonts w:ascii="Times New Roman" w:hAnsi="Times New Roman"/>
          <w:sz w:val="24"/>
          <w:szCs w:val="24"/>
        </w:rPr>
        <w:t>Ensayo publicado</w:t>
      </w:r>
      <w:r w:rsidRPr="00C33846">
        <w:rPr>
          <w:rFonts w:ascii="Times New Roman" w:hAnsi="Times New Roman"/>
          <w:sz w:val="24"/>
          <w:szCs w:val="24"/>
        </w:rPr>
        <w:t>: Apartados 1, 4 y 5)</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 xml:space="preserve">El corazón podrido del sistema bancario apesta más de lo que se pensaba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Por esas raras “muecas siniestras de la suerte”, comienzo a redactar el Ensayo (luego de varios meses de investigación y reunión de antecedentes) el día 29 de octubre de 2012.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El mismo día en que el huracán Sandy (la tormenta perfecta) golpea la costa este de los Estados Unidos.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Toda una metáfora (“quise abrigarla y más pudo la muerte”), para entender (y admitir) los “limites” del ser humano y el poder (tal vez el único real y efectivo) de la naturaleza.   </w:t>
      </w:r>
    </w:p>
    <w:p w:rsidR="002F07D4" w:rsidRPr="00726DC7"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La primera vez que se cerraba Wall Street desde los atentados del 11 S. Así lo contaban los periódicos (algunos titulares): </w:t>
      </w:r>
    </w:p>
    <w:p w:rsidR="002F07D4" w:rsidRPr="001E3F95" w:rsidRDefault="002F07D4" w:rsidP="002F07D4">
      <w:pPr>
        <w:pStyle w:val="NormalWeb"/>
        <w:jc w:val="both"/>
      </w:pPr>
      <w:r w:rsidRPr="001E3F95">
        <w:lastRenderedPageBreak/>
        <w:t xml:space="preserve">- </w:t>
      </w:r>
      <w:r w:rsidRPr="001E3F95">
        <w:rPr>
          <w:u w:val="single"/>
        </w:rPr>
        <w:t>Wall Street cerrado, vuelos cancelados... Nueva York se paraliza por el huracán Sandy</w:t>
      </w:r>
      <w:r w:rsidRPr="001E3F95">
        <w:t xml:space="preserve"> (El Confidencial </w:t>
      </w:r>
      <w:r>
        <w:t>-</w:t>
      </w:r>
      <w:r w:rsidRPr="001E3F95">
        <w:rPr>
          <w:b/>
        </w:rPr>
        <w:t>29/10/12</w:t>
      </w:r>
      <w:r w:rsidRPr="001E3F95">
        <w:t>)</w:t>
      </w:r>
    </w:p>
    <w:p w:rsidR="002F07D4" w:rsidRPr="001E3F95" w:rsidRDefault="002F07D4" w:rsidP="002F07D4">
      <w:pPr>
        <w:pStyle w:val="NormalWeb"/>
        <w:jc w:val="both"/>
      </w:pPr>
      <w:r w:rsidRPr="001E3F95">
        <w:t>Cierres de colegios, bancos, tiendas y todo tipo de servicio público. Nueva York se paraliza ante la llegada esta misma noche del huracán Sandy</w:t>
      </w:r>
      <w:r>
        <w:t>…</w:t>
      </w:r>
    </w:p>
    <w:p w:rsidR="002F07D4" w:rsidRPr="001E3F95" w:rsidRDefault="002F07D4" w:rsidP="002F07D4">
      <w:pPr>
        <w:spacing w:line="240" w:lineRule="auto"/>
        <w:jc w:val="both"/>
        <w:rPr>
          <w:rFonts w:ascii="Times New Roman" w:hAnsi="Times New Roman"/>
          <w:sz w:val="24"/>
          <w:szCs w:val="24"/>
        </w:rPr>
      </w:pPr>
      <w:r>
        <w:rPr>
          <w:rFonts w:ascii="Times New Roman" w:hAnsi="Times New Roman"/>
          <w:sz w:val="24"/>
          <w:szCs w:val="24"/>
        </w:rPr>
        <w:t>El huracán “Sandy”</w:t>
      </w:r>
      <w:r w:rsidRPr="001E3F95">
        <w:rPr>
          <w:rFonts w:ascii="Times New Roman" w:hAnsi="Times New Roman"/>
          <w:sz w:val="24"/>
          <w:szCs w:val="24"/>
        </w:rPr>
        <w:t xml:space="preserve"> llega esta noche a las proximidades de Nueva York para encontrar una metrópoli prácticamente paralizada, con evacuaciones y cierres de servicios públicos, instituciones, empresas y hasta la bolsa en toda la región. Los estados de Nueva York, Nueva Jersey y, Connecticut y la alcaldía de la Gran Manzana han decretado medidas de emergencia y acelerado todo tipo de preparativos, como la movilización de unidades militares, para minimizar las consecuencias de la tormenta</w:t>
      </w:r>
      <w:r>
        <w:rPr>
          <w:rFonts w:ascii="Times New Roman" w:hAnsi="Times New Roman"/>
          <w:sz w:val="24"/>
          <w:szCs w:val="24"/>
        </w:rPr>
        <w:t>…</w:t>
      </w:r>
    </w:p>
    <w:p w:rsidR="002F07D4" w:rsidRPr="001E3F95" w:rsidRDefault="002F07D4" w:rsidP="002F07D4">
      <w:pPr>
        <w:spacing w:line="240" w:lineRule="auto"/>
        <w:jc w:val="both"/>
        <w:rPr>
          <w:rFonts w:ascii="Times New Roman" w:hAnsi="Times New Roman"/>
          <w:sz w:val="24"/>
          <w:szCs w:val="24"/>
        </w:rPr>
      </w:pPr>
      <w:r w:rsidRPr="001E3F95">
        <w:rPr>
          <w:rFonts w:ascii="Times New Roman" w:hAnsi="Times New Roman"/>
          <w:sz w:val="24"/>
          <w:szCs w:val="24"/>
        </w:rPr>
        <w:t xml:space="preserve">- </w:t>
      </w:r>
      <w:r w:rsidRPr="001E3F95">
        <w:rPr>
          <w:rFonts w:ascii="Times New Roman" w:hAnsi="Times New Roman"/>
          <w:sz w:val="24"/>
          <w:szCs w:val="24"/>
          <w:u w:val="single"/>
        </w:rPr>
        <w:t xml:space="preserve">La </w:t>
      </w:r>
      <w:r>
        <w:rPr>
          <w:rFonts w:ascii="Times New Roman" w:hAnsi="Times New Roman"/>
          <w:sz w:val="24"/>
          <w:szCs w:val="24"/>
          <w:u w:val="single"/>
        </w:rPr>
        <w:t>tormenta tropical “Sandy”</w:t>
      </w:r>
      <w:r w:rsidRPr="001E3F95">
        <w:rPr>
          <w:rFonts w:ascii="Times New Roman" w:hAnsi="Times New Roman"/>
          <w:sz w:val="24"/>
          <w:szCs w:val="24"/>
          <w:u w:val="single"/>
        </w:rPr>
        <w:t xml:space="preserve"> obliga a evacuar a 375.000 ciudadanos de </w:t>
      </w:r>
      <w:r w:rsidRPr="00082B1B">
        <w:rPr>
          <w:rFonts w:ascii="Times New Roman" w:hAnsi="Times New Roman"/>
          <w:sz w:val="24"/>
          <w:szCs w:val="24"/>
          <w:u w:val="single"/>
        </w:rPr>
        <w:t>Nueva York</w:t>
      </w:r>
      <w:r w:rsidRPr="001E3F95">
        <w:rPr>
          <w:rFonts w:ascii="Times New Roman" w:hAnsi="Times New Roman"/>
          <w:sz w:val="24"/>
          <w:szCs w:val="24"/>
        </w:rPr>
        <w:t xml:space="preserve"> (Vozpópuli - </w:t>
      </w:r>
      <w:r w:rsidRPr="001E3F95">
        <w:rPr>
          <w:rFonts w:ascii="Times New Roman" w:hAnsi="Times New Roman"/>
          <w:b/>
          <w:sz w:val="24"/>
          <w:szCs w:val="24"/>
        </w:rPr>
        <w:t>29/10/12</w:t>
      </w:r>
      <w:r w:rsidRPr="001E3F95">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sidRPr="001E3F95">
        <w:rPr>
          <w:rFonts w:ascii="Times New Roman" w:hAnsi="Times New Roman"/>
          <w:sz w:val="24"/>
          <w:szCs w:val="24"/>
        </w:rPr>
        <w:t>El alcalde de Nueva York, Michael Bloomberg, ordenó este domingo el inicio de la evacuación de buena parte de los residentes de la ciudad ante la inminente llegada del huracán</w:t>
      </w:r>
      <w:r>
        <w:rPr>
          <w:rFonts w:ascii="Times New Roman" w:hAnsi="Times New Roman"/>
          <w:sz w:val="24"/>
          <w:szCs w:val="24"/>
        </w:rPr>
        <w:t>. La orden afecta a la llamada “Zona A”</w:t>
      </w:r>
      <w:r w:rsidRPr="001E3F95">
        <w:rPr>
          <w:rFonts w:ascii="Times New Roman" w:hAnsi="Times New Roman"/>
          <w:sz w:val="24"/>
          <w:szCs w:val="24"/>
        </w:rPr>
        <w:t xml:space="preserve"> que comprende todos los barrios a menor altura respecto al nivel del mar que podrían quedar inundados por la subida de las aguas</w:t>
      </w:r>
      <w:r>
        <w:rPr>
          <w:rFonts w:ascii="Times New Roman" w:hAnsi="Times New Roman"/>
          <w:sz w:val="24"/>
          <w:szCs w:val="24"/>
        </w:rPr>
        <w:t>…</w:t>
      </w:r>
    </w:p>
    <w:p w:rsidR="002F07D4" w:rsidRDefault="002F07D4" w:rsidP="002F07D4">
      <w:pPr>
        <w:spacing w:line="240" w:lineRule="auto"/>
        <w:jc w:val="both"/>
        <w:rPr>
          <w:rFonts w:ascii="Times New Roman" w:hAnsi="Times New Roman"/>
          <w:b/>
          <w:bCs/>
          <w:sz w:val="24"/>
          <w:szCs w:val="24"/>
        </w:rPr>
      </w:pPr>
      <w:r>
        <w:rPr>
          <w:rFonts w:ascii="Times New Roman" w:hAnsi="Times New Roman"/>
          <w:sz w:val="24"/>
          <w:szCs w:val="24"/>
        </w:rPr>
        <w:t>Hasta que llegó “Sandy” y paralizó 48 hs. Wall Street (¡al fin!), tenía previsto comenzar esta Introducción con una cita de las “</w:t>
      </w:r>
      <w:r w:rsidRPr="000B6290">
        <w:rPr>
          <w:rFonts w:ascii="Times New Roman" w:hAnsi="Times New Roman"/>
          <w:iCs/>
          <w:sz w:val="24"/>
          <w:szCs w:val="24"/>
        </w:rPr>
        <w:t>Historias de Almanaque</w:t>
      </w:r>
      <w:r>
        <w:rPr>
          <w:rFonts w:ascii="Times New Roman" w:hAnsi="Times New Roman"/>
          <w:iCs/>
          <w:sz w:val="24"/>
          <w:szCs w:val="24"/>
        </w:rPr>
        <w:t>”</w:t>
      </w:r>
      <w:r w:rsidRPr="000B6290">
        <w:rPr>
          <w:rFonts w:ascii="Times New Roman" w:hAnsi="Times New Roman"/>
          <w:sz w:val="24"/>
          <w:szCs w:val="24"/>
        </w:rPr>
        <w:t xml:space="preserve">, de </w:t>
      </w:r>
      <w:r w:rsidRPr="000B6290">
        <w:rPr>
          <w:rFonts w:ascii="Times New Roman" w:hAnsi="Times New Roman"/>
          <w:b/>
          <w:bCs/>
          <w:sz w:val="24"/>
          <w:szCs w:val="24"/>
        </w:rPr>
        <w:t>Bertolt Brecht</w:t>
      </w:r>
      <w:r>
        <w:rPr>
          <w:rFonts w:ascii="Times New Roman" w:hAnsi="Times New Roman"/>
          <w:b/>
          <w:bCs/>
          <w:sz w:val="24"/>
          <w:szCs w:val="24"/>
        </w:rPr>
        <w:t>:</w:t>
      </w:r>
    </w:p>
    <w:p w:rsidR="002F07D4" w:rsidRPr="00830AB2" w:rsidRDefault="002F07D4" w:rsidP="002F07D4">
      <w:pPr>
        <w:spacing w:line="240" w:lineRule="auto"/>
        <w:jc w:val="both"/>
        <w:rPr>
          <w:rStyle w:val="nfasis"/>
          <w:rFonts w:ascii="Times New Roman" w:hAnsi="Times New Roman"/>
          <w:i w:val="0"/>
          <w:iCs w:val="0"/>
          <w:sz w:val="24"/>
          <w:szCs w:val="24"/>
        </w:rPr>
      </w:pPr>
      <w:r>
        <w:rPr>
          <w:rStyle w:val="nfasis"/>
          <w:rFonts w:ascii="Times New Roman" w:hAnsi="Times New Roman"/>
          <w:sz w:val="24"/>
          <w:szCs w:val="24"/>
        </w:rPr>
        <w:t>“He observado”, dijo el señor K., “</w:t>
      </w:r>
      <w:r w:rsidRPr="001E3F95">
        <w:rPr>
          <w:rStyle w:val="nfasis"/>
          <w:rFonts w:ascii="Times New Roman" w:hAnsi="Times New Roman"/>
          <w:sz w:val="24"/>
          <w:szCs w:val="24"/>
        </w:rPr>
        <w:t>que mucha gente se aleja, intimidada, de nuestra doctrina por la sencilla razón de que tenemos respuesta para todo. ¿No sería conveniente que, en interés de la propaganda, elaborásemos una lista de los problemas para los que aún no hemos encontrado solución</w:t>
      </w:r>
      <w:r>
        <w:rPr>
          <w:rStyle w:val="nfasis"/>
          <w:rFonts w:ascii="Times New Roman" w:hAnsi="Times New Roman"/>
          <w:sz w:val="24"/>
          <w:szCs w:val="24"/>
        </w:rPr>
        <w:t>?”</w:t>
      </w:r>
    </w:p>
    <w:p w:rsidR="002F07D4" w:rsidRPr="00CE5A17" w:rsidRDefault="002F07D4" w:rsidP="002F07D4">
      <w:pPr>
        <w:spacing w:line="240" w:lineRule="auto"/>
        <w:jc w:val="both"/>
        <w:rPr>
          <w:rFonts w:ascii="Times New Roman" w:hAnsi="Times New Roman"/>
          <w:sz w:val="24"/>
          <w:szCs w:val="24"/>
        </w:rPr>
      </w:pPr>
      <w:r w:rsidRPr="00CE5A17">
        <w:rPr>
          <w:rFonts w:ascii="Times New Roman" w:hAnsi="Times New Roman"/>
          <w:sz w:val="24"/>
          <w:szCs w:val="24"/>
        </w:rPr>
        <w:t>Pocas frases como esta reflejan la miseria de una clase dirigente que tiene respuestas para todo  pero que no ofrece soluciones para resolver ninguno de los problemas.</w:t>
      </w:r>
    </w:p>
    <w:p w:rsidR="002F07D4" w:rsidRPr="00CE5A17" w:rsidRDefault="002F07D4" w:rsidP="002F07D4">
      <w:pPr>
        <w:spacing w:line="240" w:lineRule="auto"/>
        <w:jc w:val="both"/>
        <w:rPr>
          <w:rFonts w:ascii="Times New Roman" w:hAnsi="Times New Roman"/>
          <w:sz w:val="24"/>
          <w:szCs w:val="24"/>
        </w:rPr>
      </w:pPr>
      <w:r w:rsidRPr="00CE5A17">
        <w:rPr>
          <w:rFonts w:ascii="Times New Roman" w:hAnsi="Times New Roman"/>
          <w:sz w:val="24"/>
          <w:szCs w:val="24"/>
        </w:rPr>
        <w:t>Es insoportable ver cada día la contradicción que supone ayudar a un sistema financiero en parte quebrado y, al mismo tiempo, recortar las prestaciones sociales. Las mismas entidades que reciben fondos públicos para tapar sus vergüenzas, son las que expulsan a muchos propietarios de sus viviendas por falta de pago. Y los gobiernos, como se sabe, poniéndose de perfil sobre un asunto que mide la capacidad de los poderes públicos para atajar los problemas. Mala política y peor economía se retroalimentan. Y en la recámara no hay más que humo. Estamos ante un gigantesco fiasco.</w:t>
      </w:r>
    </w:p>
    <w:p w:rsidR="002F07D4" w:rsidRPr="00CE5A17" w:rsidRDefault="002F07D4" w:rsidP="002F07D4">
      <w:pPr>
        <w:spacing w:line="240" w:lineRule="auto"/>
        <w:jc w:val="both"/>
        <w:rPr>
          <w:rFonts w:ascii="Times New Roman" w:hAnsi="Times New Roman"/>
          <w:sz w:val="24"/>
          <w:szCs w:val="24"/>
        </w:rPr>
      </w:pPr>
      <w:r w:rsidRPr="00CE5A17">
        <w:rPr>
          <w:rFonts w:ascii="Times New Roman" w:hAnsi="Times New Roman"/>
          <w:sz w:val="24"/>
          <w:szCs w:val="24"/>
        </w:rPr>
        <w:t>La economía no es una ciencia hasta el punto en que nos gustaría que fuera. Pero cuando hay pruebas abrumadoras para una premisa económica -como las hay para la premisa de que las recesiones causadas por crisis financiera</w:t>
      </w:r>
      <w:r>
        <w:rPr>
          <w:rFonts w:ascii="Times New Roman" w:hAnsi="Times New Roman"/>
          <w:sz w:val="24"/>
          <w:szCs w:val="24"/>
        </w:rPr>
        <w:t>s</w:t>
      </w:r>
      <w:r w:rsidRPr="00CE5A17">
        <w:rPr>
          <w:rFonts w:ascii="Times New Roman" w:hAnsi="Times New Roman"/>
          <w:sz w:val="24"/>
          <w:szCs w:val="24"/>
        </w:rPr>
        <w:t xml:space="preserve"> son diferentes- tenemos el derecho a esperar que los políticos y sus asesores respeten esas pruebas. De otro modo, terminarán haciendo políticas basadas en fantasías en vez de enfrentarse a la realidad.</w:t>
      </w:r>
    </w:p>
    <w:p w:rsidR="002F07D4" w:rsidRPr="00CE5A17" w:rsidRDefault="002F07D4" w:rsidP="002F07D4">
      <w:pPr>
        <w:spacing w:line="240" w:lineRule="auto"/>
        <w:jc w:val="both"/>
        <w:rPr>
          <w:rFonts w:ascii="Times New Roman" w:hAnsi="Times New Roman"/>
          <w:sz w:val="24"/>
          <w:szCs w:val="24"/>
        </w:rPr>
      </w:pPr>
      <w:r w:rsidRPr="00CE5A17">
        <w:rPr>
          <w:rFonts w:ascii="Times New Roman" w:hAnsi="Times New Roman"/>
          <w:sz w:val="24"/>
          <w:szCs w:val="24"/>
        </w:rPr>
        <w:t>Y una vez que los políticos empiezan a negarse a reconocer hechos incómodos, ¿dónde pararán?</w:t>
      </w:r>
    </w:p>
    <w:p w:rsidR="002F07D4" w:rsidRDefault="002F07D4" w:rsidP="002F07D4">
      <w:pPr>
        <w:spacing w:line="240" w:lineRule="auto"/>
        <w:jc w:val="both"/>
        <w:rPr>
          <w:rFonts w:ascii="Times New Roman" w:hAnsi="Times New Roman"/>
          <w:sz w:val="24"/>
          <w:szCs w:val="24"/>
        </w:rPr>
      </w:pPr>
      <w:r w:rsidRPr="00CE5A17">
        <w:rPr>
          <w:rFonts w:ascii="Times New Roman" w:hAnsi="Times New Roman"/>
          <w:sz w:val="24"/>
          <w:szCs w:val="24"/>
        </w:rPr>
        <w:t>¿Pueden los mismos dirigentes que causaron la crisis, gestionarla, resolverla? ¿Podrán entender la crisis a pesar de no querer entenderla? ¿Existen los hombres grandes para tiempos tan duros?</w:t>
      </w:r>
      <w:r>
        <w:rPr>
          <w:rFonts w:ascii="Times New Roman" w:hAnsi="Times New Roman"/>
          <w:sz w:val="24"/>
          <w:szCs w:val="24"/>
        </w:rPr>
        <w:t>...</w:t>
      </w:r>
    </w:p>
    <w:p w:rsidR="002F07D4" w:rsidRPr="00433946" w:rsidRDefault="002F07D4" w:rsidP="002F07D4">
      <w:pPr>
        <w:jc w:val="both"/>
        <w:rPr>
          <w:rFonts w:ascii="Times New Roman" w:hAnsi="Times New Roman"/>
          <w:sz w:val="24"/>
          <w:szCs w:val="24"/>
        </w:rPr>
      </w:pPr>
      <w:r w:rsidRPr="00D37E57">
        <w:rPr>
          <w:rFonts w:ascii="Times New Roman" w:hAnsi="Times New Roman"/>
          <w:b/>
          <w:sz w:val="24"/>
          <w:szCs w:val="24"/>
        </w:rPr>
        <w:lastRenderedPageBreak/>
        <w:t>- Las primeras reacciones políticas e institucionales</w:t>
      </w:r>
      <w:r>
        <w:rPr>
          <w:rFonts w:ascii="Times New Roman" w:hAnsi="Times New Roman"/>
          <w:b/>
          <w:sz w:val="24"/>
          <w:szCs w:val="24"/>
        </w:rPr>
        <w:t xml:space="preserve"> a la </w:t>
      </w:r>
      <w:r w:rsidRPr="00D37E57">
        <w:rPr>
          <w:rFonts w:ascii="Times New Roman" w:hAnsi="Times New Roman"/>
          <w:b/>
          <w:sz w:val="24"/>
          <w:szCs w:val="24"/>
        </w:rPr>
        <w:t>Cris</w:t>
      </w:r>
      <w:r>
        <w:rPr>
          <w:rFonts w:ascii="Times New Roman" w:hAnsi="Times New Roman"/>
          <w:b/>
          <w:sz w:val="24"/>
          <w:szCs w:val="24"/>
        </w:rPr>
        <w:t>is de las hipotecas “subprime”</w:t>
      </w:r>
    </w:p>
    <w:p w:rsidR="002F07D4" w:rsidRPr="00305770" w:rsidRDefault="002F07D4" w:rsidP="002F07D4">
      <w:pPr>
        <w:jc w:val="both"/>
        <w:rPr>
          <w:rFonts w:ascii="Times New Roman" w:hAnsi="Times New Roman"/>
          <w:b/>
          <w:sz w:val="24"/>
          <w:szCs w:val="24"/>
        </w:rPr>
      </w:pPr>
      <w:r w:rsidRPr="00305770">
        <w:rPr>
          <w:rFonts w:ascii="Times New Roman" w:hAnsi="Times New Roman"/>
          <w:b/>
          <w:sz w:val="24"/>
          <w:szCs w:val="24"/>
        </w:rPr>
        <w:t>Bush</w:t>
      </w:r>
      <w:r>
        <w:rPr>
          <w:rFonts w:ascii="Times New Roman" w:hAnsi="Times New Roman"/>
          <w:b/>
          <w:sz w:val="24"/>
          <w:szCs w:val="24"/>
        </w:rPr>
        <w:t xml:space="preserve"> (POTUS)</w:t>
      </w:r>
      <w:r w:rsidRPr="00305770">
        <w:rPr>
          <w:rFonts w:ascii="Times New Roman" w:hAnsi="Times New Roman"/>
          <w:b/>
          <w:sz w:val="24"/>
          <w:szCs w:val="24"/>
        </w:rPr>
        <w:t xml:space="preserve">: el gobierno federal “tiene un papel en la ayuda a las familias, pero no para salvar a los especuladores”… </w:t>
      </w:r>
    </w:p>
    <w:p w:rsidR="002F07D4" w:rsidRPr="00305770" w:rsidRDefault="002F07D4" w:rsidP="002F07D4">
      <w:pPr>
        <w:jc w:val="both"/>
        <w:rPr>
          <w:rFonts w:ascii="Times New Roman" w:hAnsi="Times New Roman"/>
          <w:b/>
          <w:sz w:val="24"/>
          <w:szCs w:val="24"/>
        </w:rPr>
      </w:pPr>
      <w:r>
        <w:rPr>
          <w:rFonts w:ascii="Times New Roman" w:hAnsi="Times New Roman"/>
          <w:b/>
          <w:sz w:val="24"/>
          <w:szCs w:val="24"/>
        </w:rPr>
        <w:t>Bernanke (Fed</w:t>
      </w:r>
      <w:r w:rsidRPr="00305770">
        <w:rPr>
          <w:rFonts w:ascii="Times New Roman" w:hAnsi="Times New Roman"/>
          <w:b/>
          <w:sz w:val="24"/>
          <w:szCs w:val="24"/>
        </w:rPr>
        <w:t xml:space="preserve">) “La Reserva Federal está lista para tomar acciones adicionales como sea necesario para ofrecer liquidez y promover un ordenado funcionamiento de los mercados”. Las pérdidas excedieron “las proyecciones más pesimistas”… </w:t>
      </w:r>
    </w:p>
    <w:p w:rsidR="002F07D4" w:rsidRPr="00305770" w:rsidRDefault="002F07D4" w:rsidP="002F07D4">
      <w:pPr>
        <w:jc w:val="both"/>
        <w:rPr>
          <w:rFonts w:ascii="Times New Roman" w:hAnsi="Times New Roman"/>
          <w:b/>
          <w:sz w:val="24"/>
          <w:szCs w:val="24"/>
        </w:rPr>
      </w:pPr>
      <w:r w:rsidRPr="00305770">
        <w:rPr>
          <w:rFonts w:ascii="Times New Roman" w:hAnsi="Times New Roman"/>
          <w:b/>
          <w:sz w:val="24"/>
          <w:szCs w:val="24"/>
        </w:rPr>
        <w:t>El FMI recuerda que las pérdidas por la crisis deben ser para los inversores y no para los contribuyentes. “Las autoridades deben resistir las presiones por parte de los acreedores en apuros para evitar el refuerzo de comportamientos especulativos y fraudulentos”…</w:t>
      </w:r>
    </w:p>
    <w:p w:rsidR="002F07D4" w:rsidRPr="00305770" w:rsidRDefault="002F07D4" w:rsidP="002F07D4">
      <w:pPr>
        <w:jc w:val="both"/>
        <w:rPr>
          <w:rFonts w:ascii="Times New Roman" w:hAnsi="Times New Roman"/>
          <w:b/>
          <w:sz w:val="24"/>
          <w:szCs w:val="24"/>
        </w:rPr>
      </w:pPr>
      <w:r w:rsidRPr="00305770">
        <w:rPr>
          <w:rFonts w:ascii="Times New Roman" w:hAnsi="Times New Roman"/>
          <w:b/>
          <w:sz w:val="24"/>
          <w:szCs w:val="24"/>
        </w:rPr>
        <w:t>Greenspan</w:t>
      </w:r>
      <w:r>
        <w:rPr>
          <w:rFonts w:ascii="Times New Roman" w:hAnsi="Times New Roman"/>
          <w:b/>
          <w:sz w:val="24"/>
          <w:szCs w:val="24"/>
        </w:rPr>
        <w:t xml:space="preserve"> (ex Fed)</w:t>
      </w:r>
      <w:r w:rsidRPr="00305770">
        <w:rPr>
          <w:rFonts w:ascii="Times New Roman" w:hAnsi="Times New Roman"/>
          <w:b/>
          <w:sz w:val="24"/>
          <w:szCs w:val="24"/>
        </w:rPr>
        <w:t xml:space="preserve"> admite que sólo entendió el problema de las hipotecas hacia el “fin de 2005”…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xml:space="preserve">- </w:t>
      </w:r>
      <w:r w:rsidRPr="00D07614">
        <w:rPr>
          <w:rFonts w:ascii="Times New Roman" w:eastAsia="Times New Roman" w:hAnsi="Times New Roman"/>
          <w:b/>
          <w:sz w:val="24"/>
          <w:szCs w:val="24"/>
          <w:lang w:eastAsia="es-ES"/>
        </w:rPr>
        <w:t>El presidente de la Reserva Federal, Ben Bernanke, explicaba en el Washington Post (14/11/10):</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producirá mayores rentas y beneficios que, en un círculo virtual, darán un mayor soporte a la expansión económ</w:t>
      </w:r>
      <w:r>
        <w:rPr>
          <w:rFonts w:ascii="Times New Roman" w:eastAsia="Times New Roman" w:hAnsi="Times New Roman"/>
          <w:b/>
          <w:sz w:val="24"/>
          <w:szCs w:val="24"/>
          <w:lang w:eastAsia="es-ES"/>
        </w:rPr>
        <w:t>ica”</w:t>
      </w:r>
      <w:r w:rsidRPr="00D07614">
        <w:rPr>
          <w:rFonts w:ascii="Times New Roman" w:eastAsia="Times New Roman" w:hAnsi="Times New Roman"/>
          <w:b/>
          <w:sz w:val="24"/>
          <w:szCs w:val="24"/>
          <w:lang w:eastAsia="es-ES"/>
        </w:rPr>
        <w:t>.</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Sólo le faltó decir: Y si el “círculo virtual” n</w:t>
      </w:r>
      <w:r>
        <w:rPr>
          <w:rFonts w:ascii="Times New Roman" w:eastAsia="Times New Roman" w:hAnsi="Times New Roman"/>
          <w:b/>
          <w:sz w:val="24"/>
          <w:szCs w:val="24"/>
          <w:lang w:eastAsia="es-ES"/>
        </w:rPr>
        <w:t>o se cierra, que Dios (o Yahveh</w:t>
      </w:r>
      <w:r w:rsidRPr="00D07614">
        <w:rPr>
          <w:rFonts w:ascii="Times New Roman" w:eastAsia="Times New Roman" w:hAnsi="Times New Roman"/>
          <w:b/>
          <w:sz w:val="24"/>
          <w:szCs w:val="24"/>
          <w:lang w:eastAsia="es-ES"/>
        </w:rPr>
        <w:t>, en su caso) y la Patria, me lo demanden.</w:t>
      </w:r>
    </w:p>
    <w:p w:rsidR="002F07D4" w:rsidRPr="00D07614" w:rsidRDefault="002F07D4" w:rsidP="002F07D4">
      <w:pPr>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Para unos (que creen en Dios)</w:t>
      </w: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 xml:space="preserve"> u otros (que creen en la Patria) o los pocos (que creemos en Dios y la Patria), algunas reflexiones de “Manias, panics and crashes”:</w:t>
      </w:r>
    </w:p>
    <w:p w:rsidR="002F07D4" w:rsidRPr="00D07614" w:rsidRDefault="002F07D4" w:rsidP="002F07D4">
      <w:pPr>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 xml:space="preserve">“La labor del prestamista de último recurso ante una debacle está plagada de ambigüedades y dilemas. (...) En estas circunstancias, más que una ciencia la intervención se convierte en un arte”.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“La evolución del “</w:t>
      </w:r>
      <w:r w:rsidRPr="00D07614">
        <w:rPr>
          <w:rFonts w:ascii="Times New Roman" w:eastAsia="Times New Roman" w:hAnsi="Times New Roman"/>
          <w:b/>
          <w:sz w:val="24"/>
          <w:szCs w:val="24"/>
          <w:lang w:eastAsia="es-ES"/>
        </w:rPr>
        <w:t xml:space="preserve">Arte del </w:t>
      </w:r>
      <w:r>
        <w:rPr>
          <w:rFonts w:ascii="Times New Roman" w:eastAsia="Times New Roman" w:hAnsi="Times New Roman"/>
          <w:b/>
          <w:sz w:val="24"/>
          <w:szCs w:val="24"/>
          <w:lang w:eastAsia="es-ES"/>
        </w:rPr>
        <w:t>banquero central”</w:t>
      </w:r>
      <w:r w:rsidRPr="00D07614">
        <w:rPr>
          <w:rFonts w:ascii="Times New Roman" w:eastAsia="Times New Roman" w:hAnsi="Times New Roman"/>
          <w:b/>
          <w:sz w:val="24"/>
          <w:szCs w:val="24"/>
          <w:lang w:eastAsia="es-ES"/>
        </w:rPr>
        <w:t xml:space="preserve"> durante los últimos doscientos años tiene como seña</w:t>
      </w:r>
      <w:r>
        <w:rPr>
          <w:rFonts w:ascii="Times New Roman" w:eastAsia="Times New Roman" w:hAnsi="Times New Roman"/>
          <w:b/>
          <w:sz w:val="24"/>
          <w:szCs w:val="24"/>
          <w:lang w:eastAsia="es-ES"/>
        </w:rPr>
        <w:t xml:space="preserve"> de</w:t>
      </w:r>
      <w:r w:rsidRPr="00D07614">
        <w:rPr>
          <w:rFonts w:ascii="Times New Roman" w:eastAsia="Times New Roman" w:hAnsi="Times New Roman"/>
          <w:b/>
          <w:sz w:val="24"/>
          <w:szCs w:val="24"/>
          <w:lang w:eastAsia="es-ES"/>
        </w:rPr>
        <w:t xml:space="preserve"> identidad la evolución del concepto de prestamista de último recurso”.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“El prestamista de último recurso está listo para frenar una estampida (…) proporcionando tanto dinero como sea necesario”.</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lastRenderedPageBreak/>
        <w:t>“</w:t>
      </w:r>
      <w:r w:rsidRPr="00D07614">
        <w:rPr>
          <w:rFonts w:ascii="Times New Roman" w:eastAsia="Times New Roman" w:hAnsi="Times New Roman"/>
          <w:b/>
          <w:sz w:val="24"/>
          <w:szCs w:val="24"/>
          <w:lang w:eastAsia="es-ES"/>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w:t>
      </w:r>
      <w:r>
        <w:rPr>
          <w:rFonts w:ascii="Times New Roman" w:eastAsia="Times New Roman" w:hAnsi="Times New Roman"/>
          <w:b/>
          <w:sz w:val="24"/>
          <w:szCs w:val="24"/>
          <w:lang w:eastAsia="es-ES"/>
        </w:rPr>
        <w:t>rudencia en el siguiente boom”</w:t>
      </w:r>
      <w:r w:rsidRPr="00D07614">
        <w:rPr>
          <w:rFonts w:ascii="Times New Roman" w:eastAsia="Times New Roman" w:hAnsi="Times New Roman"/>
          <w:b/>
          <w:sz w:val="24"/>
          <w:szCs w:val="24"/>
          <w:lang w:eastAsia="es-ES"/>
        </w:rPr>
        <w:t>.</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Sin embargo, si en medio del pánico la estampida no se frena (…) la venta de activos para minimizar pérdidas puede llevar a la bancarrota a un gran número de empresas, que hasta entonces eran solvent</w:t>
      </w:r>
      <w:r>
        <w:rPr>
          <w:rFonts w:ascii="Times New Roman" w:eastAsia="Times New Roman" w:hAnsi="Times New Roman"/>
          <w:b/>
          <w:sz w:val="24"/>
          <w:szCs w:val="24"/>
          <w:lang w:eastAsia="es-ES"/>
        </w:rPr>
        <w:t>es y estaban bien capitalizadas”</w:t>
      </w:r>
      <w:r w:rsidRPr="00D07614">
        <w:rPr>
          <w:rFonts w:ascii="Times New Roman" w:eastAsia="Times New Roman" w:hAnsi="Times New Roman"/>
          <w:b/>
          <w:sz w:val="24"/>
          <w:szCs w:val="24"/>
          <w:lang w:eastAsia="es-ES"/>
        </w:rPr>
        <w:t xml:space="preserve">.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Los argumentos en contra del prestamista de último recurso han sido continuos. (…) El más t</w:t>
      </w:r>
      <w:r>
        <w:rPr>
          <w:rFonts w:ascii="Times New Roman" w:eastAsia="Times New Roman" w:hAnsi="Times New Roman"/>
          <w:b/>
          <w:sz w:val="24"/>
          <w:szCs w:val="24"/>
          <w:lang w:eastAsia="es-ES"/>
        </w:rPr>
        <w:t>ajante fue de Herbert Spencer. “</w:t>
      </w:r>
      <w:r w:rsidRPr="00D07614">
        <w:rPr>
          <w:rFonts w:ascii="Times New Roman" w:eastAsia="Times New Roman" w:hAnsi="Times New Roman"/>
          <w:b/>
          <w:sz w:val="24"/>
          <w:szCs w:val="24"/>
          <w:lang w:eastAsia="es-ES"/>
        </w:rPr>
        <w:t xml:space="preserve">Proteger al hombre de los efectos de su locura lo único que consigue es llenar el </w:t>
      </w:r>
      <w:r>
        <w:rPr>
          <w:rFonts w:ascii="Times New Roman" w:eastAsia="Times New Roman" w:hAnsi="Times New Roman"/>
          <w:b/>
          <w:sz w:val="24"/>
          <w:szCs w:val="24"/>
          <w:lang w:eastAsia="es-ES"/>
        </w:rPr>
        <w:t>mundo de locos”</w:t>
      </w:r>
      <w:r w:rsidRPr="00D07614">
        <w:rPr>
          <w:rFonts w:ascii="Times New Roman" w:eastAsia="Times New Roman" w:hAnsi="Times New Roman"/>
          <w:b/>
          <w:sz w:val="24"/>
          <w:szCs w:val="24"/>
          <w:lang w:eastAsia="es-ES"/>
        </w:rPr>
        <w:t>. Un punto de vista compre</w:t>
      </w:r>
      <w:r>
        <w:rPr>
          <w:rFonts w:ascii="Times New Roman" w:eastAsia="Times New Roman" w:hAnsi="Times New Roman"/>
          <w:b/>
          <w:sz w:val="24"/>
          <w:szCs w:val="24"/>
          <w:lang w:eastAsia="es-ES"/>
        </w:rPr>
        <w:t>nsible en una era Darwiniana”</w:t>
      </w:r>
      <w:r w:rsidRPr="00D07614">
        <w:rPr>
          <w:rFonts w:ascii="Times New Roman" w:eastAsia="Times New Roman" w:hAnsi="Times New Roman"/>
          <w:b/>
          <w:sz w:val="24"/>
          <w:szCs w:val="24"/>
          <w:lang w:eastAsia="es-ES"/>
        </w:rPr>
        <w:t xml:space="preserve">.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Los bancos centrales suelen tener normas. Cuando no se pueden romper con facilidad, a menudo surgen problemas. También hay problemas cuando las normas se rompen con demasiada facilid</w:t>
      </w:r>
      <w:r>
        <w:rPr>
          <w:rFonts w:ascii="Times New Roman" w:eastAsia="Times New Roman" w:hAnsi="Times New Roman"/>
          <w:b/>
          <w:sz w:val="24"/>
          <w:szCs w:val="24"/>
          <w:lang w:eastAsia="es-ES"/>
        </w:rPr>
        <w:t>ad”</w:t>
      </w:r>
      <w:r w:rsidRPr="00D07614">
        <w:rPr>
          <w:rFonts w:ascii="Times New Roman" w:eastAsia="Times New Roman" w:hAnsi="Times New Roman"/>
          <w:b/>
          <w:sz w:val="24"/>
          <w:szCs w:val="24"/>
          <w:lang w:eastAsia="es-ES"/>
        </w:rPr>
        <w:t xml:space="preserve">.  </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'Demasiado poco, demasiado tarde’ es una de las frases más tristes en la jerga de los bancos centrales y de cualquier actividad. Pero ¿cuánto es bastante? Y ¿cuándo es el momento adecuado?</w:t>
      </w:r>
      <w:r>
        <w:rPr>
          <w:rFonts w:ascii="Times New Roman" w:eastAsia="Times New Roman" w:hAnsi="Times New Roman"/>
          <w:b/>
          <w:sz w:val="24"/>
          <w:szCs w:val="24"/>
          <w:lang w:eastAsia="es-ES"/>
        </w:rPr>
        <w:t>”.</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La gestión del tiempo es un arte. Eso no dice nada y lo d</w:t>
      </w:r>
      <w:r>
        <w:rPr>
          <w:rFonts w:ascii="Times New Roman" w:eastAsia="Times New Roman" w:hAnsi="Times New Roman"/>
          <w:b/>
          <w:sz w:val="24"/>
          <w:szCs w:val="24"/>
          <w:lang w:eastAsia="es-ES"/>
        </w:rPr>
        <w:t>ice todo”…</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¿Es ésta una derrota huérfana?</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¿Es ésta una crisis bursátil (especulativa) o una crisis sistémica?</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No es la primera vez que ocurren estos eventos especulativos (primero), estos derrumbes caóticos (segundo) y estas réplicas del temblor esperables (tercero). Para sólo citar el pasado reciente: crac de 1987, minicrac de 1989, crisis de 1997, crisis de 1998…situación reciente.</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Pero ahora la financierización de la economía (hija putativa del librecambio y la globalización) provoca estallidos más intensos, más extensos, y de efectos más prolongados, por mucho que les pese a los profetas del fin de los ciclos económicos.</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Ese es el drama de la Nueva Economía, entre la velocidad y la verdad, entre lo intangible y lo tangible, el mito, la fantasía y la ilusión, han dejado a los actores de sí mismos frente al crash, la recesión…la depresión. Ahora la crisis lo contagia todo…</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Intentaron pasar de los beneficios decrecientes a la economía de escala creciente.</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Apabullaron con pronósticos y predicciones. Ayudados por los profetas de la nada -perdón- FMI, BM, OCDE, OMC,…intentaron pasar del mercado al supermercado.</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Del arte de lo posible al arte de lo imposible…El dominio despótico del Leviatán económico.</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En conocimiento de todo ello hace la Fed su entrada…El guardián de dinero se transforma en el guardián de la bolsa (que no es lo mismo)…Decide atizar el fuego, acepta sembrar problemas para el futuro, dándonos la razón a los que decimos que los gobiernos son instrumentos de los capitalistas financieros…dándonos la razón a los que decimos que es la sociedad la que paga el precio del rescate.</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lastRenderedPageBreak/>
        <w:t>Los pesimistas (de ahora) tenemos fundamentos para creer que existen defectos en el sistema financiero actual que ponen en peligro la prosperidad económica mundial. Los pesimistas (de antes) tenemos pruebas para sostener que las crisis de la bolsa pueden ser los desencadenantes de una recesión prolongada…y más allá la depresión.</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A todo esto la Fed opta por abordar el problema de la confianza…</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Ofrece crédito ilimitado…Se dispone en forma incondicional y abierta a proporcionarlo…</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Que fluya el dinero…</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¿Para quién? Para los especuladores del parqué…Para los hacedores de mercado…Para los mariscales de la derrota...</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¿Por qué?…Tienen ustedes la respuesta…</w:t>
      </w:r>
    </w:p>
    <w:p w:rsidR="002F07D4" w:rsidRPr="00614C2F" w:rsidRDefault="002F07D4" w:rsidP="002F07D4">
      <w:pPr>
        <w:spacing w:line="240" w:lineRule="auto"/>
        <w:jc w:val="both"/>
        <w:rPr>
          <w:rFonts w:ascii="Times New Roman" w:hAnsi="Times New Roman"/>
        </w:rPr>
      </w:pPr>
      <w:r w:rsidRPr="00614C2F">
        <w:rPr>
          <w:rFonts w:ascii="Times New Roman" w:hAnsi="Times New Roman"/>
        </w:rPr>
        <w:t>¿Para qué?…Tienen ustedes la respuesta…</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Ben Bernanke (la era del “quantitative easing”)</w:t>
      </w:r>
    </w:p>
    <w:p w:rsidR="002F07D4" w:rsidRPr="005B4D06" w:rsidRDefault="002F07D4" w:rsidP="002F07D4">
      <w:pPr>
        <w:spacing w:line="240" w:lineRule="auto"/>
        <w:jc w:val="both"/>
        <w:rPr>
          <w:rFonts w:ascii="Times New Roman" w:hAnsi="Times New Roman"/>
          <w:b/>
          <w:sz w:val="24"/>
          <w:szCs w:val="24"/>
        </w:rPr>
      </w:pPr>
      <w:r w:rsidRPr="005B4D06">
        <w:rPr>
          <w:rFonts w:ascii="Times New Roman" w:hAnsi="Times New Roman"/>
          <w:b/>
          <w:sz w:val="24"/>
          <w:szCs w:val="24"/>
        </w:rPr>
        <w:t>Del conundrum de Greenspan al conundrum de Bernanke</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 xml:space="preserve">El “Conundrum de Greenspan” y la liquidez internacional </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 xml:space="preserve">En febrero de 2005, Alan Greenspan, quien presidía la Reserva Federal de los Estados Unidos, dictó un discurso en el cual advirtió que se estaba viviendo un “Conundrum” en las tasas de interés norteamericanas. Esto se debía a que si bien la Fed se encaminaba hacia su segundo año consecutivo de apretón monetario (subiendo la tasa de referencia -Fed funds-), las tasas de largo plazo no acompañaban esa misma suba, sino que se mantenían inusualmente incambiadas.  </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 xml:space="preserve">La causa principal que gestaba este fenómeno era la abundante liquidez internacional que procuraba bonos del tesoro norteamericano de largo plazo, y ello conducía a un descenso de las tasas de interés que pagaban estos instrumentos (simplemente por la ley de oferta y demanda).  </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 xml:space="preserve">Esta liquidez que ha venido inundando al mundo de dólares, se ha visto reflejada en tasas de interés internacionales históricamente bajas, así como un notable descenso en las primas de riesgo para las economías emergentes, a la vez que se ha producido un extraordinario aumento en el precio de los commodities (todos efectos que han conducido a la bonanza actual en los países emergentes). </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 xml:space="preserve">Como es sabido, el gran ahorrador a nivel mundial ha sido China que ha desarrollado un proceso creciente de integración a las corrientes globales de comercio. Este inmenso y nuevo ahorrador global ha acumulado reservas internacionales en la forma de bonos del tesoro norteamericano de largo plazo, cuyo objetivo principal ha sido no permitir apreciar su moneda frente al dólar para favorecer a su sector exportador. Sin embargo, mantener ese ahorro bajo la forma de bonos estadounidenses ha tenido un inmenso costo de oportunidad: el de invertir en activos más rentables tendiendo a la eficiencia en el manejo de las reservas.   </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Bernanke da la vuelta al “conundrum” de Greenspan... para mal</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 xml:space="preserve">A pesar de la bajada de tipos a corto, la subida a largo encarece las hipotecas y pone más presión en la vivienda. ¿Se acuerdan del “conundrum”? Pues bien, resulta que </w:t>
      </w:r>
      <w:r w:rsidRPr="005B4D06">
        <w:rPr>
          <w:rFonts w:ascii="Times New Roman" w:hAnsi="Times New Roman"/>
          <w:sz w:val="24"/>
          <w:szCs w:val="24"/>
        </w:rPr>
        <w:lastRenderedPageBreak/>
        <w:t>ahora ese “</w:t>
      </w:r>
      <w:r>
        <w:rPr>
          <w:rFonts w:ascii="Times New Roman" w:hAnsi="Times New Roman"/>
          <w:sz w:val="24"/>
          <w:szCs w:val="24"/>
        </w:rPr>
        <w:t>co</w:t>
      </w:r>
      <w:r w:rsidRPr="005B4D06">
        <w:rPr>
          <w:rFonts w:ascii="Times New Roman" w:hAnsi="Times New Roman"/>
          <w:sz w:val="24"/>
          <w:szCs w:val="24"/>
        </w:rPr>
        <w:t>nundrum” empieza a invertirse y a funcionar al revés. Es decir, ahora lo que bajan son los tipos a corto plazo después de la sacudida que metió Bernanke, los tipos a largo no bajan, sino que suben. Es decir, tenemos otro “conundrum” sólo que al revés del de Greenspan. Y puede ser peor.</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La razón que están citando los analistas para este comportamiento de la deuda en los últimos tiempos reside en los mínimos históricos del dólar frente al euro y los máximos del petróleo y otras materias primas. Ambos elementos son claramente inflacionistas y eso, un repunte de la inflación, es lo que anticipan los tipos de los bonos. No hay que olvidar que uno de los riesgos que asumía Bernanke con su bajada de tipos era precisamente una explosión inflacionista o incluso estanflación (si además de dispararse los precios, la actividad se estanca por la crisis de crédito). Pero la Fed y Wall Street consideraron que era más grave el riesgo de recesión que el de inflación.</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Más leña a la crisis inmobiliaria</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Este “conundrum invertido”, aunque está normalizando la pendiente de la curva de tipos y, por tanto, aleja las perspectivas de recesión, dista mucho de ser positivo para la economía. De hecho, es muy peligroso si tenemos en cuenta que la mayor amenaza para la economía, de la que deriva toda la crisis “subprime” y del mercado de crédito, es la crisis del mercado inmobiliario.</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En EEUU, las hipotecas no se referencian a un tipo a corto plazo como nuestro euribor (lo que hacemos aquí es una aberración cuando hablamos de deudas a 30 años o más). Allí utilizan referencias más lógicas, como los tipos de los bonos a 10 ó 30 años. Por eso, si estos tipos suben aunque la Fed los baje a corto plazo, los que tienen hipotecas a tipo variable verán encarecerse su pago mensual.</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Y ya sabemos lo que va detrás: aumentan los impagos -la mayoría de las hipotecas “subprime” están a tipo variable- y los desahucios, lo cual incrementa la oferta de vivienda y reduce a la demanda... y finalmente, se retroalimenta la caída del precio de la vivienda. Sin contar con el nuevo golpe para el gasto de consumo que supone el aumento de la letra de la hipoteca, ya bastante golpeado por la subida de los carburantes.</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A Bernanke se le complica la vida. El “conundrum” ha vuelto... pero al revés: suben los tipos de interés</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La interpretación inflacionista, más negativa, es la que sostiene que los bonos descuentan una escalada de los precios precisamente por culpa de una política monetaria demasiado laxa. Esta explicación está relacionada con el dólar, puesto que esta política ha resultado en una debilidad del billete verde que hace menos atractiva la inversión en activos en dólares (como los bonos americanos) para los extranjeros.</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Es decir, justo lo contrario de la explicación favorita de Greenspan para el “conundrum”: que el atractivo de los bonos americanos para los extranjeros (sobre todo los países emergentes con grandes reservas de divisas) mantenía altos los precios de la deuda y bajas sus rentabilidades (que se mueven al revés que el precio).</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 xml:space="preserve">Una continuidad del fenómeno actual hará subir más los tipos hipotecarios y prolongará la crisis del mercado inmobiliario. Pero, por otro lado, la creciente diferencia entre los tipos a corto y a largo plazo (el empinamiento de la curva de tipos) hace más rentable para los bancos prestar dinero a largo, aunque tengan problemas para titulizar esos </w:t>
      </w:r>
      <w:r w:rsidRPr="005B4D06">
        <w:rPr>
          <w:rFonts w:ascii="Times New Roman" w:hAnsi="Times New Roman"/>
          <w:sz w:val="24"/>
          <w:szCs w:val="24"/>
        </w:rPr>
        <w:lastRenderedPageBreak/>
        <w:t>préstamos en activos tal como está el mercado de crédito. Y eso puede volver a poner en marcha la maquinaria del crédito necesaria para que la economía vuelva a crecer.</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 xml:space="preserve">Los analistas sostienen que el mercado de viviendas va a tener que encontrar su piso y ninguna disminución de la tasa de interés lo va a revivir en el corto plazo. Pero en la medida  que los mercados continúen poniendo presión sobre la Reserva Federal para que sea más agresiva, los riesgos inflacionarios aumentarán y esto seguirá afectando las tasas de interés de largo-plazo. </w:t>
      </w:r>
    </w:p>
    <w:p w:rsidR="002F07D4" w:rsidRPr="005B4D06"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 xml:space="preserve">Por lo tanto, mientras que el “conundrum” de Greenspan era que las tasas de interés de largo-plazo no aumentaban después de que la Reserva Federal aumentaba las tasas de corto-plazo, el “conundrum” de Bernanke parece estar caracterizado por lo contrario, con las tasas de corto-plazo disminuyendo y las de largo-plazo aumentando. Mientras que el “conundrum” de Greenspan era problemático en sí mismo, este nuevo “conundrum” es mucho peor porque pone en tela de juicio la habilidad de la Reserva Federal de conducir una política monetaria efectiva en caso de que la economía de los EEUU entre en una recesión. Y como las cuentas fiscales del gobierno de los EEUU están en tan malas condiciones, esto dejará a la economía de los EEUU con menos grados de libertad para reaccionar en caso de que la crisis se expanda al resto de la economía. Se puede argumentar que el gobierno puede aumentar los gastos fiscales pero esto también afectará los intereses de largo plazo, lo que hará más difícil la versión actual del “conundrum”. </w:t>
      </w:r>
    </w:p>
    <w:p w:rsidR="002F07D4" w:rsidRDefault="002F07D4" w:rsidP="002F07D4">
      <w:pPr>
        <w:spacing w:line="240" w:lineRule="auto"/>
        <w:jc w:val="both"/>
        <w:rPr>
          <w:rFonts w:ascii="Times New Roman" w:hAnsi="Times New Roman"/>
          <w:sz w:val="24"/>
          <w:szCs w:val="24"/>
        </w:rPr>
      </w:pPr>
      <w:r w:rsidRPr="005B4D06">
        <w:rPr>
          <w:rFonts w:ascii="Times New Roman" w:hAnsi="Times New Roman"/>
          <w:sz w:val="24"/>
          <w:szCs w:val="24"/>
        </w:rPr>
        <w:t>En todo caso, la volatilidad del mercado significa que no tiene nada claro cuál es el rumbo de la economía y si la actuación de la Fed está siendo la correcta. Al final, la respuesta y el futuro de los mercados dependerán de si tienen razón los que creen que la economía ya ha entrado en recesión o los que piensan que no es así y que las rebajas de tipos son una exageración que va a disparar la inflación</w:t>
      </w:r>
      <w:r>
        <w:rPr>
          <w:rFonts w:ascii="Times New Roman" w:hAnsi="Times New Roman"/>
          <w:sz w:val="24"/>
          <w:szCs w:val="24"/>
        </w:rPr>
        <w:t>…</w:t>
      </w:r>
    </w:p>
    <w:p w:rsidR="002F07D4" w:rsidRPr="003C7EC2" w:rsidRDefault="002F07D4" w:rsidP="002F07D4">
      <w:pPr>
        <w:spacing w:line="240" w:lineRule="auto"/>
        <w:jc w:val="both"/>
        <w:rPr>
          <w:rFonts w:ascii="Times New Roman" w:hAnsi="Times New Roman"/>
          <w:b/>
          <w:sz w:val="24"/>
          <w:szCs w:val="24"/>
        </w:rPr>
      </w:pPr>
      <w:r w:rsidRPr="003C7EC2">
        <w:rPr>
          <w:rFonts w:ascii="Times New Roman" w:hAnsi="Times New Roman"/>
          <w:b/>
          <w:sz w:val="24"/>
          <w:szCs w:val="24"/>
        </w:rPr>
        <w:t>Entonces… (iniciativas de desempeño aberrante)</w:t>
      </w:r>
    </w:p>
    <w:p w:rsidR="002F07D4" w:rsidRPr="00433946" w:rsidRDefault="002F07D4" w:rsidP="002F07D4">
      <w:pPr>
        <w:pStyle w:val="NormalWeb"/>
        <w:jc w:val="both"/>
        <w:rPr>
          <w:b/>
        </w:rPr>
      </w:pPr>
      <w:r w:rsidRPr="00433946">
        <w:rPr>
          <w:b/>
        </w:rPr>
        <w:t>La crisis financiera mundial puso al descubierto defectos del capitalismo al estilo estadounidense, las insuficiencias de lo que los británicos apodaron como la regulación financiera “leve” y la tendencia del sistema hacia cometer excesos periódicos. Más recientemente, la crisis de la deuda soberana de Europa puso de relieve la tensión de un costoso estado de bienestar en ausencia de un vigoroso crecimiento económico que lo financie.</w:t>
      </w:r>
    </w:p>
    <w:p w:rsidR="002F07D4" w:rsidRPr="00433946" w:rsidRDefault="002F07D4" w:rsidP="002F07D4">
      <w:pPr>
        <w:pStyle w:val="NormalWeb"/>
        <w:jc w:val="both"/>
        <w:rPr>
          <w:b/>
        </w:rPr>
      </w:pPr>
      <w:r w:rsidRPr="00433946">
        <w:rPr>
          <w:b/>
        </w:rPr>
        <w:t>El modelo de EEUU continúa en dificultades tres años después de que los reguladores dejaran que Lehman Brothers se hundiera. Miles de millones de dólares duermen ociosos en las arcas de las empresas, a pesar de que millones de trabajadores se hallan desempleados desde hace más de un año. El mercado inmobiliario sigue deprimido. La parálisis política en materia fiscal socava la autoridad económica en EEUU. Todo esto y más ha debilitado el argumento más simple a favor del modelo económico de EEUU: el hecho de que funciona.</w:t>
      </w:r>
    </w:p>
    <w:p w:rsidR="002F07D4" w:rsidRPr="00433946" w:rsidRDefault="002F07D4" w:rsidP="002F07D4">
      <w:pPr>
        <w:pStyle w:val="NormalWeb"/>
        <w:jc w:val="both"/>
        <w:rPr>
          <w:b/>
        </w:rPr>
      </w:pPr>
      <w:r w:rsidRPr="00433946">
        <w:rPr>
          <w:b/>
        </w:rPr>
        <w:t xml:space="preserve">El modelo europeo tampoco ofrece demasiado. En uno de los momentos más reveladores de 2011, Klaus Regling, que dirige el fondo de rescate de la zona euro, fue enviado en busca de dinero no a Washington, sino a Beijing. La misión no produjo resultados, pero sí provocó arrebatos de desdén por parte de algunos en China sobre las imperfecciones en el modelo europeo. En una entrevista con Al </w:t>
      </w:r>
      <w:r w:rsidRPr="00433946">
        <w:rPr>
          <w:b/>
        </w:rPr>
        <w:lastRenderedPageBreak/>
        <w:t>Jazeera TV, en noviembre (2011), Jin Liqun, director de la junta supervisora del fondo soberano China Investment Corp., se refirió a Europa como una “sociedad de bienestar agotada”.</w:t>
      </w:r>
    </w:p>
    <w:p w:rsidR="002F07D4" w:rsidRDefault="002F07D4" w:rsidP="002F07D4">
      <w:pPr>
        <w:pStyle w:val="NormalWeb"/>
        <w:jc w:val="both"/>
        <w:rPr>
          <w:b/>
        </w:rPr>
      </w:pPr>
      <w:r w:rsidRPr="00433946">
        <w:rPr>
          <w:b/>
        </w:rPr>
        <w:t>El modelo japonés, impulsado por las exportaciones, en su día la envidia de casi todas las demás economías, ha sido en gran medida descartado, como consecuencia de una década de luchas para reactivar el crecimiento. Si a eso sumamos el golpe asestado por la calamidad nuclear de Fukushima Daiichi, provocada en marzo (2012) por un tsunami y un terremoto, resulta que la reputación de Japón en términos de competencia y eficiencia se vio gravemente perjudicada.</w:t>
      </w:r>
    </w:p>
    <w:p w:rsidR="002F07D4" w:rsidRPr="00433946" w:rsidRDefault="002F07D4" w:rsidP="002F07D4">
      <w:pPr>
        <w:pStyle w:val="NormalWeb"/>
        <w:jc w:val="both"/>
        <w:rPr>
          <w:b/>
        </w:rPr>
      </w:pPr>
      <w:r w:rsidRPr="00433946">
        <w:rPr>
          <w:b/>
        </w:rPr>
        <w:t>¿Pero existe una alternativa bien articulada al capitalismo de mercado de los países  (anteriormente) ricos?</w:t>
      </w:r>
    </w:p>
    <w:p w:rsidR="002F07D4" w:rsidRDefault="002F07D4" w:rsidP="002F07D4">
      <w:pPr>
        <w:pStyle w:val="NormalWeb"/>
        <w:jc w:val="both"/>
        <w:rPr>
          <w:b/>
        </w:rPr>
      </w:pPr>
      <w:r w:rsidRPr="00433946">
        <w:rPr>
          <w:b/>
        </w:rPr>
        <w:t>Por ahora, los países (anteriormente) ricos están demostrando que no aprendieron la lección, y continúan actuando con “lentitud, parsimonia y vacilación”…</w:t>
      </w:r>
    </w:p>
    <w:p w:rsidR="002F07D4" w:rsidRDefault="002F07D4" w:rsidP="002F07D4">
      <w:pPr>
        <w:jc w:val="both"/>
        <w:rPr>
          <w:rFonts w:ascii="Times New Roman" w:hAnsi="Times New Roman"/>
          <w:b/>
          <w:sz w:val="24"/>
          <w:szCs w:val="24"/>
        </w:rPr>
      </w:pPr>
      <w:r>
        <w:rPr>
          <w:rFonts w:ascii="Times New Roman" w:hAnsi="Times New Roman"/>
          <w:b/>
          <w:sz w:val="24"/>
          <w:szCs w:val="24"/>
        </w:rPr>
        <w:t>“Helicopter” Ben (cadena de favores: todo sea por la banca)</w:t>
      </w:r>
    </w:p>
    <w:p w:rsidR="002F07D4" w:rsidRDefault="002F07D4" w:rsidP="002F07D4">
      <w:pPr>
        <w:spacing w:line="240" w:lineRule="auto"/>
        <w:jc w:val="both"/>
        <w:rPr>
          <w:rFonts w:ascii="Times New Roman" w:hAnsi="Times New Roman"/>
          <w:sz w:val="24"/>
          <w:szCs w:val="24"/>
        </w:rPr>
      </w:pPr>
      <w:r>
        <w:rPr>
          <w:rFonts w:ascii="Arial" w:hAnsi="Arial" w:cs="Arial"/>
          <w:noProof/>
          <w:color w:val="000000"/>
          <w:sz w:val="15"/>
          <w:szCs w:val="15"/>
          <w:lang w:val="en-GB" w:eastAsia="en-GB"/>
        </w:rPr>
        <w:drawing>
          <wp:inline distT="0" distB="0" distL="0" distR="0">
            <wp:extent cx="5400040" cy="2596775"/>
            <wp:effectExtent l="0" t="0" r="0" b="0"/>
            <wp:docPr id="119" name="Imagen 119" descr="[T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TALF]"/>
                    <pic:cNvPicPr>
                      <a:picLocks noChangeAspect="1" noChangeArrowheads="1"/>
                    </pic:cNvPicPr>
                  </pic:nvPicPr>
                  <pic:blipFill>
                    <a:blip r:embed="rId2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596775"/>
                    </a:xfrm>
                    <a:prstGeom prst="rect">
                      <a:avLst/>
                    </a:prstGeom>
                    <a:noFill/>
                    <a:ln>
                      <a:noFill/>
                    </a:ln>
                  </pic:spPr>
                </pic:pic>
              </a:graphicData>
            </a:graphic>
          </wp:inline>
        </w:drawing>
      </w:r>
    </w:p>
    <w:p w:rsidR="002F07D4" w:rsidRPr="005B4D06" w:rsidRDefault="002F07D4" w:rsidP="002F07D4">
      <w:pPr>
        <w:spacing w:line="240" w:lineRule="auto"/>
        <w:jc w:val="both"/>
        <w:rPr>
          <w:rFonts w:ascii="Times New Roman" w:hAnsi="Times New Roman"/>
          <w:sz w:val="24"/>
          <w:szCs w:val="24"/>
        </w:rPr>
      </w:pPr>
      <w:r>
        <w:rPr>
          <w:rFonts w:ascii="Times New Roman" w:hAnsi="Times New Roman"/>
          <w:noProof/>
          <w:sz w:val="24"/>
          <w:szCs w:val="24"/>
          <w:lang w:val="en-GB" w:eastAsia="en-GB"/>
        </w:rPr>
        <w:drawing>
          <wp:inline distT="0" distB="0" distL="0" distR="0">
            <wp:extent cx="5400040" cy="2677811"/>
            <wp:effectExtent l="0" t="0" r="0" b="8255"/>
            <wp:docPr id="308" name="Imagen 308" descr="liquid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liquidez"/>
                    <pic:cNvPicPr>
                      <a:picLocks noChangeAspect="1" noChangeArrowheads="1"/>
                    </pic:cNvPicPr>
                  </pic:nvPicPr>
                  <pic:blipFill>
                    <a:blip r:embed="rId2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677811"/>
                    </a:xfrm>
                    <a:prstGeom prst="rect">
                      <a:avLst/>
                    </a:prstGeom>
                    <a:noFill/>
                    <a:ln>
                      <a:noFill/>
                    </a:ln>
                  </pic:spPr>
                </pic:pic>
              </a:graphicData>
            </a:graphic>
          </wp:inline>
        </w:drawing>
      </w:r>
    </w:p>
    <w:p w:rsidR="002F07D4" w:rsidRPr="009E08EE" w:rsidRDefault="002F07D4" w:rsidP="002F07D4">
      <w:pPr>
        <w:spacing w:line="240" w:lineRule="auto"/>
        <w:jc w:val="both"/>
        <w:rPr>
          <w:rFonts w:ascii="Times New Roman" w:hAnsi="Times New Roman"/>
          <w:sz w:val="24"/>
          <w:szCs w:val="24"/>
        </w:rPr>
      </w:pPr>
      <w:r w:rsidRPr="009E08EE">
        <w:rPr>
          <w:rFonts w:ascii="Times New Roman" w:hAnsi="Times New Roman"/>
          <w:sz w:val="24"/>
          <w:szCs w:val="24"/>
        </w:rPr>
        <w:lastRenderedPageBreak/>
        <w:t>Pero, ¿cómo puede un país aumentar el efectivo a disposición de los actores económicos? Existen varias fórmulas, todas ellas con sus pros y sus contras.</w:t>
      </w:r>
    </w:p>
    <w:p w:rsidR="002F07D4" w:rsidRPr="009E08EE" w:rsidRDefault="002F07D4" w:rsidP="002F07D4">
      <w:pPr>
        <w:spacing w:line="240" w:lineRule="auto"/>
        <w:jc w:val="both"/>
        <w:rPr>
          <w:rFonts w:ascii="Times New Roman" w:hAnsi="Times New Roman"/>
          <w:sz w:val="24"/>
          <w:szCs w:val="24"/>
        </w:rPr>
      </w:pPr>
      <w:r w:rsidRPr="009E08EE">
        <w:rPr>
          <w:rFonts w:ascii="Times New Roman" w:hAnsi="Times New Roman"/>
          <w:sz w:val="24"/>
          <w:szCs w:val="24"/>
        </w:rPr>
        <w:t>El fin último no debe ser otro que llevar la financiación al consumidor final. La tarea no es fácil, teniendo en cuenta, tal y como explica Marta Raga, de BNP Paribas, que todos los agentes económicos están utilizando el efectivo extra en reducir su apalancamiento y no en consumo o en proyectos de crecimiento empresarial.</w:t>
      </w:r>
    </w:p>
    <w:p w:rsidR="002F07D4" w:rsidRPr="009E08EE" w:rsidRDefault="002F07D4" w:rsidP="002F07D4">
      <w:pPr>
        <w:spacing w:line="240" w:lineRule="auto"/>
        <w:jc w:val="both"/>
        <w:rPr>
          <w:rFonts w:ascii="Times New Roman" w:hAnsi="Times New Roman"/>
          <w:sz w:val="24"/>
          <w:szCs w:val="24"/>
        </w:rPr>
      </w:pPr>
      <w:r w:rsidRPr="009E08EE">
        <w:rPr>
          <w:rFonts w:ascii="Times New Roman" w:hAnsi="Times New Roman"/>
          <w:sz w:val="24"/>
          <w:szCs w:val="24"/>
        </w:rPr>
        <w:t>Los expertos aseguran que las medidas tomadas hasta ahora son adecuadas. “Aceleran la velocidad del dinero”, asegura Raga. Pero algunas de ellas empiezan a agotarse, como las bajadas de tipos de interés. Por ese motivo, algunos de ellos creen que aún queda margen para que funcionen las medidas alternativas, como la compra de activos.</w:t>
      </w:r>
    </w:p>
    <w:p w:rsidR="002F07D4" w:rsidRPr="009E08EE" w:rsidRDefault="002F07D4" w:rsidP="002F07D4">
      <w:pPr>
        <w:spacing w:line="240" w:lineRule="auto"/>
        <w:jc w:val="both"/>
        <w:rPr>
          <w:rFonts w:ascii="Times New Roman" w:hAnsi="Times New Roman"/>
          <w:sz w:val="24"/>
          <w:szCs w:val="24"/>
        </w:rPr>
      </w:pPr>
      <w:r w:rsidRPr="009E08EE">
        <w:rPr>
          <w:rFonts w:ascii="Times New Roman" w:hAnsi="Times New Roman"/>
          <w:sz w:val="24"/>
          <w:szCs w:val="24"/>
        </w:rPr>
        <w:t>Juan Ramón Caridad, de Atlas Capital, considera adecuado potenciar el papel del Estado como cámara de compensación, porque “si el Estado actúa de garante, la confianza retornará al mercado y con ella, las titulaciones, de una forma ordenada”.</w:t>
      </w:r>
    </w:p>
    <w:p w:rsidR="002F07D4" w:rsidRPr="00262E4F" w:rsidRDefault="002F07D4" w:rsidP="002F07D4">
      <w:pPr>
        <w:spacing w:line="240" w:lineRule="auto"/>
        <w:jc w:val="both"/>
        <w:rPr>
          <w:rFonts w:ascii="Times New Roman" w:hAnsi="Times New Roman"/>
          <w:sz w:val="24"/>
          <w:szCs w:val="24"/>
        </w:rPr>
      </w:pPr>
      <w:r w:rsidRPr="009E08EE">
        <w:rPr>
          <w:rFonts w:ascii="Times New Roman" w:hAnsi="Times New Roman"/>
          <w:sz w:val="24"/>
          <w:szCs w:val="24"/>
        </w:rPr>
        <w:t>Pero “todo lleva su tiempo”, asegura José Carlos Díez, de Intermoney, por lo que las medidas tardarán unos meses en tener efecto en las economías.</w:t>
      </w:r>
    </w:p>
    <w:p w:rsidR="002F07D4" w:rsidRPr="004C18FA" w:rsidRDefault="002F07D4" w:rsidP="002F07D4">
      <w:pPr>
        <w:spacing w:line="240" w:lineRule="auto"/>
        <w:jc w:val="both"/>
        <w:rPr>
          <w:rFonts w:ascii="Times New Roman" w:hAnsi="Times New Roman"/>
          <w:sz w:val="24"/>
          <w:szCs w:val="24"/>
        </w:rPr>
      </w:pPr>
      <w:r w:rsidRPr="004C18FA">
        <w:rPr>
          <w:rFonts w:ascii="Times New Roman" w:hAnsi="Times New Roman"/>
          <w:sz w:val="24"/>
          <w:szCs w:val="24"/>
        </w:rPr>
        <w:t xml:space="preserve">1 </w:t>
      </w:r>
      <w:r w:rsidRPr="00382AAA">
        <w:rPr>
          <w:rFonts w:ascii="Times New Roman" w:hAnsi="Times New Roman"/>
          <w:sz w:val="24"/>
          <w:szCs w:val="24"/>
          <w:u w:val="single"/>
        </w:rPr>
        <w:t>Política fiscal expansiva</w:t>
      </w:r>
      <w:r w:rsidRPr="004C18FA">
        <w:rPr>
          <w:rFonts w:ascii="Times New Roman" w:hAnsi="Times New Roman"/>
          <w:sz w:val="24"/>
          <w:szCs w:val="24"/>
        </w:rPr>
        <w:t xml:space="preserve">. </w:t>
      </w:r>
    </w:p>
    <w:p w:rsidR="002F07D4" w:rsidRPr="009E08EE" w:rsidRDefault="002F07D4" w:rsidP="002F07D4">
      <w:pPr>
        <w:spacing w:line="240" w:lineRule="auto"/>
        <w:jc w:val="both"/>
        <w:rPr>
          <w:rFonts w:ascii="Times New Roman" w:hAnsi="Times New Roman"/>
          <w:sz w:val="24"/>
          <w:szCs w:val="24"/>
        </w:rPr>
      </w:pPr>
      <w:r w:rsidRPr="009E08EE">
        <w:rPr>
          <w:rFonts w:ascii="Times New Roman" w:hAnsi="Times New Roman"/>
          <w:sz w:val="24"/>
          <w:szCs w:val="24"/>
        </w:rPr>
        <w:t>Es decir, bajadas de impuestos para fomentar el consumo privado. El principal escollo para llevar a cabo esta medida en el actual escenario de mercado es que los estados también necesitan recaudar fondos para sacar las economías de la crisis. Pablo García apunta a que los gobiernos evitarán financiarse a través de subidas de impuestos indirectos, pero también descarta que haya recortes fiscales.</w:t>
      </w:r>
    </w:p>
    <w:p w:rsidR="002F07D4" w:rsidRPr="004C18FA" w:rsidRDefault="002F07D4" w:rsidP="002F07D4">
      <w:pPr>
        <w:spacing w:line="240" w:lineRule="auto"/>
        <w:jc w:val="both"/>
        <w:rPr>
          <w:rFonts w:ascii="Times New Roman" w:hAnsi="Times New Roman"/>
          <w:sz w:val="24"/>
          <w:szCs w:val="24"/>
        </w:rPr>
      </w:pPr>
      <w:r w:rsidRPr="004C18FA">
        <w:rPr>
          <w:rFonts w:ascii="Times New Roman" w:hAnsi="Times New Roman"/>
          <w:sz w:val="24"/>
          <w:szCs w:val="24"/>
        </w:rPr>
        <w:t xml:space="preserve">2 </w:t>
      </w:r>
      <w:r w:rsidRPr="00382AAA">
        <w:rPr>
          <w:rFonts w:ascii="Times New Roman" w:hAnsi="Times New Roman"/>
          <w:sz w:val="24"/>
          <w:szCs w:val="24"/>
          <w:u w:val="single"/>
        </w:rPr>
        <w:t>Recortes de tipos de interés</w:t>
      </w:r>
      <w:r w:rsidRPr="004C18FA">
        <w:rPr>
          <w:rFonts w:ascii="Times New Roman" w:hAnsi="Times New Roman"/>
          <w:sz w:val="24"/>
          <w:szCs w:val="24"/>
        </w:rPr>
        <w:t xml:space="preserve">. </w:t>
      </w:r>
    </w:p>
    <w:p w:rsidR="002F07D4" w:rsidRDefault="002F07D4" w:rsidP="002F07D4">
      <w:pPr>
        <w:spacing w:line="240" w:lineRule="auto"/>
        <w:jc w:val="both"/>
        <w:rPr>
          <w:rFonts w:ascii="Times New Roman" w:hAnsi="Times New Roman"/>
          <w:sz w:val="24"/>
          <w:szCs w:val="24"/>
        </w:rPr>
      </w:pPr>
      <w:r w:rsidRPr="009E08EE">
        <w:rPr>
          <w:rFonts w:ascii="Times New Roman" w:hAnsi="Times New Roman"/>
          <w:sz w:val="24"/>
          <w:szCs w:val="24"/>
        </w:rPr>
        <w:t>Es la primera medida que han llevado a cabo los bancos centrales para aumentar el efectivo en circulación. Hasta tal punto que a algunas autoridades monetarias ya se les ha acabado la munición. EEUU y Japón tienen el precio del dinero al 0% y el Reino Unido, en el 0,5%. Los bajos tipos de interés hacen más accesible el crédito a los consumidores.</w:t>
      </w:r>
    </w:p>
    <w:p w:rsidR="002F07D4" w:rsidRPr="004C18FA" w:rsidRDefault="002F07D4" w:rsidP="002F07D4">
      <w:pPr>
        <w:spacing w:line="240" w:lineRule="auto"/>
        <w:jc w:val="both"/>
        <w:rPr>
          <w:rFonts w:ascii="Times New Roman" w:hAnsi="Times New Roman"/>
          <w:sz w:val="24"/>
          <w:szCs w:val="24"/>
        </w:rPr>
      </w:pPr>
      <w:r w:rsidRPr="004C18FA">
        <w:rPr>
          <w:rFonts w:ascii="Times New Roman" w:hAnsi="Times New Roman"/>
          <w:sz w:val="24"/>
          <w:szCs w:val="24"/>
        </w:rPr>
        <w:t xml:space="preserve">3 </w:t>
      </w:r>
      <w:r w:rsidRPr="00382AAA">
        <w:rPr>
          <w:rFonts w:ascii="Times New Roman" w:hAnsi="Times New Roman"/>
          <w:sz w:val="24"/>
          <w:szCs w:val="24"/>
          <w:u w:val="single"/>
        </w:rPr>
        <w:t>Compra de activos, tanto públicos como privados</w:t>
      </w:r>
      <w:r w:rsidRPr="004C18FA">
        <w:rPr>
          <w:rFonts w:ascii="Times New Roman" w:hAnsi="Times New Roman"/>
          <w:sz w:val="24"/>
          <w:szCs w:val="24"/>
        </w:rPr>
        <w:t xml:space="preserve">. </w:t>
      </w:r>
    </w:p>
    <w:p w:rsidR="002F07D4" w:rsidRPr="009E08EE" w:rsidRDefault="002F07D4" w:rsidP="002F07D4">
      <w:pPr>
        <w:spacing w:line="240" w:lineRule="auto"/>
        <w:jc w:val="both"/>
        <w:rPr>
          <w:rFonts w:ascii="Times New Roman" w:hAnsi="Times New Roman"/>
          <w:sz w:val="24"/>
          <w:szCs w:val="24"/>
        </w:rPr>
      </w:pPr>
      <w:r w:rsidRPr="009E08EE">
        <w:rPr>
          <w:rFonts w:ascii="Times New Roman" w:hAnsi="Times New Roman"/>
          <w:sz w:val="24"/>
          <w:szCs w:val="24"/>
        </w:rPr>
        <w:t>Con esta fórmula, el Estado inyecta efectivo en las entidades a través de la adquisición de activos considerados ilíquidos y que enturbian los balances de las entidades. Para llevar a cabo esta medida, el Estado debe financiarse a través de emisiones de deuda. El problema surge cuando este tipo de operaciones son masivas y el inversor huye hacia las inversiones más seguras, porque resta financiación a las compañías. Es lo que, en la teoría económica, se denomina “efecto expulsión”.</w:t>
      </w:r>
    </w:p>
    <w:p w:rsidR="002F07D4" w:rsidRPr="004C18FA" w:rsidRDefault="002F07D4" w:rsidP="002F07D4">
      <w:pPr>
        <w:spacing w:line="240" w:lineRule="auto"/>
        <w:jc w:val="both"/>
        <w:rPr>
          <w:rFonts w:ascii="Times New Roman" w:hAnsi="Times New Roman"/>
          <w:sz w:val="24"/>
          <w:szCs w:val="24"/>
        </w:rPr>
      </w:pPr>
      <w:r w:rsidRPr="004C18FA">
        <w:rPr>
          <w:rFonts w:ascii="Times New Roman" w:hAnsi="Times New Roman"/>
          <w:sz w:val="24"/>
          <w:szCs w:val="24"/>
        </w:rPr>
        <w:t xml:space="preserve">4 </w:t>
      </w:r>
      <w:r w:rsidRPr="00382AAA">
        <w:rPr>
          <w:rFonts w:ascii="Times New Roman" w:hAnsi="Times New Roman"/>
          <w:sz w:val="24"/>
          <w:szCs w:val="24"/>
          <w:u w:val="single"/>
        </w:rPr>
        <w:t>Bajar el coeficiente de caja.</w:t>
      </w:r>
    </w:p>
    <w:p w:rsidR="002F07D4" w:rsidRDefault="002F07D4" w:rsidP="002F07D4">
      <w:pPr>
        <w:spacing w:line="240" w:lineRule="auto"/>
        <w:jc w:val="both"/>
        <w:rPr>
          <w:rFonts w:ascii="Times New Roman" w:hAnsi="Times New Roman"/>
          <w:sz w:val="24"/>
          <w:szCs w:val="24"/>
        </w:rPr>
      </w:pPr>
      <w:r w:rsidRPr="004C18FA">
        <w:rPr>
          <w:rFonts w:ascii="Times New Roman" w:hAnsi="Times New Roman"/>
          <w:sz w:val="24"/>
          <w:szCs w:val="24"/>
        </w:rPr>
        <w:t>Es decir, reducir las reservas que poseen las entidades financieras en los bancos centrales de cada país como concepto de aval. Esta medida inyecta efectivo a las entidades, pero suscita incertidumbres. Algunos expertos consideran que esta opción es poco aconsejable en la actualidad, porque los bancos necesitan respaldo financiero para afrontar la b</w:t>
      </w:r>
      <w:r>
        <w:rPr>
          <w:rFonts w:ascii="Times New Roman" w:hAnsi="Times New Roman"/>
          <w:sz w:val="24"/>
          <w:szCs w:val="24"/>
        </w:rPr>
        <w:t>ajada del valor de sus activos.</w:t>
      </w:r>
    </w:p>
    <w:p w:rsidR="002F07D4" w:rsidRPr="004C18FA" w:rsidRDefault="002F07D4" w:rsidP="002F07D4">
      <w:pPr>
        <w:spacing w:line="240" w:lineRule="auto"/>
        <w:jc w:val="both"/>
        <w:rPr>
          <w:rFonts w:ascii="Times New Roman" w:hAnsi="Times New Roman"/>
          <w:sz w:val="24"/>
          <w:szCs w:val="24"/>
        </w:rPr>
      </w:pPr>
    </w:p>
    <w:p w:rsidR="002F07D4" w:rsidRPr="004C18FA" w:rsidRDefault="002F07D4" w:rsidP="002F07D4">
      <w:pPr>
        <w:spacing w:line="240" w:lineRule="auto"/>
        <w:jc w:val="both"/>
        <w:rPr>
          <w:rFonts w:ascii="Times New Roman" w:hAnsi="Times New Roman"/>
          <w:sz w:val="24"/>
          <w:szCs w:val="24"/>
        </w:rPr>
      </w:pPr>
      <w:r>
        <w:rPr>
          <w:rFonts w:ascii="Times New Roman" w:hAnsi="Times New Roman"/>
          <w:sz w:val="24"/>
          <w:szCs w:val="24"/>
        </w:rPr>
        <w:lastRenderedPageBreak/>
        <w:t xml:space="preserve">5 </w:t>
      </w:r>
      <w:r w:rsidRPr="00382AAA">
        <w:rPr>
          <w:rFonts w:ascii="Times New Roman" w:hAnsi="Times New Roman"/>
          <w:sz w:val="24"/>
          <w:szCs w:val="24"/>
          <w:u w:val="single"/>
        </w:rPr>
        <w:t>Poner a funcionar “la máquina del dinero”.</w:t>
      </w:r>
    </w:p>
    <w:p w:rsidR="002F07D4" w:rsidRDefault="002F07D4" w:rsidP="002F07D4">
      <w:pPr>
        <w:spacing w:line="240" w:lineRule="auto"/>
        <w:jc w:val="both"/>
        <w:rPr>
          <w:rFonts w:ascii="Times New Roman" w:hAnsi="Times New Roman"/>
          <w:sz w:val="24"/>
          <w:szCs w:val="24"/>
        </w:rPr>
      </w:pPr>
      <w:r w:rsidRPr="009E08EE">
        <w:rPr>
          <w:rFonts w:ascii="Times New Roman" w:hAnsi="Times New Roman"/>
          <w:sz w:val="24"/>
          <w:szCs w:val="24"/>
        </w:rPr>
        <w:t>Sería la medida más extrema. La emisión de billetes iría destinada, según los analistas, a la compra de activos tóxicos. Sólo sería efectiva si se utiliza de forma puntual y en un entorno de baja inflación. Su abuso provocaría inflación sin control</w:t>
      </w:r>
      <w:r>
        <w:rPr>
          <w:rFonts w:ascii="Times New Roman" w:hAnsi="Times New Roman"/>
          <w:sz w:val="24"/>
          <w:szCs w:val="24"/>
        </w:rPr>
        <w:t>…</w:t>
      </w:r>
    </w:p>
    <w:p w:rsidR="002F07D4" w:rsidRPr="00C20078" w:rsidRDefault="002F07D4" w:rsidP="002F07D4">
      <w:pPr>
        <w:spacing w:line="240" w:lineRule="auto"/>
        <w:jc w:val="both"/>
        <w:rPr>
          <w:rFonts w:ascii="Times New Roman" w:hAnsi="Times New Roman"/>
          <w:sz w:val="24"/>
          <w:szCs w:val="24"/>
          <w:u w:val="single"/>
        </w:rPr>
      </w:pPr>
      <w:r w:rsidRPr="00C20078">
        <w:rPr>
          <w:rFonts w:ascii="Times New Roman" w:eastAsia="Times New Roman" w:hAnsi="Times New Roman"/>
          <w:i/>
          <w:sz w:val="24"/>
          <w:szCs w:val="24"/>
          <w:lang w:eastAsia="es-ES"/>
        </w:rPr>
        <w:t>“Dentro de la Fed, Kohn era visto como una mano firme que comprendía la forma en que funcionaba la institución, pero afuera también ha sido asociado con el fracaso de la Fed para detener la crisis financiera. Ahora se jubila, y en una entrevista de despedida, habló con The Wall Street Journal sobre burbujas financieras y reproches”…</w:t>
      </w:r>
      <w:r w:rsidRPr="00BD3C4F">
        <w:rPr>
          <w:rFonts w:ascii="Times New Roman" w:eastAsia="Times New Roman" w:hAnsi="Times New Roman"/>
          <w:sz w:val="24"/>
          <w:szCs w:val="24"/>
          <w:u w:val="single"/>
          <w:lang w:eastAsia="es-ES"/>
        </w:rPr>
        <w:t>El segundo en la Fed reconoce que la regulación no mantuvo el ritmo</w:t>
      </w:r>
      <w:r>
        <w:rPr>
          <w:rFonts w:ascii="Times New Roman" w:eastAsia="Times New Roman" w:hAnsi="Times New Roman"/>
          <w:sz w:val="24"/>
          <w:szCs w:val="24"/>
          <w:lang w:eastAsia="es-ES"/>
        </w:rPr>
        <w:t xml:space="preserve"> (The Wall Street Journal - </w:t>
      </w:r>
      <w:r w:rsidRPr="00BD3C4F">
        <w:rPr>
          <w:rFonts w:ascii="Times New Roman" w:eastAsia="Times New Roman" w:hAnsi="Times New Roman"/>
          <w:b/>
          <w:sz w:val="24"/>
          <w:szCs w:val="24"/>
          <w:lang w:eastAsia="es-ES"/>
        </w:rPr>
        <w:t>26/6/10</w:t>
      </w:r>
      <w:r>
        <w:rPr>
          <w:rFonts w:ascii="Times New Roman" w:eastAsia="Times New Roman" w:hAnsi="Times New Roman"/>
          <w:sz w:val="24"/>
          <w:szCs w:val="24"/>
          <w:lang w:eastAsia="es-ES"/>
        </w:rPr>
        <w:t>)</w:t>
      </w:r>
    </w:p>
    <w:p w:rsidR="002F07D4" w:rsidRPr="00BD3C4F" w:rsidRDefault="002F07D4" w:rsidP="002F07D4">
      <w:pPr>
        <w:spacing w:before="100" w:beforeAutospacing="1" w:after="206" w:line="240" w:lineRule="auto"/>
        <w:jc w:val="both"/>
        <w:rPr>
          <w:rFonts w:ascii="Times New Roman" w:eastAsia="Times New Roman" w:hAnsi="Times New Roman"/>
          <w:sz w:val="24"/>
          <w:szCs w:val="24"/>
          <w:lang w:eastAsia="es-ES"/>
        </w:rPr>
      </w:pPr>
      <w:r w:rsidRPr="00BD3C4F">
        <w:rPr>
          <w:rFonts w:ascii="Times New Roman" w:eastAsia="Times New Roman" w:hAnsi="Times New Roman"/>
          <w:sz w:val="24"/>
          <w:szCs w:val="24"/>
          <w:lang w:eastAsia="es-ES"/>
        </w:rPr>
        <w:t>Donald Kohn lo ha visto todo en 40 años que lleva como banquero central en Estados Unidos, desde la inflación galopante de la década de 1970 a un largo período de prosperidad en los años 90, a una economía al borde del colapso hace sólo dos años.</w:t>
      </w:r>
    </w:p>
    <w:p w:rsidR="002F07D4" w:rsidRPr="00BD3C4F" w:rsidRDefault="002F07D4" w:rsidP="002F07D4">
      <w:pPr>
        <w:spacing w:before="100" w:beforeAutospacing="1" w:after="206" w:line="240" w:lineRule="auto"/>
        <w:jc w:val="both"/>
        <w:rPr>
          <w:rFonts w:ascii="Times New Roman" w:eastAsia="Times New Roman" w:hAnsi="Times New Roman"/>
          <w:sz w:val="24"/>
          <w:szCs w:val="24"/>
          <w:lang w:eastAsia="es-ES"/>
        </w:rPr>
      </w:pPr>
      <w:r w:rsidRPr="00BD3C4F">
        <w:rPr>
          <w:rFonts w:ascii="Times New Roman" w:eastAsia="Times New Roman" w:hAnsi="Times New Roman"/>
          <w:sz w:val="24"/>
          <w:szCs w:val="24"/>
          <w:lang w:eastAsia="es-ES"/>
        </w:rPr>
        <w:t>El vicepreside</w:t>
      </w:r>
      <w:r>
        <w:rPr>
          <w:rFonts w:ascii="Times New Roman" w:eastAsia="Times New Roman" w:hAnsi="Times New Roman"/>
          <w:sz w:val="24"/>
          <w:szCs w:val="24"/>
          <w:lang w:eastAsia="es-ES"/>
        </w:rPr>
        <w:t>nte de la Reserva Federal de EEUU</w:t>
      </w:r>
      <w:r w:rsidRPr="00BD3C4F">
        <w:rPr>
          <w:rFonts w:ascii="Times New Roman" w:eastAsia="Times New Roman" w:hAnsi="Times New Roman"/>
          <w:sz w:val="24"/>
          <w:szCs w:val="24"/>
          <w:lang w:eastAsia="es-ES"/>
        </w:rPr>
        <w:t>, de 67 años, fue una figura clave a la hora de tomar decisiones en la junta directiva de la Reserva Federal, donde aconsejó al ex presidente Alan Greenspan sobre medidas ahora polémicas de tasas de interés y también fue la mano derecha de Ben Bernanke para casi todas las decisiones importantes durante la crisis financiera.</w:t>
      </w:r>
    </w:p>
    <w:p w:rsidR="002F07D4" w:rsidRPr="00C20078" w:rsidRDefault="002F07D4" w:rsidP="002F07D4">
      <w:pPr>
        <w:spacing w:before="100" w:beforeAutospacing="1" w:after="206" w:line="240" w:lineRule="auto"/>
        <w:jc w:val="both"/>
        <w:rPr>
          <w:rFonts w:ascii="Times New Roman" w:eastAsia="Times New Roman" w:hAnsi="Times New Roman"/>
          <w:sz w:val="24"/>
          <w:szCs w:val="24"/>
          <w:lang w:eastAsia="es-ES"/>
        </w:rPr>
      </w:pPr>
      <w:r w:rsidRPr="00C20078">
        <w:rPr>
          <w:rFonts w:ascii="Times New Roman" w:eastAsia="Times New Roman" w:hAnsi="Times New Roman"/>
          <w:sz w:val="24"/>
          <w:szCs w:val="24"/>
          <w:lang w:eastAsia="es-ES"/>
        </w:rPr>
        <w:t>Estos son algunos apartes</w:t>
      </w:r>
      <w:r>
        <w:rPr>
          <w:rFonts w:ascii="Times New Roman" w:eastAsia="Times New Roman" w:hAnsi="Times New Roman"/>
          <w:sz w:val="24"/>
          <w:szCs w:val="24"/>
          <w:lang w:eastAsia="es-ES"/>
        </w:rPr>
        <w:t xml:space="preserve"> de la entrevista</w:t>
      </w:r>
      <w:r w:rsidRPr="00C20078">
        <w:rPr>
          <w:rFonts w:ascii="Times New Roman" w:eastAsia="Times New Roman" w:hAnsi="Times New Roman"/>
          <w:sz w:val="24"/>
          <w:szCs w:val="24"/>
          <w:lang w:eastAsia="es-ES"/>
        </w:rPr>
        <w:t>:</w:t>
      </w:r>
    </w:p>
    <w:p w:rsidR="002F07D4" w:rsidRPr="00717B4F" w:rsidRDefault="002F07D4" w:rsidP="002F07D4">
      <w:pPr>
        <w:spacing w:before="100" w:beforeAutospacing="1" w:after="206" w:line="240" w:lineRule="auto"/>
        <w:jc w:val="both"/>
        <w:rPr>
          <w:rFonts w:ascii="Times New Roman" w:eastAsia="Times New Roman" w:hAnsi="Times New Roman"/>
          <w:sz w:val="24"/>
          <w:szCs w:val="24"/>
          <w:lang w:eastAsia="es-ES"/>
        </w:rPr>
      </w:pPr>
      <w:r w:rsidRPr="00717B4F">
        <w:rPr>
          <w:rFonts w:ascii="Times New Roman" w:eastAsia="Times New Roman" w:hAnsi="Times New Roman"/>
          <w:sz w:val="24"/>
          <w:szCs w:val="24"/>
          <w:lang w:eastAsia="es-ES"/>
        </w:rPr>
        <w:t>Sobre las burbujas financieras: “Desde comienzos de la década de 1980, habíamos tenido (en EEUU) una recesión sólo cada unos 10 años. Esa estabilidad creó las semillas de su propia destrucción. La gente se acostumbró demasiado a la estabilidad financiera; pensaron que no necesitaban ser tan cuidadosos como antes. Por ejemplo, pensaron que los precios de las viviendas subirían para siempre, y que las recesiones serían suaves e infrecuentes. También hubo cambios en la economía real subyacente que llevó a que los activos adquirieran precios incorrectos. El auge de la alta tecnología fue una consecuencia de una innovación real, un cambio tecnológico, y la gente tuvo problemas para evaluar lo que implicaba”.</w:t>
      </w:r>
    </w:p>
    <w:p w:rsidR="002F07D4" w:rsidRPr="00717B4F" w:rsidRDefault="002F07D4" w:rsidP="002F07D4">
      <w:pPr>
        <w:spacing w:before="100" w:beforeAutospacing="1" w:after="206" w:line="240" w:lineRule="auto"/>
        <w:jc w:val="both"/>
        <w:rPr>
          <w:rFonts w:ascii="Times New Roman" w:eastAsia="Times New Roman" w:hAnsi="Times New Roman"/>
          <w:sz w:val="24"/>
          <w:szCs w:val="24"/>
          <w:lang w:eastAsia="es-ES"/>
        </w:rPr>
      </w:pPr>
      <w:r w:rsidRPr="00717B4F">
        <w:rPr>
          <w:rFonts w:ascii="Times New Roman" w:eastAsia="Times New Roman" w:hAnsi="Times New Roman"/>
          <w:sz w:val="24"/>
          <w:szCs w:val="24"/>
          <w:lang w:eastAsia="es-ES"/>
        </w:rPr>
        <w:t>“Hubo cambios enormes en la economía global. Esa clase de grandes cambios políticos y económicos crea un ambiente en el cual se pueden producir burbujas financieras. La gente malinterpreta los cambios; se vuelven demasiado entusiastas. La regulación del sistema financiero no se mantuvo a la par con los cambios que se producían en el sector financiero. Pasábamos de una intermediación orientada por los bancos a otra orientada por el mercado, y la supervisión y la regulación no se adaptaron lo suficiente. Así que se permitió que los precios incorrectos de los activos socavaron la elasticidad del sistema”.</w:t>
      </w:r>
    </w:p>
    <w:p w:rsidR="002F07D4" w:rsidRPr="00717B4F" w:rsidRDefault="002F07D4" w:rsidP="002F07D4">
      <w:pPr>
        <w:spacing w:before="100" w:beforeAutospacing="1" w:after="206" w:line="240" w:lineRule="auto"/>
        <w:jc w:val="both"/>
        <w:rPr>
          <w:rFonts w:ascii="Times New Roman" w:eastAsia="Times New Roman" w:hAnsi="Times New Roman"/>
          <w:sz w:val="24"/>
          <w:szCs w:val="24"/>
          <w:lang w:eastAsia="es-ES"/>
        </w:rPr>
      </w:pPr>
      <w:r w:rsidRPr="00717B4F">
        <w:rPr>
          <w:rFonts w:ascii="Times New Roman" w:eastAsia="Times New Roman" w:hAnsi="Times New Roman"/>
          <w:sz w:val="24"/>
          <w:szCs w:val="24"/>
          <w:lang w:eastAsia="es-ES"/>
        </w:rPr>
        <w:t>Dudas sobre el uso de tasas de interés más altas para combatir las burbujas: “Aún no me han convencido de que podemos enfrentar estas burbujas con políticas monetarias de una forma predecible y productiva. No sostengo que la política monetaria debe concentrarse sólo en la tasa de inflación de dos a tres años a futuro. Creo que debemos ser flexibles. Pero creo que hay muchas preguntas sin respuesta sobre hasta qué punto la política monetaria contribuyó a las burbujas y hasta qué punto puede hacerle frente a las burbujas el ajustar la política monetaria cuando va en ascenso o flexibilizarla cuando va en descenso”.</w:t>
      </w:r>
    </w:p>
    <w:p w:rsidR="002F07D4" w:rsidRPr="00717B4F" w:rsidRDefault="002F07D4" w:rsidP="002F07D4">
      <w:pPr>
        <w:spacing w:before="100" w:beforeAutospacing="1" w:after="206" w:line="240" w:lineRule="auto"/>
        <w:jc w:val="both"/>
        <w:rPr>
          <w:rFonts w:ascii="Times New Roman" w:eastAsia="Times New Roman" w:hAnsi="Times New Roman"/>
          <w:sz w:val="24"/>
          <w:szCs w:val="24"/>
          <w:lang w:eastAsia="es-ES"/>
        </w:rPr>
      </w:pPr>
      <w:r w:rsidRPr="00717B4F">
        <w:rPr>
          <w:rFonts w:ascii="Times New Roman" w:eastAsia="Times New Roman" w:hAnsi="Times New Roman"/>
          <w:sz w:val="24"/>
          <w:szCs w:val="24"/>
          <w:lang w:eastAsia="es-ES"/>
        </w:rPr>
        <w:lastRenderedPageBreak/>
        <w:t>“La forma principal que tenemos para enfrentar estas situaciones de inestabilidad es a través de la supervisión y la regulación. La Reserva Federal necesita estar alerta ante el desarrollo de cuestiones que amenazan la estabilidad financiera y estar preparada para actuar de forma expedita a través de la supervisión de bancos y el sistema financiero”.</w:t>
      </w:r>
    </w:p>
    <w:p w:rsidR="002F07D4" w:rsidRPr="00717B4F" w:rsidRDefault="002F07D4" w:rsidP="002F07D4">
      <w:pPr>
        <w:spacing w:before="100" w:beforeAutospacing="1" w:after="206" w:line="240" w:lineRule="auto"/>
        <w:jc w:val="both"/>
        <w:rPr>
          <w:rFonts w:ascii="Times New Roman" w:eastAsia="Times New Roman" w:hAnsi="Times New Roman"/>
          <w:sz w:val="24"/>
          <w:szCs w:val="24"/>
          <w:lang w:eastAsia="es-ES"/>
        </w:rPr>
      </w:pPr>
      <w:r w:rsidRPr="00717B4F">
        <w:rPr>
          <w:rFonts w:ascii="Times New Roman" w:eastAsia="Times New Roman" w:hAnsi="Times New Roman"/>
          <w:sz w:val="24"/>
          <w:szCs w:val="24"/>
          <w:lang w:eastAsia="es-ES"/>
        </w:rPr>
        <w:t>¿Por qué los reguladores no lograron prevenir la última burbuja?: “Detectamos una cantidad de problemas en desarrollo, pero la comunidad de supervisión financiera no fue lo suficientemente estricta, lo suficientemente rápida, respecto a esos problemas”</w:t>
      </w:r>
      <w:r>
        <w:rPr>
          <w:rFonts w:ascii="Times New Roman" w:eastAsia="Times New Roman" w:hAnsi="Times New Roman"/>
          <w:sz w:val="24"/>
          <w:szCs w:val="24"/>
          <w:lang w:eastAsia="es-ES"/>
        </w:rPr>
        <w:t>…</w:t>
      </w:r>
    </w:p>
    <w:p w:rsidR="002F07D4" w:rsidRPr="00034416"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F20943">
        <w:rPr>
          <w:rFonts w:ascii="Times New Roman" w:eastAsia="Times New Roman" w:hAnsi="Times New Roman"/>
          <w:sz w:val="24"/>
          <w:szCs w:val="24"/>
          <w:u w:val="single"/>
          <w:lang w:eastAsia="es-ES"/>
        </w:rPr>
        <w:t>Los bancos centrales están listos para salir al rescate de la economía global</w:t>
      </w:r>
      <w:r>
        <w:rPr>
          <w:rFonts w:ascii="Times New Roman" w:eastAsia="Times New Roman" w:hAnsi="Times New Roman"/>
          <w:sz w:val="24"/>
          <w:szCs w:val="24"/>
          <w:lang w:eastAsia="es-ES"/>
        </w:rPr>
        <w:t xml:space="preserve"> (The Wall Street Journal - </w:t>
      </w:r>
      <w:r w:rsidRPr="00F20943">
        <w:rPr>
          <w:rFonts w:ascii="Times New Roman" w:eastAsia="Times New Roman" w:hAnsi="Times New Roman"/>
          <w:b/>
          <w:sz w:val="24"/>
          <w:szCs w:val="24"/>
          <w:lang w:eastAsia="es-ES"/>
        </w:rPr>
        <w:t>5/10/10</w:t>
      </w:r>
      <w:r>
        <w:rPr>
          <w:rFonts w:ascii="Times New Roman" w:eastAsia="Times New Roman" w:hAnsi="Times New Roman"/>
          <w:sz w:val="24"/>
          <w:szCs w:val="24"/>
          <w:lang w:eastAsia="es-ES"/>
        </w:rPr>
        <w:t>)</w:t>
      </w:r>
    </w:p>
    <w:p w:rsidR="002F07D4" w:rsidRDefault="002F07D4" w:rsidP="002F07D4">
      <w:pPr>
        <w:spacing w:line="240" w:lineRule="auto"/>
        <w:jc w:val="both"/>
        <w:rPr>
          <w:rFonts w:ascii="Times New Roman" w:hAnsi="Times New Roman"/>
          <w:b/>
          <w:sz w:val="24"/>
          <w:szCs w:val="24"/>
        </w:rPr>
      </w:pPr>
      <w:r>
        <w:rPr>
          <w:rFonts w:ascii="Arial" w:eastAsia="Times New Roman" w:hAnsi="Arial" w:cs="Arial"/>
          <w:noProof/>
          <w:color w:val="000000"/>
          <w:sz w:val="15"/>
          <w:szCs w:val="15"/>
          <w:lang w:val="en-GB" w:eastAsia="en-GB"/>
        </w:rPr>
        <w:drawing>
          <wp:inline distT="0" distB="0" distL="0" distR="0">
            <wp:extent cx="5397500" cy="3505200"/>
            <wp:effectExtent l="0" t="0" r="0" b="0"/>
            <wp:docPr id="328" name="Imagen 328" descr="[Ban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descr="[Bancos]"/>
                    <pic:cNvPicPr>
                      <a:picLocks noChangeAspect="1" noChangeArrowheads="1"/>
                    </pic:cNvPicPr>
                  </pic:nvPicPr>
                  <pic:blipFill>
                    <a:blip r:embed="rId2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3506850"/>
                    </a:xfrm>
                    <a:prstGeom prst="rect">
                      <a:avLst/>
                    </a:prstGeom>
                    <a:noFill/>
                    <a:ln>
                      <a:noFill/>
                    </a:ln>
                  </pic:spPr>
                </pic:pic>
              </a:graphicData>
            </a:graphic>
          </wp:inline>
        </w:drawing>
      </w:r>
    </w:p>
    <w:p w:rsidR="002F07D4" w:rsidRDefault="002F07D4" w:rsidP="002F07D4">
      <w:pPr>
        <w:spacing w:line="240" w:lineRule="auto"/>
        <w:jc w:val="both"/>
        <w:rPr>
          <w:rFonts w:ascii="Times New Roman" w:hAnsi="Times New Roman"/>
          <w:b/>
          <w:sz w:val="24"/>
          <w:szCs w:val="24"/>
        </w:rPr>
      </w:pPr>
    </w:p>
    <w:p w:rsidR="002F07D4" w:rsidRPr="000F0D6D" w:rsidRDefault="002F07D4" w:rsidP="002F07D4">
      <w:pPr>
        <w:jc w:val="both"/>
        <w:rPr>
          <w:rFonts w:ascii="Times New Roman" w:hAnsi="Times New Roman"/>
          <w:sz w:val="24"/>
          <w:szCs w:val="24"/>
        </w:rPr>
      </w:pPr>
      <w:r>
        <w:rPr>
          <w:rFonts w:ascii="Times New Roman" w:hAnsi="Times New Roman"/>
          <w:b/>
          <w:noProof/>
          <w:sz w:val="24"/>
          <w:szCs w:val="24"/>
          <w:lang w:val="en-GB" w:eastAsia="en-GB"/>
        </w:rPr>
        <w:drawing>
          <wp:anchor distT="0" distB="0" distL="0" distR="0" simplePos="0" relativeHeight="251659264" behindDoc="0" locked="0" layoutInCell="1" allowOverlap="0">
            <wp:simplePos x="0" y="0"/>
            <wp:positionH relativeFrom="column">
              <wp:posOffset>151765</wp:posOffset>
            </wp:positionH>
            <wp:positionV relativeFrom="line">
              <wp:posOffset>471170</wp:posOffset>
            </wp:positionV>
            <wp:extent cx="5384800" cy="2584450"/>
            <wp:effectExtent l="0" t="0" r="6350" b="6350"/>
            <wp:wrapSquare wrapText="bothSides"/>
            <wp:docPr id="14" name="Imagen 14" descr="Top Holders 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Top Holders USA"/>
                    <pic:cNvPicPr>
                      <a:picLocks noChangeAspect="1" noChangeArrowheads="1"/>
                    </pic:cNvPicPr>
                  </pic:nvPicPr>
                  <pic:blipFill>
                    <a:blip r:embed="rId2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4800" cy="2584450"/>
                    </a:xfrm>
                    <a:prstGeom prst="rect">
                      <a:avLst/>
                    </a:prstGeom>
                    <a:noFill/>
                    <a:ln>
                      <a:noFill/>
                    </a:ln>
                  </pic:spPr>
                </pic:pic>
              </a:graphicData>
            </a:graphic>
          </wp:anchor>
        </w:drawing>
      </w:r>
      <w:r w:rsidRPr="00077361">
        <w:rPr>
          <w:rFonts w:ascii="Times New Roman" w:hAnsi="Times New Roman"/>
          <w:sz w:val="24"/>
          <w:szCs w:val="24"/>
          <w:u w:val="single"/>
        </w:rPr>
        <w:t xml:space="preserve">La </w:t>
      </w:r>
      <w:r>
        <w:rPr>
          <w:rFonts w:ascii="Times New Roman" w:hAnsi="Times New Roman"/>
          <w:sz w:val="24"/>
          <w:szCs w:val="24"/>
          <w:u w:val="single"/>
        </w:rPr>
        <w:t>FED se convierte en el segundo “top holder”</w:t>
      </w:r>
      <w:r w:rsidRPr="00077361">
        <w:rPr>
          <w:rFonts w:ascii="Times New Roman" w:hAnsi="Times New Roman"/>
          <w:sz w:val="24"/>
          <w:szCs w:val="24"/>
          <w:u w:val="single"/>
        </w:rPr>
        <w:t xml:space="preserve"> de USA</w:t>
      </w:r>
      <w:r>
        <w:rPr>
          <w:rFonts w:ascii="Times New Roman" w:hAnsi="Times New Roman"/>
          <w:sz w:val="24"/>
          <w:szCs w:val="24"/>
        </w:rPr>
        <w:t xml:space="preserve"> (El Confidencial - </w:t>
      </w:r>
      <w:r w:rsidRPr="00077361">
        <w:rPr>
          <w:rFonts w:ascii="Times New Roman" w:hAnsi="Times New Roman"/>
          <w:b/>
          <w:sz w:val="24"/>
          <w:szCs w:val="24"/>
        </w:rPr>
        <w:t>7/10/10</w:t>
      </w:r>
      <w:r>
        <w:rPr>
          <w:rFonts w:ascii="Times New Roman" w:hAnsi="Times New Roman"/>
          <w:sz w:val="24"/>
          <w:szCs w:val="24"/>
        </w:rPr>
        <w:t>)</w:t>
      </w:r>
    </w:p>
    <w:p w:rsidR="002F07D4" w:rsidRDefault="002F07D4" w:rsidP="002F07D4">
      <w:pPr>
        <w:spacing w:line="240" w:lineRule="auto"/>
        <w:jc w:val="both"/>
        <w:rPr>
          <w:rFonts w:ascii="Times New Roman" w:hAnsi="Times New Roman"/>
          <w:b/>
          <w:sz w:val="24"/>
          <w:szCs w:val="24"/>
        </w:rPr>
      </w:pPr>
      <w:r>
        <w:rPr>
          <w:rFonts w:ascii="Arial" w:eastAsia="Times New Roman" w:hAnsi="Arial" w:cs="Arial"/>
          <w:noProof/>
          <w:color w:val="000000"/>
          <w:sz w:val="15"/>
          <w:szCs w:val="15"/>
          <w:lang w:val="en-GB" w:eastAsia="en-GB"/>
        </w:rPr>
        <w:lastRenderedPageBreak/>
        <w:drawing>
          <wp:inline distT="0" distB="0" distL="0" distR="0">
            <wp:extent cx="5397500" cy="4184650"/>
            <wp:effectExtent l="0" t="0" r="0" b="6350"/>
            <wp:docPr id="340" name="Imagen 340" descr="[F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Fed]"/>
                    <pic:cNvPicPr>
                      <a:picLocks noChangeAspect="1" noChangeArrowheads="1"/>
                    </pic:cNvPicPr>
                  </pic:nvPicPr>
                  <pic:blipFill>
                    <a:blip r:embed="rId2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186619"/>
                    </a:xfrm>
                    <a:prstGeom prst="rect">
                      <a:avLst/>
                    </a:prstGeom>
                    <a:noFill/>
                    <a:ln>
                      <a:noFill/>
                    </a:ln>
                  </pic:spPr>
                </pic:pic>
              </a:graphicData>
            </a:graphic>
          </wp:inline>
        </w:drawing>
      </w:r>
    </w:p>
    <w:p w:rsidR="002F07D4" w:rsidRPr="00615E0D" w:rsidRDefault="002F07D4" w:rsidP="00B50437">
      <w:pPr>
        <w:spacing w:line="240" w:lineRule="auto"/>
        <w:jc w:val="both"/>
        <w:rPr>
          <w:rFonts w:ascii="Times New Roman" w:hAnsi="Times New Roman"/>
          <w:sz w:val="24"/>
          <w:szCs w:val="24"/>
        </w:rPr>
      </w:pPr>
      <w:r>
        <w:rPr>
          <w:rFonts w:ascii="Times New Roman" w:hAnsi="Times New Roman"/>
          <w:i/>
          <w:sz w:val="24"/>
          <w:szCs w:val="24"/>
        </w:rPr>
        <w:t>“</w:t>
      </w:r>
      <w:r w:rsidRPr="00615E0D">
        <w:rPr>
          <w:rFonts w:ascii="Times New Roman" w:hAnsi="Times New Roman"/>
          <w:i/>
          <w:sz w:val="24"/>
          <w:szCs w:val="24"/>
        </w:rPr>
        <w:t>¿Es hora de quitarse el sombrero ante el maestro Ben Bernanke? Parece que no, según el economista jefe de Goldman Sachs, Jan Hatzius, que considera que las medidas cuantitativas de la Reserva Federal sólo harán crecer al Producto Interior Bruto un 0,5% y no supondrá un problema desde el punto de vista de la inflación, que permanecerá por debajo del 2%, la cifra clave del banco central de Estados Unidos</w:t>
      </w:r>
      <w:r>
        <w:rPr>
          <w:rFonts w:ascii="Times New Roman" w:hAnsi="Times New Roman"/>
          <w:i/>
          <w:sz w:val="24"/>
          <w:szCs w:val="24"/>
        </w:rPr>
        <w:t>”..</w:t>
      </w:r>
      <w:r w:rsidRPr="00615E0D">
        <w:rPr>
          <w:rFonts w:ascii="Times New Roman" w:hAnsi="Times New Roman"/>
          <w:i/>
          <w:sz w:val="24"/>
          <w:szCs w:val="24"/>
        </w:rPr>
        <w:t>.</w:t>
      </w:r>
      <w:r w:rsidRPr="00C565CF">
        <w:rPr>
          <w:rFonts w:ascii="Times New Roman" w:hAnsi="Times New Roman"/>
          <w:sz w:val="24"/>
          <w:szCs w:val="24"/>
          <w:u w:val="single"/>
        </w:rPr>
        <w:t>La compra de bonos de Bernanke sólo estimulará el PIB un 0,5%</w:t>
      </w:r>
      <w:r>
        <w:rPr>
          <w:rFonts w:ascii="Times New Roman" w:hAnsi="Times New Roman"/>
          <w:sz w:val="24"/>
          <w:szCs w:val="24"/>
        </w:rPr>
        <w:t xml:space="preserve"> (El Economista - </w:t>
      </w:r>
      <w:r w:rsidRPr="00C565CF">
        <w:rPr>
          <w:rFonts w:ascii="Times New Roman" w:hAnsi="Times New Roman"/>
          <w:b/>
          <w:sz w:val="24"/>
          <w:szCs w:val="24"/>
        </w:rPr>
        <w:t>4/11/10</w:t>
      </w:r>
      <w:r>
        <w:rPr>
          <w:rFonts w:ascii="Times New Roman" w:hAnsi="Times New Roman"/>
          <w:sz w:val="24"/>
          <w:szCs w:val="24"/>
        </w:rPr>
        <w:t>)</w:t>
      </w:r>
    </w:p>
    <w:p w:rsidR="002F07D4" w:rsidRPr="008C6D16" w:rsidRDefault="002F07D4" w:rsidP="002F07D4">
      <w:pPr>
        <w:pStyle w:val="NormalWeb"/>
        <w:jc w:val="both"/>
      </w:pPr>
      <w:r w:rsidRPr="005B2F78">
        <w:rPr>
          <w:b/>
        </w:rPr>
        <w:t xml:space="preserve">Prueba del fracaso del QE2: Bernanke dice que no saber por qué la economía no crece </w:t>
      </w:r>
    </w:p>
    <w:p w:rsidR="002F07D4" w:rsidRPr="00237DFA" w:rsidRDefault="002F07D4" w:rsidP="002F07D4">
      <w:pPr>
        <w:pStyle w:val="NormalWeb"/>
        <w:jc w:val="both"/>
      </w:pPr>
      <w:r w:rsidRPr="005E43A8">
        <w:rPr>
          <w:i/>
        </w:rPr>
        <w:t xml:space="preserve">“Debe ser duro ser presidente del mayor banco central del mundo, que todos busquen las respuestas en ti, y tener que decir que desconoces por qué motivo la economía sigue frenándose. La modestia y discreción van en el sueldo supongo. Esto, aunque parezca extraño, fue lo que sucedió ayer </w:t>
      </w:r>
      <w:hyperlink r:id="rId218" w:history="1">
        <w:r w:rsidRPr="005E43A8">
          <w:rPr>
            <w:i/>
          </w:rPr>
          <w:t>cuando Bernanke contestó a una pregunta sobre el crecimiento</w:t>
        </w:r>
      </w:hyperlink>
      <w:r w:rsidRPr="005E43A8">
        <w:rPr>
          <w:i/>
        </w:rPr>
        <w:t xml:space="preserve"> diciendo que </w:t>
      </w:r>
      <w:r w:rsidRPr="005E43A8">
        <w:rPr>
          <w:i/>
          <w:iCs/>
        </w:rPr>
        <w:t>“We don't have a precise read on why this slower pace of growth is persisting</w:t>
      </w:r>
      <w:r w:rsidRPr="005E43A8">
        <w:rPr>
          <w:i/>
        </w:rPr>
        <w:t>”. Frase del que numerosos medios estadounidense se han hecho eco y que hoy les traigo”</w:t>
      </w:r>
      <w:r w:rsidRPr="001907BC">
        <w:t>.</w:t>
      </w:r>
      <w:r w:rsidRPr="00237DFA">
        <w:t xml:space="preserve">(El Confidencial - </w:t>
      </w:r>
      <w:r w:rsidRPr="00237DFA">
        <w:rPr>
          <w:b/>
        </w:rPr>
        <w:t>23/6/11</w:t>
      </w:r>
      <w:r w:rsidRPr="00237DFA">
        <w:t>)</w:t>
      </w:r>
    </w:p>
    <w:p w:rsidR="002F07D4" w:rsidRPr="001907B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37DFA">
        <w:rPr>
          <w:rFonts w:ascii="Times New Roman" w:eastAsia="Times New Roman" w:hAnsi="Times New Roman"/>
          <w:sz w:val="24"/>
          <w:szCs w:val="24"/>
          <w:lang w:eastAsia="es-ES"/>
        </w:rPr>
        <w:t>Aunque claro, si creemos en la versión oficial sobre el estado de la economía, no se entendería muy bien lo que está ocurriendo; en su anterior discurso Bernanke aseguró que en los últimos meses del año el PIB se aceleraría. Es muy probable que me equivoque, quizá completamente, pero en mi opinión esto responde a una estrategia para justificar su política monetaria.</w:t>
      </w:r>
    </w:p>
    <w:p w:rsidR="002F07D4" w:rsidRPr="001907BC" w:rsidRDefault="002F07D4" w:rsidP="002F07D4">
      <w:pPr>
        <w:spacing w:after="0" w:line="240" w:lineRule="auto"/>
        <w:jc w:val="both"/>
        <w:rPr>
          <w:rFonts w:ascii="Times New Roman" w:eastAsia="Times New Roman" w:hAnsi="Times New Roman"/>
          <w:sz w:val="24"/>
          <w:szCs w:val="24"/>
          <w:lang w:eastAsia="es-ES"/>
        </w:rPr>
      </w:pPr>
      <w:r w:rsidRPr="0025343A">
        <w:rPr>
          <w:rFonts w:ascii="Times New Roman" w:eastAsia="Times New Roman" w:hAnsi="Times New Roman"/>
          <w:sz w:val="24"/>
          <w:szCs w:val="24"/>
          <w:lang w:eastAsia="es-ES"/>
        </w:rPr>
        <w:lastRenderedPageBreak/>
        <w:t>Más allá de intuiciones y estimaciones, uno de los datos que más sirven para el optimismo podría no ser duradero:</w:t>
      </w:r>
      <w:hyperlink r:id="rId219" w:history="1">
        <w:r w:rsidRPr="0025343A">
          <w:rPr>
            <w:rFonts w:ascii="Times New Roman" w:eastAsia="Times New Roman" w:hAnsi="Times New Roman"/>
            <w:bCs/>
            <w:sz w:val="24"/>
            <w:szCs w:val="24"/>
            <w:lang w:eastAsia="es-ES"/>
          </w:rPr>
          <w:t>los beneficios empresariales podrían haber tocado techo en la bolsa estadounidense</w:t>
        </w:r>
      </w:hyperlink>
      <w:r w:rsidRPr="0025343A">
        <w:rPr>
          <w:rFonts w:ascii="Times New Roman" w:eastAsia="Times New Roman" w:hAnsi="Times New Roman"/>
          <w:sz w:val="24"/>
          <w:szCs w:val="24"/>
          <w:lang w:eastAsia="es-ES"/>
        </w:rPr>
        <w:t xml:space="preserve">. Lo cual no es extraño si nos paramos a pensar que: A) Prácticamente la mitad de los beneficios vienen del exterior y el crecimiento mundial también parece haber tocado techo. B) En el mercado interno, más allá de empresas energéticas y similares, el mayor impulso ha venido por el ahorro de costes que es finito y no parece ser substituido por el consumo. Y es que el </w:t>
      </w:r>
      <w:hyperlink r:id="rId220" w:history="1">
        <w:r w:rsidRPr="0025343A">
          <w:rPr>
            <w:rFonts w:ascii="Times New Roman" w:eastAsia="Times New Roman" w:hAnsi="Times New Roman"/>
            <w:sz w:val="24"/>
            <w:szCs w:val="24"/>
            <w:lang w:eastAsia="es-ES"/>
          </w:rPr>
          <w:t>desapalancamiento amenaza con ser nuestro gran amigo en los próximos años</w:t>
        </w:r>
      </w:hyperlink>
      <w:r w:rsidRPr="001907BC">
        <w:rPr>
          <w:rFonts w:ascii="Times New Roman" w:eastAsia="Times New Roman" w:hAnsi="Times New Roman"/>
          <w:sz w:val="24"/>
          <w:szCs w:val="24"/>
          <w:lang w:eastAsia="es-ES"/>
        </w:rPr>
        <w:t>.</w:t>
      </w:r>
    </w:p>
    <w:p w:rsidR="002F07D4" w:rsidRPr="001907BC" w:rsidRDefault="002F07D4" w:rsidP="002F07D4">
      <w:pPr>
        <w:spacing w:after="0" w:line="240" w:lineRule="auto"/>
        <w:jc w:val="both"/>
        <w:rPr>
          <w:rFonts w:ascii="Times New Roman" w:eastAsia="Times New Roman" w:hAnsi="Times New Roman"/>
          <w:sz w:val="24"/>
          <w:szCs w:val="24"/>
          <w:lang w:eastAsia="es-ES"/>
        </w:rPr>
      </w:pPr>
    </w:p>
    <w:p w:rsidR="002F07D4" w:rsidRPr="00237DFA"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val="en-GB" w:eastAsia="en-GB"/>
        </w:rPr>
        <w:drawing>
          <wp:inline distT="0" distB="0" distL="0" distR="0">
            <wp:extent cx="5334000" cy="2813050"/>
            <wp:effectExtent l="0" t="0" r="0" b="6350"/>
            <wp:docPr id="344" name="Imagen 344" descr="2011062371desapalancamiento">
              <a:hlinkClick xmlns:a="http://schemas.openxmlformats.org/drawingml/2006/main" r:id="rId22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descr="2011062371desapalancamiento"/>
                    <pic:cNvPicPr>
                      <a:picLocks noChangeAspect="1" noChangeArrowheads="1"/>
                    </pic:cNvPicPr>
                  </pic:nvPicPr>
                  <pic:blipFill>
                    <a:blip r:embed="rId2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2813050"/>
                    </a:xfrm>
                    <a:prstGeom prst="rect">
                      <a:avLst/>
                    </a:prstGeom>
                    <a:noFill/>
                    <a:ln>
                      <a:noFill/>
                    </a:ln>
                  </pic:spPr>
                </pic:pic>
              </a:graphicData>
            </a:graphic>
          </wp:inline>
        </w:drawing>
      </w:r>
    </w:p>
    <w:p w:rsidR="002F07D4" w:rsidRPr="00237DFA" w:rsidRDefault="002F07D4" w:rsidP="002F07D4">
      <w:pPr>
        <w:spacing w:after="0" w:line="240" w:lineRule="auto"/>
        <w:jc w:val="both"/>
        <w:rPr>
          <w:rFonts w:ascii="Times New Roman" w:eastAsia="Times New Roman" w:hAnsi="Times New Roman"/>
          <w:sz w:val="24"/>
          <w:szCs w:val="24"/>
          <w:lang w:eastAsia="es-ES"/>
        </w:rPr>
      </w:pPr>
    </w:p>
    <w:p w:rsidR="002F07D4" w:rsidRPr="003C442E" w:rsidRDefault="002F07D4" w:rsidP="002F07D4">
      <w:pPr>
        <w:spacing w:after="0" w:line="240" w:lineRule="auto"/>
        <w:jc w:val="both"/>
        <w:rPr>
          <w:rFonts w:ascii="Times New Roman" w:eastAsia="Times New Roman" w:hAnsi="Times New Roman"/>
          <w:b/>
          <w:color w:val="FF0000"/>
          <w:sz w:val="24"/>
          <w:szCs w:val="24"/>
          <w:u w:val="single"/>
          <w:lang w:eastAsia="es-ES"/>
        </w:rPr>
      </w:pPr>
      <w:r w:rsidRPr="001907BC">
        <w:rPr>
          <w:rFonts w:ascii="Times New Roman" w:eastAsia="Times New Roman" w:hAnsi="Times New Roman"/>
          <w:b/>
          <w:color w:val="FF0000"/>
          <w:sz w:val="24"/>
          <w:szCs w:val="24"/>
          <w:u w:val="single"/>
          <w:lang w:eastAsia="es-ES"/>
        </w:rPr>
        <w:t xml:space="preserve">La gráfica es de Richard Koo que </w:t>
      </w:r>
      <w:r w:rsidRPr="001907BC">
        <w:rPr>
          <w:rFonts w:ascii="Times New Roman" w:eastAsia="Times New Roman" w:hAnsi="Times New Roman"/>
          <w:b/>
          <w:bCs/>
          <w:color w:val="FF0000"/>
          <w:sz w:val="24"/>
          <w:szCs w:val="24"/>
          <w:u w:val="single"/>
          <w:lang w:eastAsia="es-ES"/>
        </w:rPr>
        <w:t>afirma que a los hogares estadounidenses les llevará una década volver a unos niveles de “deuda sostenible”</w:t>
      </w:r>
      <w:r w:rsidRPr="001907BC">
        <w:rPr>
          <w:rFonts w:ascii="Times New Roman" w:eastAsia="Times New Roman" w:hAnsi="Times New Roman"/>
          <w:b/>
          <w:color w:val="FF0000"/>
          <w:sz w:val="24"/>
          <w:szCs w:val="24"/>
          <w:u w:val="single"/>
          <w:lang w:eastAsia="es-ES"/>
        </w:rPr>
        <w:t xml:space="preserve">. </w:t>
      </w:r>
      <w:r w:rsidR="00FF0D17" w:rsidRPr="001907BC">
        <w:rPr>
          <w:rFonts w:ascii="Times New Roman" w:eastAsia="Times New Roman" w:hAnsi="Times New Roman"/>
          <w:b/>
          <w:color w:val="FF0000"/>
          <w:sz w:val="24"/>
          <w:szCs w:val="24"/>
          <w:u w:val="single"/>
          <w:lang w:eastAsia="es-ES"/>
        </w:rPr>
        <w:t>Aun</w:t>
      </w:r>
      <w:r w:rsidRPr="001907BC">
        <w:rPr>
          <w:rFonts w:ascii="Times New Roman" w:eastAsia="Times New Roman" w:hAnsi="Times New Roman"/>
          <w:b/>
          <w:color w:val="FF0000"/>
          <w:sz w:val="24"/>
          <w:szCs w:val="24"/>
          <w:u w:val="single"/>
          <w:lang w:eastAsia="es-ES"/>
        </w:rPr>
        <w:t xml:space="preserve"> cuando deseo que sea más rápido porque eso querría decir que a nosotros nos llevaría más, lo que está claro es que no es un proceso de un día para otro, ni de un año para el siguiente. En mi opinión eso puede suponer vivir una época de altibajos continuos hasta que los balances estén más saneados.</w:t>
      </w:r>
    </w:p>
    <w:p w:rsidR="002F07D4" w:rsidRPr="00517239" w:rsidRDefault="002F07D4" w:rsidP="002F07D4">
      <w:pPr>
        <w:pStyle w:val="NormalWeb"/>
        <w:jc w:val="both"/>
      </w:pPr>
      <w:r>
        <w:rPr>
          <w:i/>
        </w:rPr>
        <w:t>“</w:t>
      </w:r>
      <w:r w:rsidRPr="005809E2">
        <w:rPr>
          <w:i/>
        </w:rPr>
        <w:t>Una suposición sobre lo que el fallecido académico Milton Friedman, premio Nobel de Economía, hubiese hecho en respuesta a la crisis financiera global fue hecha por Edward Nelson, jefe de la sección de estudios monetarios de la división de estudios monetarios de la Reserva Federal de Estados Unidos (Fed)</w:t>
      </w:r>
      <w:r>
        <w:rPr>
          <w:i/>
        </w:rPr>
        <w:t>”</w:t>
      </w:r>
      <w:r w:rsidRPr="005809E2">
        <w:rPr>
          <w:i/>
        </w:rPr>
        <w:t>.</w:t>
      </w:r>
      <w:r w:rsidRPr="00517239">
        <w:t xml:space="preserve">(The Wall Street Journal - </w:t>
      </w:r>
      <w:r w:rsidRPr="00517239">
        <w:rPr>
          <w:b/>
        </w:rPr>
        <w:t>28/6/11</w:t>
      </w:r>
      <w:r w:rsidRPr="00517239">
        <w:t>)</w:t>
      </w:r>
    </w:p>
    <w:p w:rsidR="002F07D4" w:rsidRPr="005809E2" w:rsidRDefault="002F07D4" w:rsidP="002F07D4">
      <w:pPr>
        <w:pStyle w:val="NormalWeb"/>
        <w:jc w:val="both"/>
      </w:pPr>
      <w:r w:rsidRPr="005809E2">
        <w:t>Como muchos otros -y en contraste con la colaboradora de Friedman, Anna Schwartz-, Nelson concluye que “en importantes aspectos, la respuesta a la crisis de política monetaria y financiera puede ser vista como sugerencias económicas de Friedman puestas en práctica”.</w:t>
      </w:r>
    </w:p>
    <w:p w:rsidR="002F07D4" w:rsidRPr="005809E2" w:rsidRDefault="002F07D4" w:rsidP="002F07D4">
      <w:pPr>
        <w:pStyle w:val="NormalWeb"/>
        <w:jc w:val="both"/>
        <w:rPr>
          <w:b/>
          <w:color w:val="FF0000"/>
          <w:u w:val="single"/>
        </w:rPr>
      </w:pPr>
      <w:r w:rsidRPr="005809E2">
        <w:rPr>
          <w:b/>
          <w:color w:val="FF0000"/>
          <w:u w:val="single"/>
        </w:rPr>
        <w:t xml:space="preserve">“En particular, -concluye Nelson,-, la respuesta de la Fed está en línea con los consejos de Friedman en las áreas de tasas de descuento, compras a gran escala de títulos públicos a largo plazo por parte de la Fed, mantenimiento del nivel de depósitos en los bancos comerciales, recapitalización de los bancos comerciales e interés en el nivel de reservas”. Una excepción, los préstamos a inversionistas en títulos respaldados por activos, los denominados programas TALF, que se </w:t>
      </w:r>
      <w:r w:rsidRPr="005809E2">
        <w:rPr>
          <w:b/>
          <w:color w:val="FF0000"/>
          <w:u w:val="single"/>
        </w:rPr>
        <w:lastRenderedPageBreak/>
        <w:t>desarrollaron entre marzo de 2009 y junio de 2010 claramente no coincidían con el espíritu del marco con que se manejaba Friedman para la política monetaria en respuesta a una crisis financiera.</w:t>
      </w:r>
    </w:p>
    <w:p w:rsidR="002F07D4" w:rsidRPr="00ED6B59"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5809E2">
        <w:rPr>
          <w:rFonts w:ascii="Times New Roman" w:hAnsi="Times New Roman"/>
          <w:i/>
          <w:sz w:val="24"/>
          <w:szCs w:val="24"/>
        </w:rPr>
        <w:t>El Quantita</w:t>
      </w:r>
      <w:r>
        <w:rPr>
          <w:rFonts w:ascii="Times New Roman" w:hAnsi="Times New Roman"/>
          <w:i/>
          <w:sz w:val="24"/>
          <w:szCs w:val="24"/>
        </w:rPr>
        <w:t>ti</w:t>
      </w:r>
      <w:r w:rsidRPr="005809E2">
        <w:rPr>
          <w:rFonts w:ascii="Times New Roman" w:hAnsi="Times New Roman"/>
          <w:i/>
          <w:sz w:val="24"/>
          <w:szCs w:val="24"/>
        </w:rPr>
        <w:t>ve Easing de la Reserva Federal, que terminó ayer, ha conseguido algunos de sus objetivos pero ha fracasado claramente en otros, aunque el legado del programa de intervención gubernamental sin precedentes está lejos de estar claro</w:t>
      </w:r>
      <w:r>
        <w:rPr>
          <w:rFonts w:ascii="Times New Roman" w:hAnsi="Times New Roman"/>
          <w:i/>
          <w:sz w:val="24"/>
          <w:szCs w:val="24"/>
        </w:rPr>
        <w:t>”</w:t>
      </w:r>
      <w:r w:rsidRPr="005809E2">
        <w:rPr>
          <w:rFonts w:ascii="Times New Roman" w:hAnsi="Times New Roman"/>
          <w:i/>
          <w:sz w:val="24"/>
          <w:szCs w:val="24"/>
        </w:rPr>
        <w:t>.</w:t>
      </w:r>
      <w:r>
        <w:rPr>
          <w:rFonts w:ascii="Times New Roman" w:hAnsi="Times New Roman"/>
          <w:sz w:val="24"/>
          <w:szCs w:val="24"/>
        </w:rPr>
        <w:t xml:space="preserve">(El Economista - </w:t>
      </w:r>
      <w:r w:rsidRPr="00ED6B59">
        <w:rPr>
          <w:rFonts w:ascii="Times New Roman" w:hAnsi="Times New Roman"/>
          <w:b/>
          <w:sz w:val="24"/>
          <w:szCs w:val="24"/>
        </w:rPr>
        <w:t>1/7/11</w:t>
      </w:r>
      <w:r>
        <w:rPr>
          <w:rFonts w:ascii="Times New Roman" w:hAnsi="Times New Roman"/>
          <w:sz w:val="24"/>
          <w:szCs w:val="24"/>
        </w:rPr>
        <w:t>)</w:t>
      </w:r>
    </w:p>
    <w:p w:rsidR="002F07D4" w:rsidRPr="005809E2" w:rsidRDefault="002F07D4" w:rsidP="002F07D4">
      <w:pPr>
        <w:spacing w:line="240" w:lineRule="auto"/>
        <w:jc w:val="both"/>
        <w:rPr>
          <w:rFonts w:ascii="Times New Roman" w:hAnsi="Times New Roman"/>
          <w:sz w:val="24"/>
          <w:szCs w:val="24"/>
        </w:rPr>
      </w:pPr>
      <w:r w:rsidRPr="005809E2">
        <w:rPr>
          <w:rFonts w:ascii="Times New Roman" w:hAnsi="Times New Roman"/>
          <w:sz w:val="24"/>
          <w:szCs w:val="24"/>
        </w:rPr>
        <w:t xml:space="preserve">Ben Bernanke lo lanzó con la esperanza de que crearía un “efecto riqueza”, es decir, una subida de los precios de los activos que ayudaría a convencer a los norteamericanos de que la crisis financiera había pasado. Sin duda, una variedad de activos han subido de forma notable, y los tenedores de los mismos han ganado bastante en los ocho meses desde que se lanzó el QE2. Pero aquellos atrapados en la caída del mercado inmobiliario y la destrucción de empleo no lo han hecho tan bien. </w:t>
      </w:r>
    </w:p>
    <w:p w:rsidR="002F07D4" w:rsidRPr="00ED6B59" w:rsidRDefault="002F07D4" w:rsidP="002F07D4">
      <w:pPr>
        <w:spacing w:line="240" w:lineRule="auto"/>
        <w:jc w:val="both"/>
        <w:rPr>
          <w:rFonts w:ascii="Times New Roman" w:hAnsi="Times New Roman"/>
          <w:sz w:val="24"/>
          <w:szCs w:val="24"/>
        </w:rPr>
      </w:pPr>
      <w:r w:rsidRPr="00ED6B59">
        <w:rPr>
          <w:rFonts w:ascii="Times New Roman" w:hAnsi="Times New Roman"/>
          <w:sz w:val="24"/>
          <w:szCs w:val="24"/>
        </w:rPr>
        <w:t xml:space="preserve">- </w:t>
      </w:r>
      <w:r w:rsidRPr="003B7599">
        <w:rPr>
          <w:rFonts w:ascii="Times New Roman" w:hAnsi="Times New Roman"/>
          <w:color w:val="FF0000"/>
          <w:sz w:val="24"/>
          <w:szCs w:val="24"/>
        </w:rPr>
        <w:t>Dónde ha funcionado</w:t>
      </w:r>
      <w:r w:rsidRPr="00ED6B59">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sidRPr="00ED6B59">
        <w:rPr>
          <w:rFonts w:ascii="Times New Roman" w:hAnsi="Times New Roman"/>
          <w:sz w:val="24"/>
          <w:szCs w:val="24"/>
        </w:rPr>
        <w:t xml:space="preserve">1. </w:t>
      </w:r>
      <w:r w:rsidRPr="003B7599">
        <w:rPr>
          <w:rFonts w:ascii="Times New Roman" w:hAnsi="Times New Roman"/>
          <w:color w:val="FF0000"/>
          <w:sz w:val="24"/>
          <w:szCs w:val="24"/>
        </w:rPr>
        <w:t>La bolsa se ha disparado</w:t>
      </w:r>
    </w:p>
    <w:p w:rsidR="002F07D4" w:rsidRDefault="002F07D4" w:rsidP="002F07D4">
      <w:pPr>
        <w:spacing w:line="240" w:lineRule="auto"/>
        <w:jc w:val="both"/>
        <w:rPr>
          <w:rFonts w:ascii="Times New Roman" w:hAnsi="Times New Roman"/>
          <w:sz w:val="24"/>
          <w:szCs w:val="24"/>
        </w:rPr>
      </w:pPr>
      <w:r w:rsidRPr="00ED6B59">
        <w:rPr>
          <w:rFonts w:ascii="Times New Roman" w:hAnsi="Times New Roman"/>
          <w:sz w:val="24"/>
          <w:szCs w:val="24"/>
        </w:rPr>
        <w:t xml:space="preserve">2. </w:t>
      </w:r>
      <w:r w:rsidRPr="003B7599">
        <w:rPr>
          <w:rFonts w:ascii="Times New Roman" w:hAnsi="Times New Roman"/>
          <w:color w:val="FF0000"/>
          <w:sz w:val="24"/>
          <w:szCs w:val="24"/>
        </w:rPr>
        <w:t>Las materias primas han subido</w:t>
      </w:r>
    </w:p>
    <w:p w:rsidR="002F07D4" w:rsidRDefault="002F07D4" w:rsidP="002F07D4">
      <w:pPr>
        <w:spacing w:line="240" w:lineRule="auto"/>
        <w:jc w:val="both"/>
        <w:rPr>
          <w:rFonts w:ascii="Times New Roman" w:hAnsi="Times New Roman"/>
          <w:color w:val="FF0000"/>
          <w:sz w:val="24"/>
          <w:szCs w:val="24"/>
        </w:rPr>
      </w:pPr>
      <w:r w:rsidRPr="00ED6B59">
        <w:rPr>
          <w:rFonts w:ascii="Times New Roman" w:hAnsi="Times New Roman"/>
          <w:sz w:val="24"/>
          <w:szCs w:val="24"/>
        </w:rPr>
        <w:t xml:space="preserve">3. </w:t>
      </w:r>
      <w:r w:rsidRPr="005809E2">
        <w:rPr>
          <w:rFonts w:ascii="Times New Roman" w:hAnsi="Times New Roman"/>
          <w:color w:val="FF0000"/>
          <w:sz w:val="24"/>
          <w:szCs w:val="24"/>
        </w:rPr>
        <w:t>Un impulso a las exportaciones</w:t>
      </w:r>
    </w:p>
    <w:p w:rsidR="002F07D4" w:rsidRDefault="002F07D4" w:rsidP="002F07D4">
      <w:pPr>
        <w:spacing w:line="240" w:lineRule="auto"/>
        <w:jc w:val="both"/>
        <w:rPr>
          <w:rFonts w:ascii="Times New Roman" w:hAnsi="Times New Roman"/>
          <w:color w:val="FF0000"/>
          <w:sz w:val="24"/>
          <w:szCs w:val="24"/>
        </w:rPr>
      </w:pPr>
      <w:r w:rsidRPr="00ED6B59">
        <w:rPr>
          <w:rFonts w:ascii="Times New Roman" w:hAnsi="Times New Roman"/>
          <w:sz w:val="24"/>
          <w:szCs w:val="24"/>
        </w:rPr>
        <w:t xml:space="preserve">4. </w:t>
      </w:r>
      <w:r w:rsidRPr="003B7599">
        <w:rPr>
          <w:rFonts w:ascii="Times New Roman" w:hAnsi="Times New Roman"/>
          <w:color w:val="FF0000"/>
          <w:sz w:val="24"/>
          <w:szCs w:val="24"/>
        </w:rPr>
        <w:t>Ha evitado una crisis a la japonesa</w:t>
      </w:r>
    </w:p>
    <w:p w:rsidR="002F07D4" w:rsidRDefault="002F07D4" w:rsidP="002F07D4">
      <w:pPr>
        <w:spacing w:line="240" w:lineRule="auto"/>
        <w:jc w:val="both"/>
        <w:rPr>
          <w:rFonts w:ascii="Times New Roman" w:hAnsi="Times New Roman"/>
          <w:color w:val="FF0000"/>
          <w:sz w:val="24"/>
          <w:szCs w:val="24"/>
        </w:rPr>
      </w:pPr>
      <w:r w:rsidRPr="00ED6B59">
        <w:rPr>
          <w:rFonts w:ascii="Times New Roman" w:hAnsi="Times New Roman"/>
          <w:sz w:val="24"/>
          <w:szCs w:val="24"/>
        </w:rPr>
        <w:t xml:space="preserve">5. </w:t>
      </w:r>
      <w:r w:rsidRPr="003B7599">
        <w:rPr>
          <w:rFonts w:ascii="Times New Roman" w:hAnsi="Times New Roman"/>
          <w:color w:val="FF0000"/>
          <w:sz w:val="24"/>
          <w:szCs w:val="24"/>
        </w:rPr>
        <w:t>Ha creado un “efecto riqueza” para los ricos</w:t>
      </w:r>
    </w:p>
    <w:p w:rsidR="002F07D4" w:rsidRPr="00ED6B59" w:rsidRDefault="002F07D4" w:rsidP="002F07D4">
      <w:pPr>
        <w:spacing w:line="240" w:lineRule="auto"/>
        <w:jc w:val="both"/>
        <w:rPr>
          <w:rFonts w:ascii="Times New Roman" w:hAnsi="Times New Roman"/>
          <w:sz w:val="24"/>
          <w:szCs w:val="24"/>
        </w:rPr>
      </w:pPr>
      <w:r w:rsidRPr="00ED6B59">
        <w:rPr>
          <w:rFonts w:ascii="Times New Roman" w:hAnsi="Times New Roman"/>
          <w:sz w:val="24"/>
          <w:szCs w:val="24"/>
        </w:rPr>
        <w:t xml:space="preserve">- </w:t>
      </w:r>
      <w:r w:rsidRPr="003B7599">
        <w:rPr>
          <w:rFonts w:ascii="Times New Roman" w:hAnsi="Times New Roman"/>
          <w:color w:val="FF0000"/>
          <w:sz w:val="24"/>
          <w:szCs w:val="24"/>
        </w:rPr>
        <w:t>Dónde ha fracasado</w:t>
      </w:r>
      <w:r w:rsidRPr="00ED6B59">
        <w:rPr>
          <w:rFonts w:ascii="Times New Roman" w:hAnsi="Times New Roman"/>
          <w:sz w:val="24"/>
          <w:szCs w:val="24"/>
        </w:rPr>
        <w:t>:</w:t>
      </w:r>
    </w:p>
    <w:p w:rsidR="002F07D4" w:rsidRDefault="002F07D4" w:rsidP="002F07D4">
      <w:pPr>
        <w:spacing w:line="240" w:lineRule="auto"/>
        <w:jc w:val="both"/>
        <w:rPr>
          <w:rFonts w:ascii="Times New Roman" w:hAnsi="Times New Roman"/>
          <w:color w:val="FF0000"/>
          <w:sz w:val="24"/>
          <w:szCs w:val="24"/>
        </w:rPr>
      </w:pPr>
      <w:r w:rsidRPr="00ED6B59">
        <w:rPr>
          <w:rFonts w:ascii="Times New Roman" w:hAnsi="Times New Roman"/>
          <w:sz w:val="24"/>
          <w:szCs w:val="24"/>
        </w:rPr>
        <w:t xml:space="preserve">1. </w:t>
      </w:r>
      <w:r w:rsidRPr="003B7599">
        <w:rPr>
          <w:rFonts w:ascii="Times New Roman" w:hAnsi="Times New Roman"/>
          <w:color w:val="FF0000"/>
          <w:sz w:val="24"/>
          <w:szCs w:val="24"/>
        </w:rPr>
        <w:t>La vivienda sigue hundida</w:t>
      </w:r>
    </w:p>
    <w:p w:rsidR="002F07D4" w:rsidRDefault="002F07D4" w:rsidP="002F07D4">
      <w:pPr>
        <w:spacing w:line="240" w:lineRule="auto"/>
        <w:jc w:val="both"/>
        <w:rPr>
          <w:rFonts w:ascii="Times New Roman" w:hAnsi="Times New Roman"/>
          <w:color w:val="FF0000"/>
          <w:sz w:val="24"/>
          <w:szCs w:val="24"/>
        </w:rPr>
      </w:pPr>
      <w:r w:rsidRPr="00ED6B59">
        <w:rPr>
          <w:rFonts w:ascii="Times New Roman" w:hAnsi="Times New Roman"/>
          <w:sz w:val="24"/>
          <w:szCs w:val="24"/>
        </w:rPr>
        <w:t xml:space="preserve">2. </w:t>
      </w:r>
      <w:r w:rsidRPr="003B7599">
        <w:rPr>
          <w:rFonts w:ascii="Times New Roman" w:hAnsi="Times New Roman"/>
          <w:color w:val="FF0000"/>
          <w:sz w:val="24"/>
          <w:szCs w:val="24"/>
        </w:rPr>
        <w:t>El mercado laboral también está destrozado</w:t>
      </w:r>
    </w:p>
    <w:p w:rsidR="002F07D4" w:rsidRDefault="002F07D4" w:rsidP="002F07D4">
      <w:pPr>
        <w:spacing w:line="240" w:lineRule="auto"/>
        <w:jc w:val="both"/>
        <w:rPr>
          <w:rFonts w:ascii="Times New Roman" w:hAnsi="Times New Roman"/>
          <w:color w:val="FF0000"/>
          <w:sz w:val="24"/>
          <w:szCs w:val="24"/>
        </w:rPr>
      </w:pPr>
      <w:r w:rsidRPr="00ED6B59">
        <w:rPr>
          <w:rFonts w:ascii="Times New Roman" w:hAnsi="Times New Roman"/>
          <w:sz w:val="24"/>
          <w:szCs w:val="24"/>
        </w:rPr>
        <w:t xml:space="preserve">3. </w:t>
      </w:r>
      <w:r w:rsidRPr="003B7599">
        <w:rPr>
          <w:rFonts w:ascii="Times New Roman" w:hAnsi="Times New Roman"/>
          <w:color w:val="FF0000"/>
          <w:sz w:val="24"/>
          <w:szCs w:val="24"/>
        </w:rPr>
        <w:t>La inflación puede no ser 'temporal'</w:t>
      </w:r>
    </w:p>
    <w:p w:rsidR="002F07D4" w:rsidRDefault="002F07D4" w:rsidP="002F07D4">
      <w:pPr>
        <w:spacing w:line="240" w:lineRule="auto"/>
        <w:jc w:val="both"/>
        <w:rPr>
          <w:rFonts w:ascii="Times New Roman" w:hAnsi="Times New Roman"/>
          <w:color w:val="FF0000"/>
          <w:sz w:val="24"/>
          <w:szCs w:val="24"/>
        </w:rPr>
      </w:pPr>
      <w:r w:rsidRPr="00ED6B59">
        <w:rPr>
          <w:rFonts w:ascii="Times New Roman" w:hAnsi="Times New Roman"/>
          <w:sz w:val="24"/>
          <w:szCs w:val="24"/>
        </w:rPr>
        <w:t xml:space="preserve">4. </w:t>
      </w:r>
      <w:r w:rsidRPr="00477FA6">
        <w:rPr>
          <w:rFonts w:ascii="Times New Roman" w:hAnsi="Times New Roman"/>
          <w:color w:val="FF0000"/>
          <w:sz w:val="24"/>
          <w:szCs w:val="24"/>
        </w:rPr>
        <w:t>Destrucción del dólar</w:t>
      </w:r>
    </w:p>
    <w:p w:rsidR="002F07D4" w:rsidRDefault="002F07D4" w:rsidP="002F07D4">
      <w:pPr>
        <w:spacing w:line="240" w:lineRule="auto"/>
        <w:jc w:val="both"/>
        <w:rPr>
          <w:rFonts w:ascii="Times New Roman" w:hAnsi="Times New Roman"/>
          <w:color w:val="FF0000"/>
          <w:sz w:val="24"/>
          <w:szCs w:val="24"/>
        </w:rPr>
      </w:pPr>
      <w:r w:rsidRPr="00ED6B59">
        <w:rPr>
          <w:rFonts w:ascii="Times New Roman" w:hAnsi="Times New Roman"/>
          <w:sz w:val="24"/>
          <w:szCs w:val="24"/>
        </w:rPr>
        <w:t xml:space="preserve">5. </w:t>
      </w:r>
      <w:r w:rsidRPr="00477FA6">
        <w:rPr>
          <w:rFonts w:ascii="Times New Roman" w:hAnsi="Times New Roman"/>
          <w:color w:val="FF0000"/>
          <w:sz w:val="24"/>
          <w:szCs w:val="24"/>
        </w:rPr>
        <w:t>Los tipos de interés realmente han subido</w:t>
      </w:r>
    </w:p>
    <w:p w:rsidR="002F07D4" w:rsidRDefault="002F07D4" w:rsidP="002F07D4">
      <w:pPr>
        <w:spacing w:line="240" w:lineRule="auto"/>
        <w:jc w:val="both"/>
        <w:rPr>
          <w:rFonts w:ascii="Times New Roman" w:hAnsi="Times New Roman"/>
          <w:b/>
          <w:sz w:val="24"/>
          <w:szCs w:val="24"/>
        </w:rPr>
      </w:pPr>
      <w:r w:rsidRPr="00F8639F">
        <w:rPr>
          <w:rFonts w:ascii="Times New Roman" w:hAnsi="Times New Roman"/>
          <w:b/>
          <w:sz w:val="24"/>
          <w:szCs w:val="24"/>
        </w:rPr>
        <w:t>Fracaso total: ni la Fed, ni el BCE, han podido evitar que la crisis cumpla 4 años</w:t>
      </w:r>
    </w:p>
    <w:p w:rsidR="002F07D4" w:rsidRPr="003C2960"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3C2960">
        <w:rPr>
          <w:rFonts w:ascii="Times New Roman" w:hAnsi="Times New Roman"/>
          <w:i/>
          <w:sz w:val="24"/>
          <w:szCs w:val="24"/>
        </w:rPr>
        <w:t>El Banco Central Europeo (BCE) ha asegurado que comprará deuda de España e Italia. Es su última decisión para atajar los problemas por los que atraviesa la zona euro. Han pasado ya cuatro años desde que comenzara la actual crisis internacional y la actuaciones tanto de la entidad europea como la de la Reserva Federal de EEUU han estado siempre en el punto de mira. No evitaron la crisis y parecen incapaces de ponerle fin</w:t>
      </w:r>
      <w:r>
        <w:rPr>
          <w:rFonts w:ascii="Times New Roman" w:hAnsi="Times New Roman"/>
          <w:i/>
          <w:sz w:val="24"/>
          <w:szCs w:val="24"/>
        </w:rPr>
        <w:t>”…</w:t>
      </w:r>
      <w:r w:rsidRPr="00BF2A79">
        <w:rPr>
          <w:rFonts w:ascii="Times New Roman" w:hAnsi="Times New Roman"/>
          <w:sz w:val="24"/>
          <w:szCs w:val="24"/>
          <w:u w:val="single"/>
        </w:rPr>
        <w:t>Las actuaciones del BCE y la Fed no evitaron una crisis que dura ya 4 años</w:t>
      </w:r>
      <w:r>
        <w:rPr>
          <w:rFonts w:ascii="Times New Roman" w:hAnsi="Times New Roman"/>
          <w:sz w:val="24"/>
          <w:szCs w:val="24"/>
        </w:rPr>
        <w:t xml:space="preserve"> (El Economista - </w:t>
      </w:r>
      <w:r w:rsidRPr="00BF2A79">
        <w:rPr>
          <w:rFonts w:ascii="Times New Roman" w:hAnsi="Times New Roman"/>
          <w:b/>
          <w:sz w:val="24"/>
          <w:szCs w:val="24"/>
        </w:rPr>
        <w:t>8/8/11</w:t>
      </w:r>
      <w:r>
        <w:rPr>
          <w:rFonts w:ascii="Times New Roman" w:hAnsi="Times New Roman"/>
          <w:sz w:val="24"/>
          <w:szCs w:val="24"/>
        </w:rPr>
        <w:t>)</w:t>
      </w:r>
    </w:p>
    <w:p w:rsidR="002F07D4" w:rsidRPr="00BF2A79" w:rsidRDefault="002F07D4" w:rsidP="002F07D4">
      <w:pPr>
        <w:spacing w:line="240" w:lineRule="auto"/>
        <w:jc w:val="both"/>
        <w:rPr>
          <w:rFonts w:ascii="Times New Roman" w:hAnsi="Times New Roman"/>
          <w:sz w:val="24"/>
          <w:szCs w:val="24"/>
        </w:rPr>
      </w:pPr>
      <w:r w:rsidRPr="00BF2A79">
        <w:rPr>
          <w:rFonts w:ascii="Times New Roman" w:hAnsi="Times New Roman"/>
          <w:sz w:val="24"/>
          <w:szCs w:val="24"/>
        </w:rPr>
        <w:t xml:space="preserve">Oficialmente, el inicio de la crisis tuvo lugar el 9 de agosto de 2007, cuando el Banco Central Europeo (BCE) y la Reserva Federal (Fed) intervinieron de urgencia para reforzar la liquidez del mercado interbancario. Jean-Claude Trichet, presidente del BCE, promovió una inyección de 95.000 millones de euros en el sistema financiero europeo. Su homólogo, Ben Bernanke, hizo lo propio en Estados Unidos, incrementando la línea </w:t>
      </w:r>
      <w:r w:rsidRPr="00BF2A79">
        <w:rPr>
          <w:rFonts w:ascii="Times New Roman" w:hAnsi="Times New Roman"/>
          <w:sz w:val="24"/>
          <w:szCs w:val="24"/>
        </w:rPr>
        <w:lastRenderedPageBreak/>
        <w:t>de crédito a los bancos en casi 17.500 millones de euros. Aunque aquella actuación confirió carácter oficial a la crisis, sólo fue el primero de los muchos momentos históricos que se sucedieron desde entonces.</w:t>
      </w:r>
    </w:p>
    <w:p w:rsidR="002F07D4" w:rsidRPr="009C6CD9" w:rsidRDefault="002F07D4" w:rsidP="002F07D4">
      <w:pPr>
        <w:spacing w:line="240" w:lineRule="auto"/>
        <w:jc w:val="both"/>
        <w:rPr>
          <w:rFonts w:ascii="Times New Roman" w:hAnsi="Times New Roman"/>
          <w:sz w:val="24"/>
          <w:szCs w:val="24"/>
        </w:rPr>
      </w:pPr>
      <w:r w:rsidRPr="00BF2A79">
        <w:rPr>
          <w:rFonts w:ascii="Times New Roman" w:hAnsi="Times New Roman"/>
          <w:sz w:val="24"/>
          <w:szCs w:val="24"/>
        </w:rPr>
        <w:t>El 16 de marzo de 2008, J.P. Morgan, con el respaldo de la Fed, adquirió el banco de inversión Bear Stearns para evitar su quiebra ante la degradación del valor de sus activos. El 11 de julio de ese año, el Congreso de los EEUU aprobó la intervención del me</w:t>
      </w:r>
      <w:r>
        <w:rPr>
          <w:rFonts w:ascii="Times New Roman" w:hAnsi="Times New Roman"/>
          <w:sz w:val="24"/>
          <w:szCs w:val="24"/>
        </w:rPr>
        <w:t xml:space="preserve">rcado hipotecario. </w:t>
      </w:r>
      <w:r w:rsidRPr="009C6CD9">
        <w:rPr>
          <w:rFonts w:ascii="Times New Roman" w:hAnsi="Times New Roman"/>
          <w:sz w:val="24"/>
          <w:szCs w:val="24"/>
        </w:rPr>
        <w:t>Concretamente, la medida se aplicó sobre las entidades de patrocinio público Fannie Mae y Fre</w:t>
      </w:r>
      <w:r>
        <w:rPr>
          <w:rFonts w:ascii="Times New Roman" w:hAnsi="Times New Roman"/>
          <w:sz w:val="24"/>
          <w:szCs w:val="24"/>
        </w:rPr>
        <w:t>d</w:t>
      </w:r>
      <w:r w:rsidRPr="009C6CD9">
        <w:rPr>
          <w:rFonts w:ascii="Times New Roman" w:hAnsi="Times New Roman"/>
          <w:sz w:val="24"/>
          <w:szCs w:val="24"/>
        </w:rPr>
        <w:t>die Mac, que poseían casi la mitad de deuda hipotecaria nacional. El respaldo fue insuficiente y el 6 de septiembre el Tesoro norteameric</w:t>
      </w:r>
      <w:r>
        <w:rPr>
          <w:rFonts w:ascii="Times New Roman" w:hAnsi="Times New Roman"/>
          <w:sz w:val="24"/>
          <w:szCs w:val="24"/>
        </w:rPr>
        <w:t>ano decretó su nacionalización.</w:t>
      </w:r>
    </w:p>
    <w:p w:rsidR="002F07D4" w:rsidRPr="009C6CD9" w:rsidRDefault="002F07D4" w:rsidP="002F07D4">
      <w:pPr>
        <w:spacing w:line="240" w:lineRule="auto"/>
        <w:jc w:val="both"/>
        <w:rPr>
          <w:rFonts w:ascii="Times New Roman" w:hAnsi="Times New Roman"/>
          <w:sz w:val="24"/>
          <w:szCs w:val="24"/>
        </w:rPr>
      </w:pPr>
      <w:r w:rsidRPr="009C6CD9">
        <w:rPr>
          <w:rFonts w:ascii="Times New Roman" w:hAnsi="Times New Roman"/>
          <w:sz w:val="24"/>
          <w:szCs w:val="24"/>
        </w:rPr>
        <w:t>Pero el acontecimiento que otorgó dimensiones absolutas a la crisis fue la caída de Lehman Brothers, el cuarto banco de inversión más grande de EEUU. El 14 de septiembre, el gigante financiero cayó en bancarrota (la mayor en toda la historia de Estados Unidos). Hito que se trasladó inmediatamente a la bolsa, con caídas generalizadas en la mayoría de los parqués. El miedo también planeó sobre el banco Merrill Lynch, que se postulaba como el siguiente de la lista, sin embargo la entidad fue adquirida por Bank of America que evitó así su quiebra.</w:t>
      </w:r>
    </w:p>
    <w:p w:rsidR="002F07D4" w:rsidRPr="009C6CD9" w:rsidRDefault="002F07D4" w:rsidP="002F07D4">
      <w:pPr>
        <w:spacing w:line="240" w:lineRule="auto"/>
        <w:jc w:val="both"/>
        <w:rPr>
          <w:rFonts w:ascii="Times New Roman" w:hAnsi="Times New Roman"/>
          <w:sz w:val="24"/>
          <w:szCs w:val="24"/>
        </w:rPr>
      </w:pPr>
      <w:r w:rsidRPr="009C6CD9">
        <w:rPr>
          <w:rFonts w:ascii="Times New Roman" w:hAnsi="Times New Roman"/>
          <w:sz w:val="24"/>
          <w:szCs w:val="24"/>
        </w:rPr>
        <w:t>La huella de estos fatídicos acontecimientos aún se deja notar sobre los principales índices mundiales, que siguen sin mostrar signos de recuperación.</w:t>
      </w:r>
    </w:p>
    <w:p w:rsidR="002F07D4" w:rsidRPr="003C2960" w:rsidRDefault="002F07D4" w:rsidP="002F07D4">
      <w:pPr>
        <w:spacing w:line="240" w:lineRule="auto"/>
        <w:jc w:val="both"/>
        <w:rPr>
          <w:rFonts w:ascii="Times New Roman" w:hAnsi="Times New Roman"/>
          <w:sz w:val="24"/>
          <w:szCs w:val="24"/>
        </w:rPr>
      </w:pPr>
      <w:r w:rsidRPr="003C2960">
        <w:rPr>
          <w:rFonts w:ascii="Times New Roman" w:hAnsi="Times New Roman"/>
          <w:sz w:val="24"/>
          <w:szCs w:val="24"/>
        </w:rPr>
        <w:t>El panorama en Wall Street no es demasiado alentador. La mayor potencia del mundo ve como sus principales índices acumulan fuertes caídas. Mientras que el Dow Jones ha cedido a lo largo de estos cuatro años un 16,6%, el S&amp;P 500 lo ha hecho un 19,8%.</w:t>
      </w:r>
    </w:p>
    <w:p w:rsidR="002F07D4" w:rsidRPr="003C2960" w:rsidRDefault="002F07D4" w:rsidP="002F07D4">
      <w:pPr>
        <w:spacing w:line="240" w:lineRule="auto"/>
        <w:jc w:val="both"/>
        <w:rPr>
          <w:rFonts w:ascii="Times New Roman" w:hAnsi="Times New Roman"/>
          <w:sz w:val="24"/>
          <w:szCs w:val="24"/>
        </w:rPr>
      </w:pPr>
      <w:r w:rsidRPr="003C2960">
        <w:rPr>
          <w:rFonts w:ascii="Times New Roman" w:hAnsi="Times New Roman"/>
          <w:sz w:val="24"/>
          <w:szCs w:val="24"/>
        </w:rPr>
        <w:t>El caso español no es más halagüeño, y así lo muestra el Ibex 35, que salda el periodo con una bajada del 42,10%, aun así se comporta mejor que el índice de referencia de la eurozona, el Eurostoxx, que ha sufrido una caída del 44,64 por ciento. Pero sin duda el peor mazazo se lo lleva Emiratos Árabes Unidos, cuyo selectivo, el DFM National, se apunta un retroceso del 63,94%.</w:t>
      </w:r>
    </w:p>
    <w:p w:rsidR="002F07D4" w:rsidRPr="003C2960" w:rsidRDefault="002F07D4" w:rsidP="002F07D4">
      <w:pPr>
        <w:spacing w:line="240" w:lineRule="auto"/>
        <w:jc w:val="both"/>
        <w:rPr>
          <w:rFonts w:ascii="Times New Roman" w:hAnsi="Times New Roman"/>
          <w:sz w:val="24"/>
          <w:szCs w:val="24"/>
        </w:rPr>
      </w:pPr>
      <w:r w:rsidRPr="003C2960">
        <w:rPr>
          <w:rFonts w:ascii="Times New Roman" w:hAnsi="Times New Roman"/>
          <w:sz w:val="24"/>
          <w:szCs w:val="24"/>
        </w:rPr>
        <w:t>El rojo tiñe Europa, ya que la mayor parte de los índices europeos ha cosechado pérdidas siendo las más significativas las del Mib italiano, el OMX Helsinki finlandés y el PSI General portugués con bajadas del 60,32, 52,83 y 43,63% respectivamente.</w:t>
      </w:r>
    </w:p>
    <w:p w:rsidR="002F07D4" w:rsidRPr="003C2960" w:rsidRDefault="002F07D4" w:rsidP="002F07D4">
      <w:pPr>
        <w:spacing w:line="240" w:lineRule="auto"/>
        <w:jc w:val="both"/>
        <w:rPr>
          <w:rFonts w:ascii="Times New Roman" w:hAnsi="Times New Roman"/>
          <w:sz w:val="24"/>
          <w:szCs w:val="24"/>
        </w:rPr>
      </w:pPr>
      <w:r w:rsidRPr="003C2960">
        <w:rPr>
          <w:rFonts w:ascii="Times New Roman" w:hAnsi="Times New Roman"/>
          <w:sz w:val="24"/>
          <w:szCs w:val="24"/>
        </w:rPr>
        <w:t xml:space="preserve">Sin embargo no todos han sucumbido a las cifras negativas. Algunos indicadores asiáticos y latinoamericanos han aguantado el vendaval y pueden presumir de mantenerse en positivo. Es el caso del Bse Sensex 30 (principal selector indio) que ha logrado un alza del 15,58 por ciento. Más sorprendente aún es el caso de Indonesia cuyo principal índice, el </w:t>
      </w:r>
      <w:r w:rsidR="00FF0D17" w:rsidRPr="003C2960">
        <w:rPr>
          <w:rFonts w:ascii="Times New Roman" w:hAnsi="Times New Roman"/>
          <w:sz w:val="24"/>
          <w:szCs w:val="24"/>
        </w:rPr>
        <w:t>Yakarta</w:t>
      </w:r>
      <w:r w:rsidRPr="003C2960">
        <w:rPr>
          <w:rFonts w:ascii="Times New Roman" w:hAnsi="Times New Roman"/>
          <w:sz w:val="24"/>
          <w:szCs w:val="24"/>
        </w:rPr>
        <w:t xml:space="preserve"> LQ-45, se suma al carro de los pocos que han sobrevivido con una subida del 55,71%. </w:t>
      </w:r>
    </w:p>
    <w:p w:rsidR="002F07D4" w:rsidRPr="003C2960" w:rsidRDefault="002F07D4" w:rsidP="002F07D4">
      <w:pPr>
        <w:spacing w:line="240" w:lineRule="auto"/>
        <w:jc w:val="both"/>
        <w:rPr>
          <w:rFonts w:ascii="Times New Roman" w:hAnsi="Times New Roman"/>
          <w:sz w:val="24"/>
          <w:szCs w:val="24"/>
        </w:rPr>
      </w:pPr>
      <w:r w:rsidRPr="003C2960">
        <w:rPr>
          <w:rFonts w:ascii="Times New Roman" w:hAnsi="Times New Roman"/>
          <w:sz w:val="24"/>
          <w:szCs w:val="24"/>
        </w:rPr>
        <w:t>Por otro lado, los indicadores latinoamericanos que llegan al aniversario de la crisis con buenas cifras son el Merval argentino, que repunta un 46,07% y el IPSA, el principal selectivo chileno, con un alza del 25,93 por ciento.</w:t>
      </w:r>
    </w:p>
    <w:p w:rsidR="002F07D4" w:rsidRPr="004B16DB" w:rsidRDefault="002F07D4" w:rsidP="002F07D4">
      <w:pPr>
        <w:spacing w:line="240" w:lineRule="auto"/>
        <w:jc w:val="both"/>
        <w:rPr>
          <w:rFonts w:ascii="Times New Roman" w:hAnsi="Times New Roman"/>
          <w:sz w:val="24"/>
          <w:szCs w:val="24"/>
        </w:rPr>
      </w:pPr>
      <w:r>
        <w:rPr>
          <w:rFonts w:ascii="Times New Roman" w:eastAsia="Times New Roman" w:hAnsi="Times New Roman"/>
          <w:i/>
          <w:sz w:val="24"/>
          <w:szCs w:val="24"/>
          <w:lang w:eastAsia="es-ES"/>
        </w:rPr>
        <w:t>“</w:t>
      </w:r>
      <w:r w:rsidRPr="003445F8">
        <w:rPr>
          <w:rFonts w:ascii="Times New Roman" w:eastAsia="Times New Roman" w:hAnsi="Times New Roman"/>
          <w:i/>
          <w:sz w:val="24"/>
          <w:szCs w:val="24"/>
          <w:lang w:eastAsia="es-ES"/>
        </w:rPr>
        <w:t xml:space="preserve">Con Estados Unidos bombardeado por dos frentes, el déficit interno y la crisis de deuda externa, es poco lo que la Reserva Federal puede hacer por su economía. Así lo </w:t>
      </w:r>
      <w:hyperlink r:id="rId223" w:tgtFrame="_blank" w:history="1">
        <w:r w:rsidRPr="003445F8">
          <w:rPr>
            <w:rFonts w:ascii="Times New Roman" w:eastAsia="Times New Roman" w:hAnsi="Times New Roman"/>
            <w:i/>
            <w:sz w:val="24"/>
            <w:szCs w:val="24"/>
            <w:lang w:eastAsia="es-ES"/>
          </w:rPr>
          <w:t>ha asegurado uno de los pesos pesados de la administración</w:t>
        </w:r>
      </w:hyperlink>
      <w:r w:rsidRPr="003445F8">
        <w:rPr>
          <w:rFonts w:ascii="Times New Roman" w:eastAsia="Times New Roman" w:hAnsi="Times New Roman"/>
          <w:i/>
          <w:sz w:val="24"/>
          <w:szCs w:val="24"/>
          <w:lang w:eastAsia="es-ES"/>
        </w:rPr>
        <w:t xml:space="preserve">, el presidente del banco central de Dallas, </w:t>
      </w:r>
      <w:r w:rsidRPr="003445F8">
        <w:rPr>
          <w:rFonts w:ascii="Times New Roman" w:eastAsia="Times New Roman" w:hAnsi="Times New Roman"/>
          <w:bCs/>
          <w:i/>
          <w:sz w:val="24"/>
          <w:szCs w:val="24"/>
          <w:lang w:eastAsia="es-ES"/>
        </w:rPr>
        <w:t>Richard Fischer</w:t>
      </w:r>
      <w:r>
        <w:rPr>
          <w:rFonts w:ascii="Times New Roman" w:eastAsia="Times New Roman" w:hAnsi="Times New Roman"/>
          <w:bCs/>
          <w:i/>
          <w:sz w:val="24"/>
          <w:szCs w:val="24"/>
          <w:lang w:eastAsia="es-ES"/>
        </w:rPr>
        <w:t>”</w:t>
      </w:r>
      <w:r w:rsidRPr="003445F8">
        <w:rPr>
          <w:rFonts w:ascii="Times New Roman" w:eastAsia="Times New Roman" w:hAnsi="Times New Roman"/>
          <w:bCs/>
          <w:i/>
          <w:sz w:val="24"/>
          <w:szCs w:val="24"/>
          <w:lang w:eastAsia="es-ES"/>
        </w:rPr>
        <w:t>.</w:t>
      </w:r>
      <w:r>
        <w:rPr>
          <w:rFonts w:ascii="Times New Roman" w:hAnsi="Times New Roman"/>
          <w:sz w:val="24"/>
          <w:szCs w:val="24"/>
        </w:rPr>
        <w:t xml:space="preserve">(El Confidencial - </w:t>
      </w:r>
      <w:r w:rsidRPr="003C3FE7">
        <w:rPr>
          <w:rFonts w:ascii="Times New Roman" w:hAnsi="Times New Roman"/>
          <w:b/>
          <w:sz w:val="24"/>
          <w:szCs w:val="24"/>
        </w:rPr>
        <w:t>13/9/11</w:t>
      </w:r>
      <w:r>
        <w:rPr>
          <w:rFonts w:ascii="Times New Roman" w:hAnsi="Times New Roman"/>
          <w:sz w:val="24"/>
          <w:szCs w:val="24"/>
        </w:rPr>
        <w:t>)</w:t>
      </w:r>
    </w:p>
    <w:p w:rsidR="002F07D4" w:rsidRPr="003445F8" w:rsidRDefault="002F07D4" w:rsidP="002F07D4">
      <w:pPr>
        <w:spacing w:after="0" w:line="240" w:lineRule="auto"/>
        <w:jc w:val="both"/>
        <w:rPr>
          <w:rFonts w:ascii="Times New Roman" w:eastAsia="Times New Roman" w:hAnsi="Times New Roman"/>
          <w:sz w:val="24"/>
          <w:szCs w:val="24"/>
          <w:lang w:eastAsia="es-ES"/>
        </w:rPr>
      </w:pPr>
      <w:r w:rsidRPr="003445F8">
        <w:rPr>
          <w:rFonts w:ascii="Times New Roman" w:eastAsia="Times New Roman" w:hAnsi="Times New Roman"/>
          <w:sz w:val="24"/>
          <w:szCs w:val="24"/>
          <w:lang w:eastAsia="es-ES"/>
        </w:rPr>
        <w:lastRenderedPageBreak/>
        <w:t xml:space="preserve">Los 600.000 millones de dólares del programa de compra de bonos -el llamado </w:t>
      </w:r>
      <w:r w:rsidRPr="003445F8">
        <w:rPr>
          <w:rFonts w:ascii="Times New Roman" w:eastAsia="Times New Roman" w:hAnsi="Times New Roman"/>
          <w:i/>
          <w:iCs/>
          <w:sz w:val="24"/>
          <w:szCs w:val="24"/>
          <w:lang w:eastAsia="es-ES"/>
        </w:rPr>
        <w:t>quanti</w:t>
      </w:r>
      <w:r>
        <w:rPr>
          <w:rFonts w:ascii="Times New Roman" w:eastAsia="Times New Roman" w:hAnsi="Times New Roman"/>
          <w:i/>
          <w:iCs/>
          <w:sz w:val="24"/>
          <w:szCs w:val="24"/>
          <w:lang w:eastAsia="es-ES"/>
        </w:rPr>
        <w:t>ta</w:t>
      </w:r>
      <w:r w:rsidRPr="003445F8">
        <w:rPr>
          <w:rFonts w:ascii="Times New Roman" w:eastAsia="Times New Roman" w:hAnsi="Times New Roman"/>
          <w:i/>
          <w:iCs/>
          <w:sz w:val="24"/>
          <w:szCs w:val="24"/>
          <w:lang w:eastAsia="es-ES"/>
        </w:rPr>
        <w:t>tive easing</w:t>
      </w:r>
      <w:r w:rsidRPr="003445F8">
        <w:rPr>
          <w:rFonts w:ascii="Times New Roman" w:eastAsia="Times New Roman" w:hAnsi="Times New Roman"/>
          <w:sz w:val="24"/>
          <w:szCs w:val="24"/>
          <w:lang w:eastAsia="es-ES"/>
        </w:rPr>
        <w:t xml:space="preserve">- que puso en marca la institución liderada por </w:t>
      </w:r>
      <w:r w:rsidRPr="003445F8">
        <w:rPr>
          <w:rFonts w:ascii="Times New Roman" w:eastAsia="Times New Roman" w:hAnsi="Times New Roman"/>
          <w:bCs/>
          <w:sz w:val="24"/>
          <w:szCs w:val="24"/>
          <w:lang w:eastAsia="es-ES"/>
        </w:rPr>
        <w:t>Ben Bernanke</w:t>
      </w:r>
      <w:r w:rsidRPr="003445F8">
        <w:rPr>
          <w:rFonts w:ascii="Times New Roman" w:eastAsia="Times New Roman" w:hAnsi="Times New Roman"/>
          <w:sz w:val="24"/>
          <w:szCs w:val="24"/>
          <w:lang w:eastAsia="es-ES"/>
        </w:rPr>
        <w:t xml:space="preserve"> hace casi un año, y que buscaba rebajar indirectamente los tipos de interés, reactivar el consumo, permitir el endeudamiento de las empresas e incentivar la contratación, han caído en saco roto. En otras palabras, los políticos no han sabido hacer su trabajo. </w:t>
      </w:r>
    </w:p>
    <w:p w:rsidR="002F07D4" w:rsidRDefault="002F07D4" w:rsidP="002F07D4">
      <w:pPr>
        <w:spacing w:before="100" w:beforeAutospacing="1" w:after="100" w:afterAutospacing="1" w:line="240" w:lineRule="auto"/>
        <w:jc w:val="both"/>
        <w:rPr>
          <w:rFonts w:ascii="Times New Roman" w:eastAsia="Times New Roman" w:hAnsi="Times New Roman"/>
          <w:b/>
          <w:color w:val="FF0000"/>
          <w:sz w:val="24"/>
          <w:szCs w:val="24"/>
          <w:lang w:eastAsia="es-ES"/>
        </w:rPr>
      </w:pPr>
      <w:r w:rsidRPr="003445F8">
        <w:rPr>
          <w:rFonts w:ascii="Times New Roman" w:eastAsia="Times New Roman" w:hAnsi="Times New Roman"/>
          <w:b/>
          <w:color w:val="FF0000"/>
          <w:sz w:val="24"/>
          <w:szCs w:val="24"/>
          <w:u w:val="single"/>
          <w:lang w:eastAsia="es-ES"/>
        </w:rPr>
        <w:t>Unas declaraciones que podrían parecer anecdóticas y que en realidad tienen mucho más calado. Fischer, una voz autorizada de la Fed, ha venido a cuestionar el papel que ha jugado el banco central en la crisis, en tanto que</w:t>
      </w:r>
      <w:r w:rsidRPr="003445F8">
        <w:rPr>
          <w:rFonts w:ascii="Times New Roman" w:eastAsia="Times New Roman" w:hAnsi="Times New Roman"/>
          <w:b/>
          <w:bCs/>
          <w:color w:val="FF0000"/>
          <w:sz w:val="24"/>
          <w:szCs w:val="24"/>
          <w:u w:val="single"/>
          <w:lang w:eastAsia="es-ES"/>
        </w:rPr>
        <w:t xml:space="preserve"> sus esfuerzos no han alcanzado su objetivo por la inacción de Gobierno y legisladores,</w:t>
      </w:r>
      <w:r w:rsidRPr="003445F8">
        <w:rPr>
          <w:rFonts w:ascii="Times New Roman" w:eastAsia="Times New Roman" w:hAnsi="Times New Roman"/>
          <w:b/>
          <w:color w:val="FF0000"/>
          <w:sz w:val="24"/>
          <w:szCs w:val="24"/>
          <w:u w:val="single"/>
          <w:lang w:eastAsia="es-ES"/>
        </w:rPr>
        <w:t xml:space="preserve"> y ha asegurado que ya no pueden hacer más</w:t>
      </w:r>
      <w:r w:rsidRPr="00034416">
        <w:rPr>
          <w:rFonts w:ascii="Times New Roman" w:eastAsia="Times New Roman" w:hAnsi="Times New Roman"/>
          <w:b/>
          <w:color w:val="FF0000"/>
          <w:sz w:val="24"/>
          <w:szCs w:val="24"/>
          <w:lang w:eastAsia="es-ES"/>
        </w:rPr>
        <w:t>…</w:t>
      </w:r>
    </w:p>
    <w:p w:rsidR="002F07D4" w:rsidRPr="0059399B" w:rsidRDefault="002F07D4" w:rsidP="0059399B">
      <w:pPr>
        <w:spacing w:before="100" w:beforeAutospacing="1" w:after="100" w:afterAutospacing="1" w:line="240" w:lineRule="auto"/>
        <w:jc w:val="both"/>
        <w:rPr>
          <w:rFonts w:ascii="Times New Roman" w:eastAsia="Times New Roman" w:hAnsi="Times New Roman"/>
          <w:b/>
          <w:color w:val="FF0000"/>
          <w:sz w:val="24"/>
          <w:szCs w:val="24"/>
          <w:lang w:eastAsia="es-ES"/>
        </w:rPr>
      </w:pPr>
      <w:r>
        <w:rPr>
          <w:rFonts w:ascii="Times New Roman" w:hAnsi="Times New Roman"/>
          <w:b/>
          <w:sz w:val="24"/>
          <w:szCs w:val="24"/>
        </w:rPr>
        <w:t>“Twist A</w:t>
      </w:r>
      <w:r w:rsidRPr="00F8639F">
        <w:rPr>
          <w:rFonts w:ascii="Times New Roman" w:hAnsi="Times New Roman"/>
          <w:b/>
          <w:sz w:val="24"/>
          <w:szCs w:val="24"/>
        </w:rPr>
        <w:t>gain”: Bernie supera al “Maestro”, consigue no dejar conforme a nadie</w:t>
      </w:r>
    </w:p>
    <w:p w:rsidR="002F07D4" w:rsidRPr="007A45EE" w:rsidRDefault="002F07D4" w:rsidP="002F07D4">
      <w:pPr>
        <w:spacing w:after="0" w:line="240" w:lineRule="auto"/>
        <w:jc w:val="both"/>
        <w:rPr>
          <w:rFonts w:ascii="Times New Roman" w:hAnsi="Times New Roman"/>
          <w:sz w:val="24"/>
          <w:szCs w:val="24"/>
        </w:rPr>
      </w:pPr>
      <w:r>
        <w:rPr>
          <w:rFonts w:ascii="Times New Roman" w:hAnsi="Times New Roman"/>
          <w:i/>
          <w:sz w:val="24"/>
          <w:szCs w:val="24"/>
        </w:rPr>
        <w:t>“</w:t>
      </w:r>
      <w:r w:rsidRPr="00C56A9D">
        <w:rPr>
          <w:rFonts w:ascii="Times New Roman" w:hAnsi="Times New Roman"/>
          <w:i/>
          <w:sz w:val="24"/>
          <w:szCs w:val="24"/>
        </w:rPr>
        <w:t>El presidente de Reserva Federal Ben Bernanke, mostrando una mayor vehemencia de la prevista, lanzó un nuevo paquete de medidas no convencionales para apuntalar la débil economía estadounidense. Estas iniciativas se han convertido en la principal característica de sus tumultuosos cinco años al frente del banco central</w:t>
      </w:r>
      <w:r>
        <w:rPr>
          <w:rFonts w:ascii="Times New Roman" w:hAnsi="Times New Roman"/>
          <w:i/>
          <w:sz w:val="24"/>
          <w:szCs w:val="24"/>
        </w:rPr>
        <w:t>”</w:t>
      </w:r>
      <w:r w:rsidRPr="00C56A9D">
        <w:rPr>
          <w:rFonts w:ascii="Times New Roman" w:hAnsi="Times New Roman"/>
          <w:i/>
          <w:sz w:val="24"/>
          <w:szCs w:val="24"/>
        </w:rPr>
        <w:t>.</w:t>
      </w:r>
      <w:r w:rsidRPr="007A45EE">
        <w:rPr>
          <w:rFonts w:ascii="Times New Roman" w:hAnsi="Times New Roman"/>
          <w:sz w:val="24"/>
          <w:szCs w:val="24"/>
        </w:rPr>
        <w:t xml:space="preserve">(The Wall Street Journal - </w:t>
      </w:r>
      <w:r w:rsidRPr="007A45EE">
        <w:rPr>
          <w:rFonts w:ascii="Times New Roman" w:hAnsi="Times New Roman"/>
          <w:b/>
          <w:sz w:val="24"/>
          <w:szCs w:val="24"/>
        </w:rPr>
        <w:t>21/9/11</w:t>
      </w:r>
      <w:r w:rsidRPr="007A45EE">
        <w:rPr>
          <w:rFonts w:ascii="Times New Roman" w:hAnsi="Times New Roman"/>
          <w:sz w:val="24"/>
          <w:szCs w:val="24"/>
        </w:rPr>
        <w:t>)</w:t>
      </w:r>
    </w:p>
    <w:p w:rsidR="002F07D4" w:rsidRDefault="002F07D4" w:rsidP="002F07D4">
      <w:pPr>
        <w:spacing w:after="0" w:line="240" w:lineRule="auto"/>
        <w:jc w:val="both"/>
        <w:rPr>
          <w:rFonts w:ascii="Times New Roman" w:hAnsi="Times New Roman"/>
          <w:sz w:val="24"/>
          <w:szCs w:val="24"/>
        </w:rPr>
      </w:pPr>
    </w:p>
    <w:p w:rsidR="002F07D4" w:rsidRDefault="002F07D4" w:rsidP="002F07D4">
      <w:pPr>
        <w:spacing w:after="0" w:line="240" w:lineRule="auto"/>
        <w:jc w:val="both"/>
        <w:rPr>
          <w:rFonts w:ascii="Times New Roman" w:hAnsi="Times New Roman"/>
          <w:sz w:val="24"/>
          <w:szCs w:val="24"/>
        </w:rPr>
      </w:pPr>
      <w:r w:rsidRPr="00C56A9D">
        <w:rPr>
          <w:rFonts w:ascii="Times New Roman" w:hAnsi="Times New Roman"/>
          <w:sz w:val="24"/>
          <w:szCs w:val="24"/>
        </w:rPr>
        <w:t>La última vuelta de tuerca del titular de la Fed fue la decisión de reconfigurar drásticamente su portafolio de valores de US$ 2,6 billones (millones de millones) en un intento por reducir las tasas de interés a largo plazo.</w:t>
      </w:r>
      <w:r w:rsidRPr="00327C79">
        <w:rPr>
          <w:rFonts w:ascii="Times New Roman" w:hAnsi="Times New Roman"/>
          <w:sz w:val="24"/>
          <w:szCs w:val="24"/>
        </w:rPr>
        <w:t xml:space="preserve"> La Fed planea modificar su cartera para tener más bonos del Tesoro de largo plazo y más deuda hipotecaria, con la esperanza de que las tasas más bajas impulsen la inversión y el gasto e inyecten un flujo de adrenalina al alicaído mercado inmobiliario.</w:t>
      </w:r>
    </w:p>
    <w:p w:rsidR="002F07D4" w:rsidRDefault="002F07D4" w:rsidP="002F07D4">
      <w:pPr>
        <w:spacing w:after="0" w:line="240" w:lineRule="auto"/>
        <w:jc w:val="both"/>
        <w:rPr>
          <w:rFonts w:ascii="Times New Roman" w:hAnsi="Times New Roman"/>
          <w:sz w:val="24"/>
          <w:szCs w:val="24"/>
        </w:rPr>
      </w:pPr>
    </w:p>
    <w:p w:rsidR="002F07D4" w:rsidRPr="00C56A9D" w:rsidRDefault="002F07D4" w:rsidP="002F07D4">
      <w:pPr>
        <w:spacing w:after="0" w:line="240" w:lineRule="auto"/>
        <w:jc w:val="both"/>
        <w:rPr>
          <w:rFonts w:ascii="Times New Roman" w:hAnsi="Times New Roman"/>
          <w:sz w:val="24"/>
          <w:szCs w:val="24"/>
        </w:rPr>
      </w:pPr>
      <w:r w:rsidRPr="00C56A9D">
        <w:rPr>
          <w:rFonts w:ascii="Times New Roman" w:hAnsi="Times New Roman"/>
          <w:sz w:val="24"/>
          <w:szCs w:val="24"/>
        </w:rPr>
        <w:t>Aunque las medidas fueron un poco más audaces de lo previsto, no fueron vistas como la clase de programa innovador capaz de reactivar la economía estadounidense, una conclusión que se reflejó en el desempeño de los mercados.</w:t>
      </w:r>
    </w:p>
    <w:p w:rsidR="002F07D4" w:rsidRDefault="002F07D4" w:rsidP="002F07D4">
      <w:pPr>
        <w:spacing w:after="0" w:line="240" w:lineRule="auto"/>
        <w:jc w:val="both"/>
        <w:rPr>
          <w:rFonts w:ascii="Times New Roman" w:hAnsi="Times New Roman"/>
          <w:color w:val="FF0000"/>
          <w:sz w:val="24"/>
          <w:szCs w:val="24"/>
          <w:u w:val="single"/>
        </w:rPr>
      </w:pPr>
    </w:p>
    <w:p w:rsidR="002F07D4" w:rsidRPr="00C56A9D" w:rsidRDefault="002F07D4" w:rsidP="002F07D4">
      <w:pPr>
        <w:spacing w:after="0" w:line="240" w:lineRule="auto"/>
        <w:jc w:val="both"/>
        <w:rPr>
          <w:rFonts w:ascii="Times New Roman" w:hAnsi="Times New Roman"/>
          <w:b/>
          <w:color w:val="FF0000"/>
          <w:sz w:val="24"/>
          <w:szCs w:val="24"/>
          <w:u w:val="single"/>
        </w:rPr>
      </w:pPr>
      <w:r w:rsidRPr="00C56A9D">
        <w:rPr>
          <w:rFonts w:ascii="Times New Roman" w:hAnsi="Times New Roman"/>
          <w:b/>
          <w:color w:val="FF0000"/>
          <w:sz w:val="24"/>
          <w:szCs w:val="24"/>
          <w:u w:val="single"/>
        </w:rPr>
        <w:t>Según el nuevo programa, que se inspira en un plan de 1961 conocido como Operación Twist en alusión al baile de moda en ese momento, la Fed venderá US$ 400.000 millones en valores del Tesoro que vencen dentro de tres años y reinvertirá las ganancias en valores que vencen en entre seis y 30 años. Esto altera significativamente su cartera de activos en favor de valores a largo plazo. Además, el banco central tomará los ingresos provenientes del vencimiento de sus valores respaldados por hipotecas y los reinvertirá en otros valores hipotecarios.</w:t>
      </w:r>
    </w:p>
    <w:p w:rsidR="002F07D4" w:rsidRPr="00C56A9D" w:rsidRDefault="002F07D4" w:rsidP="002F07D4">
      <w:pPr>
        <w:spacing w:after="0" w:line="240" w:lineRule="auto"/>
        <w:jc w:val="both"/>
        <w:rPr>
          <w:rFonts w:ascii="Times New Roman" w:hAnsi="Times New Roman"/>
          <w:b/>
          <w:color w:val="FF0000"/>
          <w:sz w:val="24"/>
          <w:szCs w:val="24"/>
          <w:u w:val="single"/>
        </w:rPr>
      </w:pPr>
    </w:p>
    <w:p w:rsidR="002F07D4" w:rsidRDefault="002F07D4" w:rsidP="002F07D4">
      <w:pPr>
        <w:spacing w:after="0" w:line="240" w:lineRule="auto"/>
        <w:jc w:val="both"/>
        <w:rPr>
          <w:rFonts w:ascii="Times New Roman" w:hAnsi="Times New Roman"/>
          <w:sz w:val="24"/>
          <w:szCs w:val="24"/>
        </w:rPr>
      </w:pPr>
      <w:r w:rsidRPr="00C56A9D">
        <w:rPr>
          <w:rFonts w:ascii="Times New Roman" w:hAnsi="Times New Roman"/>
          <w:sz w:val="24"/>
          <w:szCs w:val="24"/>
        </w:rPr>
        <w:t>Los analistas, sin emba</w:t>
      </w:r>
      <w:r>
        <w:rPr>
          <w:rFonts w:ascii="Times New Roman" w:hAnsi="Times New Roman"/>
          <w:sz w:val="24"/>
          <w:szCs w:val="24"/>
        </w:rPr>
        <w:t>rgo, reaccionaron con cautela. “Podría ayudar un poco”</w:t>
      </w:r>
      <w:r w:rsidRPr="00C56A9D">
        <w:rPr>
          <w:rFonts w:ascii="Times New Roman" w:hAnsi="Times New Roman"/>
          <w:sz w:val="24"/>
          <w:szCs w:val="24"/>
        </w:rPr>
        <w:t>, indicó James Hamilton, profesor de la Universidad de California en San Diego que estudia el impacto de las políti</w:t>
      </w:r>
      <w:r>
        <w:rPr>
          <w:rFonts w:ascii="Times New Roman" w:hAnsi="Times New Roman"/>
          <w:sz w:val="24"/>
          <w:szCs w:val="24"/>
        </w:rPr>
        <w:t>cas de la Fed, pero agregó que “</w:t>
      </w:r>
      <w:r w:rsidRPr="00C56A9D">
        <w:rPr>
          <w:rFonts w:ascii="Times New Roman" w:hAnsi="Times New Roman"/>
          <w:sz w:val="24"/>
          <w:szCs w:val="24"/>
        </w:rPr>
        <w:t>nadie debería hacerse ilusiones de que las p</w:t>
      </w:r>
      <w:r>
        <w:rPr>
          <w:rFonts w:ascii="Times New Roman" w:hAnsi="Times New Roman"/>
          <w:sz w:val="24"/>
          <w:szCs w:val="24"/>
        </w:rPr>
        <w:t>olíticas reanimarán la economía”</w:t>
      </w:r>
      <w:r w:rsidRPr="00C56A9D">
        <w:rPr>
          <w:rFonts w:ascii="Times New Roman" w:hAnsi="Times New Roman"/>
          <w:sz w:val="24"/>
          <w:szCs w:val="24"/>
        </w:rPr>
        <w:t>.</w:t>
      </w:r>
    </w:p>
    <w:p w:rsidR="002F07D4" w:rsidRDefault="002F07D4" w:rsidP="002F07D4">
      <w:pPr>
        <w:spacing w:after="0" w:line="240" w:lineRule="auto"/>
        <w:jc w:val="both"/>
        <w:rPr>
          <w:rFonts w:ascii="Times New Roman" w:hAnsi="Times New Roman"/>
          <w:sz w:val="24"/>
          <w:szCs w:val="24"/>
        </w:rPr>
      </w:pPr>
    </w:p>
    <w:p w:rsidR="002F07D4" w:rsidRPr="00120348" w:rsidRDefault="002F07D4" w:rsidP="002F07D4">
      <w:pPr>
        <w:spacing w:after="0" w:line="240" w:lineRule="auto"/>
        <w:jc w:val="both"/>
        <w:rPr>
          <w:rFonts w:ascii="Times New Roman" w:hAnsi="Times New Roman"/>
          <w:b/>
          <w:color w:val="FF0000"/>
          <w:sz w:val="24"/>
          <w:szCs w:val="24"/>
          <w:u w:val="single"/>
        </w:rPr>
      </w:pPr>
      <w:r w:rsidRPr="00E26F8A">
        <w:rPr>
          <w:rFonts w:ascii="Times New Roman" w:hAnsi="Times New Roman"/>
          <w:sz w:val="24"/>
          <w:szCs w:val="24"/>
        </w:rPr>
        <w:t xml:space="preserve">A pesar del hundimiento de las bolsas, </w:t>
      </w:r>
      <w:r w:rsidRPr="00120348">
        <w:rPr>
          <w:rFonts w:ascii="Times New Roman" w:hAnsi="Times New Roman"/>
          <w:b/>
          <w:color w:val="FF0000"/>
          <w:sz w:val="24"/>
          <w:szCs w:val="24"/>
          <w:u w:val="single"/>
        </w:rPr>
        <w:t>Ben Bernanke, bajo el fuego tanto de los demócratas como de los republican</w:t>
      </w:r>
      <w:r>
        <w:rPr>
          <w:rFonts w:ascii="Times New Roman" w:hAnsi="Times New Roman"/>
          <w:b/>
          <w:color w:val="FF0000"/>
          <w:sz w:val="24"/>
          <w:szCs w:val="24"/>
          <w:u w:val="single"/>
        </w:rPr>
        <w:t xml:space="preserve">os, logró un golpe maestro </w:t>
      </w:r>
      <w:r w:rsidRPr="00120348">
        <w:rPr>
          <w:rFonts w:ascii="Times New Roman" w:hAnsi="Times New Roman"/>
          <w:b/>
          <w:color w:val="FF0000"/>
          <w:sz w:val="24"/>
          <w:szCs w:val="24"/>
          <w:u w:val="single"/>
        </w:rPr>
        <w:t>que lo pone a la altura de Obama y de muy pocos políticos más en la Historia moderna, al ejecutar un plan que no contenta a nadie, según David Callaway, el director de MarketWatch.</w:t>
      </w:r>
    </w:p>
    <w:p w:rsidR="002F07D4" w:rsidRPr="00120348" w:rsidRDefault="002F07D4" w:rsidP="002F07D4">
      <w:pPr>
        <w:spacing w:after="0" w:line="240" w:lineRule="auto"/>
        <w:jc w:val="both"/>
        <w:rPr>
          <w:rFonts w:ascii="Times New Roman" w:hAnsi="Times New Roman"/>
          <w:b/>
          <w:color w:val="FF0000"/>
          <w:sz w:val="24"/>
          <w:szCs w:val="24"/>
          <w:u w:val="single"/>
        </w:rPr>
      </w:pPr>
    </w:p>
    <w:p w:rsidR="002F07D4" w:rsidRPr="00120348" w:rsidRDefault="002F07D4" w:rsidP="002F07D4">
      <w:pPr>
        <w:spacing w:after="0" w:line="240" w:lineRule="auto"/>
        <w:jc w:val="both"/>
        <w:rPr>
          <w:rFonts w:ascii="Times New Roman" w:hAnsi="Times New Roman"/>
          <w:b/>
          <w:color w:val="FF0000"/>
          <w:sz w:val="24"/>
          <w:szCs w:val="24"/>
          <w:u w:val="single"/>
        </w:rPr>
      </w:pPr>
      <w:r w:rsidRPr="00120348">
        <w:rPr>
          <w:rFonts w:ascii="Times New Roman" w:hAnsi="Times New Roman"/>
          <w:b/>
          <w:color w:val="FF0000"/>
          <w:sz w:val="24"/>
          <w:szCs w:val="24"/>
          <w:u w:val="single"/>
        </w:rPr>
        <w:lastRenderedPageBreak/>
        <w:t>La decisión de la Fed de twist la curva de tipos para mantener los intereses bajos decepcionó a los mercados porque no la consideran un estímulo suficiente para estimular la economía. Irritó a los republicanos que habían demandado que no hiciera nada para ayudar a la economía. Y probablemente enfurecerá a los demócratas que tratan de controlar el banco central.</w:t>
      </w:r>
    </w:p>
    <w:p w:rsidR="002F07D4" w:rsidRPr="008C6D16" w:rsidRDefault="002F07D4" w:rsidP="002F07D4">
      <w:pPr>
        <w:spacing w:after="0" w:line="240" w:lineRule="auto"/>
        <w:jc w:val="both"/>
        <w:rPr>
          <w:rFonts w:ascii="Times New Roman" w:hAnsi="Times New Roman"/>
          <w:b/>
          <w:color w:val="FF0000"/>
          <w:sz w:val="24"/>
          <w:szCs w:val="24"/>
          <w:u w:val="single"/>
        </w:rPr>
      </w:pPr>
    </w:p>
    <w:p w:rsidR="002F07D4" w:rsidRDefault="002F07D4" w:rsidP="002F07D4">
      <w:pPr>
        <w:spacing w:after="0" w:line="240" w:lineRule="auto"/>
        <w:jc w:val="both"/>
        <w:rPr>
          <w:rFonts w:ascii="Times New Roman" w:hAnsi="Times New Roman"/>
          <w:sz w:val="24"/>
          <w:szCs w:val="24"/>
        </w:rPr>
      </w:pPr>
      <w:r>
        <w:rPr>
          <w:rFonts w:ascii="Times New Roman" w:hAnsi="Times New Roman"/>
          <w:i/>
          <w:sz w:val="24"/>
          <w:szCs w:val="24"/>
        </w:rPr>
        <w:t>“</w:t>
      </w:r>
      <w:r w:rsidRPr="00C56A9D">
        <w:rPr>
          <w:rFonts w:ascii="Times New Roman" w:hAnsi="Times New Roman"/>
          <w:i/>
          <w:sz w:val="24"/>
          <w:szCs w:val="24"/>
        </w:rPr>
        <w:t>La última decisión de la Reserva Federal (Fed), el banco central de EEUU, ha sabido demasiado a poco a los inversores. Concluir que esta reacción se debe a la timidez de la medida sería demasiado simplista. La razón viene de muy lejos. De los vicios adquiridos en la relación entre los mercados y la Fed desde los años 80</w:t>
      </w:r>
      <w:r>
        <w:rPr>
          <w:rFonts w:ascii="Times New Roman" w:hAnsi="Times New Roman"/>
          <w:i/>
          <w:sz w:val="24"/>
          <w:szCs w:val="24"/>
        </w:rPr>
        <w:t>”</w:t>
      </w:r>
      <w:r w:rsidRPr="00C56A9D">
        <w:rPr>
          <w:rFonts w:ascii="Times New Roman" w:hAnsi="Times New Roman"/>
          <w:i/>
          <w:sz w:val="24"/>
          <w:szCs w:val="24"/>
        </w:rPr>
        <w:t>.</w:t>
      </w:r>
      <w:r>
        <w:rPr>
          <w:rFonts w:ascii="Times New Roman" w:hAnsi="Times New Roman"/>
          <w:sz w:val="24"/>
          <w:szCs w:val="24"/>
        </w:rPr>
        <w:t xml:space="preserve">(El Economista - </w:t>
      </w:r>
      <w:r w:rsidRPr="00DE42B5">
        <w:rPr>
          <w:rFonts w:ascii="Times New Roman" w:hAnsi="Times New Roman"/>
          <w:b/>
          <w:sz w:val="24"/>
          <w:szCs w:val="24"/>
        </w:rPr>
        <w:t>22/9/11</w:t>
      </w:r>
      <w:r>
        <w:rPr>
          <w:rFonts w:ascii="Times New Roman" w:hAnsi="Times New Roman"/>
          <w:sz w:val="24"/>
          <w:szCs w:val="24"/>
        </w:rPr>
        <w:t>)</w:t>
      </w:r>
    </w:p>
    <w:p w:rsidR="002F07D4" w:rsidRDefault="002F07D4" w:rsidP="002F07D4">
      <w:pPr>
        <w:spacing w:after="0" w:line="240" w:lineRule="auto"/>
        <w:jc w:val="both"/>
        <w:rPr>
          <w:rFonts w:ascii="Times New Roman" w:hAnsi="Times New Roman"/>
          <w:sz w:val="24"/>
          <w:szCs w:val="24"/>
        </w:rPr>
      </w:pPr>
    </w:p>
    <w:p w:rsidR="002F07D4" w:rsidRPr="0098217F" w:rsidRDefault="002F07D4" w:rsidP="002F07D4">
      <w:pPr>
        <w:spacing w:after="0" w:line="240" w:lineRule="auto"/>
        <w:jc w:val="both"/>
        <w:rPr>
          <w:rFonts w:ascii="Times New Roman" w:hAnsi="Times New Roman"/>
          <w:sz w:val="24"/>
          <w:szCs w:val="24"/>
        </w:rPr>
      </w:pPr>
      <w:r w:rsidRPr="0098217F">
        <w:rPr>
          <w:rFonts w:ascii="Times New Roman" w:hAnsi="Times New Roman"/>
          <w:sz w:val="24"/>
          <w:szCs w:val="24"/>
        </w:rPr>
        <w:t xml:space="preserve">En su estreno como presidente de la Reserva Federal en agosto de 1987, Alan Greenspan reprendió a sus colegas del Comité Federal del Mercado Abierto (FOMC, el órgano de la Fed que define la política monetaria en EEUU) por la nula atención que prestaron a Wall Street durante esa reunión. Dos meses después, con motivo del crash sufrido el 19 de octubre (el Dow Jones se desplomó un 22,6% en una única sesión), Greenspan demostró que era sensible a las dificultades financieras. Salió al paso de los problemas al anunciar que velaría por salvaguardar la liquidez de los mercados. </w:t>
      </w:r>
    </w:p>
    <w:p w:rsidR="002F07D4" w:rsidRPr="0098217F" w:rsidRDefault="002F07D4" w:rsidP="002F07D4">
      <w:pPr>
        <w:spacing w:after="0" w:line="240" w:lineRule="auto"/>
        <w:jc w:val="both"/>
        <w:rPr>
          <w:rFonts w:ascii="Times New Roman" w:hAnsi="Times New Roman"/>
          <w:sz w:val="24"/>
          <w:szCs w:val="24"/>
        </w:rPr>
      </w:pPr>
    </w:p>
    <w:p w:rsidR="002F07D4" w:rsidRPr="0098217F" w:rsidRDefault="002F07D4" w:rsidP="002F07D4">
      <w:pPr>
        <w:spacing w:after="0" w:line="240" w:lineRule="auto"/>
        <w:jc w:val="both"/>
        <w:rPr>
          <w:rFonts w:ascii="Times New Roman" w:hAnsi="Times New Roman"/>
          <w:sz w:val="24"/>
          <w:szCs w:val="24"/>
        </w:rPr>
      </w:pPr>
      <w:r w:rsidRPr="0098217F">
        <w:rPr>
          <w:rFonts w:ascii="Times New Roman" w:hAnsi="Times New Roman"/>
          <w:sz w:val="24"/>
          <w:szCs w:val="24"/>
        </w:rPr>
        <w:t xml:space="preserve">En ese momento no podía saberlo, pero estaba instaurando una forma de proceder que, con el tiempo, se convirtió en una tradición. Fue el nacimiento de la denominada Greenspan put, es decir, una mecánica consistente que en la Fed acudiría al rescate cuando los mercados financiero lo requirieran -aunque, por el contrario, haría la vista gorda cuando los precios de los activos subieran en los supuestos buenos tiempos-. </w:t>
      </w:r>
    </w:p>
    <w:p w:rsidR="002F07D4" w:rsidRPr="0098217F" w:rsidRDefault="002F07D4" w:rsidP="002F07D4">
      <w:pPr>
        <w:spacing w:after="0" w:line="240" w:lineRule="auto"/>
        <w:jc w:val="both"/>
        <w:rPr>
          <w:rFonts w:ascii="Times New Roman" w:hAnsi="Times New Roman"/>
          <w:sz w:val="24"/>
          <w:szCs w:val="24"/>
        </w:rPr>
      </w:pPr>
    </w:p>
    <w:p w:rsidR="002F07D4" w:rsidRPr="0098217F" w:rsidRDefault="002F07D4" w:rsidP="002F07D4">
      <w:pPr>
        <w:spacing w:after="0" w:line="240" w:lineRule="auto"/>
        <w:jc w:val="both"/>
        <w:rPr>
          <w:rFonts w:ascii="Times New Roman" w:hAnsi="Times New Roman"/>
          <w:sz w:val="24"/>
          <w:szCs w:val="24"/>
        </w:rPr>
      </w:pPr>
      <w:r w:rsidRPr="0098217F">
        <w:rPr>
          <w:rFonts w:ascii="Times New Roman" w:hAnsi="Times New Roman"/>
          <w:sz w:val="24"/>
          <w:szCs w:val="24"/>
        </w:rPr>
        <w:t xml:space="preserve">Desde entonces, los inversores se han acostumbrado a los mimos de la Fed. Y no es de extrañar. Emulando al perro de Pavlov, los mercados llevan un cuarto de siglo salivando al son del metrónomo que hace sonar el banco central de EEUU en cuanto llegan los problemas. Y es desde esta perspectiva desde la que hay que enfocar la decepción que ha generado Bernanke con su última decisión. </w:t>
      </w:r>
    </w:p>
    <w:p w:rsidR="002F07D4" w:rsidRPr="00B7336B" w:rsidRDefault="002F07D4" w:rsidP="002F07D4">
      <w:pPr>
        <w:spacing w:after="0" w:line="240" w:lineRule="auto"/>
        <w:jc w:val="both"/>
        <w:rPr>
          <w:rFonts w:ascii="Times New Roman" w:hAnsi="Times New Roman"/>
          <w:sz w:val="24"/>
          <w:szCs w:val="24"/>
        </w:rPr>
      </w:pPr>
    </w:p>
    <w:p w:rsidR="002F07D4" w:rsidRPr="0098217F" w:rsidRDefault="002F07D4" w:rsidP="002F07D4">
      <w:pPr>
        <w:spacing w:after="0" w:line="240" w:lineRule="auto"/>
        <w:jc w:val="both"/>
        <w:rPr>
          <w:rFonts w:ascii="Times New Roman" w:hAnsi="Times New Roman"/>
          <w:b/>
          <w:sz w:val="24"/>
          <w:szCs w:val="24"/>
        </w:rPr>
      </w:pPr>
      <w:r w:rsidRPr="0098217F">
        <w:rPr>
          <w:rFonts w:ascii="Times New Roman" w:hAnsi="Times New Roman"/>
          <w:b/>
          <w:color w:val="FF0000"/>
          <w:sz w:val="24"/>
          <w:szCs w:val="24"/>
          <w:u w:val="single"/>
        </w:rPr>
        <w:t xml:space="preserve">Como sostiene el economista Raghuram Rajan, “la Greenspan put se está convirtiendo rápidamente en la Bernanke put”. O lo que es lo mismo, Bernanke no sólo cogió el relevo de Greenspan cuando le sustituyó en la presidencia de la Fed en 2006, sino que después ha mantenido la costumbre de transmitir al mercado la idea de que siempre estará ahí cuando lo necesiten. </w:t>
      </w:r>
    </w:p>
    <w:p w:rsidR="002F07D4" w:rsidRPr="0098217F" w:rsidRDefault="002F07D4" w:rsidP="002F07D4">
      <w:pPr>
        <w:spacing w:after="0" w:line="240" w:lineRule="auto"/>
        <w:jc w:val="both"/>
        <w:rPr>
          <w:rFonts w:ascii="Times New Roman" w:hAnsi="Times New Roman"/>
          <w:b/>
          <w:color w:val="FF0000"/>
          <w:sz w:val="24"/>
          <w:szCs w:val="24"/>
          <w:u w:val="single"/>
        </w:rPr>
      </w:pPr>
    </w:p>
    <w:p w:rsidR="002F07D4" w:rsidRPr="0098217F" w:rsidRDefault="002F07D4" w:rsidP="002F07D4">
      <w:pPr>
        <w:spacing w:after="0" w:line="240" w:lineRule="auto"/>
        <w:jc w:val="both"/>
        <w:rPr>
          <w:rFonts w:ascii="Times New Roman" w:hAnsi="Times New Roman"/>
          <w:sz w:val="24"/>
          <w:szCs w:val="24"/>
        </w:rPr>
      </w:pPr>
      <w:r w:rsidRPr="0098217F">
        <w:rPr>
          <w:rFonts w:ascii="Times New Roman" w:hAnsi="Times New Roman"/>
          <w:sz w:val="24"/>
          <w:szCs w:val="24"/>
        </w:rPr>
        <w:t xml:space="preserve">La interpretación de Rajan se ha visto refrendada por los hechos, aunque es cierto que cuenta con el corolario que supone la magnitud de la crisis desatada en 2007. Bajo la batuta de Bernanke, los tipos de interés llevan en el 0-0,25% desde diciembre de 2008 -y en principio seguirán en ese histórico nivel hasta mediados de 2013- y ha inyectado 2,3 billones de dólares en la economía mediante la compra de deuda hipotecaria y pública en el mercado en los denominados QE1 y QE2. Nunca antes, desde la fundación de la Fed en 1913, se había visto nada semejante. </w:t>
      </w:r>
    </w:p>
    <w:p w:rsidR="002F07D4" w:rsidRPr="0098217F" w:rsidRDefault="002F07D4" w:rsidP="002F07D4">
      <w:pPr>
        <w:spacing w:after="0" w:line="240" w:lineRule="auto"/>
        <w:jc w:val="both"/>
        <w:rPr>
          <w:rFonts w:ascii="Times New Roman" w:hAnsi="Times New Roman"/>
          <w:i/>
          <w:sz w:val="24"/>
          <w:szCs w:val="24"/>
        </w:rPr>
      </w:pPr>
    </w:p>
    <w:p w:rsidR="002F07D4" w:rsidRPr="00C56A9D" w:rsidRDefault="002F07D4" w:rsidP="002F07D4">
      <w:pPr>
        <w:spacing w:after="0" w:line="240" w:lineRule="auto"/>
        <w:jc w:val="both"/>
        <w:rPr>
          <w:rFonts w:ascii="Times New Roman" w:hAnsi="Times New Roman"/>
          <w:i/>
          <w:sz w:val="24"/>
          <w:szCs w:val="24"/>
        </w:rPr>
      </w:pPr>
      <w:r w:rsidRPr="0098217F">
        <w:rPr>
          <w:rFonts w:ascii="Times New Roman" w:hAnsi="Times New Roman"/>
          <w:b/>
          <w:color w:val="FF0000"/>
          <w:sz w:val="24"/>
          <w:szCs w:val="24"/>
          <w:u w:val="single"/>
        </w:rPr>
        <w:t>El 21 de septiembre (2011), el mercado estaba expectante. Bernanke venía haciendo sonar el metrónomo desde finales de agosto. El mensaje estaba claro: en septiembre enviaría nuevos estímulos para intentar contrarrestar el enfriamiento de la recuperación. Y así fue: la Fed desempolvó la Operación Twist</w:t>
      </w:r>
      <w:r w:rsidRPr="00B7336B">
        <w:rPr>
          <w:rFonts w:ascii="Times New Roman" w:hAnsi="Times New Roman"/>
          <w:sz w:val="24"/>
          <w:szCs w:val="24"/>
        </w:rPr>
        <w:t xml:space="preserve">, el </w:t>
      </w:r>
      <w:r w:rsidRPr="00B7336B">
        <w:rPr>
          <w:rFonts w:ascii="Times New Roman" w:hAnsi="Times New Roman"/>
          <w:sz w:val="24"/>
          <w:szCs w:val="24"/>
        </w:rPr>
        <w:lastRenderedPageBreak/>
        <w:t>rimbombante nombre de una estrategia que con anterioridad sólo se empleó una vez, en 1961, y que consiste en modificar la estructura de la cartera de la Fed para vender deuda a corto plazo y comprar deuda a largo plazo.</w:t>
      </w:r>
    </w:p>
    <w:p w:rsidR="002F07D4" w:rsidRPr="00C56A9D" w:rsidRDefault="002F07D4" w:rsidP="002F07D4">
      <w:pPr>
        <w:spacing w:after="0" w:line="240" w:lineRule="auto"/>
        <w:jc w:val="both"/>
        <w:rPr>
          <w:rFonts w:ascii="Times New Roman" w:hAnsi="Times New Roman"/>
          <w:i/>
          <w:sz w:val="24"/>
          <w:szCs w:val="24"/>
        </w:rPr>
      </w:pPr>
    </w:p>
    <w:p w:rsidR="002F07D4" w:rsidRPr="0098217F" w:rsidRDefault="002F07D4" w:rsidP="002F07D4">
      <w:pPr>
        <w:spacing w:after="0" w:line="240" w:lineRule="auto"/>
        <w:jc w:val="both"/>
        <w:rPr>
          <w:rFonts w:ascii="Times New Roman" w:hAnsi="Times New Roman"/>
          <w:b/>
          <w:sz w:val="24"/>
          <w:szCs w:val="24"/>
        </w:rPr>
      </w:pPr>
      <w:r w:rsidRPr="0098217F">
        <w:rPr>
          <w:rFonts w:ascii="Times New Roman" w:hAnsi="Times New Roman"/>
          <w:sz w:val="24"/>
          <w:szCs w:val="24"/>
        </w:rPr>
        <w:t>Con esta maniobra, Bernanke ha querido demostrar que sigue ahí. Que la Bernanke put no se ha esfumado.</w:t>
      </w:r>
      <w:r w:rsidRPr="0098217F">
        <w:rPr>
          <w:rFonts w:ascii="Times New Roman" w:hAnsi="Times New Roman"/>
          <w:b/>
          <w:color w:val="FF0000"/>
          <w:sz w:val="24"/>
          <w:szCs w:val="24"/>
          <w:u w:val="single"/>
        </w:rPr>
        <w:t>Pero ha sabido poco al apetito insaciable de los mercados, que siempre quieren más, que demandaban otra descarga de dólares -bajo la forma de un QE3- para tener dinerito fresco con el que lanzarse a comprar activos de riesgo -renta variable y materias primas, principalmente-. Esta vez, las expectativas no han sido satisfechas, y de ahí la decepción.</w:t>
      </w:r>
    </w:p>
    <w:p w:rsidR="002F07D4" w:rsidRPr="0098217F" w:rsidRDefault="002F07D4" w:rsidP="002F07D4">
      <w:pPr>
        <w:spacing w:after="0" w:line="240" w:lineRule="auto"/>
        <w:jc w:val="both"/>
        <w:rPr>
          <w:rFonts w:ascii="Times New Roman" w:hAnsi="Times New Roman"/>
          <w:b/>
          <w:sz w:val="24"/>
          <w:szCs w:val="24"/>
        </w:rPr>
      </w:pPr>
    </w:p>
    <w:p w:rsidR="002F07D4" w:rsidRDefault="002F07D4" w:rsidP="002F07D4">
      <w:pPr>
        <w:spacing w:after="0" w:line="240" w:lineRule="auto"/>
        <w:jc w:val="both"/>
        <w:rPr>
          <w:rFonts w:ascii="Times New Roman" w:hAnsi="Times New Roman"/>
          <w:b/>
          <w:color w:val="FF0000"/>
          <w:sz w:val="24"/>
          <w:szCs w:val="24"/>
        </w:rPr>
      </w:pPr>
      <w:r w:rsidRPr="0098217F">
        <w:rPr>
          <w:rFonts w:ascii="Times New Roman" w:hAnsi="Times New Roman"/>
          <w:b/>
          <w:color w:val="FF0000"/>
          <w:sz w:val="24"/>
          <w:szCs w:val="24"/>
          <w:u w:val="single"/>
        </w:rPr>
        <w:t>Esta vez no ha habido QE3. Pero eso no indica que no pueda haberlo en el futuro. El metrónomo de Bernanke sigue activo y los mercados volverán a salivar si lo hace sonar, porque entenderán que se acerca la hora de comer. A eso vienen jugando la Fed y los inversores en el último cuarto de siglo</w:t>
      </w:r>
      <w:r w:rsidRPr="00034416">
        <w:rPr>
          <w:rFonts w:ascii="Times New Roman" w:hAnsi="Times New Roman"/>
          <w:b/>
          <w:color w:val="FF0000"/>
          <w:sz w:val="24"/>
          <w:szCs w:val="24"/>
        </w:rPr>
        <w:t>…</w:t>
      </w:r>
    </w:p>
    <w:p w:rsidR="002F07D4" w:rsidRPr="00034416" w:rsidRDefault="002F07D4" w:rsidP="002F07D4">
      <w:pPr>
        <w:spacing w:after="0" w:line="240" w:lineRule="auto"/>
        <w:jc w:val="both"/>
        <w:rPr>
          <w:rFonts w:ascii="Times New Roman" w:hAnsi="Times New Roman"/>
          <w:b/>
          <w:color w:val="FF0000"/>
          <w:sz w:val="24"/>
          <w:szCs w:val="24"/>
        </w:rPr>
      </w:pPr>
    </w:p>
    <w:p w:rsidR="002F07D4" w:rsidRPr="00F8639F" w:rsidRDefault="002F07D4" w:rsidP="002F07D4">
      <w:pPr>
        <w:spacing w:after="0" w:line="240" w:lineRule="auto"/>
        <w:jc w:val="both"/>
        <w:rPr>
          <w:rFonts w:ascii="Times New Roman" w:eastAsia="Times New Roman" w:hAnsi="Times New Roman"/>
          <w:b/>
          <w:sz w:val="24"/>
          <w:szCs w:val="24"/>
          <w:lang w:eastAsia="es-ES"/>
        </w:rPr>
      </w:pPr>
      <w:r w:rsidRPr="00F8639F">
        <w:rPr>
          <w:rFonts w:ascii="Times New Roman" w:eastAsia="Times New Roman" w:hAnsi="Times New Roman"/>
          <w:b/>
          <w:sz w:val="24"/>
          <w:szCs w:val="24"/>
          <w:lang w:eastAsia="es-ES"/>
        </w:rPr>
        <w:t>Papá: ¿los Reyes Magos… vienen de la FED? Si hijo, pero que no se enteren en Main Street</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885683">
        <w:rPr>
          <w:rFonts w:ascii="Times New Roman" w:eastAsia="Times New Roman" w:hAnsi="Times New Roman"/>
          <w:i/>
          <w:sz w:val="24"/>
          <w:szCs w:val="24"/>
          <w:lang w:eastAsia="es-ES"/>
        </w:rPr>
        <w:t>La banca mundial recibió ayudas por valor de más de la mitad del PIB de EEUU sin el conocimiento del Congreso de EEUU, obteniendo con ellas un beneficio de 13.000 millones de dólares. Este rescate encubierto se organizó mediante préstamos secretos a intereses prácticamente inexistentes. Y mientras, las entidades mintieron públicamente sobre su salud financiera, se dedicaron a crecer y a seguir pagando a sus empleados salarios astronómicos</w:t>
      </w:r>
      <w:r>
        <w:rPr>
          <w:rFonts w:ascii="Times New Roman" w:eastAsia="Times New Roman" w:hAnsi="Times New Roman"/>
          <w:i/>
          <w:sz w:val="24"/>
          <w:szCs w:val="24"/>
          <w:lang w:eastAsia="es-ES"/>
        </w:rPr>
        <w:t>”..</w:t>
      </w:r>
      <w:r w:rsidRPr="00885683">
        <w:rPr>
          <w:rFonts w:ascii="Times New Roman" w:eastAsia="Times New Roman" w:hAnsi="Times New Roman"/>
          <w:i/>
          <w:sz w:val="24"/>
          <w:szCs w:val="24"/>
          <w:lang w:eastAsia="es-ES"/>
        </w:rPr>
        <w:t>.</w:t>
      </w:r>
      <w:r w:rsidRPr="00BC2DC1">
        <w:rPr>
          <w:rFonts w:ascii="Times New Roman" w:eastAsia="Times New Roman" w:hAnsi="Times New Roman"/>
          <w:sz w:val="24"/>
          <w:szCs w:val="24"/>
          <w:u w:val="single"/>
          <w:lang w:eastAsia="es-ES"/>
        </w:rPr>
        <w:t>La Fed orquestó el rescate secreto de los bancos inyectando 7,7 billones de dólares</w:t>
      </w:r>
      <w:r>
        <w:rPr>
          <w:rFonts w:ascii="Times New Roman" w:eastAsia="Times New Roman" w:hAnsi="Times New Roman"/>
          <w:sz w:val="24"/>
          <w:szCs w:val="24"/>
          <w:lang w:eastAsia="es-ES"/>
        </w:rPr>
        <w:t xml:space="preserve"> (El Economista - </w:t>
      </w:r>
      <w:r w:rsidRPr="00BC2DC1">
        <w:rPr>
          <w:rFonts w:ascii="Times New Roman" w:eastAsia="Times New Roman" w:hAnsi="Times New Roman"/>
          <w:b/>
          <w:sz w:val="24"/>
          <w:szCs w:val="24"/>
          <w:lang w:eastAsia="es-ES"/>
        </w:rPr>
        <w:t>27/11/11</w:t>
      </w:r>
      <w:r>
        <w:rPr>
          <w:rFonts w:ascii="Times New Roman" w:eastAsia="Times New Roman" w:hAnsi="Times New Roman"/>
          <w:sz w:val="24"/>
          <w:szCs w:val="24"/>
          <w:lang w:eastAsia="es-ES"/>
        </w:rPr>
        <w:t>)</w:t>
      </w:r>
    </w:p>
    <w:p w:rsidR="002F07D4" w:rsidRPr="00EC45F0"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Según recoge la revista Bloomberg Markets, la Fed llegó comprometer 7,77 billones de dólares entre 2007 y 2009, incluyendo garantías además de préstamos, para salvar al sistema financiero mundial. Entre los bancos que recibieron las ayudas se encuentran los españoles Santander y BBVA, que obtuvieron unos beneficios de 96,2 y 84,1 millones de dólares, respectivamente, gracias a ello.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w:t>
      </w:r>
      <w:r w:rsidRPr="00BC2DC1">
        <w:rPr>
          <w:rFonts w:ascii="Times New Roman" w:eastAsia="Times New Roman" w:hAnsi="Times New Roman"/>
          <w:sz w:val="24"/>
          <w:szCs w:val="24"/>
          <w:lang w:eastAsia="es-ES"/>
        </w:rPr>
        <w:t xml:space="preserve">parte de esto estaba el rescate oficial del TARP (Trouble Asset Relief Program), que ascendió a 700.000 millones de dólares.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El día más terrible fue el 5 de diciembre de 2008, cuando la banca necesitó 1,2 billones de dólares. Aquel día, Wall Street cerró con subidas de más del 3% con una fuerte remontada a última hora liderada por el sector financiero, después de caer durante la mayor parte de la sesión. También en esa jornada se nombró a Ken Lewis, consejero delegado de Bank of America, banquero del año: unos días antes, el 26 de noviembre, su banco debía 86.000 millones encubiertos a la Fed y había necesitado préstamos de emergencia para completar la adquisición de Merrill Lynch. </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Desde la Fed se asegura que prácticamente todos los préstamos han sido devueltos y no ha habido pérdidas para el contribuyente. Sin embargo, su actuación siembra dudas porque permitió mantener con vida a instituciones quebradas que además aprovecharon ese dinero para crecer más y seguir repartiendo salarios y bonus desorbitados entre sus empleados.</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Pr="00BC2DC1"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lastRenderedPageBreak/>
        <w:t>Estas nuevas revelaciones llegan gracias a que Bloomberg LP ganó un juicio contra la Fed y un grupo de grandes bancos estadounidenses, lo que forzó a que se hicieran públicos los detalles de las operaciones entre el banco central y el sector financiero.</w:t>
      </w:r>
    </w:p>
    <w:p w:rsidR="002F07D4" w:rsidRPr="00BC2DC1" w:rsidRDefault="002F07D4" w:rsidP="002F07D4">
      <w:pPr>
        <w:spacing w:after="0" w:line="240" w:lineRule="auto"/>
        <w:jc w:val="both"/>
        <w:rPr>
          <w:rFonts w:ascii="Times New Roman" w:eastAsia="Times New Roman" w:hAnsi="Times New Roman"/>
          <w:sz w:val="24"/>
          <w:szCs w:val="24"/>
          <w:lang w:eastAsia="es-ES"/>
        </w:rPr>
      </w:pPr>
    </w:p>
    <w:p w:rsidR="002F07D4" w:rsidRDefault="002F07D4" w:rsidP="002F07D4">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La Fed argumentaba que publicar estos datos en su momento crearía un estigma que cerraría el crédito a las entidades que utilizaran al banco como prestamista de último recurso</w:t>
      </w:r>
      <w:r w:rsidR="00246AB8">
        <w:rPr>
          <w:rFonts w:ascii="Times New Roman" w:eastAsia="Times New Roman" w:hAnsi="Times New Roman"/>
          <w:sz w:val="24"/>
          <w:szCs w:val="24"/>
          <w:lang w:eastAsia="es-ES"/>
        </w:rPr>
        <w:t>…</w:t>
      </w:r>
    </w:p>
    <w:p w:rsidR="002F07D4" w:rsidRPr="00F8639F" w:rsidRDefault="002F07D4" w:rsidP="002F07D4">
      <w:pPr>
        <w:pStyle w:val="NormalWeb"/>
        <w:jc w:val="both"/>
        <w:rPr>
          <w:b/>
        </w:rPr>
      </w:pPr>
      <w:r w:rsidRPr="00F8639F">
        <w:rPr>
          <w:b/>
        </w:rPr>
        <w:t>Que fluya el crédito… sí, pero hacia la banca  (un’ altra volta)</w:t>
      </w:r>
    </w:p>
    <w:p w:rsidR="002F07D4" w:rsidRPr="001774CC"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1774CC">
        <w:rPr>
          <w:rFonts w:ascii="Times New Roman" w:hAnsi="Times New Roman"/>
          <w:i/>
          <w:sz w:val="24"/>
          <w:szCs w:val="24"/>
        </w:rPr>
        <w:t>Los bancos centrales de los países desarrollados anunciaron el miércoles una acción coordinada para impulsar el sistema financiero global, en un momento en que la crisis de deuda de Europa sigue afectando a los mercados</w:t>
      </w:r>
      <w:r>
        <w:rPr>
          <w:rFonts w:ascii="Times New Roman" w:hAnsi="Times New Roman"/>
          <w:i/>
          <w:sz w:val="24"/>
          <w:szCs w:val="24"/>
        </w:rPr>
        <w:t>”..</w:t>
      </w:r>
      <w:r w:rsidRPr="001774CC">
        <w:rPr>
          <w:rFonts w:ascii="Times New Roman" w:hAnsi="Times New Roman"/>
          <w:i/>
          <w:sz w:val="24"/>
          <w:szCs w:val="24"/>
        </w:rPr>
        <w:t xml:space="preserve">. </w:t>
      </w:r>
      <w:r w:rsidRPr="00205111">
        <w:rPr>
          <w:rFonts w:ascii="Times New Roman" w:hAnsi="Times New Roman"/>
          <w:sz w:val="24"/>
          <w:szCs w:val="24"/>
          <w:u w:val="single"/>
        </w:rPr>
        <w:t>Los principales bancos centrales del mundo lanzan una acción coordinada para apuntalar el sistema financiero</w:t>
      </w:r>
      <w:r>
        <w:rPr>
          <w:rFonts w:ascii="Times New Roman" w:hAnsi="Times New Roman"/>
          <w:sz w:val="24"/>
          <w:szCs w:val="24"/>
        </w:rPr>
        <w:t xml:space="preserve"> (The Wall Street Journal - </w:t>
      </w:r>
      <w:r w:rsidRPr="008948F1">
        <w:rPr>
          <w:rFonts w:ascii="Times New Roman" w:hAnsi="Times New Roman"/>
          <w:b/>
          <w:sz w:val="24"/>
          <w:szCs w:val="24"/>
        </w:rPr>
        <w:t>30/11/11</w:t>
      </w:r>
      <w:r>
        <w:rPr>
          <w:rFonts w:ascii="Times New Roman" w:hAnsi="Times New Roman"/>
          <w:sz w:val="24"/>
          <w:szCs w:val="24"/>
        </w:rPr>
        <w:t>)</w:t>
      </w:r>
    </w:p>
    <w:p w:rsidR="002F07D4" w:rsidRPr="001774CC" w:rsidRDefault="002F07D4" w:rsidP="002F07D4">
      <w:pPr>
        <w:spacing w:line="240" w:lineRule="auto"/>
        <w:jc w:val="both"/>
        <w:rPr>
          <w:rFonts w:ascii="Times New Roman" w:hAnsi="Times New Roman"/>
          <w:sz w:val="24"/>
          <w:szCs w:val="24"/>
        </w:rPr>
      </w:pPr>
      <w:r w:rsidRPr="001774CC">
        <w:rPr>
          <w:rFonts w:ascii="Times New Roman" w:hAnsi="Times New Roman"/>
          <w:sz w:val="24"/>
          <w:szCs w:val="24"/>
        </w:rPr>
        <w:t xml:space="preserve">“El propósito de estas acciones es relajar las tensiones de los mercados financieros y de este modo mitigar los efectos de esas tensiones sobre la oferta de crédito a los hogares y las empresas, y de este modo ayudar a alimentar la actividad económica”, dijo la Reserva Federal de Estados Unidos en un comunicado. </w:t>
      </w:r>
    </w:p>
    <w:p w:rsidR="002F07D4" w:rsidRPr="001774CC" w:rsidRDefault="002F07D4" w:rsidP="002F07D4">
      <w:pPr>
        <w:spacing w:line="240" w:lineRule="auto"/>
        <w:jc w:val="both"/>
        <w:rPr>
          <w:rFonts w:ascii="Times New Roman" w:hAnsi="Times New Roman"/>
          <w:sz w:val="24"/>
          <w:szCs w:val="24"/>
        </w:rPr>
      </w:pPr>
      <w:r w:rsidRPr="001774CC">
        <w:rPr>
          <w:rFonts w:ascii="Times New Roman" w:hAnsi="Times New Roman"/>
          <w:sz w:val="24"/>
          <w:szCs w:val="24"/>
        </w:rPr>
        <w:t xml:space="preserve">La Fed, el Banco de Canadá, el Banco de Inglaterra, el Banco de Japón, el Banco Central Europeo y el Banco Nacional Suizo acordaron rebajar en 50 puntos básicos el precio de los actuales acuerdos temporales de canje de liquidez en dólares. Este recorte sitúa la nueva tasa de canje en el índice de canje de dólares a un día más 50 puntos básicos, dijeron la Fed y el BCE en sendos comunicados. </w:t>
      </w:r>
    </w:p>
    <w:p w:rsidR="002F07D4" w:rsidRPr="008948F1" w:rsidRDefault="002F07D4" w:rsidP="002F07D4">
      <w:pPr>
        <w:spacing w:line="240" w:lineRule="auto"/>
        <w:jc w:val="both"/>
        <w:rPr>
          <w:rFonts w:ascii="Times New Roman" w:hAnsi="Times New Roman"/>
          <w:sz w:val="24"/>
          <w:szCs w:val="24"/>
        </w:rPr>
      </w:pPr>
      <w:r w:rsidRPr="008948F1">
        <w:rPr>
          <w:rFonts w:ascii="Times New Roman" w:hAnsi="Times New Roman"/>
          <w:sz w:val="24"/>
          <w:szCs w:val="24"/>
        </w:rPr>
        <w:t xml:space="preserve">Este nuevo precio se aplicará a todas las operaciones que se realicen a partir del 5 de diciembre. La autorización para estos acuerdos de canje se ha ampliado </w:t>
      </w:r>
      <w:r>
        <w:rPr>
          <w:rFonts w:ascii="Times New Roman" w:hAnsi="Times New Roman"/>
          <w:sz w:val="24"/>
          <w:szCs w:val="24"/>
        </w:rPr>
        <w:t xml:space="preserve">hasta el 1 de febrero de 2013. </w:t>
      </w:r>
    </w:p>
    <w:p w:rsidR="002F07D4" w:rsidRPr="001774CC" w:rsidRDefault="002F07D4" w:rsidP="002F07D4">
      <w:pPr>
        <w:spacing w:line="240" w:lineRule="auto"/>
        <w:jc w:val="both"/>
        <w:rPr>
          <w:rFonts w:ascii="Times New Roman" w:hAnsi="Times New Roman"/>
          <w:sz w:val="24"/>
          <w:szCs w:val="24"/>
        </w:rPr>
      </w:pPr>
      <w:r w:rsidRPr="001774CC">
        <w:rPr>
          <w:rFonts w:ascii="Times New Roman" w:hAnsi="Times New Roman"/>
          <w:sz w:val="24"/>
          <w:szCs w:val="24"/>
        </w:rPr>
        <w:t xml:space="preserve">Los bancos centrales han acordado también el establecimiento de acuerdos bilaterales temporales de canje para asegurar que hay liquidez en cualquiera de esos mercados y en cualquiera de las monedas si las condiciones del mercado lo justifican, dijo la Fed.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8948F1">
        <w:rPr>
          <w:rFonts w:ascii="Times New Roman" w:hAnsi="Times New Roman"/>
          <w:sz w:val="24"/>
          <w:szCs w:val="24"/>
        </w:rPr>
        <w:t>En la actualidad, no hay necesidad de ofrecer liquidez en monedas no nacionales aparte de en dólares, pero los bancos centrales juzgan prudente hacer los ajustes necesarios para que las operaciones de apoyo a la liquidez puedan ponerse en marcha rá</w:t>
      </w:r>
      <w:r>
        <w:rPr>
          <w:rFonts w:ascii="Times New Roman" w:hAnsi="Times New Roman"/>
          <w:sz w:val="24"/>
          <w:szCs w:val="24"/>
        </w:rPr>
        <w:t>pidamente si surge la necesidad”</w:t>
      </w:r>
      <w:r w:rsidRPr="008948F1">
        <w:rPr>
          <w:rFonts w:ascii="Times New Roman" w:hAnsi="Times New Roman"/>
          <w:sz w:val="24"/>
          <w:szCs w:val="24"/>
        </w:rPr>
        <w:t>, dijo la Fed</w:t>
      </w:r>
      <w:r>
        <w:rPr>
          <w:rFonts w:ascii="Times New Roman" w:hAnsi="Times New Roman"/>
          <w:sz w:val="24"/>
          <w:szCs w:val="24"/>
        </w:rPr>
        <w:t>…</w:t>
      </w:r>
    </w:p>
    <w:p w:rsidR="002F07D4" w:rsidRPr="00F8639F" w:rsidRDefault="002F07D4" w:rsidP="002F07D4">
      <w:pPr>
        <w:spacing w:line="240" w:lineRule="auto"/>
        <w:jc w:val="both"/>
        <w:rPr>
          <w:rFonts w:ascii="Times New Roman" w:hAnsi="Times New Roman"/>
          <w:b/>
          <w:sz w:val="24"/>
          <w:szCs w:val="24"/>
        </w:rPr>
      </w:pPr>
      <w:r w:rsidRPr="00F8639F">
        <w:rPr>
          <w:rFonts w:ascii="Times New Roman" w:hAnsi="Times New Roman"/>
          <w:b/>
          <w:sz w:val="24"/>
          <w:szCs w:val="24"/>
        </w:rPr>
        <w:t>Otra dosis de inyección monetaria global (happy hour: continúa la barra libre)</w:t>
      </w:r>
    </w:p>
    <w:p w:rsidR="002F07D4" w:rsidRDefault="002F07D4" w:rsidP="002F07D4">
      <w:pPr>
        <w:spacing w:line="240" w:lineRule="auto"/>
        <w:jc w:val="both"/>
        <w:rPr>
          <w:rFonts w:ascii="Times New Roman" w:hAnsi="Times New Roman"/>
          <w:sz w:val="24"/>
          <w:szCs w:val="24"/>
        </w:rPr>
      </w:pPr>
      <w:r w:rsidRPr="001774CC">
        <w:rPr>
          <w:rFonts w:ascii="Times New Roman" w:hAnsi="Times New Roman"/>
          <w:i/>
          <w:sz w:val="24"/>
          <w:szCs w:val="24"/>
        </w:rPr>
        <w:t xml:space="preserve"> “Estamos aquí para lo que haga falta. Este fue el mensaje que la Reserva Federal (Fed) de EEUU, el Banco Central Europeo (BCE), el Banco de Inglaterra, el Banco de Japón, el Banco de Canadá y el Banco de Suecia lanzaron ayer al unísono a las dos de la tarde. Una actuación que prolonga la alianza que sellaron con los primeros coletazos de la Gran Recesión en 2007 y que han venido renovando posteriormente. Y como siempre, una intervención con mucha miga en su interior”... </w:t>
      </w:r>
      <w:r w:rsidRPr="001774CC">
        <w:rPr>
          <w:rFonts w:ascii="Times New Roman" w:hAnsi="Times New Roman"/>
          <w:sz w:val="24"/>
          <w:szCs w:val="24"/>
          <w:u w:val="single"/>
        </w:rPr>
        <w:t>Bernanke, Draghi &amp; Cía.: las 5 claves de la última intervención de la banca central</w:t>
      </w:r>
      <w:r w:rsidRPr="001774CC">
        <w:rPr>
          <w:rFonts w:ascii="Times New Roman" w:hAnsi="Times New Roman"/>
          <w:sz w:val="24"/>
          <w:szCs w:val="24"/>
        </w:rPr>
        <w:t xml:space="preserve"> (El Economista - </w:t>
      </w:r>
      <w:r w:rsidRPr="001774CC">
        <w:rPr>
          <w:rFonts w:ascii="Times New Roman" w:hAnsi="Times New Roman"/>
          <w:b/>
          <w:sz w:val="24"/>
          <w:szCs w:val="24"/>
        </w:rPr>
        <w:t>30/11/11</w:t>
      </w:r>
      <w:r w:rsidRPr="001774CC">
        <w:rPr>
          <w:rFonts w:ascii="Times New Roman" w:hAnsi="Times New Roman"/>
          <w:sz w:val="24"/>
          <w:szCs w:val="24"/>
        </w:rPr>
        <w:t>)</w:t>
      </w:r>
    </w:p>
    <w:p w:rsidR="002F07D4" w:rsidRPr="00D114EE" w:rsidRDefault="002F07D4" w:rsidP="002F07D4">
      <w:pPr>
        <w:pStyle w:val="NormalWeb"/>
        <w:jc w:val="both"/>
      </w:pPr>
      <w:r w:rsidRPr="00D114EE">
        <w:lastRenderedPageBreak/>
        <w:t xml:space="preserve">La brigada global anticrisis acudió al rescate el 29/11 en respuesta al agravamiento de la crisis de la deuda soberana y su impacto en el sector financiero y la economía mundial. Ya lo había hecho antes en los primeros escarceos de la crisis en el verano de 2007 y, sobre todo, con motivo de la quiebra de Lehman Brothers en septiembre de 2008. </w:t>
      </w:r>
    </w:p>
    <w:p w:rsidR="002F07D4" w:rsidRPr="00D114EE" w:rsidRDefault="002F07D4" w:rsidP="002F07D4">
      <w:pPr>
        <w:pStyle w:val="NormalWeb"/>
        <w:jc w:val="both"/>
      </w:pPr>
      <w:r w:rsidRPr="00D114EE">
        <w:t xml:space="preserve">Desde entonces, han seguido colaborando para paliar las tensiones de financiación. En agosto, de hecho, el BCE reforzó su intercambio de divisas con el Banco de Inglaterra y un mes después se coordinó con la Fed, el Banco de Inglaterra, el Banco de Japón y el Banco Nacional de Suiza para realizar más operaciones de financiación en dólares. Ante la persistencia de los problemas, el 29/11 fueron un paso más allá. </w:t>
      </w:r>
    </w:p>
    <w:p w:rsidR="002F07D4" w:rsidRDefault="002F07D4" w:rsidP="002F07D4">
      <w:pPr>
        <w:pStyle w:val="NormalWeb"/>
        <w:jc w:val="both"/>
      </w:pPr>
      <w:r w:rsidRPr="00D114EE">
        <w:t>La brigada anticrisis no ocultó que su decisión pretende “suavizar las tensiones financieras”. ¿De qué modo? Poniendo más dólares y divisas del área de influencia del resto de los bancos centrales -euros, libras, yenes, dólares canadienses y francos suizos- a disposición de los bancos privados mediante operaciones periódicas de financiación que estarán vigentes hasta el 1 de febrero de 2013.</w:t>
      </w:r>
    </w:p>
    <w:p w:rsidR="002F07D4" w:rsidRDefault="002F07D4" w:rsidP="002F07D4">
      <w:pPr>
        <w:pStyle w:val="NormalWeb"/>
        <w:jc w:val="both"/>
      </w:pPr>
      <w:r w:rsidRPr="00AC1CB8">
        <w:t>La medida, por tant</w:t>
      </w:r>
      <w:r>
        <w:t>o, persigue un objetivo claro. “</w:t>
      </w:r>
      <w:r w:rsidRPr="00AC1CB8">
        <w:t>Al final, barra libre de liquidez para luchar contra el r</w:t>
      </w:r>
      <w:r>
        <w:t>iesgo de contracción de crédito”</w:t>
      </w:r>
      <w:r w:rsidRPr="00AC1CB8">
        <w:t>, concluye José Luis Martínez Campuzano</w:t>
      </w:r>
      <w:r>
        <w:t xml:space="preserve">, estratega de Citi en España. </w:t>
      </w:r>
    </w:p>
    <w:p w:rsidR="002F07D4" w:rsidRDefault="002F07D4" w:rsidP="002F07D4">
      <w:pPr>
        <w:pStyle w:val="NormalWeb"/>
        <w:jc w:val="both"/>
      </w:pPr>
      <w:r w:rsidRPr="00D114EE">
        <w:t>Los bancos europeos quedan estigmatizados. Con esta actuación, los bancos centrales demostraron unidad... aunque también hubo espacios para las fisuras.</w:t>
      </w:r>
    </w:p>
    <w:p w:rsidR="00246AB8" w:rsidRPr="00D114EE" w:rsidRDefault="00246AB8" w:rsidP="00246AB8">
      <w:pPr>
        <w:pStyle w:val="NormalWeb"/>
        <w:jc w:val="both"/>
      </w:pPr>
      <w:r w:rsidRPr="00D114EE">
        <w:t>“Las instituciones financieras estadounidenses no afrontan dificultades actualmente para obtener liquidez a corto plazo en los mercados de financiación”, matizó la Fed. “Las condiciones financieras han seguido suavizándose en Japón y las entidades japonesas no tienen dificultades para financiarse en divisas extranjeras”, precisó a su vez el Banco de Japón. “El Banco de Canadá juzga que no necesita ofrecer ahora operaciones de estas líneas de intercambio”, apostilló la entidad norteamericana.</w:t>
      </w:r>
    </w:p>
    <w:p w:rsidR="00246AB8" w:rsidRDefault="00246AB8" w:rsidP="00246AB8">
      <w:pPr>
        <w:pStyle w:val="NormalWeb"/>
        <w:jc w:val="both"/>
      </w:pPr>
      <w:r w:rsidRPr="00D114EE">
        <w:t>Por el contrario, ni el BCE, ni el Banco de Inglaterra ni el Banco de Suiza introdujeron comentarios similares. Estos silencios y aquellas palabras fueron delatores. Centraron el foco en el epicentro de las tensiones actuales: Europa. Y más en concreto, en la zona euro, cuyos bancos son los que tienen más problemas en estos momentos para obtener financiación en dólares.</w:t>
      </w:r>
    </w:p>
    <w:p w:rsidR="00246AB8" w:rsidRPr="00D114EE" w:rsidRDefault="00246AB8" w:rsidP="00246AB8">
      <w:pPr>
        <w:pStyle w:val="NormalWeb"/>
        <w:jc w:val="both"/>
      </w:pPr>
      <w:r w:rsidRPr="00D114EE">
        <w:t xml:space="preserve">“Por supuesto, deja un cierto estigma para los bancos que reciben préstamos del BCE, incluso aunque las operaciones son anónimas, y esto podría limitar la cuantía de las futuras de financiación en dólares”, certifican los expertos de Barclays. </w:t>
      </w:r>
    </w:p>
    <w:p w:rsidR="00246AB8" w:rsidRPr="00AC1CB8" w:rsidRDefault="00246AB8" w:rsidP="00246AB8">
      <w:pPr>
        <w:pStyle w:val="NormalWeb"/>
        <w:jc w:val="both"/>
      </w:pPr>
      <w:r w:rsidRPr="00AC1CB8">
        <w:t>Al margen de la actuación de los principales bancos centrales del mundo, los países emergentes también recurrieron ayer a las maniobras monetarias para mitigar el impacto de la ralentización económica y las restricciones financieras.</w:t>
      </w:r>
    </w:p>
    <w:p w:rsidR="00246AB8" w:rsidRDefault="00246AB8" w:rsidP="002F07D4">
      <w:pPr>
        <w:pStyle w:val="NormalWeb"/>
        <w:jc w:val="both"/>
      </w:pPr>
      <w:r w:rsidRPr="00AC1CB8">
        <w:t>China redujo el coeficiente de reservas que exige a los bancos por vez primera desde 2008 para conducirlo del 21,5 al 21%. Además, Tailandia bajó los tipos de interés del 3,5 al 3,25% y el mercado esperaba que en la madrugada del miércoles al jueves Brasil acometiera otro recorte del prec</w:t>
      </w:r>
      <w:r>
        <w:t>io del dinero, del 11,5 al 11%.</w:t>
      </w:r>
    </w:p>
    <w:p w:rsidR="002F07D4" w:rsidRPr="00D114EE" w:rsidRDefault="002F07D4" w:rsidP="002F07D4">
      <w:pPr>
        <w:pStyle w:val="NormalWeb"/>
        <w:jc w:val="both"/>
      </w:pPr>
      <w:r>
        <w:rPr>
          <w:noProof/>
          <w:lang w:val="en-GB" w:eastAsia="en-GB"/>
        </w:rPr>
        <w:lastRenderedPageBreak/>
        <w:drawing>
          <wp:inline distT="0" distB="0" distL="0" distR="0">
            <wp:extent cx="5568950" cy="5810250"/>
            <wp:effectExtent l="0" t="0" r="0" b="0"/>
            <wp:docPr id="350" name="Imagen 350" descr="011211-bancos-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9" descr="011211-bancos-centrales"/>
                    <pic:cNvPicPr>
                      <a:picLocks noChangeAspect="1" noChangeArrowheads="1"/>
                    </pic:cNvPicPr>
                  </pic:nvPicPr>
                  <pic:blipFill>
                    <a:blip r:embed="rId2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8950" cy="5810250"/>
                    </a:xfrm>
                    <a:prstGeom prst="rect">
                      <a:avLst/>
                    </a:prstGeom>
                    <a:noFill/>
                    <a:ln>
                      <a:noFill/>
                    </a:ln>
                  </pic:spPr>
                </pic:pic>
              </a:graphicData>
            </a:graphic>
          </wp:inline>
        </w:drawing>
      </w:r>
    </w:p>
    <w:p w:rsidR="002F07D4" w:rsidRPr="00F8639F" w:rsidRDefault="002F07D4" w:rsidP="002F07D4">
      <w:pPr>
        <w:pStyle w:val="NormalWeb"/>
        <w:jc w:val="both"/>
        <w:rPr>
          <w:b/>
          <w:iCs/>
        </w:rPr>
      </w:pPr>
      <w:r w:rsidRPr="00F8639F">
        <w:rPr>
          <w:b/>
          <w:iCs/>
        </w:rPr>
        <w:t xml:space="preserve">El </w:t>
      </w:r>
      <w:r>
        <w:rPr>
          <w:b/>
          <w:iCs/>
        </w:rPr>
        <w:t>“</w:t>
      </w:r>
      <w:r w:rsidRPr="00F8639F">
        <w:rPr>
          <w:b/>
          <w:iCs/>
        </w:rPr>
        <w:t>casino</w:t>
      </w:r>
      <w:r>
        <w:rPr>
          <w:b/>
          <w:iCs/>
        </w:rPr>
        <w:t>”</w:t>
      </w:r>
      <w:r w:rsidRPr="00F8639F">
        <w:rPr>
          <w:b/>
          <w:iCs/>
        </w:rPr>
        <w:t xml:space="preserve"> sigue abierto (Bernie y Súper Mario reparten las cartas de Blackjack y Póker)</w:t>
      </w:r>
    </w:p>
    <w:p w:rsidR="002F07D4" w:rsidRDefault="002F07D4" w:rsidP="002F07D4">
      <w:pPr>
        <w:pStyle w:val="NormalWeb"/>
        <w:jc w:val="both"/>
      </w:pPr>
      <w:r>
        <w:rPr>
          <w:i/>
        </w:rPr>
        <w:t>“</w:t>
      </w:r>
      <w:r w:rsidRPr="00696A94">
        <w:rPr>
          <w:i/>
        </w:rPr>
        <w:t>La Reserva Federal probablemente lanzará una nueva ronda de estímulos valorada en un billón de dólares este mismo mes, según un creciente consenso de economistas que consideran que la reciente recuperación económica es insostenible</w:t>
      </w:r>
      <w:r>
        <w:rPr>
          <w:i/>
        </w:rPr>
        <w:t>”..</w:t>
      </w:r>
      <w:r w:rsidRPr="00696A94">
        <w:rPr>
          <w:i/>
        </w:rPr>
        <w:t>.</w:t>
      </w:r>
      <w:r w:rsidRPr="004D4F08">
        <w:rPr>
          <w:u w:val="single"/>
        </w:rPr>
        <w:t>La Fed puede resucitar el quantitative easing por un billón de dólares</w:t>
      </w:r>
      <w:r>
        <w:t xml:space="preserve"> (El Economista - </w:t>
      </w:r>
      <w:r>
        <w:rPr>
          <w:b/>
        </w:rPr>
        <w:t>20</w:t>
      </w:r>
      <w:r w:rsidRPr="004D4F08">
        <w:rPr>
          <w:b/>
        </w:rPr>
        <w:t>/1/12</w:t>
      </w:r>
      <w:r>
        <w:t>)</w:t>
      </w:r>
    </w:p>
    <w:p w:rsidR="002F07D4" w:rsidRPr="002F3953" w:rsidRDefault="002F07D4" w:rsidP="002F07D4">
      <w:pPr>
        <w:pStyle w:val="NormalWeb"/>
        <w:jc w:val="both"/>
      </w:pPr>
      <w:r>
        <w:rPr>
          <w:i/>
        </w:rPr>
        <w:t>“</w:t>
      </w:r>
      <w:r w:rsidRPr="002F3953">
        <w:rPr>
          <w:i/>
        </w:rPr>
        <w:t xml:space="preserve">Qué principio de año más espectacular para los mercados. Es impresionante ver como las inyecciones de liquidez y las políticas intervencionistas impactan en los mercados cada vez más rápida y agresivamente, </w:t>
      </w:r>
      <w:r w:rsidRPr="002F3953">
        <w:rPr>
          <w:bCs/>
          <w:i/>
        </w:rPr>
        <w:t>para luego desvanecerse rápida y agresivamente también</w:t>
      </w:r>
      <w:r>
        <w:rPr>
          <w:bCs/>
          <w:i/>
        </w:rPr>
        <w:t>”..</w:t>
      </w:r>
      <w:r w:rsidRPr="002F3953">
        <w:rPr>
          <w:i/>
        </w:rPr>
        <w:t xml:space="preserve">. </w:t>
      </w:r>
      <w:r w:rsidRPr="00763C33">
        <w:rPr>
          <w:u w:val="single"/>
        </w:rPr>
        <w:t>A imprimir!: El BCE, la Fe</w:t>
      </w:r>
      <w:r>
        <w:rPr>
          <w:u w:val="single"/>
        </w:rPr>
        <w:t>d y la ilusión monetaria de la “</w:t>
      </w:r>
      <w:r w:rsidRPr="00763C33">
        <w:rPr>
          <w:u w:val="single"/>
        </w:rPr>
        <w:t>patada para adelante</w:t>
      </w:r>
      <w:r>
        <w:rPr>
          <w:u w:val="single"/>
        </w:rPr>
        <w:t>”</w:t>
      </w:r>
      <w:r>
        <w:t xml:space="preserve"> (El Confidencial - </w:t>
      </w:r>
      <w:r w:rsidRPr="00763C33">
        <w:rPr>
          <w:b/>
        </w:rPr>
        <w:t>21/1/12</w:t>
      </w:r>
      <w:r>
        <w:t>)</w:t>
      </w:r>
    </w:p>
    <w:p w:rsidR="002F07D4" w:rsidRPr="00782163" w:rsidRDefault="002F07D4" w:rsidP="002F07D4">
      <w:pPr>
        <w:pStyle w:val="NormalWeb"/>
        <w:jc w:val="both"/>
      </w:pPr>
      <w:r w:rsidRPr="00782163">
        <w:t xml:space="preserve">Los grandes beneficiarios, como siempre, las materias primas, bolsas y activos endeudados. Ese es el gran problema de las inyecciones de liquidez, que generan </w:t>
      </w:r>
      <w:r w:rsidRPr="00782163">
        <w:lastRenderedPageBreak/>
        <w:t xml:space="preserve">inflación, incentivan el mantenimiento de sectores de baja productividad e ineficientes y retrasan la limpieza del sistema, posponiendo la liquidación de inventarios excedentarios y manteniendo la sobrecapacidad. Si añadimos a esas inyecciones de liquidez -y ya hemos visto desde 2007 que no se trasladan a la economía real- el efecto de los planes de austeridad necesarios, no es difícil llegar a las estimaciones del Fondo Monetario Internacional de caída del PIB para la Unión Europea. </w:t>
      </w:r>
    </w:p>
    <w:p w:rsidR="002F07D4" w:rsidRPr="00782163" w:rsidRDefault="002F07D4" w:rsidP="002F07D4">
      <w:pPr>
        <w:pStyle w:val="NormalWeb"/>
        <w:jc w:val="both"/>
      </w:pPr>
      <w:r w:rsidRPr="00782163">
        <w:t>Lo que mantiene a las bolsas vivas y a las empresas en una situación mucho más sólida es la esperanza de la tímida recuperación de Estados Unidos mientras China busca desesperadamente compensar con capital su desaceleración económica. Pero hay cifras que merecen ser resaltadas:</w:t>
      </w:r>
    </w:p>
    <w:p w:rsidR="002F07D4" w:rsidRPr="00782163" w:rsidRDefault="002F07D4" w:rsidP="002F07D4">
      <w:pPr>
        <w:pStyle w:val="NormalWeb"/>
        <w:jc w:val="both"/>
        <w:rPr>
          <w:bCs/>
        </w:rPr>
      </w:pPr>
      <w:r w:rsidRPr="00782163">
        <w:t xml:space="preserve">- </w:t>
      </w:r>
      <w:r w:rsidRPr="00782163">
        <w:rPr>
          <w:bCs/>
        </w:rPr>
        <w:t xml:space="preserve">Más de un billón y medio de euros inyectados a la economía en Europa desde 2007 para generar crecimiento de PIB negativo. </w:t>
      </w:r>
    </w:p>
    <w:p w:rsidR="002F07D4" w:rsidRPr="00782163" w:rsidRDefault="002F07D4" w:rsidP="002F07D4">
      <w:pPr>
        <w:pStyle w:val="NormalWeb"/>
        <w:jc w:val="both"/>
      </w:pPr>
      <w:r w:rsidRPr="00782163">
        <w:t xml:space="preserve">- </w:t>
      </w:r>
      <w:r w:rsidRPr="00782163">
        <w:rPr>
          <w:bCs/>
        </w:rPr>
        <w:t xml:space="preserve">En Estados Unidos se ha pasado de una deuda pública de 65% a un 100% del PIB en seis años. </w:t>
      </w:r>
      <w:r w:rsidRPr="00782163">
        <w:t>En Europa, la aceleración del gasto, dos veces superior, ha sido aún más rápida desde 2004, pero los planes de estímulo han ido casi enteramente a sostener el gasto público.</w:t>
      </w:r>
    </w:p>
    <w:p w:rsidR="002F07D4" w:rsidRPr="00782163" w:rsidRDefault="002F07D4" w:rsidP="002F07D4">
      <w:pPr>
        <w:pStyle w:val="NormalWeb"/>
        <w:jc w:val="both"/>
      </w:pPr>
      <w:r w:rsidRPr="00782163">
        <w:t xml:space="preserve">- Los activos bancarios suponen un 85% del PIB de Estados Unidos y 320% del PIB de Europa. </w:t>
      </w:r>
    </w:p>
    <w:p w:rsidR="002F07D4" w:rsidRPr="00782163" w:rsidRDefault="002F07D4" w:rsidP="002F07D4">
      <w:pPr>
        <w:pStyle w:val="NormalWeb"/>
        <w:jc w:val="both"/>
      </w:pPr>
      <w:r w:rsidRPr="00782163">
        <w:t xml:space="preserve">- Más de tres billones de dólares inyectados en el sistema financiero para generar una revalorización bursátil negativa o inferior a la inflación. </w:t>
      </w:r>
    </w:p>
    <w:p w:rsidR="002F07D4" w:rsidRPr="00782163" w:rsidRDefault="002F07D4" w:rsidP="002F07D4">
      <w:pPr>
        <w:pStyle w:val="NormalWeb"/>
        <w:jc w:val="both"/>
      </w:pPr>
      <w:r w:rsidRPr="00782163">
        <w:t xml:space="preserve">El problema de este entorno de inyecciones de liquidez es que viene acompañado de débiles señales en la economía real. </w:t>
      </w:r>
      <w:r w:rsidRPr="00782163">
        <w:rPr>
          <w:bCs/>
        </w:rPr>
        <w:t>Solo en enero (2012) el número de revisiones a la baja de estimaciones (“</w:t>
      </w:r>
      <w:r w:rsidRPr="00782163">
        <w:rPr>
          <w:bCs/>
          <w:iCs/>
        </w:rPr>
        <w:t>profit warnings”</w:t>
      </w:r>
      <w:r w:rsidRPr="00782163">
        <w:rPr>
          <w:bCs/>
        </w:rPr>
        <w:t xml:space="preserve">) de líderes globales expuestos al PIB mundial ha sido realmente espectacular. </w:t>
      </w:r>
      <w:r w:rsidRPr="00782163">
        <w:t xml:space="preserve">Contemos: Alcoa, Philips, Siemens, Tesoro, Chevron, Tiffany, Tesco, Vestas, Google, JP Morgan, Johnson Control, etcétera. </w:t>
      </w:r>
    </w:p>
    <w:p w:rsidR="002F07D4" w:rsidRPr="00782163" w:rsidRDefault="002F07D4" w:rsidP="002F07D4">
      <w:pPr>
        <w:pStyle w:val="NormalWeb"/>
        <w:jc w:val="both"/>
      </w:pPr>
      <w:r w:rsidRPr="00782163">
        <w:t xml:space="preserve">Pues bien, uno de los debates más escuchados en Estados Unidos (enero de 2012) es si vamos a ver una tercera ronda de ajuste cuantitativo, “Quantitative Easing” o QE3. Imprimir papelitos, recomprar bonos, intervenir. </w:t>
      </w:r>
    </w:p>
    <w:p w:rsidR="002F07D4" w:rsidRPr="00782163" w:rsidRDefault="002F07D4" w:rsidP="002F07D4">
      <w:pPr>
        <w:pStyle w:val="NormalWeb"/>
        <w:jc w:val="both"/>
      </w:pPr>
      <w:r w:rsidRPr="00782163">
        <w:t xml:space="preserve">Es difícil pensar que se va a llevar a cabo en un año electoral, ya que se vería como una intervención electoralista a favor de Obama. Un año, además, en el que el presupuesto está secuestrado por ley para cumplir con el déficit, con lo cual el ajuste cuantitativo tendría un efecto, como mucho, neutralizador del recorte de presupuesto. Y un año en el que los republicanos ya han amenazado con investigar a la Fed si se lleva a cabo. No olvidemos que ningún indicador económico en Estados Unidos justifica un ajuste cuantitativo hoy en día, desde el desempleo hasta la producción industrial. </w:t>
      </w:r>
      <w:r w:rsidRPr="00782163">
        <w:rPr>
          <w:bCs/>
        </w:rPr>
        <w:t>La única razón para llevar a cabo tal medida sería una subida espectacular del dólar respecto al euro y otras monedas</w:t>
      </w:r>
      <w:r w:rsidRPr="00782163">
        <w:t>, pero de momento no está justificada dado que la ventaja competitiva más clara para EEUU hoy no es el dólar bajo, sino el hecho de que:</w:t>
      </w:r>
    </w:p>
    <w:p w:rsidR="002F07D4" w:rsidRPr="00782163" w:rsidRDefault="002F07D4" w:rsidP="002F07D4">
      <w:pPr>
        <w:pStyle w:val="NormalWeb"/>
        <w:jc w:val="both"/>
      </w:pPr>
      <w:r w:rsidRPr="00782163">
        <w:t xml:space="preserve">1. </w:t>
      </w:r>
      <w:r w:rsidRPr="00782163">
        <w:rPr>
          <w:bCs/>
        </w:rPr>
        <w:t>La competitividad del país</w:t>
      </w:r>
      <w:r w:rsidRPr="00782163">
        <w:t xml:space="preserve"> se ha disparado gracias al “boom” del sector energético y sanitario, y la caída de los costes industriales, que en Estados Unidos se han desplomado gracias al gas pizarra, con el precio del gas cayendo un 60%, y el de </w:t>
      </w:r>
      <w:r w:rsidRPr="00782163">
        <w:lastRenderedPageBreak/>
        <w:t>electricidad un 50%. En Europa los impuestos siguen subiendo, a las empresas se les imposibilita invertir por el proteccionismo y los costes energéticos han aumentado en toda la eurozona a pesar del desplome de la demanda.</w:t>
      </w:r>
    </w:p>
    <w:p w:rsidR="002F07D4" w:rsidRPr="00782163" w:rsidRDefault="002F07D4" w:rsidP="002F07D4">
      <w:pPr>
        <w:pStyle w:val="NormalWeb"/>
        <w:jc w:val="both"/>
      </w:pPr>
      <w:r w:rsidRPr="00782163">
        <w:t xml:space="preserve">2. </w:t>
      </w:r>
      <w:r w:rsidRPr="00782163">
        <w:rPr>
          <w:bCs/>
        </w:rPr>
        <w:t>EEUU está colocando sus bonos a diez años a tipo real negativo</w:t>
      </w:r>
      <w:r w:rsidRPr="00782163">
        <w:t xml:space="preserve"> (tipo 2% ajustado por inflación, negativo) ya que, como decía Will Rogers, los inversores “están más preocupados por la probabilidad de recuperar su dinero que por la rentabilidad del mismo” (</w:t>
      </w:r>
      <w:r w:rsidRPr="00782163">
        <w:rPr>
          <w:iCs/>
        </w:rPr>
        <w:t>I am not as concerned about the return on my money as I am about the return of my money</w:t>
      </w:r>
      <w:r w:rsidRPr="00782163">
        <w:t>). Algún día tendremos que plantearnos con sentido autocrítico por qué hay $ 27.000 millones de demanda de inversor final de bonos al 2% y ninguna de nuestros bonos al 4% o 6%.</w:t>
      </w:r>
    </w:p>
    <w:p w:rsidR="002F07D4" w:rsidRPr="00782163" w:rsidRDefault="002F07D4" w:rsidP="002F07D4">
      <w:pPr>
        <w:pStyle w:val="NormalWeb"/>
        <w:jc w:val="both"/>
      </w:pPr>
      <w:r w:rsidRPr="00782163">
        <w:t xml:space="preserve">3. </w:t>
      </w:r>
      <w:r w:rsidRPr="00782163">
        <w:rPr>
          <w:bCs/>
        </w:rPr>
        <w:t>Estados Unidos sabe que puede imprimir moneda porque el dólar se utiliza en el 75% de las transacciones mundiales, algo que no le ocurre al euro</w:t>
      </w:r>
      <w:r w:rsidRPr="00782163">
        <w:t xml:space="preserve">, que es menos del 15%. Pero sabe que no puede imprimir si no hay un proceso de recuperación global evidente porque entonces genera hiperinflación y el efecto deseado se pierde. </w:t>
      </w:r>
    </w:p>
    <w:p w:rsidR="002F07D4" w:rsidRPr="00782163" w:rsidRDefault="002F07D4" w:rsidP="002F07D4">
      <w:pPr>
        <w:pStyle w:val="NormalWeb"/>
        <w:jc w:val="both"/>
      </w:pPr>
      <w:r w:rsidRPr="00782163">
        <w:rPr>
          <w:bCs/>
        </w:rPr>
        <w:t>La guerra de deuda entre Estados Unidos y Europa la tenemos perdida de antemano.</w:t>
      </w:r>
      <w:r w:rsidRPr="00782163">
        <w:t xml:space="preserve"> Porque en Estados Unidos cuentan con una moneda de uso mundial, el 75% del comercio global, y el hecho de que las medidas de competitividad se implementan a favor del sector privado, no para sostener al público. El gasto </w:t>
      </w:r>
      <w:r w:rsidR="00FF0D17" w:rsidRPr="00782163">
        <w:t>público</w:t>
      </w:r>
      <w:r w:rsidRPr="00782163">
        <w:t xml:space="preserve"> por unidad de PIB es un 25% en Estados Unidos, y eso incluye el desastre que es Medicare y el gasto desorbitado en armamento, por eso el país entero se queja de ello y están en proceso de cercenarlo por ley. En Europa alcanza el 50%.</w:t>
      </w:r>
    </w:p>
    <w:p w:rsidR="002F07D4" w:rsidRPr="00782163" w:rsidRDefault="002F07D4" w:rsidP="002F07D4">
      <w:pPr>
        <w:pStyle w:val="NormalWeb"/>
        <w:jc w:val="both"/>
      </w:pPr>
      <w:r w:rsidRPr="00782163">
        <w:t xml:space="preserve">A pesar de lo que decía algún periódico (enero 2012), el BCE lleva, sobre un total de € 220.000 millones comprados, una perdida estimada de entre € 35.000 y € 55.000 millones en sus compras de bonos periféricos. Sí, hasta hace poco mantenía un ligero beneficio en sus bonos españoles, pero la ilusión desaparece mientras Grecia entra en “default” y tiene que reestructurar su deuda a unos 32 céntimos por euro, es decir casi un 70% de quita. Y una vez que se ha conocido la noticia, Portugal ha ido detrás y su prima de riesgo se disparaba, al igual que la española y la italiana. </w:t>
      </w:r>
    </w:p>
    <w:p w:rsidR="002F07D4" w:rsidRPr="00782163" w:rsidRDefault="002F07D4" w:rsidP="002F07D4">
      <w:pPr>
        <w:pStyle w:val="NormalWeb"/>
        <w:jc w:val="both"/>
      </w:pPr>
      <w:r w:rsidRPr="00782163">
        <w:t xml:space="preserve">Está claro que la </w:t>
      </w:r>
      <w:r w:rsidRPr="00782163">
        <w:rPr>
          <w:bCs/>
        </w:rPr>
        <w:t>disponibilidad ilimitada</w:t>
      </w:r>
      <w:r w:rsidRPr="00782163">
        <w:t xml:space="preserve"> de liquidez por parte del BCE al sistema bancario europeo ha evitado que se produzca una quiebra en cadena de entidades financieras. El mercado interbancario estaba, y sigue, totalmente muerto, ya que las entidades solventes no se fían de las que lo parecen y el BCE está actuando de garantía para este movimiento de liquidez. Ahora bien, está por ver cómo va a ser capaz de financiar toda esta liquidez. Imprimir euros generaría hiperinflación por lo que hemos comentado, solo se usa para transacciones muy limitadas, menos del 15% global, y la financiación vía impuestos hundiría </w:t>
      </w:r>
      <w:r w:rsidR="00FF0D17" w:rsidRPr="00782163">
        <w:t>aún</w:t>
      </w:r>
      <w:r w:rsidRPr="00782163">
        <w:t xml:space="preserve"> más la economía de Europa, disparando la fuga de capital en vez de atraerlo. </w:t>
      </w:r>
      <w:r w:rsidRPr="00782163">
        <w:rPr>
          <w:bCs/>
        </w:rPr>
        <w:t>El BCE ha duplicado el tamaño de su balance en apenas un par de años.</w:t>
      </w:r>
      <w:r w:rsidRPr="00782163">
        <w:t xml:space="preserve"> Y no olvidemos que el BCE es una entidad participada por los bancos centrales de cada país miembro y lo sanotes que están esos países.</w:t>
      </w:r>
    </w:p>
    <w:p w:rsidR="002F07D4" w:rsidRPr="00782163" w:rsidRDefault="002F07D4" w:rsidP="002F07D4">
      <w:pPr>
        <w:pStyle w:val="NormalWeb"/>
        <w:jc w:val="both"/>
      </w:pPr>
      <w:r w:rsidRPr="00782163">
        <w:t xml:space="preserve">Pues bien, estos aspectos monetarios son los que han impulsado a la renta variable en las últimas semanas, la “reducción” del riesgo sistémico en el entorno bancario, no su desaparición, empujando al alza las acciones de aquellos bancos con mayor necesidad de liquidez. Es cierto que las recientes colocaciones de deuda pública han sido </w:t>
      </w:r>
      <w:r w:rsidRPr="00782163">
        <w:lastRenderedPageBreak/>
        <w:t xml:space="preserve">exitosas… pero cómo no lo van a ser cuando el BCE le está prácticamente regalando la financiación a la banca. </w:t>
      </w:r>
    </w:p>
    <w:p w:rsidR="002F07D4" w:rsidRDefault="002F07D4" w:rsidP="002F07D4">
      <w:pPr>
        <w:pStyle w:val="NormalWeb"/>
        <w:jc w:val="both"/>
      </w:pPr>
      <w:r w:rsidRPr="00782163">
        <w:t xml:space="preserve">Lo que está por ver es cuándo y cuánto de toda esta liquidez, que en el fondo no deja de ser una carga para los contribuyentes, se va a trasladar a la economía real, porque, por el momento, lo único que se ha visto es </w:t>
      </w:r>
      <w:r>
        <w:t>reducción en la concesión de pré</w:t>
      </w:r>
      <w:r w:rsidRPr="00782163">
        <w:t>stamos por parte de las entidades bancaria</w:t>
      </w:r>
      <w:r>
        <w:t>s…</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3628DF">
        <w:rPr>
          <w:rFonts w:ascii="Times New Roman" w:eastAsia="Times New Roman" w:hAnsi="Times New Roman"/>
          <w:b/>
          <w:sz w:val="24"/>
          <w:szCs w:val="24"/>
          <w:lang w:eastAsia="es-ES"/>
        </w:rPr>
        <w:t xml:space="preserve">La raya de </w:t>
      </w:r>
      <w:r>
        <w:rPr>
          <w:rFonts w:ascii="Times New Roman" w:eastAsia="Times New Roman" w:hAnsi="Times New Roman"/>
          <w:b/>
          <w:sz w:val="24"/>
          <w:szCs w:val="24"/>
          <w:lang w:eastAsia="es-ES"/>
        </w:rPr>
        <w:t>abajo (a modo de final</w:t>
      </w:r>
      <w:r w:rsidRPr="003628DF">
        <w:rPr>
          <w:rFonts w:ascii="Times New Roman" w:eastAsia="Times New Roman" w:hAnsi="Times New Roman"/>
          <w:b/>
          <w:sz w:val="24"/>
          <w:szCs w:val="24"/>
          <w:lang w:eastAsia="es-ES"/>
        </w:rPr>
        <w:t>)</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Como decían los antiguos banqueros del Citi (antes de ser puro “group”) lo que importa de un balance es la “raya de abajo” (o sea: ver si se gana o se pierde). Lo demás queda para la melancolía. Transcurridos cinco años de la crisis financiera más importante desde 1929, a mediados de noviembre (2012), se podría estar en condiciones de evaluar el “éxito” o “fracaso” de la “inconmensurable” ayuda monetaria ofrecida a la banca por parte de la Fed para tranquilizar a los mercados (sic). Además de evitar el “riesgo sistémico”, tenía por objetivo impedir que se repitieran los “usos y costumbres” (de la banca) que nos llevaron a la crisis y procurar que las entidades “retornaran a la base” (el negocio tradicional).</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¿Qué de esto se ha logrado?... Veamos la “raya de abajo”:</w:t>
      </w:r>
    </w:p>
    <w:p w:rsidR="002F07D4" w:rsidRPr="007C2025" w:rsidRDefault="002F07D4" w:rsidP="002F07D4">
      <w:pPr>
        <w:spacing w:line="240" w:lineRule="auto"/>
        <w:jc w:val="both"/>
        <w:rPr>
          <w:rFonts w:ascii="Times New Roman" w:hAnsi="Times New Roman"/>
          <w:b/>
          <w:sz w:val="24"/>
          <w:szCs w:val="24"/>
        </w:rPr>
      </w:pPr>
      <w:r w:rsidRPr="007C2025">
        <w:rPr>
          <w:rFonts w:ascii="Times New Roman" w:hAnsi="Times New Roman"/>
          <w:b/>
          <w:sz w:val="24"/>
          <w:szCs w:val="24"/>
        </w:rPr>
        <w:t>El Financial Stability Board ha publicado el Global Shadow Banking Monitoring Report 2012 (18/11/12) en el que analiza la evolución de la llamada “banca en la sombra”. Es el análisis más detallado que se ha realizado sobre la misma, tanto en términos geográficos (comprende el 88% del PIB mundial), como de activos financieros objeto de estudio (el 90% del total agregado global).</w:t>
      </w:r>
    </w:p>
    <w:p w:rsidR="002F07D4" w:rsidRPr="007C2025" w:rsidRDefault="002F07D4" w:rsidP="002F07D4">
      <w:pPr>
        <w:spacing w:line="240" w:lineRule="auto"/>
        <w:jc w:val="both"/>
        <w:rPr>
          <w:rFonts w:ascii="Times New Roman" w:hAnsi="Times New Roman"/>
          <w:b/>
          <w:sz w:val="24"/>
          <w:szCs w:val="24"/>
        </w:rPr>
      </w:pPr>
      <w:r w:rsidRPr="007C2025">
        <w:rPr>
          <w:rFonts w:ascii="Times New Roman" w:hAnsi="Times New Roman"/>
          <w:b/>
          <w:sz w:val="24"/>
          <w:szCs w:val="24"/>
        </w:rPr>
        <w:t xml:space="preserve">Se trata de un paper imprescindible ya que buena parte de los agentes económicos que la integran participan de los riesgos sistémicos de la banca tradicional, con la que comparten actividad de originación e intermediación del crédito, pero quedan fuera de los controles y las disposiciones regulatorias que constriñen a las firmas tradicionales. Estamos hablando de fondos monetarios, otros fondos de inversión, ETFs, hedge funds, SPVs (Special Purpose Vehicles) y similares </w:t>
      </w:r>
    </w:p>
    <w:p w:rsidR="002F07D4" w:rsidRPr="007C2025" w:rsidRDefault="002F07D4" w:rsidP="002F07D4">
      <w:pPr>
        <w:spacing w:line="240" w:lineRule="auto"/>
        <w:jc w:val="both"/>
        <w:rPr>
          <w:rFonts w:ascii="Times New Roman" w:hAnsi="Times New Roman"/>
          <w:b/>
          <w:sz w:val="24"/>
          <w:szCs w:val="24"/>
        </w:rPr>
      </w:pPr>
      <w:r w:rsidRPr="007C2025">
        <w:rPr>
          <w:rFonts w:ascii="Times New Roman" w:hAnsi="Times New Roman"/>
          <w:b/>
          <w:sz w:val="24"/>
          <w:szCs w:val="24"/>
        </w:rPr>
        <w:t>Su importancia es tanto mayor cuantos más recursos maneja. Los últimos datos prueban que estos suponen el 50% ya del balance del sistema bancario oficial y que el shadow banking intermedia una cuarta parte de las operaciones de financiación que se cierran alrededor del planeta. Su volumen se ha situado en máximos históricos de 2007, tras acumular 67 billones de dólares al cierre de 2011 frente a los 62 de entonces, cuando el estallido de la crisis de crédito internacional había mostrado únicamente una parte mínima de lo que vendría después.</w:t>
      </w:r>
    </w:p>
    <w:p w:rsidR="002F07D4" w:rsidRPr="007C2025" w:rsidRDefault="002F07D4" w:rsidP="002F07D4">
      <w:pPr>
        <w:spacing w:line="240" w:lineRule="auto"/>
        <w:jc w:val="both"/>
        <w:rPr>
          <w:rFonts w:ascii="Times New Roman" w:hAnsi="Times New Roman"/>
          <w:b/>
          <w:sz w:val="24"/>
          <w:szCs w:val="24"/>
        </w:rPr>
      </w:pPr>
      <w:r w:rsidRPr="007C2025">
        <w:rPr>
          <w:rFonts w:ascii="Times New Roman" w:hAnsi="Times New Roman"/>
          <w:b/>
          <w:sz w:val="24"/>
          <w:szCs w:val="24"/>
        </w:rPr>
        <w:t>(Cita -parcial- del Executive Summary)</w:t>
      </w:r>
    </w:p>
    <w:p w:rsidR="002F07D4" w:rsidRPr="007C2025" w:rsidRDefault="002F07D4" w:rsidP="002F07D4">
      <w:pPr>
        <w:spacing w:line="240" w:lineRule="auto"/>
        <w:jc w:val="both"/>
        <w:rPr>
          <w:rFonts w:ascii="Times New Roman" w:hAnsi="Times New Roman"/>
          <w:b/>
          <w:sz w:val="24"/>
          <w:szCs w:val="24"/>
          <w:lang w:val="en-US"/>
        </w:rPr>
      </w:pPr>
      <w:r w:rsidRPr="007C2025">
        <w:rPr>
          <w:rFonts w:ascii="Times New Roman" w:hAnsi="Times New Roman"/>
          <w:b/>
          <w:sz w:val="24"/>
          <w:szCs w:val="24"/>
          <w:lang w:val="en-US"/>
        </w:rPr>
        <w:t>The main findings from the 2012 exercise are as follows:</w:t>
      </w:r>
    </w:p>
    <w:p w:rsidR="002F07D4" w:rsidRPr="007C2025" w:rsidRDefault="002F07D4" w:rsidP="002F07D4">
      <w:pPr>
        <w:spacing w:line="240" w:lineRule="auto"/>
        <w:jc w:val="both"/>
        <w:rPr>
          <w:rFonts w:ascii="Times New Roman" w:hAnsi="Times New Roman"/>
          <w:b/>
          <w:sz w:val="24"/>
          <w:szCs w:val="24"/>
          <w:lang w:val="en-US"/>
        </w:rPr>
      </w:pPr>
      <w:r w:rsidRPr="007C2025">
        <w:rPr>
          <w:rFonts w:ascii="Times New Roman" w:hAnsi="Times New Roman"/>
          <w:b/>
          <w:sz w:val="24"/>
          <w:szCs w:val="24"/>
          <w:lang w:val="en-US"/>
        </w:rPr>
        <w:t xml:space="preserve">• According to the “macro-mapping” measure, the global shadow banking system, as conservatively proxied by “Other Financial Intermediaries” grew rapidly before the crisis, rising from $26 trillion in 2002 to $62 trillion in 2007.4 The size of the total system declined slightly in 2008 but increased subsequently to reach $67 trillion in 2011 (equivalent to 111% of the aggregated GDP of all jurisdictions). </w:t>
      </w:r>
      <w:r w:rsidRPr="007C2025">
        <w:rPr>
          <w:rFonts w:ascii="Times New Roman" w:hAnsi="Times New Roman"/>
          <w:b/>
          <w:sz w:val="24"/>
          <w:szCs w:val="24"/>
          <w:lang w:val="en-US"/>
        </w:rPr>
        <w:lastRenderedPageBreak/>
        <w:t>Compared to last year’s estimate, expanding the coverage of the monitoring exercise has increased the global estimate for the size of the shadow banking system by some $5 to $6 trillion.</w:t>
      </w:r>
    </w:p>
    <w:p w:rsidR="002F07D4" w:rsidRPr="007C2025" w:rsidRDefault="002F07D4" w:rsidP="002F07D4">
      <w:pPr>
        <w:spacing w:line="240" w:lineRule="auto"/>
        <w:jc w:val="both"/>
        <w:rPr>
          <w:rFonts w:ascii="Times New Roman" w:hAnsi="Times New Roman"/>
          <w:b/>
          <w:sz w:val="24"/>
          <w:szCs w:val="24"/>
          <w:lang w:val="en-US"/>
        </w:rPr>
      </w:pPr>
      <w:r w:rsidRPr="007C2025">
        <w:rPr>
          <w:rFonts w:ascii="Times New Roman" w:hAnsi="Times New Roman"/>
          <w:b/>
          <w:sz w:val="24"/>
          <w:szCs w:val="24"/>
          <w:lang w:val="en-US"/>
        </w:rPr>
        <w:t>• The shadow banking system’s share of total financial intermediation has decreased since the onset of the crisis and has remained at around 25% in 2009-2011, after having peaked at 27% in 2007. In broad terms, the aggregate size of the shadow banking system is around half the size of banking system assets.</w:t>
      </w:r>
    </w:p>
    <w:p w:rsidR="002F07D4" w:rsidRPr="007C2025" w:rsidRDefault="002F07D4" w:rsidP="002F07D4">
      <w:pPr>
        <w:spacing w:line="240" w:lineRule="auto"/>
        <w:jc w:val="both"/>
        <w:rPr>
          <w:rFonts w:ascii="Times New Roman" w:hAnsi="Times New Roman"/>
          <w:b/>
          <w:sz w:val="24"/>
          <w:szCs w:val="24"/>
          <w:lang w:val="en-US"/>
        </w:rPr>
      </w:pPr>
      <w:r w:rsidRPr="007C2025">
        <w:rPr>
          <w:rFonts w:ascii="Times New Roman" w:hAnsi="Times New Roman"/>
          <w:b/>
          <w:sz w:val="24"/>
          <w:szCs w:val="24"/>
          <w:lang w:val="en-US"/>
        </w:rPr>
        <w:t>• The US has the largest shadow banking system, with assets of $23 trillion in 2011, followed by the euro area ($22 trillion) and the UK ($9 trillion). However, the US’ share of the global shadow banking system has declined from 44% in 2005 to 35% in 2011. This decline has been mirrored mostly by an increase in the shares of the UK and the euro area.</w:t>
      </w:r>
    </w:p>
    <w:p w:rsidR="002F07D4" w:rsidRDefault="002F07D4" w:rsidP="002F07D4">
      <w:pPr>
        <w:spacing w:line="240" w:lineRule="auto"/>
        <w:jc w:val="both"/>
        <w:rPr>
          <w:rFonts w:ascii="Times New Roman" w:hAnsi="Times New Roman"/>
          <w:b/>
          <w:sz w:val="24"/>
          <w:szCs w:val="24"/>
          <w:lang w:val="en-US"/>
        </w:rPr>
      </w:pPr>
      <w:r w:rsidRPr="007C2025">
        <w:rPr>
          <w:rFonts w:ascii="Times New Roman" w:hAnsi="Times New Roman"/>
          <w:b/>
          <w:sz w:val="24"/>
          <w:szCs w:val="24"/>
          <w:lang w:val="en-US"/>
        </w:rPr>
        <w:t>• After the crisis (2008-2011), the shadow banking system continued to grow although at a slower pace in seventeen jurisdictions (half of them being emerging markets and developing economies undergoing financial deepening) and contracted in the remaining eight jurisdictions.</w:t>
      </w:r>
    </w:p>
    <w:p w:rsidR="002F07D4" w:rsidRDefault="002F07D4" w:rsidP="002F07D4">
      <w:pPr>
        <w:spacing w:line="240" w:lineRule="auto"/>
        <w:jc w:val="both"/>
        <w:rPr>
          <w:rFonts w:ascii="Times New Roman" w:hAnsi="Times New Roman"/>
          <w:b/>
          <w:sz w:val="24"/>
          <w:szCs w:val="24"/>
          <w:lang w:val="en-US"/>
        </w:rPr>
      </w:pPr>
      <w:r w:rsidRPr="007C2025">
        <w:rPr>
          <w:rFonts w:ascii="Times New Roman" w:hAnsi="Times New Roman"/>
          <w:b/>
          <w:sz w:val="24"/>
          <w:szCs w:val="24"/>
          <w:lang w:val="en-US"/>
        </w:rPr>
        <w:t>• Among the jurisdictions where data is available, interconnectedness risk tends to be higher for shadow banking entities than for banks. Although further analysis may be needed with more cross-border and prudential information, shadow banking entities seem to be more dependent on bank funding and are more heavily invested in bank assets, than vice versa</w:t>
      </w:r>
      <w:r>
        <w:rPr>
          <w:rFonts w:ascii="Times New Roman" w:hAnsi="Times New Roman"/>
          <w:b/>
          <w:sz w:val="24"/>
          <w:szCs w:val="24"/>
          <w:lang w:val="en-US"/>
        </w:rPr>
        <w:t>…</w:t>
      </w:r>
    </w:p>
    <w:p w:rsidR="002F07D4" w:rsidRDefault="002F07D4" w:rsidP="002F07D4">
      <w:pPr>
        <w:spacing w:line="240" w:lineRule="auto"/>
        <w:jc w:val="both"/>
        <w:rPr>
          <w:rFonts w:ascii="Times New Roman" w:hAnsi="Times New Roman"/>
          <w:b/>
          <w:sz w:val="24"/>
          <w:szCs w:val="24"/>
        </w:rPr>
      </w:pPr>
      <w:r w:rsidRPr="007C2025">
        <w:rPr>
          <w:rFonts w:ascii="Times New Roman" w:hAnsi="Times New Roman"/>
          <w:b/>
          <w:sz w:val="24"/>
          <w:szCs w:val="24"/>
        </w:rPr>
        <w:t xml:space="preserve">¿A estas </w:t>
      </w:r>
      <w:r>
        <w:rPr>
          <w:rFonts w:ascii="Times New Roman" w:hAnsi="Times New Roman"/>
          <w:b/>
          <w:sz w:val="24"/>
          <w:szCs w:val="24"/>
        </w:rPr>
        <w:t>a</w:t>
      </w:r>
      <w:r w:rsidRPr="007C2025">
        <w:rPr>
          <w:rFonts w:ascii="Times New Roman" w:hAnsi="Times New Roman"/>
          <w:b/>
          <w:sz w:val="24"/>
          <w:szCs w:val="24"/>
        </w:rPr>
        <w:t xml:space="preserve">lturas del “sarao” </w:t>
      </w:r>
      <w:r>
        <w:rPr>
          <w:rFonts w:ascii="Times New Roman" w:hAnsi="Times New Roman"/>
          <w:b/>
          <w:sz w:val="24"/>
          <w:szCs w:val="24"/>
        </w:rPr>
        <w:t>se puede decir que se ha eliminado</w:t>
      </w:r>
      <w:r w:rsidRPr="007C2025">
        <w:rPr>
          <w:rFonts w:ascii="Times New Roman" w:hAnsi="Times New Roman"/>
          <w:b/>
          <w:sz w:val="24"/>
          <w:szCs w:val="24"/>
        </w:rPr>
        <w:t xml:space="preserve"> el riesgo sist</w:t>
      </w:r>
      <w:r>
        <w:rPr>
          <w:rFonts w:ascii="Times New Roman" w:hAnsi="Times New Roman"/>
          <w:b/>
          <w:sz w:val="24"/>
          <w:szCs w:val="24"/>
        </w:rPr>
        <w:t>émico?</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No, Padre…</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¿Se puede decir que se ha impedido la continuidad de los usos y costumbres de la banca (al sol y a la sombra)?</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No, Padre…</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¿Se puede decir que se ha logrado que la banca regrese al negocio tradicional?</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No, Padre…</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 xml:space="preserve">Pues entonces, Hijo… para ese viaje no hace falta tantas alforjas llenas de dinero del contribuyente. </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¿Tiene sentido quitar dinero a la gente y dárselo a la banca?</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Algunos lo fían todo al paso del tiempo, pero hay carencias con las que ni siquiera el tiempo puede.</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Mientras seguimos con las ambigüedades, falsedades y absolutas mentiras, la economía real desaparece y la bancaria se escuda en la alarma social para vivir a costa de todos.</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En un mundo tan globalizado (por mal que me pese) nada está suficientemente lejos como para ser olvidado.</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lastRenderedPageBreak/>
        <w:t>Lo cierto es que más 5 años después del inicio de la “ofensiva monetaria” de la Fed, la realidad muestra una trayectoria endeble de la economía estadounidense: la tasa de paro sigue por encima del 8% desde hace 5 años y medio, el PIB norteamericano ha constatado su desaceleración, al crecer durante el segundo trimestre del año 2012 a un  ritmo anual del 1,7%, un déficit público equivalente al 10% del PIB y una deuda pública de 16 billones de dólares, cierran el balance.</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En una economía mundial que sigue coqueteando con el precipicio con la misma ligera ropa que usaba en 2008, esta continua flexibilización cuantitativa… puede ser la gota que desborda el vaso…</w:t>
      </w:r>
    </w:p>
    <w:p w:rsidR="002F07D4" w:rsidRDefault="002F07D4" w:rsidP="002F07D4">
      <w:pPr>
        <w:jc w:val="both"/>
        <w:rPr>
          <w:rFonts w:ascii="Times New Roman" w:hAnsi="Times New Roman"/>
          <w:b/>
          <w:sz w:val="24"/>
          <w:szCs w:val="24"/>
        </w:rPr>
      </w:pPr>
      <w:r w:rsidRPr="00841851">
        <w:rPr>
          <w:rFonts w:ascii="Times New Roman" w:hAnsi="Times New Roman"/>
          <w:b/>
          <w:sz w:val="24"/>
          <w:szCs w:val="24"/>
        </w:rPr>
        <w:t>Be</w:t>
      </w:r>
      <w:r>
        <w:rPr>
          <w:rFonts w:ascii="Times New Roman" w:hAnsi="Times New Roman"/>
          <w:b/>
          <w:sz w:val="24"/>
          <w:szCs w:val="24"/>
        </w:rPr>
        <w:t>rnie Dixit (“Bernankian</w:t>
      </w:r>
      <w:r w:rsidRPr="00841851">
        <w:rPr>
          <w:rFonts w:ascii="Times New Roman" w:hAnsi="Times New Roman"/>
          <w:b/>
          <w:sz w:val="24"/>
          <w:szCs w:val="24"/>
        </w:rPr>
        <w:t>as”)</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 Con Bernanke “sub judice” (El “testamento vital” de Helicopter Ben) - Agosto 2010</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Si a Alan Greenspan le sobró “calle”, podríamos decir que a Ben Bernanke le ha faltado. Más biblioteca, que asfalto. Demasiada cátedra. Un profesor (tal vez, bien intencionado, al contrario que el Maestro), demasiado teórico (¿despistado?) para lidiar al toro de Wall Street. Además, no estaba en condiciones para arriesgar una entrada a “porta gayola” (*) y la “bestia” de la crisis se lo llevó por delante, y con él, a toda la economía (por desgracia, globalizada).</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Tanto antes (con Greenspan), como ahora (con Bernanke), “ganó la banca”. Las pérdidas se “socializaron”, en nombre del “riesgo sistémico”, y los “sospechosos habituales” continuaron cobrando sus astronómicos “bonus”, brindando por el “riesgo moral”, bajo el patrocinio de la Fed. Las copas están pagas, vamos.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Hay un largo debate sobre las posibilidades de </w:t>
      </w:r>
      <w:r w:rsidRPr="0056241F">
        <w:rPr>
          <w:rFonts w:ascii="Times New Roman" w:hAnsi="Times New Roman"/>
          <w:b/>
          <w:sz w:val="24"/>
          <w:szCs w:val="24"/>
        </w:rPr>
        <w:t>regular el riesgo sistémico</w:t>
      </w:r>
      <w:r>
        <w:rPr>
          <w:rFonts w:ascii="Times New Roman" w:hAnsi="Times New Roman"/>
          <w:sz w:val="24"/>
          <w:szCs w:val="24"/>
          <w:u w:val="single"/>
        </w:rPr>
        <w:t>,</w:t>
      </w:r>
      <w:r>
        <w:rPr>
          <w:rFonts w:ascii="Times New Roman" w:hAnsi="Times New Roman"/>
          <w:sz w:val="24"/>
          <w:szCs w:val="24"/>
        </w:rPr>
        <w:t xml:space="preserve"> pero más allá de la polémica sobre la inevitabilidad de los errores que pueden cometerse en la </w:t>
      </w:r>
      <w:r w:rsidRPr="00F76868">
        <w:rPr>
          <w:rFonts w:ascii="Times New Roman" w:hAnsi="Times New Roman"/>
          <w:sz w:val="24"/>
          <w:szCs w:val="24"/>
        </w:rPr>
        <w:t>toma de decisiones en un contexto de incertidumb</w:t>
      </w:r>
      <w:r>
        <w:rPr>
          <w:rFonts w:ascii="Times New Roman" w:hAnsi="Times New Roman"/>
          <w:sz w:val="24"/>
          <w:szCs w:val="24"/>
        </w:rPr>
        <w:t>re(existen dos tipos de errores, u</w:t>
      </w:r>
      <w:r w:rsidRPr="00F76868">
        <w:rPr>
          <w:rFonts w:ascii="Times New Roman" w:hAnsi="Times New Roman"/>
          <w:sz w:val="24"/>
          <w:szCs w:val="24"/>
        </w:rPr>
        <w:t>no consiste en rechazar una propuesta verdadera; el otro, en</w:t>
      </w:r>
      <w:r>
        <w:rPr>
          <w:rFonts w:ascii="Times New Roman" w:hAnsi="Times New Roman"/>
          <w:sz w:val="24"/>
          <w:szCs w:val="24"/>
        </w:rPr>
        <w:t xml:space="preserve"> aceptar una propuesta falsa), puede afirmarse con rotundidad que Bernanke no fue “capaz” de retirar la ponchera, en la mitad de la fiesta. No supo, no quiso o no pudo. Lo demás, es historia…</w:t>
      </w:r>
    </w:p>
    <w:p w:rsidR="00246AB8" w:rsidRDefault="00246AB8" w:rsidP="00246AB8">
      <w:pPr>
        <w:spacing w:line="240" w:lineRule="auto"/>
        <w:jc w:val="both"/>
        <w:rPr>
          <w:rFonts w:ascii="Times New Roman" w:hAnsi="Times New Roman"/>
          <w:sz w:val="24"/>
          <w:szCs w:val="24"/>
        </w:rPr>
      </w:pPr>
      <w:r>
        <w:rPr>
          <w:rFonts w:ascii="Times New Roman" w:hAnsi="Times New Roman"/>
          <w:sz w:val="24"/>
          <w:szCs w:val="24"/>
        </w:rPr>
        <w:t xml:space="preserve">------------------------------------------- </w:t>
      </w:r>
    </w:p>
    <w:p w:rsidR="00246AB8" w:rsidRPr="00534937" w:rsidRDefault="00246AB8" w:rsidP="00246AB8">
      <w:pPr>
        <w:spacing w:line="240" w:lineRule="auto"/>
        <w:jc w:val="both"/>
        <w:rPr>
          <w:rFonts w:ascii="Times New Roman" w:hAnsi="Times New Roman"/>
          <w:sz w:val="24"/>
          <w:szCs w:val="24"/>
        </w:rPr>
      </w:pPr>
      <w:r>
        <w:rPr>
          <w:rFonts w:ascii="Times New Roman" w:hAnsi="Times New Roman"/>
          <w:b/>
          <w:sz w:val="24"/>
          <w:szCs w:val="24"/>
        </w:rPr>
        <w:t xml:space="preserve">(*) </w:t>
      </w:r>
      <w:r>
        <w:rPr>
          <w:rFonts w:ascii="Times New Roman" w:hAnsi="Times New Roman"/>
          <w:sz w:val="24"/>
          <w:szCs w:val="24"/>
        </w:rPr>
        <w:t>El genial Rafael “El Gallo”</w:t>
      </w:r>
      <w:r w:rsidRPr="00534937">
        <w:rPr>
          <w:rFonts w:ascii="Times New Roman" w:hAnsi="Times New Roman"/>
          <w:sz w:val="24"/>
          <w:szCs w:val="24"/>
        </w:rPr>
        <w:t xml:space="preserve"> solía, de vez en cuando, irse a la puerta de chiqueros para ejecutar la suerte llamada a porta gayola o larga cambiada esperando de rodillas. Algunos críticos taurinos de la época, llegaron a afirmar que el citado lance de capa era una suerte más </w:t>
      </w:r>
      <w:r>
        <w:rPr>
          <w:rFonts w:ascii="Times New Roman" w:hAnsi="Times New Roman"/>
          <w:sz w:val="24"/>
          <w:szCs w:val="24"/>
        </w:rPr>
        <w:t xml:space="preserve">de efecto que de mérito. </w:t>
      </w:r>
      <w:r w:rsidRPr="00534937">
        <w:rPr>
          <w:rFonts w:ascii="Times New Roman" w:hAnsi="Times New Roman"/>
          <w:sz w:val="24"/>
          <w:szCs w:val="24"/>
        </w:rPr>
        <w:t>Obviamente, produce un efecto impresionante en los especta</w:t>
      </w:r>
      <w:r>
        <w:rPr>
          <w:rFonts w:ascii="Times New Roman" w:hAnsi="Times New Roman"/>
          <w:sz w:val="24"/>
          <w:szCs w:val="24"/>
        </w:rPr>
        <w:t>dores; pero, ¿escaso de mérito?</w:t>
      </w:r>
    </w:p>
    <w:p w:rsidR="00246AB8" w:rsidRDefault="00246AB8" w:rsidP="00246AB8">
      <w:pPr>
        <w:spacing w:line="240" w:lineRule="auto"/>
        <w:jc w:val="both"/>
        <w:rPr>
          <w:rFonts w:ascii="Times New Roman" w:hAnsi="Times New Roman"/>
          <w:sz w:val="24"/>
          <w:szCs w:val="24"/>
        </w:rPr>
      </w:pPr>
      <w:r w:rsidRPr="00534937">
        <w:rPr>
          <w:rFonts w:ascii="Times New Roman" w:hAnsi="Times New Roman"/>
          <w:sz w:val="24"/>
          <w:szCs w:val="24"/>
        </w:rPr>
        <w:t>Lo primero que se produce cuando un diestro camina hacia la puerta de toriles, es un impresionante silencio del público; luego, una angustiosa espera compartida con el torero al saberse que el toro, enclaustrado en un habitáculo totalmente oscuro, sale deslumbrado al recibir el impacto de la claridad y la embestida puede ser incierta. El mérito consiste precisamente en la capacidad que demuestra el diestro de combinar el ritmo del corazón con el del cerebro. Al impetuoso latir del corazón le contrapone la frialdad mental de ordenar al cuerpo todos los movimientos necesarios para salir airoso de esa dramática situación</w:t>
      </w:r>
      <w:r>
        <w:rPr>
          <w:rFonts w:ascii="Times New Roman" w:hAnsi="Times New Roman"/>
          <w:sz w:val="24"/>
          <w:szCs w:val="24"/>
        </w:rPr>
        <w:t>…</w:t>
      </w:r>
    </w:p>
    <w:p w:rsidR="00246AB8" w:rsidRPr="00534937" w:rsidRDefault="00246AB8"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lastRenderedPageBreak/>
        <w:t xml:space="preserve">Las “amistades peligrosas” de Greenspan, primero, con la “patrocinio” de Paulson (el hombre que vació el Tesoro; “factótum” de Goldman Sachs, no hay que olvidarlo), y luego, con la “cooperación necesaria” de Geithner (responsable de la Fed de Nueva York; la Cueva de Alí Babá, de donde se “permitieron, toleraron -si no promovieron- y bendijeron” las mayores especulaciones de la banca “global”), subieron a Bernanke al helicóptero para que lanzara billetes sobre Wall Street, donde continúa.  </w:t>
      </w:r>
    </w:p>
    <w:p w:rsidR="002F07D4" w:rsidRPr="00534937"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Hay un largo debate sobre las posibilidades de </w:t>
      </w:r>
      <w:r w:rsidRPr="0056241F">
        <w:rPr>
          <w:rFonts w:ascii="Times New Roman" w:hAnsi="Times New Roman"/>
          <w:b/>
          <w:sz w:val="24"/>
          <w:szCs w:val="24"/>
        </w:rPr>
        <w:t>regular el riesgo sistémico</w:t>
      </w:r>
      <w:r>
        <w:rPr>
          <w:rFonts w:ascii="Times New Roman" w:hAnsi="Times New Roman"/>
          <w:sz w:val="24"/>
          <w:szCs w:val="24"/>
          <w:u w:val="single"/>
        </w:rPr>
        <w:t>,</w:t>
      </w:r>
      <w:r>
        <w:rPr>
          <w:rFonts w:ascii="Times New Roman" w:hAnsi="Times New Roman"/>
          <w:sz w:val="24"/>
          <w:szCs w:val="24"/>
        </w:rPr>
        <w:t xml:space="preserve"> pero más allá de la polémica sobre la inevitabilidad de los errores que pueden cometerse en la </w:t>
      </w:r>
      <w:r w:rsidRPr="00F76868">
        <w:rPr>
          <w:rFonts w:ascii="Times New Roman" w:hAnsi="Times New Roman"/>
          <w:sz w:val="24"/>
          <w:szCs w:val="24"/>
        </w:rPr>
        <w:t>toma de decisiones en un contexto de incertidumb</w:t>
      </w:r>
      <w:r>
        <w:rPr>
          <w:rFonts w:ascii="Times New Roman" w:hAnsi="Times New Roman"/>
          <w:sz w:val="24"/>
          <w:szCs w:val="24"/>
        </w:rPr>
        <w:t>re(existen dos tipos de errores, u</w:t>
      </w:r>
      <w:r w:rsidRPr="00F76868">
        <w:rPr>
          <w:rFonts w:ascii="Times New Roman" w:hAnsi="Times New Roman"/>
          <w:sz w:val="24"/>
          <w:szCs w:val="24"/>
        </w:rPr>
        <w:t>no consiste en rechazar una propuesta verdadera; el otro, en</w:t>
      </w:r>
      <w:r>
        <w:rPr>
          <w:rFonts w:ascii="Times New Roman" w:hAnsi="Times New Roman"/>
          <w:sz w:val="24"/>
          <w:szCs w:val="24"/>
        </w:rPr>
        <w:t xml:space="preserve"> aceptar una propuesta falsa), puede afirmarse con rotundidad que Bernanke no fue “capaz” de retirar la ponchera, en la mitad de la fiesta. No supo, no quiso o no pudo. Lo demás, es historia…</w:t>
      </w:r>
    </w:p>
    <w:p w:rsidR="0059399B" w:rsidRDefault="002F07D4" w:rsidP="002F07D4">
      <w:pPr>
        <w:spacing w:line="240" w:lineRule="auto"/>
        <w:jc w:val="both"/>
        <w:rPr>
          <w:rFonts w:ascii="Times New Roman" w:hAnsi="Times New Roman"/>
          <w:sz w:val="24"/>
          <w:szCs w:val="24"/>
        </w:rPr>
      </w:pPr>
      <w:r>
        <w:rPr>
          <w:rFonts w:ascii="Times New Roman" w:hAnsi="Times New Roman"/>
          <w:sz w:val="24"/>
          <w:szCs w:val="24"/>
        </w:rPr>
        <w:t>Las “amistades peligrosas” de Greenspan, primero, con la “patrocinio” de Paulson (el hombre que vació el Tesoro; “factótum” de Goldman Sachs, no hay que olvidarlo), y luego, con la “cooperación necesaria” de Geithner (responsable de la Fed de Nueva York; la Cueva de Alí Babá, de donde se “permitieron, toleraron -si no promovieron- y bendijeron” las mayores especulaciones de la banca “global”), subieron a Bernanke al helicóptero para que lanzara billetes sobre Wall Str</w:t>
      </w:r>
      <w:r w:rsidR="00246AB8">
        <w:rPr>
          <w:rFonts w:ascii="Times New Roman" w:hAnsi="Times New Roman"/>
          <w:sz w:val="24"/>
          <w:szCs w:val="24"/>
        </w:rPr>
        <w:t xml:space="preserve">eet, donde continúa.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Probablemente a Ben Bernanke se le pueda acusar de ser un “ladrón de confianza”. Ha traicionado la confianza de los trabajadores, de los ahorristas, de los inversores, de los electores.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Su mayor fallo, tal vez, haya sido, haber socorrido a los agentes imprudentes. Los rescates sistémicos de la crisis más reciente -por más que fueran necesarios para evitar un derrumbe global- agravaron el problema de riesgo moral.  </w:t>
      </w:r>
    </w:p>
    <w:p w:rsidR="002F07D4" w:rsidRPr="001B0145" w:rsidRDefault="002F07D4" w:rsidP="002F07D4">
      <w:pPr>
        <w:spacing w:line="240" w:lineRule="auto"/>
        <w:jc w:val="both"/>
        <w:rPr>
          <w:rFonts w:ascii="Times New Roman" w:hAnsi="Times New Roman"/>
          <w:sz w:val="24"/>
          <w:szCs w:val="24"/>
        </w:rPr>
      </w:pPr>
      <w:r>
        <w:rPr>
          <w:rFonts w:ascii="Times New Roman" w:hAnsi="Times New Roman"/>
          <w:sz w:val="24"/>
          <w:szCs w:val="24"/>
        </w:rPr>
        <w:t>No sólo se auxilió</w:t>
      </w:r>
      <w:r w:rsidRPr="001B0145">
        <w:rPr>
          <w:rFonts w:ascii="Times New Roman" w:hAnsi="Times New Roman"/>
          <w:sz w:val="24"/>
          <w:szCs w:val="24"/>
        </w:rPr>
        <w:t xml:space="preserve"> a las instituciones financieras “demasiado grandes para quebrar”, sino que la distorsión se agravó, ya que estas instituciones se han vuelto incluso más grandes -a través de la consolidación del sector financiero-. Si una institución es demasiado grande para quebrar, es demasiado grande y hay que dividirla. </w:t>
      </w:r>
    </w:p>
    <w:p w:rsidR="002F07D4" w:rsidRPr="001B0145" w:rsidRDefault="002F07D4" w:rsidP="002F07D4">
      <w:pPr>
        <w:spacing w:line="240" w:lineRule="auto"/>
        <w:jc w:val="both"/>
        <w:rPr>
          <w:rFonts w:ascii="Times New Roman" w:hAnsi="Times New Roman"/>
          <w:sz w:val="24"/>
          <w:szCs w:val="24"/>
        </w:rPr>
      </w:pPr>
      <w:r w:rsidRPr="001B0145">
        <w:rPr>
          <w:rFonts w:ascii="Times New Roman" w:hAnsi="Times New Roman"/>
          <w:sz w:val="24"/>
          <w:szCs w:val="24"/>
        </w:rPr>
        <w:t xml:space="preserve">No hay manera de controlar la codicia mediante alguna apelación a la moralidad y a los valores. La codicia tiene que ser controlada por el miedo a perder, que deriva de saber que las instituciones y los agentes imprudentes no serán rescatados. </w:t>
      </w:r>
    </w:p>
    <w:p w:rsidR="002F07D4" w:rsidRDefault="002F07D4" w:rsidP="002F07D4">
      <w:pPr>
        <w:spacing w:line="240" w:lineRule="auto"/>
        <w:jc w:val="both"/>
        <w:rPr>
          <w:rFonts w:ascii="Times New Roman" w:hAnsi="Times New Roman"/>
          <w:sz w:val="24"/>
          <w:szCs w:val="24"/>
        </w:rPr>
      </w:pPr>
      <w:r w:rsidRPr="001B0145">
        <w:rPr>
          <w:rFonts w:ascii="Times New Roman" w:hAnsi="Times New Roman"/>
          <w:sz w:val="24"/>
          <w:szCs w:val="24"/>
        </w:rPr>
        <w:t>A me</w:t>
      </w:r>
      <w:r>
        <w:rPr>
          <w:rFonts w:ascii="Times New Roman" w:hAnsi="Times New Roman"/>
          <w:sz w:val="24"/>
          <w:szCs w:val="24"/>
        </w:rPr>
        <w:t>nos que se lleven</w:t>
      </w:r>
      <w:r w:rsidRPr="001B0145">
        <w:rPr>
          <w:rFonts w:ascii="Times New Roman" w:hAnsi="Times New Roman"/>
          <w:sz w:val="24"/>
          <w:szCs w:val="24"/>
        </w:rPr>
        <w:t xml:space="preserve"> a cabo estas reformas radicales, aparecerán nuevos Gordon Gekko (Milken)</w:t>
      </w:r>
      <w:r>
        <w:rPr>
          <w:rFonts w:ascii="Times New Roman" w:hAnsi="Times New Roman"/>
          <w:sz w:val="24"/>
          <w:szCs w:val="24"/>
        </w:rPr>
        <w:t xml:space="preserve"> -</w:t>
      </w:r>
      <w:r w:rsidRPr="001B0145">
        <w:rPr>
          <w:rFonts w:ascii="Times New Roman" w:hAnsi="Times New Roman"/>
          <w:sz w:val="24"/>
          <w:szCs w:val="24"/>
        </w:rPr>
        <w:t>y Charles Ponzi (Madoff)</w:t>
      </w:r>
      <w:r>
        <w:rPr>
          <w:rFonts w:ascii="Times New Roman" w:hAnsi="Times New Roman"/>
          <w:sz w:val="24"/>
          <w:szCs w:val="24"/>
        </w:rPr>
        <w:t>-</w:t>
      </w:r>
      <w:r w:rsidRPr="001B0145">
        <w:rPr>
          <w:rFonts w:ascii="Times New Roman" w:hAnsi="Times New Roman"/>
          <w:sz w:val="24"/>
          <w:szCs w:val="24"/>
        </w:rPr>
        <w:t>. Por cada Gekko castigado y excarcel</w:t>
      </w:r>
      <w:r>
        <w:rPr>
          <w:rFonts w:ascii="Times New Roman" w:hAnsi="Times New Roman"/>
          <w:sz w:val="24"/>
          <w:szCs w:val="24"/>
        </w:rPr>
        <w:t>ado -como el Gekko de la próxima película“</w:t>
      </w:r>
      <w:r w:rsidRPr="001B0145">
        <w:rPr>
          <w:rFonts w:ascii="Times New Roman" w:hAnsi="Times New Roman"/>
          <w:sz w:val="24"/>
          <w:szCs w:val="24"/>
        </w:rPr>
        <w:t>Wall Street</w:t>
      </w:r>
      <w:r>
        <w:rPr>
          <w:rFonts w:ascii="Times New Roman" w:hAnsi="Times New Roman"/>
          <w:sz w:val="24"/>
          <w:szCs w:val="24"/>
        </w:rPr>
        <w:t>”</w:t>
      </w:r>
      <w:r w:rsidRPr="001B0145">
        <w:rPr>
          <w:rFonts w:ascii="Times New Roman" w:hAnsi="Times New Roman"/>
          <w:sz w:val="24"/>
          <w:szCs w:val="24"/>
        </w:rPr>
        <w:t xml:space="preserve">-, otros cientos de Gekkos más mezquinos y codiciosos nacerán.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Mucho me temo que la historia juzgará a Ben Bernanke como el “padre” de la inflación (o hiperinflación) moderna, que es el único camino que va quedando disponible para “licuar” las deudas públicas y privadas (esta frase ha sido escrita, “en perfecto estado de mis facultades mentales”, a los 15 días de mes de agosto de 2010, a la espera que el tiempo de o quite razones). Como “ex paciente” argentino, sé de lo que se trata.</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Entonces a la “malversación” (de la banca), se agregará la “falsificación” (de la Fed)…</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Y ya que hablamos de historia, recordemos algunas “</w:t>
      </w:r>
      <w:r w:rsidRPr="007847F6">
        <w:rPr>
          <w:rFonts w:ascii="Times New Roman" w:hAnsi="Times New Roman"/>
          <w:b/>
          <w:sz w:val="24"/>
          <w:szCs w:val="24"/>
        </w:rPr>
        <w:t>causas pendientes</w:t>
      </w:r>
      <w:r>
        <w:rPr>
          <w:rFonts w:ascii="Times New Roman" w:hAnsi="Times New Roman"/>
          <w:sz w:val="24"/>
          <w:szCs w:val="24"/>
        </w:rPr>
        <w:t>” de resolver:</w:t>
      </w:r>
    </w:p>
    <w:p w:rsidR="002F07D4" w:rsidRDefault="002F07D4" w:rsidP="002F07D4">
      <w:pPr>
        <w:spacing w:line="240" w:lineRule="auto"/>
        <w:jc w:val="both"/>
        <w:rPr>
          <w:rFonts w:ascii="Times New Roman" w:hAnsi="Times New Roman"/>
          <w:sz w:val="24"/>
          <w:szCs w:val="24"/>
        </w:rPr>
      </w:pPr>
      <w:r w:rsidRPr="00C24C86">
        <w:rPr>
          <w:rFonts w:ascii="Times New Roman" w:hAnsi="Times New Roman"/>
          <w:sz w:val="24"/>
          <w:szCs w:val="24"/>
        </w:rPr>
        <w:lastRenderedPageBreak/>
        <w:t xml:space="preserve">Tras los rescate financieros y nacionalizaciones, es muy famosa su frase para describir a George Bush, </w:t>
      </w:r>
      <w:r w:rsidRPr="00413C55">
        <w:rPr>
          <w:rFonts w:ascii="Times New Roman" w:hAnsi="Times New Roman"/>
          <w:sz w:val="24"/>
          <w:szCs w:val="24"/>
        </w:rPr>
        <w:t>Henry Paulson y Ben Bernanke</w:t>
      </w:r>
      <w:r w:rsidRPr="00C24C86">
        <w:rPr>
          <w:rFonts w:ascii="Times New Roman" w:hAnsi="Times New Roman"/>
          <w:sz w:val="24"/>
          <w:szCs w:val="24"/>
        </w:rPr>
        <w:t xml:space="preserve"> como “la troika </w:t>
      </w:r>
      <w:r>
        <w:rPr>
          <w:rFonts w:ascii="Times New Roman" w:hAnsi="Times New Roman"/>
          <w:sz w:val="24"/>
          <w:szCs w:val="24"/>
        </w:rPr>
        <w:t>de bolcheviques que fue capaz</w:t>
      </w:r>
      <w:r w:rsidRPr="00C24C86">
        <w:rPr>
          <w:rFonts w:ascii="Times New Roman" w:hAnsi="Times New Roman"/>
          <w:sz w:val="24"/>
          <w:szCs w:val="24"/>
        </w:rPr>
        <w:t xml:space="preserve"> de convertir Estados Unidos en la República Socialista de Estados Unidos de América”.</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(Llama la atención</w:t>
      </w:r>
      <w:r w:rsidRPr="00CE2391">
        <w:rPr>
          <w:rFonts w:ascii="Times New Roman" w:hAnsi="Times New Roman"/>
          <w:sz w:val="24"/>
          <w:szCs w:val="24"/>
        </w:rPr>
        <w:t xml:space="preserve"> la credibilidad que tiene</w:t>
      </w:r>
      <w:r>
        <w:rPr>
          <w:rFonts w:ascii="Times New Roman" w:hAnsi="Times New Roman"/>
          <w:sz w:val="24"/>
          <w:szCs w:val="24"/>
        </w:rPr>
        <w:t>, aún</w:t>
      </w:r>
      <w:r w:rsidRPr="00CE2391">
        <w:rPr>
          <w:rFonts w:ascii="Times New Roman" w:hAnsi="Times New Roman"/>
          <w:sz w:val="24"/>
          <w:szCs w:val="24"/>
        </w:rPr>
        <w:t xml:space="preserve"> hoy</w:t>
      </w:r>
      <w:r>
        <w:rPr>
          <w:rFonts w:ascii="Times New Roman" w:hAnsi="Times New Roman"/>
          <w:sz w:val="24"/>
          <w:szCs w:val="24"/>
        </w:rPr>
        <w:t>,</w:t>
      </w:r>
      <w:r w:rsidRPr="00CE2391">
        <w:rPr>
          <w:rFonts w:ascii="Times New Roman" w:hAnsi="Times New Roman"/>
          <w:sz w:val="24"/>
          <w:szCs w:val="24"/>
        </w:rPr>
        <w:t xml:space="preserve"> Bernanke. Su caso es ilustrativo. No debería tener ninguna credibilidad -no entiende el funcionamiento de los mercados-, pero sí la tiene. Todo el mundo lo cita cuando habla, independientemente de lo que diga, t</w:t>
      </w:r>
      <w:r>
        <w:rPr>
          <w:rFonts w:ascii="Times New Roman" w:hAnsi="Times New Roman"/>
          <w:sz w:val="24"/>
          <w:szCs w:val="24"/>
        </w:rPr>
        <w:t>al y como sucedía con Greenspan)</w:t>
      </w:r>
    </w:p>
    <w:p w:rsidR="002F07D4" w:rsidRPr="00CE2391" w:rsidRDefault="002F07D4" w:rsidP="002F07D4">
      <w:pPr>
        <w:numPr>
          <w:ilvl w:val="0"/>
          <w:numId w:val="9"/>
        </w:numPr>
        <w:spacing w:line="240" w:lineRule="auto"/>
        <w:jc w:val="both"/>
        <w:rPr>
          <w:rFonts w:ascii="Times New Roman" w:hAnsi="Times New Roman"/>
          <w:sz w:val="24"/>
          <w:szCs w:val="24"/>
        </w:rPr>
      </w:pPr>
      <w:r w:rsidRPr="00CE2391">
        <w:rPr>
          <w:rFonts w:ascii="Times New Roman" w:hAnsi="Times New Roman"/>
          <w:sz w:val="24"/>
          <w:szCs w:val="24"/>
        </w:rPr>
        <w:t>La FED en 2007: la burbuja inmobiliaria no causará ningún problema en EEUU</w:t>
      </w:r>
      <w:r>
        <w:rPr>
          <w:rFonts w:ascii="Times New Roman" w:hAnsi="Times New Roman"/>
          <w:sz w:val="24"/>
          <w:szCs w:val="24"/>
        </w:rPr>
        <w:t>.</w:t>
      </w:r>
    </w:p>
    <w:p w:rsidR="002F07D4" w:rsidRPr="0024075F" w:rsidRDefault="002F07D4" w:rsidP="002F07D4">
      <w:pPr>
        <w:numPr>
          <w:ilvl w:val="0"/>
          <w:numId w:val="9"/>
        </w:numPr>
        <w:spacing w:line="240" w:lineRule="auto"/>
        <w:jc w:val="both"/>
        <w:rPr>
          <w:rFonts w:ascii="Times New Roman" w:hAnsi="Times New Roman"/>
          <w:sz w:val="24"/>
          <w:szCs w:val="24"/>
        </w:rPr>
      </w:pPr>
      <w:r>
        <w:rPr>
          <w:rFonts w:ascii="Times New Roman" w:hAnsi="Times New Roman"/>
          <w:sz w:val="24"/>
          <w:szCs w:val="24"/>
        </w:rPr>
        <w:t>Es uno de los creadores de la “burbuja”</w:t>
      </w:r>
      <w:r w:rsidRPr="0024075F">
        <w:rPr>
          <w:rFonts w:ascii="Times New Roman" w:hAnsi="Times New Roman"/>
          <w:sz w:val="24"/>
          <w:szCs w:val="24"/>
        </w:rPr>
        <w:t xml:space="preserve"> inmobiliaria</w:t>
      </w:r>
      <w:r>
        <w:rPr>
          <w:rFonts w:ascii="Times New Roman" w:hAnsi="Times New Roman"/>
          <w:sz w:val="24"/>
          <w:szCs w:val="24"/>
        </w:rPr>
        <w:t>.</w:t>
      </w:r>
    </w:p>
    <w:p w:rsidR="002F07D4" w:rsidRPr="0024075F" w:rsidRDefault="002F07D4" w:rsidP="002F07D4">
      <w:pPr>
        <w:numPr>
          <w:ilvl w:val="0"/>
          <w:numId w:val="9"/>
        </w:numPr>
        <w:spacing w:line="240" w:lineRule="auto"/>
        <w:jc w:val="both"/>
        <w:rPr>
          <w:rFonts w:ascii="Times New Roman" w:hAnsi="Times New Roman"/>
          <w:sz w:val="24"/>
          <w:szCs w:val="24"/>
        </w:rPr>
      </w:pPr>
      <w:r w:rsidRPr="0024075F">
        <w:rPr>
          <w:rFonts w:ascii="Times New Roman" w:hAnsi="Times New Roman"/>
          <w:sz w:val="24"/>
          <w:szCs w:val="24"/>
        </w:rPr>
        <w:t>Es uno de los artífices de la política económica de Bush</w:t>
      </w:r>
      <w:r>
        <w:rPr>
          <w:rFonts w:ascii="Times New Roman" w:hAnsi="Times New Roman"/>
          <w:sz w:val="24"/>
          <w:szCs w:val="24"/>
        </w:rPr>
        <w:t>.</w:t>
      </w:r>
    </w:p>
    <w:p w:rsidR="002F07D4" w:rsidRPr="0024075F" w:rsidRDefault="002F07D4" w:rsidP="002F07D4">
      <w:pPr>
        <w:numPr>
          <w:ilvl w:val="0"/>
          <w:numId w:val="9"/>
        </w:numPr>
        <w:spacing w:line="240" w:lineRule="auto"/>
        <w:jc w:val="both"/>
        <w:rPr>
          <w:rFonts w:ascii="Times New Roman" w:hAnsi="Times New Roman"/>
          <w:sz w:val="24"/>
          <w:szCs w:val="24"/>
        </w:rPr>
      </w:pPr>
      <w:r w:rsidRPr="0024075F">
        <w:rPr>
          <w:rFonts w:ascii="Times New Roman" w:hAnsi="Times New Roman"/>
          <w:sz w:val="24"/>
          <w:szCs w:val="24"/>
        </w:rPr>
        <w:t>Es extremadamente impopular</w:t>
      </w:r>
      <w:r>
        <w:rPr>
          <w:rFonts w:ascii="Times New Roman" w:hAnsi="Times New Roman"/>
          <w:sz w:val="24"/>
          <w:szCs w:val="24"/>
        </w:rPr>
        <w:t>.</w:t>
      </w:r>
    </w:p>
    <w:p w:rsidR="002F07D4" w:rsidRPr="0024075F" w:rsidRDefault="002F07D4" w:rsidP="002F07D4">
      <w:pPr>
        <w:numPr>
          <w:ilvl w:val="0"/>
          <w:numId w:val="9"/>
        </w:numPr>
        <w:spacing w:line="240" w:lineRule="auto"/>
        <w:jc w:val="both"/>
        <w:rPr>
          <w:rFonts w:ascii="Times New Roman" w:hAnsi="Times New Roman"/>
          <w:sz w:val="24"/>
          <w:szCs w:val="24"/>
        </w:rPr>
      </w:pPr>
      <w:r w:rsidRPr="0024075F">
        <w:rPr>
          <w:rFonts w:ascii="Times New Roman" w:hAnsi="Times New Roman"/>
          <w:sz w:val="24"/>
          <w:szCs w:val="24"/>
        </w:rPr>
        <w:t>Ha protegido a los bancos y ha interferido en la gestión de entidades privadas</w:t>
      </w:r>
      <w:r>
        <w:rPr>
          <w:rFonts w:ascii="Times New Roman" w:hAnsi="Times New Roman"/>
          <w:sz w:val="24"/>
          <w:szCs w:val="24"/>
        </w:rPr>
        <w:t>.</w:t>
      </w:r>
    </w:p>
    <w:p w:rsidR="002F07D4" w:rsidRDefault="002F07D4" w:rsidP="002F07D4">
      <w:pPr>
        <w:numPr>
          <w:ilvl w:val="0"/>
          <w:numId w:val="9"/>
        </w:numPr>
        <w:spacing w:line="240" w:lineRule="auto"/>
        <w:jc w:val="both"/>
        <w:rPr>
          <w:rFonts w:ascii="Times New Roman" w:hAnsi="Times New Roman"/>
          <w:sz w:val="24"/>
          <w:szCs w:val="24"/>
        </w:rPr>
      </w:pPr>
      <w:r>
        <w:rPr>
          <w:rFonts w:ascii="Times New Roman" w:hAnsi="Times New Roman"/>
          <w:sz w:val="24"/>
          <w:szCs w:val="24"/>
        </w:rPr>
        <w:t>¿Un pirómano reconvertido en bombero?</w:t>
      </w:r>
    </w:p>
    <w:p w:rsidR="002F07D4" w:rsidRDefault="002F07D4" w:rsidP="002F07D4">
      <w:pPr>
        <w:numPr>
          <w:ilvl w:val="0"/>
          <w:numId w:val="9"/>
        </w:numPr>
        <w:spacing w:line="240" w:lineRule="auto"/>
        <w:jc w:val="both"/>
        <w:rPr>
          <w:rFonts w:ascii="Times New Roman" w:hAnsi="Times New Roman"/>
          <w:sz w:val="24"/>
          <w:szCs w:val="24"/>
        </w:rPr>
      </w:pPr>
      <w:r>
        <w:rPr>
          <w:rFonts w:ascii="Times New Roman" w:hAnsi="Times New Roman"/>
          <w:sz w:val="24"/>
          <w:szCs w:val="24"/>
        </w:rPr>
        <w:t>Ha permitido la creación de monstruos que ni él ni sus beneficiaros directos llegaron a entender nunca.</w:t>
      </w:r>
    </w:p>
    <w:p w:rsidR="002F07D4" w:rsidRPr="00E5432D" w:rsidRDefault="002F07D4" w:rsidP="002F07D4">
      <w:pPr>
        <w:numPr>
          <w:ilvl w:val="0"/>
          <w:numId w:val="9"/>
        </w:numPr>
        <w:spacing w:line="240" w:lineRule="auto"/>
        <w:jc w:val="both"/>
        <w:rPr>
          <w:rFonts w:ascii="Times New Roman" w:hAnsi="Times New Roman"/>
          <w:sz w:val="24"/>
          <w:szCs w:val="24"/>
        </w:rPr>
      </w:pPr>
      <w:r w:rsidRPr="00E5432D">
        <w:rPr>
          <w:rFonts w:ascii="Times New Roman" w:hAnsi="Times New Roman"/>
          <w:sz w:val="24"/>
          <w:szCs w:val="24"/>
        </w:rPr>
        <w:t>Es claro que la Fed pasó por alto riesgos excesivos dentro y fuera de los balances de los bancos que supervisa y regula.</w:t>
      </w:r>
    </w:p>
    <w:p w:rsidR="002F07D4" w:rsidRDefault="002F07D4" w:rsidP="002F07D4">
      <w:pPr>
        <w:numPr>
          <w:ilvl w:val="0"/>
          <w:numId w:val="9"/>
        </w:numPr>
        <w:spacing w:line="240" w:lineRule="auto"/>
        <w:jc w:val="both"/>
        <w:rPr>
          <w:rFonts w:ascii="Times New Roman" w:hAnsi="Times New Roman"/>
          <w:sz w:val="24"/>
          <w:szCs w:val="24"/>
        </w:rPr>
      </w:pPr>
      <w:r>
        <w:rPr>
          <w:rFonts w:ascii="Times New Roman" w:hAnsi="Times New Roman"/>
          <w:sz w:val="24"/>
          <w:szCs w:val="24"/>
        </w:rPr>
        <w:t xml:space="preserve">Ha sido permisivo (por acción u omisión) con los “tahúres de la miseria” </w:t>
      </w:r>
      <w:r w:rsidRPr="00CE2391">
        <w:rPr>
          <w:rFonts w:ascii="Times New Roman" w:hAnsi="Times New Roman"/>
          <w:sz w:val="24"/>
          <w:szCs w:val="24"/>
        </w:rPr>
        <w:t>(los que jugaron a ser Dios de forma arbitraria con el dinero de la gente)</w:t>
      </w:r>
      <w:r>
        <w:rPr>
          <w:rFonts w:ascii="Times New Roman" w:hAnsi="Times New Roman"/>
          <w:sz w:val="24"/>
          <w:szCs w:val="24"/>
        </w:rPr>
        <w:t>.</w:t>
      </w:r>
    </w:p>
    <w:p w:rsidR="002F07D4" w:rsidRDefault="002F07D4" w:rsidP="002F07D4">
      <w:pPr>
        <w:numPr>
          <w:ilvl w:val="0"/>
          <w:numId w:val="9"/>
        </w:numPr>
        <w:spacing w:line="240" w:lineRule="auto"/>
        <w:jc w:val="both"/>
        <w:rPr>
          <w:rFonts w:ascii="Times New Roman" w:hAnsi="Times New Roman"/>
          <w:sz w:val="24"/>
          <w:szCs w:val="24"/>
        </w:rPr>
      </w:pPr>
      <w:r w:rsidRPr="00AD2CD3">
        <w:rPr>
          <w:rFonts w:ascii="Times New Roman" w:hAnsi="Times New Roman"/>
          <w:sz w:val="24"/>
          <w:szCs w:val="24"/>
        </w:rPr>
        <w:t xml:space="preserve">Sheila Bair, la presidenta del Fondo de Garantía de Depósitos, la mujer más poderosa de </w:t>
      </w:r>
      <w:r>
        <w:rPr>
          <w:rFonts w:ascii="Times New Roman" w:hAnsi="Times New Roman"/>
          <w:sz w:val="24"/>
          <w:szCs w:val="24"/>
        </w:rPr>
        <w:t>la economía de EE</w:t>
      </w:r>
      <w:r w:rsidRPr="00AD2CD3">
        <w:rPr>
          <w:rFonts w:ascii="Times New Roman" w:hAnsi="Times New Roman"/>
          <w:sz w:val="24"/>
          <w:szCs w:val="24"/>
        </w:rPr>
        <w:t>UU por el papel que está jugando en el rescate de las entidades en apuros, señaló ayer a la Reserva Federal (Fed) como culpable en gran parte de la crisis, por no haber supervisado el mercado hipotecario</w:t>
      </w:r>
      <w:r>
        <w:rPr>
          <w:rFonts w:ascii="Times New Roman" w:hAnsi="Times New Roman"/>
          <w:sz w:val="24"/>
          <w:szCs w:val="24"/>
        </w:rPr>
        <w:t xml:space="preserve">. (El País - </w:t>
      </w:r>
      <w:r w:rsidRPr="007C004A">
        <w:rPr>
          <w:rFonts w:ascii="Times New Roman" w:hAnsi="Times New Roman"/>
          <w:b/>
          <w:sz w:val="24"/>
          <w:szCs w:val="24"/>
        </w:rPr>
        <w:t>15/1/10</w:t>
      </w:r>
      <w:r>
        <w:rPr>
          <w:rFonts w:ascii="Times New Roman" w:hAnsi="Times New Roman"/>
          <w:sz w:val="24"/>
          <w:szCs w:val="24"/>
        </w:rPr>
        <w:t>)</w:t>
      </w:r>
    </w:p>
    <w:p w:rsidR="002F07D4" w:rsidRPr="00AD2CD3" w:rsidRDefault="002F07D4" w:rsidP="002F07D4">
      <w:pPr>
        <w:numPr>
          <w:ilvl w:val="0"/>
          <w:numId w:val="9"/>
        </w:numPr>
        <w:spacing w:line="240" w:lineRule="auto"/>
        <w:jc w:val="both"/>
        <w:rPr>
          <w:rFonts w:ascii="Times New Roman" w:hAnsi="Times New Roman"/>
          <w:sz w:val="24"/>
          <w:szCs w:val="24"/>
        </w:rPr>
      </w:pPr>
      <w:r w:rsidRPr="00AD2CD3">
        <w:rPr>
          <w:rFonts w:ascii="Times New Roman" w:hAnsi="Times New Roman"/>
          <w:sz w:val="24"/>
          <w:szCs w:val="24"/>
        </w:rPr>
        <w:t>Antes de que estallara la crisis, Bernanke era en gran medida un funcionario de la Reserva convencional y típico, que compartía plenamente la complacencia de la institución. Y lo que es peor, después de que terminase la fase aguda de la crisis, volvió a sumergirse en esa corriente dominante. Una vez más, la Reserva siente una complacencia peligrosa y, una vez más, Bernanke parece compartirla.</w:t>
      </w:r>
      <w:r>
        <w:rPr>
          <w:rFonts w:ascii="Times New Roman" w:hAnsi="Times New Roman"/>
          <w:sz w:val="24"/>
          <w:szCs w:val="24"/>
        </w:rPr>
        <w:t xml:space="preserve"> (Paul Krugman - El País - </w:t>
      </w:r>
      <w:r w:rsidRPr="00B90488">
        <w:rPr>
          <w:rFonts w:ascii="Times New Roman" w:hAnsi="Times New Roman"/>
          <w:b/>
          <w:sz w:val="24"/>
          <w:szCs w:val="24"/>
        </w:rPr>
        <w:t>26/1/10</w:t>
      </w:r>
      <w:r>
        <w:rPr>
          <w:rFonts w:ascii="Times New Roman" w:hAnsi="Times New Roman"/>
          <w:sz w:val="24"/>
          <w:szCs w:val="24"/>
        </w:rPr>
        <w:t>)</w:t>
      </w:r>
    </w:p>
    <w:p w:rsidR="002F07D4" w:rsidRDefault="002F07D4" w:rsidP="002F07D4">
      <w:pPr>
        <w:numPr>
          <w:ilvl w:val="0"/>
          <w:numId w:val="9"/>
        </w:numPr>
        <w:spacing w:line="240" w:lineRule="auto"/>
        <w:jc w:val="both"/>
        <w:rPr>
          <w:rFonts w:ascii="Times New Roman" w:hAnsi="Times New Roman"/>
          <w:sz w:val="24"/>
          <w:szCs w:val="24"/>
        </w:rPr>
      </w:pPr>
      <w:r>
        <w:rPr>
          <w:rFonts w:ascii="Times New Roman" w:hAnsi="Times New Roman"/>
          <w:sz w:val="24"/>
          <w:szCs w:val="24"/>
        </w:rPr>
        <w:t>Ha mantenido a la FED como el mayor manipulador del mercado bursátil.</w:t>
      </w:r>
    </w:p>
    <w:p w:rsidR="002F07D4" w:rsidRPr="00204141" w:rsidRDefault="002F07D4" w:rsidP="002F07D4">
      <w:pPr>
        <w:numPr>
          <w:ilvl w:val="0"/>
          <w:numId w:val="9"/>
        </w:numPr>
        <w:spacing w:line="240" w:lineRule="auto"/>
        <w:jc w:val="both"/>
        <w:rPr>
          <w:rFonts w:ascii="Times New Roman" w:hAnsi="Times New Roman"/>
          <w:sz w:val="24"/>
          <w:szCs w:val="24"/>
        </w:rPr>
      </w:pPr>
      <w:r>
        <w:rPr>
          <w:rFonts w:ascii="Times New Roman" w:hAnsi="Times New Roman"/>
          <w:sz w:val="24"/>
          <w:szCs w:val="24"/>
        </w:rPr>
        <w:t>La política monetaria de la FED</w:t>
      </w:r>
      <w:r w:rsidRPr="00204141">
        <w:rPr>
          <w:rFonts w:ascii="Times New Roman" w:hAnsi="Times New Roman"/>
          <w:sz w:val="24"/>
          <w:szCs w:val="24"/>
        </w:rPr>
        <w:t xml:space="preserve"> ha recibido numerosas críticas en los últimos años, por haber generado o exagerado el perverso ciclo económico, cuya fase de crisis estamos sufriendo todavía.</w:t>
      </w:r>
    </w:p>
    <w:p w:rsidR="002F07D4" w:rsidRPr="00CE2391" w:rsidRDefault="002F07D4" w:rsidP="002F07D4">
      <w:pPr>
        <w:numPr>
          <w:ilvl w:val="0"/>
          <w:numId w:val="9"/>
        </w:numPr>
        <w:spacing w:line="240" w:lineRule="auto"/>
        <w:jc w:val="both"/>
        <w:rPr>
          <w:rFonts w:ascii="Times New Roman" w:hAnsi="Times New Roman"/>
          <w:sz w:val="24"/>
          <w:szCs w:val="24"/>
        </w:rPr>
      </w:pPr>
      <w:r w:rsidRPr="00CE2391">
        <w:rPr>
          <w:rFonts w:ascii="Times New Roman" w:hAnsi="Times New Roman"/>
          <w:sz w:val="24"/>
          <w:szCs w:val="24"/>
        </w:rPr>
        <w:t>Para algunos analistas la FED se encuentra en un dilema: o endurecer la política monetaria, con posibles efectos contractivos a corto plazo, o continuar como hasta ahora, con el riesgo de generar burbujas e inflación.</w:t>
      </w:r>
    </w:p>
    <w:p w:rsidR="002F07D4" w:rsidRPr="00CE2391" w:rsidRDefault="002F07D4" w:rsidP="002F07D4">
      <w:pPr>
        <w:numPr>
          <w:ilvl w:val="0"/>
          <w:numId w:val="9"/>
        </w:numPr>
        <w:spacing w:line="240" w:lineRule="auto"/>
        <w:jc w:val="both"/>
        <w:rPr>
          <w:rFonts w:ascii="Times New Roman" w:hAnsi="Times New Roman"/>
          <w:sz w:val="24"/>
          <w:szCs w:val="24"/>
        </w:rPr>
      </w:pPr>
      <w:r w:rsidRPr="00CE2391">
        <w:rPr>
          <w:rFonts w:ascii="Times New Roman" w:hAnsi="Times New Roman"/>
          <w:sz w:val="24"/>
          <w:szCs w:val="24"/>
        </w:rPr>
        <w:lastRenderedPageBreak/>
        <w:t>El debate sigue abierto, pero hasta el momento parece que son Bernanke y sus acólitos más inflacionistas, quienes llevan la batuta en el banco central estadounidense.</w:t>
      </w:r>
    </w:p>
    <w:p w:rsidR="002F07D4" w:rsidRDefault="002F07D4" w:rsidP="002F07D4">
      <w:pPr>
        <w:numPr>
          <w:ilvl w:val="0"/>
          <w:numId w:val="9"/>
        </w:numPr>
        <w:spacing w:line="240" w:lineRule="auto"/>
        <w:jc w:val="both"/>
        <w:rPr>
          <w:rFonts w:ascii="Times New Roman" w:hAnsi="Times New Roman"/>
          <w:sz w:val="24"/>
          <w:szCs w:val="24"/>
        </w:rPr>
      </w:pPr>
      <w:r>
        <w:rPr>
          <w:rFonts w:ascii="Times New Roman" w:hAnsi="Times New Roman"/>
          <w:sz w:val="24"/>
          <w:szCs w:val="24"/>
        </w:rPr>
        <w:t>La política de “dinero fácil”</w:t>
      </w:r>
      <w:r w:rsidRPr="00CE2391">
        <w:rPr>
          <w:rFonts w:ascii="Times New Roman" w:hAnsi="Times New Roman"/>
          <w:sz w:val="24"/>
          <w:szCs w:val="24"/>
        </w:rPr>
        <w:t xml:space="preserve"> de Bernanke va para largo</w:t>
      </w:r>
      <w:r>
        <w:rPr>
          <w:rFonts w:ascii="Times New Roman" w:hAnsi="Times New Roman"/>
          <w:sz w:val="24"/>
          <w:szCs w:val="24"/>
        </w:rPr>
        <w:t>.</w:t>
      </w:r>
    </w:p>
    <w:p w:rsidR="002F07D4" w:rsidRPr="00240D5E" w:rsidRDefault="002F07D4" w:rsidP="002F07D4">
      <w:pPr>
        <w:numPr>
          <w:ilvl w:val="0"/>
          <w:numId w:val="9"/>
        </w:numPr>
        <w:spacing w:line="240" w:lineRule="auto"/>
        <w:jc w:val="both"/>
        <w:rPr>
          <w:rFonts w:ascii="Times New Roman" w:hAnsi="Times New Roman"/>
          <w:sz w:val="24"/>
          <w:szCs w:val="24"/>
        </w:rPr>
      </w:pPr>
      <w:r w:rsidRPr="00240D5E">
        <w:rPr>
          <w:rFonts w:ascii="Times New Roman" w:hAnsi="Times New Roman"/>
          <w:sz w:val="24"/>
          <w:szCs w:val="24"/>
        </w:rPr>
        <w:t>Bernanke está aplicando una política monetaria aún más expansiva que Greenspan. Tiene los tipos de interés cerca</w:t>
      </w:r>
      <w:r>
        <w:rPr>
          <w:rFonts w:ascii="Times New Roman" w:hAnsi="Times New Roman"/>
          <w:sz w:val="24"/>
          <w:szCs w:val="24"/>
        </w:rPr>
        <w:t xml:space="preserve"> del 0%, y ha abierto</w:t>
      </w:r>
      <w:r w:rsidRPr="00240D5E">
        <w:rPr>
          <w:rFonts w:ascii="Times New Roman" w:hAnsi="Times New Roman"/>
          <w:sz w:val="24"/>
          <w:szCs w:val="24"/>
        </w:rPr>
        <w:t xml:space="preserve"> líneas de crédito nuevas para el sis</w:t>
      </w:r>
      <w:r>
        <w:rPr>
          <w:rFonts w:ascii="Times New Roman" w:hAnsi="Times New Roman"/>
          <w:sz w:val="24"/>
          <w:szCs w:val="24"/>
        </w:rPr>
        <w:t>tema bancario que, muy probablemente, sea</w:t>
      </w:r>
      <w:r w:rsidRPr="00240D5E">
        <w:rPr>
          <w:rFonts w:ascii="Times New Roman" w:hAnsi="Times New Roman"/>
          <w:sz w:val="24"/>
          <w:szCs w:val="24"/>
        </w:rPr>
        <w:t>n ilegales.</w:t>
      </w:r>
    </w:p>
    <w:p w:rsidR="002F07D4" w:rsidRPr="00240D5E" w:rsidRDefault="002F07D4" w:rsidP="002F07D4">
      <w:pPr>
        <w:numPr>
          <w:ilvl w:val="0"/>
          <w:numId w:val="9"/>
        </w:numPr>
        <w:spacing w:line="240" w:lineRule="auto"/>
        <w:jc w:val="both"/>
        <w:rPr>
          <w:rFonts w:ascii="Times New Roman" w:hAnsi="Times New Roman"/>
          <w:sz w:val="24"/>
          <w:szCs w:val="24"/>
        </w:rPr>
      </w:pPr>
      <w:r w:rsidRPr="00240D5E">
        <w:rPr>
          <w:rFonts w:ascii="Times New Roman" w:hAnsi="Times New Roman"/>
          <w:sz w:val="24"/>
          <w:szCs w:val="24"/>
        </w:rPr>
        <w:t>Bernanke actúa guiado por su tesis doctoral, centrada en cómo se podría haber evitado la Gran Depresión, y su receta es la creación de dinero y la inyección masiva de liquidez hacia el sistema bancario</w:t>
      </w:r>
      <w:r>
        <w:rPr>
          <w:rFonts w:ascii="Times New Roman" w:hAnsi="Times New Roman"/>
          <w:sz w:val="24"/>
          <w:szCs w:val="24"/>
        </w:rPr>
        <w:t>.</w:t>
      </w:r>
    </w:p>
    <w:p w:rsidR="002F07D4" w:rsidRDefault="002F07D4" w:rsidP="002F07D4">
      <w:pPr>
        <w:numPr>
          <w:ilvl w:val="0"/>
          <w:numId w:val="9"/>
        </w:numPr>
        <w:spacing w:line="240" w:lineRule="auto"/>
        <w:jc w:val="both"/>
        <w:rPr>
          <w:rFonts w:ascii="Times New Roman" w:hAnsi="Times New Roman"/>
          <w:sz w:val="24"/>
          <w:szCs w:val="24"/>
        </w:rPr>
      </w:pPr>
      <w:r w:rsidRPr="00240D5E">
        <w:rPr>
          <w:rFonts w:ascii="Times New Roman" w:hAnsi="Times New Roman"/>
          <w:sz w:val="24"/>
          <w:szCs w:val="24"/>
        </w:rPr>
        <w:t>Por eso sigue aumentando la cantidad de dinero, y seguirá haciéndolo hasta el punto en el que los bonos americanos a 10 años suban del 3% al 6%. No cambiará su política. Mantendrá los tipos de interés cerca del 0%. Quizá los suba un cuarto de punto, como mucho, pero continuará creando dinero hasta que tengamos inflación.</w:t>
      </w:r>
    </w:p>
    <w:p w:rsidR="002F07D4" w:rsidRPr="00B56D26" w:rsidRDefault="002F07D4" w:rsidP="002F07D4">
      <w:pPr>
        <w:numPr>
          <w:ilvl w:val="0"/>
          <w:numId w:val="9"/>
        </w:numPr>
        <w:spacing w:line="240" w:lineRule="auto"/>
        <w:jc w:val="both"/>
        <w:rPr>
          <w:rFonts w:ascii="Times New Roman" w:hAnsi="Times New Roman"/>
          <w:sz w:val="24"/>
          <w:szCs w:val="24"/>
        </w:rPr>
      </w:pPr>
      <w:r w:rsidRPr="00B56D26">
        <w:rPr>
          <w:rFonts w:ascii="Times New Roman" w:eastAsia="Times New Roman" w:hAnsi="Times New Roman"/>
          <w:sz w:val="24"/>
          <w:szCs w:val="24"/>
          <w:lang w:eastAsia="es-ES"/>
        </w:rPr>
        <w:t>¿Por qué los reguladores no lograro</w:t>
      </w:r>
      <w:r>
        <w:rPr>
          <w:rFonts w:ascii="Times New Roman" w:eastAsia="Times New Roman" w:hAnsi="Times New Roman"/>
          <w:sz w:val="24"/>
          <w:szCs w:val="24"/>
          <w:lang w:eastAsia="es-ES"/>
        </w:rPr>
        <w:t>n prevenir la última burbuja?: “</w:t>
      </w:r>
      <w:r w:rsidRPr="00B56D26">
        <w:rPr>
          <w:rFonts w:ascii="Times New Roman" w:eastAsia="Times New Roman" w:hAnsi="Times New Roman"/>
          <w:sz w:val="24"/>
          <w:szCs w:val="24"/>
          <w:lang w:eastAsia="es-ES"/>
        </w:rPr>
        <w:t>Detectamos una cantidad de problemas en desarrollo, pero la comunidad de supervisión financiera no fue lo suficientemente estricta, lo suficientemente rá</w:t>
      </w:r>
      <w:r>
        <w:rPr>
          <w:rFonts w:ascii="Times New Roman" w:eastAsia="Times New Roman" w:hAnsi="Times New Roman"/>
          <w:sz w:val="24"/>
          <w:szCs w:val="24"/>
          <w:lang w:eastAsia="es-ES"/>
        </w:rPr>
        <w:t>pida, respecto a esos problemas”</w:t>
      </w:r>
      <w:r w:rsidRPr="00B56D26">
        <w:rPr>
          <w:rFonts w:ascii="Times New Roman" w:eastAsia="Times New Roman" w:hAnsi="Times New Roman"/>
          <w:sz w:val="24"/>
          <w:szCs w:val="24"/>
          <w:lang w:eastAsia="es-ES"/>
        </w:rPr>
        <w:t>.(Donald Kohn El vicepresidente de la Reserva Federal de EEUU</w:t>
      </w:r>
      <w:r>
        <w:rPr>
          <w:rFonts w:ascii="Times New Roman" w:eastAsia="Times New Roman" w:hAnsi="Times New Roman"/>
          <w:sz w:val="24"/>
          <w:szCs w:val="24"/>
          <w:lang w:eastAsia="es-ES"/>
        </w:rPr>
        <w:t xml:space="preserve"> -</w:t>
      </w:r>
      <w:r w:rsidRPr="00B56D26">
        <w:rPr>
          <w:rFonts w:ascii="Times New Roman" w:eastAsia="Times New Roman" w:hAnsi="Times New Roman"/>
          <w:sz w:val="24"/>
          <w:szCs w:val="24"/>
          <w:lang w:eastAsia="es-ES"/>
        </w:rPr>
        <w:t xml:space="preserve"> The Wall Street Journal - </w:t>
      </w:r>
      <w:r w:rsidRPr="00B56D26">
        <w:rPr>
          <w:rFonts w:ascii="Times New Roman" w:eastAsia="Times New Roman" w:hAnsi="Times New Roman"/>
          <w:b/>
          <w:sz w:val="24"/>
          <w:szCs w:val="24"/>
          <w:lang w:eastAsia="es-ES"/>
        </w:rPr>
        <w:t>26/6/10</w:t>
      </w:r>
      <w:r w:rsidRPr="00B56D26">
        <w:rPr>
          <w:rFonts w:ascii="Times New Roman" w:eastAsia="Times New Roman" w:hAnsi="Times New Roman"/>
          <w:sz w:val="24"/>
          <w:szCs w:val="24"/>
          <w:lang w:eastAsia="es-ES"/>
        </w:rPr>
        <w:t xml:space="preserve">) </w:t>
      </w:r>
    </w:p>
    <w:p w:rsidR="002F07D4" w:rsidRPr="00B56D26" w:rsidRDefault="002F07D4" w:rsidP="002F07D4">
      <w:pPr>
        <w:numPr>
          <w:ilvl w:val="0"/>
          <w:numId w:val="9"/>
        </w:numPr>
        <w:spacing w:line="240" w:lineRule="auto"/>
        <w:jc w:val="both"/>
        <w:rPr>
          <w:rFonts w:ascii="Times New Roman" w:hAnsi="Times New Roman"/>
          <w:sz w:val="24"/>
          <w:szCs w:val="24"/>
        </w:rPr>
      </w:pPr>
      <w:r w:rsidRPr="00B56D26">
        <w:rPr>
          <w:rFonts w:ascii="Times New Roman" w:hAnsi="Times New Roman"/>
          <w:sz w:val="24"/>
          <w:szCs w:val="24"/>
        </w:rPr>
        <w:t>¿A qué se refiere Bernanke con el término “medidas adicionales”? Un reciente informe para inversores elaborado por Royal Bank of Scotland (RBS) avanza la posible intención, aún oculta</w:t>
      </w:r>
      <w:r>
        <w:rPr>
          <w:rFonts w:ascii="Times New Roman" w:hAnsi="Times New Roman"/>
          <w:sz w:val="24"/>
          <w:szCs w:val="24"/>
        </w:rPr>
        <w:t>, de Bernanke: una nueva ronda “monstruosa de quantitative easing”</w:t>
      </w:r>
      <w:r w:rsidRPr="00B56D26">
        <w:rPr>
          <w:rFonts w:ascii="Times New Roman" w:hAnsi="Times New Roman"/>
          <w:sz w:val="24"/>
          <w:szCs w:val="24"/>
        </w:rPr>
        <w:t>, es decir, una segunda fase de expansión monetaria, sólo que mucho más intensa y potente que la efectuada hasta ahora.</w:t>
      </w:r>
    </w:p>
    <w:p w:rsidR="002F07D4" w:rsidRDefault="002F07D4" w:rsidP="002F07D4">
      <w:pPr>
        <w:numPr>
          <w:ilvl w:val="0"/>
          <w:numId w:val="9"/>
        </w:numPr>
        <w:spacing w:line="240" w:lineRule="auto"/>
        <w:jc w:val="both"/>
        <w:rPr>
          <w:rFonts w:ascii="Times New Roman" w:hAnsi="Times New Roman"/>
          <w:sz w:val="24"/>
          <w:szCs w:val="24"/>
        </w:rPr>
      </w:pPr>
      <w:r w:rsidRPr="00B56D26">
        <w:rPr>
          <w:rFonts w:ascii="Times New Roman" w:hAnsi="Times New Roman"/>
          <w:sz w:val="24"/>
          <w:szCs w:val="24"/>
        </w:rPr>
        <w:t>La cifra que tiene en mente Bernanke asciende a cinco billones de dólares (casi un tercio del PIB estadounidense), ya que esta cifra fue “escrita a lápiz” en una de las actas oficiales de la FED como el “límite máximo de quanti</w:t>
      </w:r>
      <w:r>
        <w:rPr>
          <w:rFonts w:ascii="Times New Roman" w:hAnsi="Times New Roman"/>
          <w:sz w:val="24"/>
          <w:szCs w:val="24"/>
        </w:rPr>
        <w:t>ta</w:t>
      </w:r>
      <w:r w:rsidRPr="00B56D26">
        <w:rPr>
          <w:rFonts w:ascii="Times New Roman" w:hAnsi="Times New Roman"/>
          <w:sz w:val="24"/>
          <w:szCs w:val="24"/>
        </w:rPr>
        <w:t xml:space="preserve">tive easing” que se puede aplicar, según alerta la entidad. “Mucho más dinero del impreso hasta ahora”. (Libertad Digital - </w:t>
      </w:r>
      <w:r w:rsidRPr="00B56D26">
        <w:rPr>
          <w:rFonts w:ascii="Times New Roman" w:hAnsi="Times New Roman"/>
          <w:b/>
          <w:sz w:val="24"/>
          <w:szCs w:val="24"/>
        </w:rPr>
        <w:t>22/7/10</w:t>
      </w:r>
      <w:r w:rsidRPr="00B56D26">
        <w:rPr>
          <w:rFonts w:ascii="Times New Roman" w:hAnsi="Times New Roman"/>
          <w:sz w:val="24"/>
          <w:szCs w:val="24"/>
        </w:rPr>
        <w:t>)</w:t>
      </w:r>
    </w:p>
    <w:p w:rsidR="002F07D4" w:rsidRDefault="002F07D4" w:rsidP="002F07D4">
      <w:pPr>
        <w:numPr>
          <w:ilvl w:val="0"/>
          <w:numId w:val="9"/>
        </w:numPr>
        <w:spacing w:line="240" w:lineRule="auto"/>
        <w:jc w:val="both"/>
        <w:rPr>
          <w:rFonts w:ascii="Times New Roman" w:hAnsi="Times New Roman"/>
          <w:sz w:val="24"/>
          <w:szCs w:val="24"/>
        </w:rPr>
      </w:pPr>
      <w:r w:rsidRPr="00984E11">
        <w:rPr>
          <w:rFonts w:ascii="Times New Roman" w:hAnsi="Times New Roman"/>
          <w:sz w:val="24"/>
          <w:szCs w:val="24"/>
        </w:rPr>
        <w:t>La FED sigue disparando el arsenal nuclear. Camino a ninguna parte</w:t>
      </w:r>
      <w:r>
        <w:rPr>
          <w:rFonts w:ascii="Times New Roman" w:hAnsi="Times New Roman"/>
          <w:sz w:val="24"/>
          <w:szCs w:val="24"/>
        </w:rPr>
        <w:t>.</w:t>
      </w:r>
    </w:p>
    <w:p w:rsidR="002F07D4" w:rsidRPr="00BA4872" w:rsidRDefault="002F07D4" w:rsidP="002F07D4">
      <w:pPr>
        <w:numPr>
          <w:ilvl w:val="0"/>
          <w:numId w:val="9"/>
        </w:numPr>
        <w:spacing w:line="240" w:lineRule="auto"/>
        <w:jc w:val="both"/>
        <w:rPr>
          <w:rFonts w:ascii="Times New Roman" w:hAnsi="Times New Roman"/>
          <w:sz w:val="24"/>
          <w:szCs w:val="24"/>
        </w:rPr>
      </w:pPr>
      <w:r>
        <w:rPr>
          <w:rFonts w:ascii="Times New Roman" w:hAnsi="Times New Roman"/>
          <w:sz w:val="24"/>
          <w:szCs w:val="24"/>
        </w:rPr>
        <w:t>Los “principios económicos”</w:t>
      </w:r>
      <w:r w:rsidRPr="00BA4872">
        <w:rPr>
          <w:rFonts w:ascii="Times New Roman" w:hAnsi="Times New Roman"/>
          <w:sz w:val="24"/>
          <w:szCs w:val="24"/>
        </w:rPr>
        <w:t xml:space="preserve"> que respaldan sus teorías son un fraude: no verdades fundamentales, sino meros mandos que se giran y se ajustan para que del anál</w:t>
      </w:r>
      <w:r>
        <w:rPr>
          <w:rFonts w:ascii="Times New Roman" w:hAnsi="Times New Roman"/>
          <w:sz w:val="24"/>
          <w:szCs w:val="24"/>
        </w:rPr>
        <w:t>isis resulten las conclusiones “adecuadas”.</w:t>
      </w:r>
    </w:p>
    <w:p w:rsidR="002F07D4" w:rsidRPr="00AD2CD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1434A4">
        <w:rPr>
          <w:rFonts w:ascii="Times New Roman" w:eastAsia="Times New Roman" w:hAnsi="Times New Roman"/>
          <w:sz w:val="24"/>
          <w:szCs w:val="24"/>
          <w:lang w:eastAsia="es-ES"/>
        </w:rPr>
        <w:t>¿Es ésta la fórmula mejor y más brillante de hacer las cosas? ¿Con los mismos que se cargaron nuestra infraestructura industrial, que nos endeudaron hasta las cejas con la China comunista, que nos atraparon hasta el último céntimo con el dinero de plástico y las hipotecas basura, que compraron a nuestros políticos, que se burlaron de nuestra normativa, que han dejado exhaustos nuestros planes de jubilación, y que son esos mismos que luego han acudido a nosotros en busca de ayuda cuando su castillo de naipes se ha derrumbado? Maldita sea, francamente. Que los pongan en la picota</w:t>
      </w:r>
      <w:r>
        <w:rPr>
          <w:rFonts w:ascii="Times New Roman" w:eastAsia="Times New Roman" w:hAnsi="Times New Roman"/>
          <w:sz w:val="24"/>
          <w:szCs w:val="24"/>
          <w:lang w:eastAsia="es-ES"/>
        </w:rPr>
        <w:t>”</w:t>
      </w:r>
      <w:r w:rsidRPr="001434A4">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(H. Meyerson, </w:t>
      </w:r>
      <w:r w:rsidRPr="00053227">
        <w:rPr>
          <w:rFonts w:ascii="Times New Roman" w:eastAsia="Times New Roman" w:hAnsi="Times New Roman"/>
          <w:sz w:val="24"/>
          <w:szCs w:val="24"/>
          <w:lang w:eastAsia="es-ES"/>
        </w:rPr>
        <w:t>columnista de The Washington Post</w:t>
      </w:r>
      <w:r>
        <w:rPr>
          <w:rFonts w:ascii="Times New Roman" w:eastAsia="Times New Roman" w:hAnsi="Times New Roman"/>
          <w:sz w:val="24"/>
          <w:szCs w:val="24"/>
          <w:lang w:eastAsia="es-ES"/>
        </w:rPr>
        <w:t xml:space="preserve"> - </w:t>
      </w:r>
      <w:r w:rsidRPr="00053227">
        <w:rPr>
          <w:rFonts w:ascii="Times New Roman" w:eastAsia="Times New Roman" w:hAnsi="Times New Roman"/>
          <w:sz w:val="24"/>
          <w:szCs w:val="24"/>
          <w:lang w:eastAsia="es-ES"/>
        </w:rPr>
        <w:t xml:space="preserve">El Mundo - </w:t>
      </w:r>
      <w:r w:rsidRPr="009C5C33">
        <w:rPr>
          <w:rFonts w:ascii="Times New Roman" w:eastAsia="Times New Roman" w:hAnsi="Times New Roman"/>
          <w:b/>
          <w:sz w:val="24"/>
          <w:szCs w:val="24"/>
          <w:lang w:eastAsia="es-ES"/>
        </w:rPr>
        <w:t>8/2/09</w:t>
      </w:r>
      <w:r w:rsidRPr="00053227">
        <w:rPr>
          <w:rFonts w:ascii="Times New Roman" w:eastAsia="Times New Roman" w:hAnsi="Times New Roman"/>
          <w:sz w:val="24"/>
          <w:szCs w:val="24"/>
          <w:lang w:eastAsia="es-ES"/>
        </w:rPr>
        <w:t>)</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lastRenderedPageBreak/>
        <w:t>T</w:t>
      </w:r>
      <w:r w:rsidRPr="00AD2CD3">
        <w:rPr>
          <w:rFonts w:ascii="Times New Roman" w:hAnsi="Times New Roman"/>
          <w:b/>
          <w:sz w:val="24"/>
          <w:szCs w:val="24"/>
        </w:rPr>
        <w:t>engo la sensación de que Bernanke, como muchas personas que trabajan codo con codo con el sector financiero, ha terminado viendo el mundo a través de los ojos de los banqueros</w:t>
      </w:r>
      <w:r>
        <w:rPr>
          <w:rFonts w:ascii="Times New Roman" w:hAnsi="Times New Roman"/>
          <w:b/>
          <w:sz w:val="24"/>
          <w:szCs w:val="24"/>
        </w:rPr>
        <w:t>. El mundo “fantástico” del “easing” (relajamiento).</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Como conclusión (preliminar, al 15/8/10) a este largo listado de “agravantes”, me animo a decir, que Ben Bernanke sumó al descontrol total, el desconcierto total. Ni previno, ni curó. En definitiva,</w:t>
      </w:r>
      <w:r w:rsidRPr="0083016A">
        <w:rPr>
          <w:rFonts w:ascii="Times New Roman" w:hAnsi="Times New Roman"/>
          <w:b/>
          <w:sz w:val="24"/>
          <w:szCs w:val="24"/>
        </w:rPr>
        <w:t xml:space="preserve"> no</w:t>
      </w:r>
      <w:r>
        <w:rPr>
          <w:rFonts w:ascii="Times New Roman" w:hAnsi="Times New Roman"/>
          <w:b/>
          <w:sz w:val="24"/>
          <w:szCs w:val="24"/>
        </w:rPr>
        <w:t xml:space="preserve"> ha</w:t>
      </w:r>
      <w:r w:rsidRPr="0083016A">
        <w:rPr>
          <w:rFonts w:ascii="Times New Roman" w:hAnsi="Times New Roman"/>
          <w:b/>
          <w:sz w:val="24"/>
          <w:szCs w:val="24"/>
        </w:rPr>
        <w:t xml:space="preserve"> hecho una </w:t>
      </w:r>
      <w:r>
        <w:rPr>
          <w:rFonts w:ascii="Times New Roman" w:hAnsi="Times New Roman"/>
          <w:b/>
          <w:sz w:val="24"/>
          <w:szCs w:val="24"/>
        </w:rPr>
        <w:t>buena gestión durante la crisis y no ha restaurado la confianza. Demasiado “quantitative” y muy poco “qualitative”.</w:t>
      </w:r>
    </w:p>
    <w:p w:rsidR="002F07D4" w:rsidRPr="001A6544" w:rsidRDefault="002F07D4" w:rsidP="002F07D4">
      <w:pPr>
        <w:spacing w:line="240" w:lineRule="auto"/>
        <w:jc w:val="both"/>
        <w:rPr>
          <w:rFonts w:ascii="Times New Roman" w:hAnsi="Times New Roman"/>
          <w:sz w:val="24"/>
          <w:szCs w:val="24"/>
        </w:rPr>
      </w:pPr>
      <w:r w:rsidRPr="001A6544">
        <w:rPr>
          <w:rFonts w:ascii="Times New Roman" w:hAnsi="Times New Roman"/>
          <w:sz w:val="24"/>
          <w:szCs w:val="24"/>
        </w:rPr>
        <w:t>La Fed ha fallado estrepitosamente en sus previsiones. O, al menos, si conocían los graves problemas a los que se vería abocada la economía estadounidense, no lo declararon públicamente.</w:t>
      </w:r>
    </w:p>
    <w:p w:rsidR="002F07D4" w:rsidRPr="001A6544" w:rsidRDefault="002F07D4" w:rsidP="002F07D4">
      <w:pPr>
        <w:spacing w:line="240" w:lineRule="auto"/>
        <w:jc w:val="both"/>
        <w:rPr>
          <w:rFonts w:ascii="Times New Roman" w:hAnsi="Times New Roman"/>
          <w:sz w:val="24"/>
          <w:szCs w:val="24"/>
        </w:rPr>
      </w:pPr>
      <w:r w:rsidRPr="001A6544">
        <w:rPr>
          <w:rFonts w:ascii="Times New Roman" w:hAnsi="Times New Roman"/>
          <w:sz w:val="24"/>
          <w:szCs w:val="24"/>
        </w:rPr>
        <w:t>En este sentido, no sólo fueron las torpes afirmaciones del presidente (chairman) de la Reserva Federal, Ben Bernanke, quien afirmó en 2005 y 2006 que no había burbuja inmobiliaria, y que aun si la hubiera no afectaría a la economía real; por si fuera poco, en verano de 2007 sostuvo que los problemas subprime no afectarían a la economía.</w:t>
      </w:r>
    </w:p>
    <w:p w:rsidR="002F07D4" w:rsidRPr="001A6544" w:rsidRDefault="002F07D4" w:rsidP="002F07D4">
      <w:pPr>
        <w:spacing w:line="240" w:lineRule="auto"/>
        <w:jc w:val="both"/>
        <w:rPr>
          <w:rFonts w:ascii="Times New Roman" w:hAnsi="Times New Roman"/>
          <w:sz w:val="24"/>
          <w:szCs w:val="24"/>
        </w:rPr>
      </w:pPr>
      <w:r w:rsidRPr="001A6544">
        <w:rPr>
          <w:rFonts w:ascii="Times New Roman" w:hAnsi="Times New Roman"/>
          <w:sz w:val="24"/>
          <w:szCs w:val="24"/>
        </w:rPr>
        <w:t>Resulta cuanto menos irónico que en una conferencia dada por Bernanke en enero de 2007, éste dijera lo siguiente: “En mi opinión, los mayores beneficios externos de las actividades de supervisión de la FED son aquellos relacionados con el papel de la institución de evitar y gestionar las crisis financieras”.</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Ni una mala palabra, ni una buena acción. Mientras Greenspan excitó al “Bull” (toro), Bernanke se dejó comer por el “Bear” (oso). El “miedo escénico”, hizo lo demás…</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La “irresponsabilidad ignorante”. ¿Por qué dijeron que el objetivo era el de “tranquilizar a los mercados”, cuando en realidad de lo que se trataba era de salvarle el culo a los “especuladores” de la banca y a los “funambulistas” de Wall Street? ¿Por qué dicen que hay que continuar alentado el “crecimiento de la economía y el empleo”, cuando ni la una ni el otro, se han beneficiado de la “regadera” monetaria (versión I y versión II)?</w:t>
      </w:r>
    </w:p>
    <w:p w:rsidR="002F07D4" w:rsidRPr="00720932" w:rsidRDefault="002F07D4" w:rsidP="002F07D4">
      <w:pPr>
        <w:spacing w:line="240" w:lineRule="auto"/>
        <w:jc w:val="both"/>
        <w:rPr>
          <w:rFonts w:ascii="Times New Roman" w:hAnsi="Times New Roman"/>
          <w:b/>
          <w:sz w:val="24"/>
          <w:szCs w:val="24"/>
        </w:rPr>
      </w:pPr>
      <w:r w:rsidRPr="00720932">
        <w:rPr>
          <w:rFonts w:ascii="Times New Roman" w:hAnsi="Times New Roman"/>
          <w:b/>
          <w:sz w:val="24"/>
          <w:szCs w:val="24"/>
        </w:rPr>
        <w:t>En respuesta a la crisis de 2007-2009, la Fed impl</w:t>
      </w:r>
      <w:r>
        <w:rPr>
          <w:rFonts w:ascii="Times New Roman" w:hAnsi="Times New Roman"/>
          <w:b/>
          <w:sz w:val="24"/>
          <w:szCs w:val="24"/>
        </w:rPr>
        <w:t>ementó el rescate más generoso</w:t>
      </w:r>
      <w:r w:rsidRPr="00720932">
        <w:rPr>
          <w:rFonts w:ascii="Times New Roman" w:hAnsi="Times New Roman"/>
          <w:b/>
          <w:sz w:val="24"/>
          <w:szCs w:val="24"/>
        </w:rPr>
        <w:t xml:space="preserve"> alguna vez visto para grandes instituciones financieras. Por supuesto, no es políticamente correcto llamarlos rescates -el término preferido por los estrategas políticos es “respaldo de liquidez” o “protección sistémica”-. Pero representa esencialmente lo mismo: a la hora de la verdad, el gobierno más poderoso del mundo (en los papeles, al menos) pospuso una y otra vez las necesidades y deseos de la gente que le había prestado dinero a los grandes bancos. </w:t>
      </w:r>
    </w:p>
    <w:p w:rsidR="002F07D4" w:rsidRPr="00720932" w:rsidRDefault="002F07D4" w:rsidP="002F07D4">
      <w:pPr>
        <w:spacing w:line="240" w:lineRule="auto"/>
        <w:jc w:val="both"/>
        <w:rPr>
          <w:rFonts w:ascii="Times New Roman" w:hAnsi="Times New Roman"/>
          <w:b/>
          <w:sz w:val="24"/>
          <w:szCs w:val="24"/>
        </w:rPr>
      </w:pPr>
      <w:r w:rsidRPr="00720932">
        <w:rPr>
          <w:rFonts w:ascii="Times New Roman" w:hAnsi="Times New Roman"/>
          <w:b/>
          <w:sz w:val="24"/>
          <w:szCs w:val="24"/>
        </w:rPr>
        <w:t xml:space="preserve">En cada instancia, la lógica fue impecable. Por ejemplo, si Estados Unidos no hubiese ofrecido respaldo prácticamente incondicional al Citigroup en 2008 (durante la presidencia de George W. Bush) y nuevamente en 2009 (ya en la presidencia de Barack Obama), el resultante colapso financiero habría profundizado la recesión global y agravado las pérdidas de empleos en todo el mundo. </w:t>
      </w:r>
    </w:p>
    <w:p w:rsidR="002F07D4" w:rsidRPr="00720932" w:rsidRDefault="002F07D4" w:rsidP="002F07D4">
      <w:pPr>
        <w:spacing w:line="240" w:lineRule="auto"/>
        <w:jc w:val="both"/>
        <w:rPr>
          <w:rFonts w:ascii="Times New Roman" w:hAnsi="Times New Roman"/>
          <w:b/>
          <w:sz w:val="24"/>
          <w:szCs w:val="24"/>
        </w:rPr>
      </w:pPr>
      <w:r w:rsidRPr="00720932">
        <w:rPr>
          <w:rFonts w:ascii="Times New Roman" w:hAnsi="Times New Roman"/>
          <w:b/>
          <w:sz w:val="24"/>
          <w:szCs w:val="24"/>
        </w:rPr>
        <w:t xml:space="preserve">En efecto, hubo repetidos juegos de provocación entre el gobierno y las principales instituciones financieras en Estados Unidos. El gobierno dijo: “No más rescates”. Los bancos respondieron: “Si no nos rescatan, es muy probable que se produzca </w:t>
      </w:r>
      <w:r w:rsidRPr="00720932">
        <w:rPr>
          <w:rFonts w:ascii="Times New Roman" w:hAnsi="Times New Roman"/>
          <w:b/>
          <w:sz w:val="24"/>
          <w:szCs w:val="24"/>
        </w:rPr>
        <w:lastRenderedPageBreak/>
        <w:t xml:space="preserve">una segunda Gran Depresión”. El gobierno (y la Fed) pensó brevemente en esa perspectiva y luego cedió. </w:t>
      </w:r>
    </w:p>
    <w:p w:rsidR="002F07D4" w:rsidRPr="00720932" w:rsidRDefault="002F07D4" w:rsidP="002F07D4">
      <w:pPr>
        <w:spacing w:line="240" w:lineRule="auto"/>
        <w:jc w:val="both"/>
        <w:rPr>
          <w:rFonts w:ascii="Times New Roman" w:hAnsi="Times New Roman"/>
          <w:b/>
          <w:sz w:val="24"/>
          <w:szCs w:val="24"/>
        </w:rPr>
      </w:pPr>
      <w:r w:rsidRPr="00720932">
        <w:rPr>
          <w:rFonts w:ascii="Times New Roman" w:hAnsi="Times New Roman"/>
          <w:b/>
          <w:sz w:val="24"/>
          <w:szCs w:val="24"/>
        </w:rPr>
        <w:t xml:space="preserve">Se protegió a los acreedores y se transfirieron las pérdidas de los sectores financieros al gobierno o al Banco Central </w:t>
      </w:r>
      <w:r>
        <w:rPr>
          <w:rFonts w:ascii="Times New Roman" w:hAnsi="Times New Roman"/>
          <w:b/>
          <w:sz w:val="24"/>
          <w:szCs w:val="24"/>
        </w:rPr>
        <w:t>(</w:t>
      </w:r>
      <w:r w:rsidRPr="00720932">
        <w:rPr>
          <w:rFonts w:ascii="Times New Roman" w:hAnsi="Times New Roman"/>
          <w:b/>
          <w:sz w:val="24"/>
          <w:szCs w:val="24"/>
        </w:rPr>
        <w:t>Fed). Además, las pérdidas se cubrieron con una gran cuota de “mesura” regulatoria (vale decir, aceptando mirar para otra parte mientras los bancos reconstruían -y reconstruyen- su capital operando con acciones).</w:t>
      </w:r>
    </w:p>
    <w:p w:rsidR="002F07D4" w:rsidRPr="00720932" w:rsidRDefault="002F07D4" w:rsidP="002F07D4">
      <w:pPr>
        <w:spacing w:line="240" w:lineRule="auto"/>
        <w:jc w:val="both"/>
        <w:rPr>
          <w:rFonts w:ascii="Times New Roman" w:hAnsi="Times New Roman"/>
          <w:b/>
          <w:sz w:val="24"/>
          <w:szCs w:val="24"/>
        </w:rPr>
      </w:pPr>
      <w:r w:rsidRPr="00720932">
        <w:rPr>
          <w:rFonts w:ascii="Times New Roman" w:hAnsi="Times New Roman"/>
          <w:b/>
          <w:sz w:val="24"/>
          <w:szCs w:val="24"/>
        </w:rPr>
        <w:t>¿Cuál es el problema, entonces, con las política</w:t>
      </w:r>
      <w:r>
        <w:rPr>
          <w:rFonts w:ascii="Times New Roman" w:hAnsi="Times New Roman"/>
          <w:b/>
          <w:sz w:val="24"/>
          <w:szCs w:val="24"/>
        </w:rPr>
        <w:t>s de 2007-2009, y por qué no se puede (debe)</w:t>
      </w:r>
      <w:r w:rsidRPr="00720932">
        <w:rPr>
          <w:rFonts w:ascii="Times New Roman" w:hAnsi="Times New Roman"/>
          <w:b/>
          <w:sz w:val="24"/>
          <w:szCs w:val="24"/>
        </w:rPr>
        <w:t xml:space="preserve"> planificar hacer algo similar en </w:t>
      </w:r>
      <w:r>
        <w:rPr>
          <w:rFonts w:ascii="Times New Roman" w:hAnsi="Times New Roman"/>
          <w:b/>
          <w:sz w:val="24"/>
          <w:szCs w:val="24"/>
        </w:rPr>
        <w:t>el futuro si alguna vez se vuelve</w:t>
      </w:r>
      <w:r w:rsidRPr="00720932">
        <w:rPr>
          <w:rFonts w:ascii="Times New Roman" w:hAnsi="Times New Roman"/>
          <w:b/>
          <w:sz w:val="24"/>
          <w:szCs w:val="24"/>
        </w:rPr>
        <w:t xml:space="preserve"> a enfrentar una crisis de esta naturaleza?</w:t>
      </w:r>
    </w:p>
    <w:p w:rsidR="002F07D4" w:rsidRDefault="002F07D4" w:rsidP="002F07D4">
      <w:pPr>
        <w:spacing w:line="240" w:lineRule="auto"/>
        <w:jc w:val="both"/>
        <w:rPr>
          <w:rFonts w:ascii="Times New Roman" w:hAnsi="Times New Roman"/>
          <w:b/>
          <w:sz w:val="24"/>
          <w:szCs w:val="24"/>
        </w:rPr>
      </w:pPr>
      <w:r w:rsidRPr="00720932">
        <w:rPr>
          <w:rFonts w:ascii="Times New Roman" w:hAnsi="Times New Roman"/>
          <w:b/>
          <w:sz w:val="24"/>
          <w:szCs w:val="24"/>
        </w:rPr>
        <w:t xml:space="preserve">El problema son los incentivos -lo que los rescates implican para las actitudes y el comportamiento dentro del sector financiero-. La protección que se extendió a los bancos y otras instituciones financieras desde el verano de 2007, y de manera más integral desde la quiebra de Lehman Brothers y AIG en septiembre de 2008, envía una señal clara. Si uno es “grande” en relación al sistema, tiene más probabilidades de recibir un generoso respaldo del gobierno cuando todo el sistema se torna vulnerable. </w:t>
      </w:r>
    </w:p>
    <w:p w:rsidR="002F07D4" w:rsidRPr="003869F6" w:rsidRDefault="002F07D4" w:rsidP="002F07D4">
      <w:pPr>
        <w:spacing w:line="240" w:lineRule="auto"/>
        <w:jc w:val="both"/>
        <w:rPr>
          <w:rFonts w:ascii="Times New Roman" w:hAnsi="Times New Roman"/>
          <w:sz w:val="24"/>
          <w:szCs w:val="24"/>
        </w:rPr>
      </w:pPr>
      <w:r w:rsidRPr="00797EB8">
        <w:rPr>
          <w:rFonts w:ascii="Times New Roman" w:hAnsi="Times New Roman"/>
          <w:sz w:val="24"/>
          <w:szCs w:val="24"/>
        </w:rPr>
        <w:t xml:space="preserve">Entre el 13 de agosto de 2002 y el 22 de marzo de 2005, Ben Bernanke participó en 22 reuniones del Comité del Mercado Abierto de la Reserva Federal (Fed), el organismo que fija los tipos de interés, en las que se sentaron las bases de la burbuja inmobiliaria. Primero, la Fed bajó los tipos hasta el 1%. A partir de 2004, los subió a paso de tortuga hasta el 5,25%, en un movimiento que ya había sido descontado por el mercado y que no frenó la burbuja. Bernanke siempre votó a favor de esos movimientos. No sólo eso: </w:t>
      </w:r>
      <w:r w:rsidRPr="00F17C25">
        <w:rPr>
          <w:rFonts w:ascii="Times New Roman" w:hAnsi="Times New Roman"/>
          <w:sz w:val="24"/>
          <w:szCs w:val="24"/>
          <w:u w:val="single"/>
        </w:rPr>
        <w:t>él fue una especie de portavoz de Greenspan, encargado de comunicar la estrategia de la Reserva a los mercados</w:t>
      </w:r>
      <w:r w:rsidRPr="00797EB8">
        <w:rPr>
          <w:rFonts w:ascii="Times New Roman" w:hAnsi="Times New Roman"/>
          <w:sz w:val="24"/>
          <w:szCs w:val="24"/>
        </w:rPr>
        <w:t>.</w:t>
      </w:r>
      <w:r>
        <w:rPr>
          <w:rFonts w:ascii="Times New Roman" w:hAnsi="Times New Roman"/>
          <w:sz w:val="24"/>
          <w:szCs w:val="24"/>
        </w:rPr>
        <w:t xml:space="preserve"> (El Mundo - </w:t>
      </w:r>
      <w:r w:rsidRPr="00797EB8">
        <w:rPr>
          <w:rFonts w:ascii="Times New Roman" w:hAnsi="Times New Roman"/>
          <w:b/>
          <w:sz w:val="24"/>
          <w:szCs w:val="24"/>
        </w:rPr>
        <w:t>26/1/10</w:t>
      </w:r>
      <w:r>
        <w:rPr>
          <w:rFonts w:ascii="Times New Roman" w:hAnsi="Times New Roman"/>
          <w:sz w:val="24"/>
          <w:szCs w:val="24"/>
        </w:rPr>
        <w:t>)</w:t>
      </w:r>
    </w:p>
    <w:p w:rsidR="002F07D4" w:rsidRPr="00DA0BF0" w:rsidRDefault="002F07D4" w:rsidP="002F07D4">
      <w:pPr>
        <w:spacing w:line="240" w:lineRule="auto"/>
        <w:jc w:val="both"/>
        <w:rPr>
          <w:rFonts w:ascii="Times New Roman" w:hAnsi="Times New Roman"/>
          <w:sz w:val="24"/>
          <w:szCs w:val="24"/>
        </w:rPr>
      </w:pPr>
      <w:r w:rsidRPr="00AC098B">
        <w:rPr>
          <w:rFonts w:ascii="Times New Roman" w:hAnsi="Times New Roman"/>
          <w:sz w:val="24"/>
          <w:szCs w:val="24"/>
          <w:u w:val="single"/>
        </w:rPr>
        <w:t>Y están los que le reprochan no haber hecho más para combatir el paro, y que se limitara en los primeros balbuceos de la cr</w:t>
      </w:r>
      <w:r>
        <w:rPr>
          <w:rFonts w:ascii="Times New Roman" w:hAnsi="Times New Roman"/>
          <w:sz w:val="24"/>
          <w:szCs w:val="24"/>
          <w:u w:val="single"/>
        </w:rPr>
        <w:t>isis a ayudar sólo a la banca. “</w:t>
      </w:r>
      <w:r w:rsidRPr="00AC098B">
        <w:rPr>
          <w:rFonts w:ascii="Times New Roman" w:hAnsi="Times New Roman"/>
          <w:sz w:val="24"/>
          <w:szCs w:val="24"/>
          <w:u w:val="single"/>
        </w:rPr>
        <w:t>Usted es</w:t>
      </w:r>
      <w:r>
        <w:rPr>
          <w:rFonts w:ascii="Times New Roman" w:hAnsi="Times New Roman"/>
          <w:sz w:val="24"/>
          <w:szCs w:val="24"/>
          <w:u w:val="single"/>
        </w:rPr>
        <w:t xml:space="preserve"> la definición del riesgo moral”</w:t>
      </w:r>
      <w:r w:rsidRPr="00AC098B">
        <w:rPr>
          <w:rFonts w:ascii="Times New Roman" w:hAnsi="Times New Roman"/>
          <w:sz w:val="24"/>
          <w:szCs w:val="24"/>
          <w:u w:val="single"/>
        </w:rPr>
        <w:t>, le espetó el republicano Jim Bunning,</w:t>
      </w:r>
      <w:r w:rsidRPr="009A13D6">
        <w:rPr>
          <w:rFonts w:ascii="Times New Roman" w:hAnsi="Times New Roman"/>
          <w:sz w:val="24"/>
          <w:szCs w:val="24"/>
        </w:rPr>
        <w:t xml:space="preserve"> el más beligerante entre los senadores y que no pierde oportunidad para echar más gasolina al fuego. Cree que su actuació</w:t>
      </w:r>
      <w:r>
        <w:rPr>
          <w:rFonts w:ascii="Times New Roman" w:hAnsi="Times New Roman"/>
          <w:sz w:val="24"/>
          <w:szCs w:val="24"/>
        </w:rPr>
        <w:t>n en la intervención de AIG es “</w:t>
      </w:r>
      <w:r w:rsidRPr="009A13D6">
        <w:rPr>
          <w:rFonts w:ascii="Times New Roman" w:hAnsi="Times New Roman"/>
          <w:sz w:val="24"/>
          <w:szCs w:val="24"/>
        </w:rPr>
        <w:t>una razón más que suficiente para m</w:t>
      </w:r>
      <w:r>
        <w:rPr>
          <w:rFonts w:ascii="Times New Roman" w:hAnsi="Times New Roman"/>
          <w:sz w:val="24"/>
          <w:szCs w:val="24"/>
        </w:rPr>
        <w:t xml:space="preserve">andarlo de vuelta a Princeton”. (El País - </w:t>
      </w:r>
      <w:r w:rsidRPr="009A13D6">
        <w:rPr>
          <w:rFonts w:ascii="Times New Roman" w:hAnsi="Times New Roman"/>
          <w:b/>
          <w:sz w:val="24"/>
          <w:szCs w:val="24"/>
        </w:rPr>
        <w:t>10/1/10</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sidRPr="00DA0BF0">
        <w:rPr>
          <w:rFonts w:ascii="Times New Roman" w:hAnsi="Times New Roman"/>
          <w:sz w:val="24"/>
          <w:szCs w:val="24"/>
          <w:u w:val="single"/>
        </w:rPr>
        <w:t>El autor de Greenspan’s Bubbles y Panderer for Power, Frederick Sheehan, analiza la política de la FED. Su opinión es clara: el “culpable” de la crisis es “Alan Greenspan”; “Bernanke continuará creando dinero hasta generar inflación”; “estaríamos mejor sin los bancos centrales</w:t>
      </w:r>
      <w:r w:rsidRPr="002F7ED9">
        <w:rPr>
          <w:rFonts w:ascii="Times New Roman" w:hAnsi="Times New Roman"/>
          <w:sz w:val="24"/>
          <w:szCs w:val="24"/>
        </w:rPr>
        <w:t>”.</w:t>
      </w:r>
      <w:r>
        <w:rPr>
          <w:rFonts w:ascii="Times New Roman" w:hAnsi="Times New Roman"/>
          <w:sz w:val="24"/>
          <w:szCs w:val="24"/>
        </w:rPr>
        <w:t xml:space="preserve">(Libertad Digital - </w:t>
      </w:r>
      <w:r w:rsidRPr="00480296">
        <w:rPr>
          <w:rFonts w:ascii="Times New Roman" w:hAnsi="Times New Roman"/>
          <w:b/>
          <w:sz w:val="24"/>
          <w:szCs w:val="24"/>
        </w:rPr>
        <w:t>18/6/10</w:t>
      </w:r>
      <w:r>
        <w:rPr>
          <w:rFonts w:ascii="Times New Roman" w:hAnsi="Times New Roman"/>
          <w:sz w:val="24"/>
          <w:szCs w:val="24"/>
        </w:rPr>
        <w:t>)</w:t>
      </w:r>
    </w:p>
    <w:p w:rsidR="002F07D4" w:rsidRPr="00A10596" w:rsidRDefault="002F07D4" w:rsidP="002F07D4">
      <w:pPr>
        <w:spacing w:line="240" w:lineRule="auto"/>
        <w:jc w:val="both"/>
        <w:rPr>
          <w:rFonts w:ascii="Times New Roman" w:hAnsi="Times New Roman"/>
          <w:sz w:val="24"/>
          <w:szCs w:val="24"/>
          <w:u w:val="single"/>
        </w:rPr>
      </w:pPr>
      <w:r w:rsidRPr="00480296">
        <w:rPr>
          <w:rFonts w:ascii="Times New Roman" w:hAnsi="Times New Roman"/>
          <w:sz w:val="24"/>
          <w:szCs w:val="24"/>
        </w:rPr>
        <w:t>P</w:t>
      </w:r>
      <w:r w:rsidRPr="000468C8">
        <w:rPr>
          <w:rFonts w:ascii="Times New Roman" w:hAnsi="Times New Roman"/>
          <w:sz w:val="24"/>
          <w:szCs w:val="24"/>
        </w:rPr>
        <w:t xml:space="preserve">: </w:t>
      </w:r>
      <w:r w:rsidRPr="000468C8">
        <w:rPr>
          <w:rFonts w:ascii="Times New Roman" w:hAnsi="Times New Roman"/>
          <w:sz w:val="24"/>
          <w:szCs w:val="24"/>
          <w:u w:val="single"/>
        </w:rPr>
        <w:t>¿Qué opina de la actual política monetaria de Bernanke?</w:t>
      </w:r>
    </w:p>
    <w:p w:rsidR="002F07D4" w:rsidRPr="000468C8" w:rsidRDefault="002F07D4" w:rsidP="002F07D4">
      <w:pPr>
        <w:spacing w:line="240" w:lineRule="auto"/>
        <w:jc w:val="both"/>
        <w:rPr>
          <w:rFonts w:ascii="Times New Roman" w:hAnsi="Times New Roman"/>
          <w:color w:val="FF0000"/>
          <w:sz w:val="24"/>
          <w:szCs w:val="24"/>
          <w:u w:val="single"/>
        </w:rPr>
      </w:pPr>
      <w:r w:rsidRPr="00480296">
        <w:rPr>
          <w:rFonts w:ascii="Times New Roman" w:hAnsi="Times New Roman"/>
          <w:sz w:val="24"/>
          <w:szCs w:val="24"/>
        </w:rPr>
        <w:t xml:space="preserve">R: </w:t>
      </w:r>
      <w:r w:rsidRPr="000468C8">
        <w:rPr>
          <w:rFonts w:ascii="Times New Roman" w:hAnsi="Times New Roman"/>
          <w:color w:val="FF0000"/>
          <w:sz w:val="24"/>
          <w:szCs w:val="24"/>
          <w:u w:val="single"/>
        </w:rPr>
        <w:t>Bernanke actúa guiado por su tesis doctoral, centrada en cómo se podría haber evitado la Gran Depresión, y su receta es la creación de dinero y la inyección masiva de liquidez hacia el sistema bancario. Sin embargo, desgraciadamente, no sabe nada sobre los años 20, no se da cuenta que los bancos estaban sobreendeudados.</w:t>
      </w:r>
    </w:p>
    <w:p w:rsidR="002F07D4" w:rsidRDefault="002F07D4" w:rsidP="002F07D4">
      <w:pPr>
        <w:spacing w:line="240" w:lineRule="auto"/>
        <w:jc w:val="both"/>
        <w:rPr>
          <w:rFonts w:ascii="Times New Roman" w:hAnsi="Times New Roman"/>
          <w:color w:val="FF0000"/>
          <w:sz w:val="24"/>
          <w:szCs w:val="24"/>
          <w:u w:val="single"/>
        </w:rPr>
      </w:pPr>
      <w:r w:rsidRPr="000468C8">
        <w:rPr>
          <w:rFonts w:ascii="Times New Roman" w:hAnsi="Times New Roman"/>
          <w:color w:val="FF0000"/>
          <w:sz w:val="24"/>
          <w:szCs w:val="24"/>
          <w:u w:val="single"/>
        </w:rPr>
        <w:t>Por eso sigue aumentando la cantidad de dinero, y seguirá haciéndolo hasta el punto en el que los bonos americanos a 10 años suban del 3% al 6%. No cambiará su política. Mantendrá los tipos de interés cerca del 0%. Quizá los suba un cuarto de punto, como mucho, pero continuará creando dinero hasta que tengamos inflación.</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lastRenderedPageBreak/>
        <w:t>Gracias a la obra realizada por Ben Bernanke, y p</w:t>
      </w:r>
      <w:r w:rsidRPr="007543C6">
        <w:rPr>
          <w:rFonts w:ascii="Times New Roman" w:hAnsi="Times New Roman"/>
          <w:b/>
          <w:sz w:val="24"/>
          <w:szCs w:val="24"/>
        </w:rPr>
        <w:t>arafraseando a Oscar Wilde,</w:t>
      </w:r>
      <w:r>
        <w:rPr>
          <w:rFonts w:ascii="Times New Roman" w:hAnsi="Times New Roman"/>
          <w:b/>
          <w:sz w:val="24"/>
          <w:szCs w:val="24"/>
        </w:rPr>
        <w:t xml:space="preserve"> podríamos decir que</w:t>
      </w:r>
      <w:r w:rsidRPr="007543C6">
        <w:rPr>
          <w:rFonts w:ascii="Times New Roman" w:hAnsi="Times New Roman"/>
          <w:b/>
          <w:sz w:val="24"/>
          <w:szCs w:val="24"/>
        </w:rPr>
        <w:t xml:space="preserve"> en este momento, los inversores conocen el precio de todo, pero no saben el valor de nada</w:t>
      </w:r>
      <w:r>
        <w:rPr>
          <w:rFonts w:ascii="Times New Roman" w:hAnsi="Times New Roman"/>
          <w:b/>
          <w:sz w:val="24"/>
          <w:szCs w:val="24"/>
        </w:rPr>
        <w:t>…</w:t>
      </w:r>
    </w:p>
    <w:p w:rsidR="002F07D4" w:rsidRPr="00E17A7C" w:rsidRDefault="002F07D4" w:rsidP="002F07D4">
      <w:pPr>
        <w:jc w:val="both"/>
        <w:rPr>
          <w:rFonts w:ascii="Times New Roman" w:hAnsi="Times New Roman"/>
          <w:sz w:val="24"/>
          <w:szCs w:val="24"/>
          <w:u w:val="single"/>
        </w:rPr>
      </w:pPr>
      <w:r>
        <w:rPr>
          <w:rFonts w:ascii="Times New Roman" w:hAnsi="Times New Roman"/>
          <w:b/>
          <w:sz w:val="24"/>
          <w:szCs w:val="24"/>
        </w:rPr>
        <w:t>La hoja de ruta de Ben Bernanke (el que quiera creer, que crea y el que no su razón tendrá)</w:t>
      </w:r>
    </w:p>
    <w:p w:rsidR="002F07D4" w:rsidRDefault="002F07D4" w:rsidP="002F07D4">
      <w:pPr>
        <w:spacing w:line="240" w:lineRule="auto"/>
        <w:jc w:val="both"/>
        <w:rPr>
          <w:rFonts w:ascii="Times New Roman" w:hAnsi="Times New Roman"/>
          <w:b/>
          <w:sz w:val="24"/>
          <w:szCs w:val="24"/>
        </w:rPr>
      </w:pPr>
      <w:r w:rsidRPr="006E5C27">
        <w:rPr>
          <w:rFonts w:ascii="Times New Roman" w:hAnsi="Times New Roman"/>
          <w:b/>
          <w:sz w:val="24"/>
          <w:szCs w:val="24"/>
        </w:rPr>
        <w:t>¿L</w:t>
      </w:r>
      <w:r>
        <w:rPr>
          <w:rFonts w:ascii="Times New Roman" w:hAnsi="Times New Roman"/>
          <w:b/>
          <w:sz w:val="24"/>
          <w:szCs w:val="24"/>
        </w:rPr>
        <w:t>e compraría un auto usado a Bernie</w:t>
      </w:r>
      <w:r w:rsidRPr="006E5C27">
        <w:rPr>
          <w:rFonts w:ascii="Times New Roman" w:hAnsi="Times New Roman"/>
          <w:b/>
          <w:sz w:val="24"/>
          <w:szCs w:val="24"/>
        </w:rPr>
        <w:t>?</w:t>
      </w:r>
      <w:r>
        <w:rPr>
          <w:rFonts w:ascii="Times New Roman" w:hAnsi="Times New Roman"/>
          <w:b/>
          <w:sz w:val="24"/>
          <w:szCs w:val="24"/>
        </w:rPr>
        <w:t xml:space="preserve"> Así y todo… dirige la Fed (e</w:t>
      </w:r>
      <w:r w:rsidRPr="00C56E50">
        <w:rPr>
          <w:rFonts w:ascii="Times New Roman" w:hAnsi="Times New Roman"/>
          <w:b/>
          <w:sz w:val="24"/>
          <w:szCs w:val="24"/>
        </w:rPr>
        <w:t>x cathedra</w:t>
      </w:r>
      <w:r>
        <w:rPr>
          <w:rFonts w:ascii="Times New Roman" w:hAnsi="Times New Roman"/>
          <w:b/>
          <w:sz w:val="24"/>
          <w:szCs w:val="24"/>
        </w:rPr>
        <w:t>)</w:t>
      </w:r>
    </w:p>
    <w:p w:rsidR="002F07D4" w:rsidRPr="006E5C27" w:rsidRDefault="002F07D4" w:rsidP="002F07D4">
      <w:pPr>
        <w:spacing w:line="240" w:lineRule="auto"/>
        <w:jc w:val="both"/>
        <w:rPr>
          <w:rFonts w:ascii="Times New Roman" w:hAnsi="Times New Roman"/>
          <w:sz w:val="24"/>
          <w:szCs w:val="24"/>
        </w:rPr>
      </w:pPr>
      <w:r>
        <w:rPr>
          <w:rFonts w:ascii="Times New Roman" w:hAnsi="Times New Roman"/>
          <w:sz w:val="24"/>
          <w:szCs w:val="24"/>
        </w:rPr>
        <w:t>“</w:t>
      </w:r>
      <w:r w:rsidRPr="006E5C27">
        <w:rPr>
          <w:rFonts w:ascii="Times New Roman" w:hAnsi="Times New Roman"/>
          <w:sz w:val="24"/>
          <w:szCs w:val="24"/>
        </w:rPr>
        <w:t>Sombras de luz</w:t>
      </w:r>
      <w:r>
        <w:rPr>
          <w:rFonts w:ascii="Times New Roman" w:hAnsi="Times New Roman"/>
          <w:sz w:val="24"/>
          <w:szCs w:val="24"/>
        </w:rPr>
        <w:t>”</w:t>
      </w:r>
      <w:r w:rsidRPr="006E5C27">
        <w:rPr>
          <w:rFonts w:ascii="Times New Roman" w:hAnsi="Times New Roman"/>
          <w:sz w:val="24"/>
          <w:szCs w:val="24"/>
        </w:rPr>
        <w:t xml:space="preserve"> con las que Bernanke nos </w:t>
      </w:r>
      <w:r>
        <w:rPr>
          <w:rFonts w:ascii="Times New Roman" w:hAnsi="Times New Roman"/>
          <w:sz w:val="24"/>
          <w:szCs w:val="24"/>
        </w:rPr>
        <w:t>ha ido iluminando en estos años:</w:t>
      </w:r>
    </w:p>
    <w:p w:rsidR="002F07D4" w:rsidRPr="006E5C27" w:rsidRDefault="002F07D4" w:rsidP="002F07D4">
      <w:pPr>
        <w:spacing w:line="240" w:lineRule="auto"/>
        <w:jc w:val="both"/>
        <w:rPr>
          <w:rFonts w:ascii="Times New Roman" w:hAnsi="Times New Roman"/>
          <w:color w:val="FF0000"/>
          <w:sz w:val="24"/>
          <w:szCs w:val="24"/>
          <w:u w:val="single"/>
        </w:rPr>
      </w:pPr>
      <w:r w:rsidRPr="006E5C27">
        <w:rPr>
          <w:rFonts w:ascii="Times New Roman" w:hAnsi="Times New Roman"/>
          <w:color w:val="FF0000"/>
          <w:sz w:val="24"/>
          <w:szCs w:val="24"/>
          <w:u w:val="single"/>
        </w:rPr>
        <w:t>En octubre de 2005, en un momento en que el sector de la construcción estaba en su apogeo en EEUU, afirmó con solemnidad que en realidad no existía ninguna burbuja inmobiliaria, y por tanto, las preocupaciones sobre esta cuestión estaban infundadas.</w:t>
      </w:r>
    </w:p>
    <w:p w:rsidR="002F07D4" w:rsidRPr="006E5C27" w:rsidRDefault="002F07D4" w:rsidP="002F07D4">
      <w:pPr>
        <w:spacing w:line="240" w:lineRule="auto"/>
        <w:jc w:val="both"/>
        <w:rPr>
          <w:rFonts w:ascii="Times New Roman" w:hAnsi="Times New Roman"/>
          <w:color w:val="FF0000"/>
          <w:sz w:val="24"/>
          <w:szCs w:val="24"/>
          <w:u w:val="single"/>
        </w:rPr>
      </w:pPr>
      <w:r w:rsidRPr="006E5C27">
        <w:rPr>
          <w:rFonts w:ascii="Times New Roman" w:hAnsi="Times New Roman"/>
          <w:color w:val="FF0000"/>
          <w:sz w:val="24"/>
          <w:szCs w:val="24"/>
          <w:u w:val="single"/>
        </w:rPr>
        <w:t xml:space="preserve">En esa misma ocasión achacó el incremento del 25% en los precios de la vivienda a factores reales, como el crecimiento de empleos, de ingresos y de nuevas familias.  </w:t>
      </w:r>
    </w:p>
    <w:p w:rsidR="002F07D4" w:rsidRPr="006E5C27" w:rsidRDefault="002F07D4" w:rsidP="002F07D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Añadió, además, que “</w:t>
      </w:r>
      <w:r w:rsidRPr="006E5C27">
        <w:rPr>
          <w:rFonts w:ascii="Times New Roman" w:hAnsi="Times New Roman"/>
          <w:color w:val="FF0000"/>
          <w:sz w:val="24"/>
          <w:szCs w:val="24"/>
          <w:u w:val="single"/>
        </w:rPr>
        <w:t>un enfriamiento moderado en el mercado inmobiliario, en el caso de que esto ocurriera, no sería incompatible con el mantenimiento del crecimiento económico cercano a su nive</w:t>
      </w:r>
      <w:r>
        <w:rPr>
          <w:rFonts w:ascii="Times New Roman" w:hAnsi="Times New Roman"/>
          <w:color w:val="FF0000"/>
          <w:sz w:val="24"/>
          <w:szCs w:val="24"/>
          <w:u w:val="single"/>
        </w:rPr>
        <w:t>l potencial en el año que viene”</w:t>
      </w:r>
      <w:r w:rsidRPr="006E5C27">
        <w:rPr>
          <w:rFonts w:ascii="Times New Roman" w:hAnsi="Times New Roman"/>
          <w:color w:val="FF0000"/>
          <w:sz w:val="24"/>
          <w:szCs w:val="24"/>
          <w:u w:val="single"/>
        </w:rPr>
        <w:t>.</w:t>
      </w:r>
    </w:p>
    <w:p w:rsidR="002F07D4" w:rsidRDefault="002F07D4" w:rsidP="002F07D4">
      <w:pPr>
        <w:spacing w:line="240" w:lineRule="auto"/>
        <w:jc w:val="both"/>
        <w:rPr>
          <w:rFonts w:ascii="Times New Roman" w:hAnsi="Times New Roman"/>
          <w:color w:val="FF0000"/>
          <w:sz w:val="24"/>
          <w:szCs w:val="24"/>
        </w:rPr>
      </w:pPr>
      <w:r w:rsidRPr="006E5C27">
        <w:rPr>
          <w:rFonts w:ascii="Times New Roman" w:hAnsi="Times New Roman"/>
          <w:color w:val="FF0000"/>
          <w:sz w:val="24"/>
          <w:szCs w:val="24"/>
          <w:u w:val="single"/>
        </w:rPr>
        <w:t>Por si esto no fuera poco, agregó que los efectos económicos de una caída</w:t>
      </w:r>
      <w:r>
        <w:rPr>
          <w:rFonts w:ascii="Times New Roman" w:hAnsi="Times New Roman"/>
          <w:color w:val="FF0000"/>
          <w:sz w:val="24"/>
          <w:szCs w:val="24"/>
          <w:u w:val="single"/>
        </w:rPr>
        <w:t xml:space="preserve"> en los precios de los activos “</w:t>
      </w:r>
      <w:r w:rsidRPr="006E5C27">
        <w:rPr>
          <w:rFonts w:ascii="Times New Roman" w:hAnsi="Times New Roman"/>
          <w:color w:val="FF0000"/>
          <w:sz w:val="24"/>
          <w:szCs w:val="24"/>
          <w:u w:val="single"/>
        </w:rPr>
        <w:t>no depende tanto de la gravedad de la caída misma como de la respuesta de los encargados de la política económica, en p</w:t>
      </w:r>
      <w:r>
        <w:rPr>
          <w:rFonts w:ascii="Times New Roman" w:hAnsi="Times New Roman"/>
          <w:color w:val="FF0000"/>
          <w:sz w:val="24"/>
          <w:szCs w:val="24"/>
          <w:u w:val="single"/>
        </w:rPr>
        <w:t>articular, los bancos centrales”</w:t>
      </w:r>
      <w:r w:rsidRPr="006E5C27">
        <w:rPr>
          <w:rFonts w:ascii="Times New Roman" w:hAnsi="Times New Roman"/>
          <w:color w:val="FF0000"/>
          <w:sz w:val="24"/>
          <w:szCs w:val="24"/>
          <w:u w:val="single"/>
        </w:rPr>
        <w:t>.</w:t>
      </w:r>
      <w:r w:rsidRPr="00725805">
        <w:rPr>
          <w:rFonts w:ascii="Times New Roman" w:hAnsi="Times New Roman"/>
          <w:color w:val="FF0000"/>
          <w:sz w:val="24"/>
          <w:szCs w:val="24"/>
        </w:rPr>
        <w:t xml:space="preserve"> Si fuera esto cierto, ahora estaríamos creciendo a tasas estratosféricas. </w:t>
      </w:r>
    </w:p>
    <w:p w:rsidR="002F07D4" w:rsidRPr="006E5C27" w:rsidRDefault="002F07D4" w:rsidP="002F07D4">
      <w:pPr>
        <w:spacing w:line="240" w:lineRule="auto"/>
        <w:jc w:val="both"/>
        <w:rPr>
          <w:rFonts w:ascii="Times New Roman" w:hAnsi="Times New Roman"/>
          <w:sz w:val="24"/>
          <w:szCs w:val="24"/>
          <w:u w:val="single"/>
        </w:rPr>
      </w:pPr>
      <w:r w:rsidRPr="006E5C27">
        <w:rPr>
          <w:rFonts w:ascii="Times New Roman" w:hAnsi="Times New Roman"/>
          <w:sz w:val="24"/>
          <w:szCs w:val="24"/>
          <w:u w:val="single"/>
        </w:rPr>
        <w:t>En el año siguiente, Bernanke ignoró totalmente los riesgos de las hipotecas subprime. Por ejemplo, cuando habló acerca de la situación de la economía ante el Congreso estadounidense en el verano de 2006, no hizo ninguna mención a posibles tensiones futuras ni desequilibrios present</w:t>
      </w:r>
      <w:r>
        <w:rPr>
          <w:rFonts w:ascii="Times New Roman" w:hAnsi="Times New Roman"/>
          <w:sz w:val="24"/>
          <w:szCs w:val="24"/>
          <w:u w:val="single"/>
        </w:rPr>
        <w:t>es. Conviene recordar que en es</w:t>
      </w:r>
      <w:r w:rsidRPr="006E5C27">
        <w:rPr>
          <w:rFonts w:ascii="Times New Roman" w:hAnsi="Times New Roman"/>
          <w:sz w:val="24"/>
          <w:szCs w:val="24"/>
          <w:u w:val="single"/>
        </w:rPr>
        <w:t xml:space="preserve">e mismo verano se produjo el pico de la burbuja inmobiliaria. Los precios de la vivienda no hicieron más que bajar desde entonces. </w:t>
      </w:r>
    </w:p>
    <w:p w:rsidR="002F07D4" w:rsidRPr="006E5C27" w:rsidRDefault="002F07D4" w:rsidP="002F07D4">
      <w:pPr>
        <w:spacing w:line="240" w:lineRule="auto"/>
        <w:jc w:val="both"/>
        <w:rPr>
          <w:rFonts w:ascii="Times New Roman" w:hAnsi="Times New Roman"/>
          <w:sz w:val="24"/>
          <w:szCs w:val="24"/>
          <w:u w:val="single"/>
        </w:rPr>
      </w:pPr>
      <w:r w:rsidRPr="006E5C27">
        <w:rPr>
          <w:rFonts w:ascii="Times New Roman" w:hAnsi="Times New Roman"/>
          <w:sz w:val="24"/>
          <w:szCs w:val="24"/>
          <w:u w:val="single"/>
        </w:rPr>
        <w:t xml:space="preserve">En el verano de 2007 empezaron a florecer las primeras semillas que alertaban de problemas. Sin embargo, </w:t>
      </w:r>
      <w:r>
        <w:rPr>
          <w:rFonts w:ascii="Times New Roman" w:hAnsi="Times New Roman"/>
          <w:sz w:val="24"/>
          <w:szCs w:val="24"/>
          <w:u w:val="single"/>
        </w:rPr>
        <w:t xml:space="preserve">Bernanke permaneció impasible: </w:t>
      </w:r>
      <w:r w:rsidRPr="0004634A">
        <w:rPr>
          <w:rFonts w:ascii="Times New Roman" w:hAnsi="Times New Roman"/>
          <w:color w:val="FF0000"/>
          <w:sz w:val="24"/>
          <w:szCs w:val="24"/>
          <w:u w:val="single"/>
        </w:rPr>
        <w:t>“Parece improbable que los problemas del sector subprime se trasladen seriamente a la economía agregada o al sistema financiero”</w:t>
      </w:r>
      <w:r w:rsidRPr="006E5C27">
        <w:rPr>
          <w:rFonts w:ascii="Times New Roman" w:hAnsi="Times New Roman"/>
          <w:sz w:val="24"/>
          <w:szCs w:val="24"/>
          <w:u w:val="single"/>
        </w:rPr>
        <w:t xml:space="preserve">, declaró el 5 de junio de este año ante la International Monetary Conference. A estas atinadas predicciones podríamos agregar su estimación, en febrero de 2008, de que la recuperación en el sector inmobiliario tendría lugar a fines de ese año. </w:t>
      </w:r>
    </w:p>
    <w:p w:rsidR="002F07D4" w:rsidRDefault="002F07D4" w:rsidP="002F07D4">
      <w:pPr>
        <w:spacing w:line="240" w:lineRule="auto"/>
        <w:jc w:val="both"/>
        <w:rPr>
          <w:rFonts w:ascii="Times New Roman" w:hAnsi="Times New Roman"/>
          <w:sz w:val="24"/>
          <w:szCs w:val="24"/>
          <w:u w:val="single"/>
        </w:rPr>
      </w:pPr>
      <w:r w:rsidRPr="006E5C27">
        <w:rPr>
          <w:rFonts w:ascii="Times New Roman" w:hAnsi="Times New Roman"/>
          <w:sz w:val="24"/>
          <w:szCs w:val="24"/>
          <w:u w:val="single"/>
        </w:rPr>
        <w:t xml:space="preserve">Después de los dos primeros años de turbulencias y su más que demostrada nula capacidad de predicción, Bernanke aún se permite el lujo de dar lecciones al mundo explicando los orígenes de la crisis en el exceso de ahorro de los asiáticos.  </w:t>
      </w:r>
    </w:p>
    <w:p w:rsidR="002F07D4" w:rsidRPr="00725805" w:rsidRDefault="002F07D4" w:rsidP="002F07D4">
      <w:pPr>
        <w:spacing w:line="240" w:lineRule="auto"/>
        <w:jc w:val="both"/>
        <w:rPr>
          <w:rFonts w:ascii="Times New Roman" w:hAnsi="Times New Roman"/>
          <w:color w:val="FF0000"/>
          <w:sz w:val="24"/>
          <w:szCs w:val="24"/>
        </w:rPr>
      </w:pPr>
      <w:r w:rsidRPr="006E5C27">
        <w:rPr>
          <w:rFonts w:ascii="Times New Roman" w:hAnsi="Times New Roman"/>
          <w:sz w:val="24"/>
          <w:szCs w:val="24"/>
        </w:rPr>
        <w:t>D</w:t>
      </w:r>
      <w:r>
        <w:rPr>
          <w:rFonts w:ascii="Times New Roman" w:hAnsi="Times New Roman"/>
          <w:sz w:val="24"/>
          <w:szCs w:val="24"/>
        </w:rPr>
        <w:t>eclaraciones en 2009:</w:t>
      </w:r>
    </w:p>
    <w:p w:rsidR="002F07D4" w:rsidRPr="0056241F" w:rsidRDefault="002F07D4" w:rsidP="002F07D4">
      <w:pPr>
        <w:spacing w:line="240" w:lineRule="auto"/>
        <w:jc w:val="both"/>
        <w:rPr>
          <w:rFonts w:ascii="Times New Roman" w:hAnsi="Times New Roman"/>
          <w:sz w:val="24"/>
          <w:szCs w:val="24"/>
          <w:u w:val="single"/>
        </w:rPr>
      </w:pPr>
      <w:r w:rsidRPr="0004634A">
        <w:rPr>
          <w:rFonts w:ascii="Times New Roman" w:hAnsi="Times New Roman"/>
          <w:sz w:val="24"/>
          <w:szCs w:val="24"/>
        </w:rPr>
        <w:t xml:space="preserve">14 de abril: El presidente de la Reserva Federal de Estados Unidos (Fed), </w:t>
      </w:r>
      <w:r w:rsidRPr="0056241F">
        <w:rPr>
          <w:rFonts w:ascii="Times New Roman" w:hAnsi="Times New Roman"/>
          <w:sz w:val="24"/>
          <w:szCs w:val="24"/>
          <w:u w:val="single"/>
        </w:rPr>
        <w:t>Ben Bernanke</w:t>
      </w:r>
      <w:r w:rsidRPr="0004634A">
        <w:rPr>
          <w:rFonts w:ascii="Times New Roman" w:hAnsi="Times New Roman"/>
          <w:sz w:val="24"/>
          <w:szCs w:val="24"/>
        </w:rPr>
        <w:t xml:space="preserve">, ha coincidido este martes con el presidente del país, Barack Obama, en </w:t>
      </w:r>
      <w:r w:rsidRPr="0056241F">
        <w:rPr>
          <w:rFonts w:ascii="Times New Roman" w:hAnsi="Times New Roman"/>
          <w:sz w:val="24"/>
          <w:szCs w:val="24"/>
          <w:u w:val="single"/>
        </w:rPr>
        <w:t xml:space="preserve">su percepción de que hay ciertos indicios de que la recesión se puede estar suavizando. </w:t>
      </w:r>
    </w:p>
    <w:p w:rsidR="002F07D4" w:rsidRPr="006E5C27" w:rsidRDefault="002F07D4" w:rsidP="002F07D4">
      <w:pPr>
        <w:spacing w:line="240" w:lineRule="auto"/>
        <w:jc w:val="both"/>
        <w:rPr>
          <w:rFonts w:ascii="Times New Roman" w:hAnsi="Times New Roman"/>
          <w:color w:val="FF0000"/>
          <w:sz w:val="24"/>
          <w:szCs w:val="24"/>
          <w:u w:val="single"/>
        </w:rPr>
      </w:pPr>
      <w:r w:rsidRPr="006E5C27">
        <w:rPr>
          <w:rFonts w:ascii="Times New Roman" w:hAnsi="Times New Roman"/>
          <w:color w:val="FF0000"/>
          <w:sz w:val="24"/>
          <w:szCs w:val="24"/>
          <w:u w:val="single"/>
        </w:rPr>
        <w:t xml:space="preserve">Bernanke se refiere a algunos indicadores recientes relacionados con la venta de automóviles, la construcción de viviendas y el gasto de los consumidores. Según </w:t>
      </w:r>
      <w:r w:rsidRPr="006E5C27">
        <w:rPr>
          <w:rFonts w:ascii="Times New Roman" w:hAnsi="Times New Roman"/>
          <w:color w:val="FF0000"/>
          <w:sz w:val="24"/>
          <w:szCs w:val="24"/>
          <w:u w:val="single"/>
        </w:rPr>
        <w:lastRenderedPageBreak/>
        <w:t xml:space="preserve">Bernanke, los riesgos de inflación han remitido en los últimos meses. No obstante, contempla la posibilidad de que reaparezcan cuando comience la recuperación económica. </w:t>
      </w:r>
    </w:p>
    <w:p w:rsidR="002F07D4" w:rsidRPr="0056241F" w:rsidRDefault="002F07D4" w:rsidP="002F07D4">
      <w:pPr>
        <w:spacing w:line="240" w:lineRule="auto"/>
        <w:jc w:val="both"/>
        <w:rPr>
          <w:rFonts w:ascii="Times New Roman" w:hAnsi="Times New Roman"/>
          <w:sz w:val="24"/>
          <w:szCs w:val="24"/>
        </w:rPr>
      </w:pPr>
      <w:r w:rsidRPr="006E5C27">
        <w:rPr>
          <w:rFonts w:ascii="Times New Roman" w:hAnsi="Times New Roman"/>
          <w:color w:val="FF0000"/>
          <w:sz w:val="24"/>
          <w:szCs w:val="24"/>
          <w:u w:val="single"/>
        </w:rPr>
        <w:t xml:space="preserve">5 de mayo: </w:t>
      </w:r>
      <w:r>
        <w:rPr>
          <w:rFonts w:ascii="Times New Roman" w:hAnsi="Times New Roman"/>
          <w:color w:val="FF0000"/>
          <w:sz w:val="24"/>
          <w:szCs w:val="24"/>
          <w:u w:val="single"/>
        </w:rPr>
        <w:t>“</w:t>
      </w:r>
      <w:r w:rsidRPr="006E5C27">
        <w:rPr>
          <w:rFonts w:ascii="Times New Roman" w:hAnsi="Times New Roman"/>
          <w:color w:val="FF0000"/>
          <w:sz w:val="24"/>
          <w:szCs w:val="24"/>
          <w:u w:val="single"/>
        </w:rPr>
        <w:t>Seguimos augurando que la actividad económica tocará fondo y re</w:t>
      </w:r>
      <w:r>
        <w:rPr>
          <w:rFonts w:ascii="Times New Roman" w:hAnsi="Times New Roman"/>
          <w:color w:val="FF0000"/>
          <w:sz w:val="24"/>
          <w:szCs w:val="24"/>
          <w:u w:val="single"/>
        </w:rPr>
        <w:t>puntará en el curso de este año”,</w:t>
      </w:r>
      <w:r w:rsidRPr="0056241F">
        <w:rPr>
          <w:rFonts w:ascii="Times New Roman" w:hAnsi="Times New Roman"/>
          <w:sz w:val="24"/>
          <w:szCs w:val="24"/>
        </w:rPr>
        <w:t xml:space="preserve">dijo Bernanke ante el Comité Económico Conjunto de la Cámara de Representantes y el Senado. </w:t>
      </w:r>
    </w:p>
    <w:p w:rsidR="002F07D4" w:rsidRPr="0004634A" w:rsidRDefault="002F07D4" w:rsidP="002F07D4">
      <w:pPr>
        <w:spacing w:line="240" w:lineRule="auto"/>
        <w:jc w:val="both"/>
        <w:rPr>
          <w:rFonts w:ascii="Times New Roman" w:hAnsi="Times New Roman"/>
          <w:sz w:val="24"/>
          <w:szCs w:val="24"/>
        </w:rPr>
      </w:pPr>
      <w:r>
        <w:rPr>
          <w:rFonts w:ascii="Times New Roman" w:hAnsi="Times New Roman"/>
          <w:color w:val="FF0000"/>
          <w:sz w:val="24"/>
          <w:szCs w:val="24"/>
          <w:u w:val="single"/>
        </w:rPr>
        <w:t>“</w:t>
      </w:r>
      <w:r w:rsidRPr="006E5C27">
        <w:rPr>
          <w:rFonts w:ascii="Times New Roman" w:hAnsi="Times New Roman"/>
          <w:color w:val="FF0000"/>
          <w:sz w:val="24"/>
          <w:szCs w:val="24"/>
          <w:u w:val="single"/>
        </w:rPr>
        <w:t>La recuperación ganará</w:t>
      </w:r>
      <w:r>
        <w:rPr>
          <w:rFonts w:ascii="Times New Roman" w:hAnsi="Times New Roman"/>
          <w:color w:val="FF0000"/>
          <w:sz w:val="24"/>
          <w:szCs w:val="24"/>
          <w:u w:val="single"/>
        </w:rPr>
        <w:t xml:space="preserve">  impulso sólo de forma gradual”</w:t>
      </w:r>
      <w:r w:rsidRPr="006E5C27">
        <w:rPr>
          <w:rFonts w:ascii="Times New Roman" w:hAnsi="Times New Roman"/>
          <w:color w:val="FF0000"/>
          <w:sz w:val="24"/>
          <w:szCs w:val="24"/>
          <w:u w:val="single"/>
        </w:rPr>
        <w:t>, afirmó Bernank</w:t>
      </w:r>
      <w:r>
        <w:rPr>
          <w:rFonts w:ascii="Times New Roman" w:hAnsi="Times New Roman"/>
          <w:color w:val="FF0000"/>
          <w:sz w:val="24"/>
          <w:szCs w:val="24"/>
          <w:u w:val="single"/>
        </w:rPr>
        <w:t>e, quien dijo que las empresas “</w:t>
      </w:r>
      <w:r w:rsidRPr="006E5C27">
        <w:rPr>
          <w:rFonts w:ascii="Times New Roman" w:hAnsi="Times New Roman"/>
          <w:color w:val="FF0000"/>
          <w:sz w:val="24"/>
          <w:szCs w:val="24"/>
          <w:u w:val="single"/>
        </w:rPr>
        <w:t>probablemente seguirá</w:t>
      </w:r>
      <w:r>
        <w:rPr>
          <w:rFonts w:ascii="Times New Roman" w:hAnsi="Times New Roman"/>
          <w:color w:val="FF0000"/>
          <w:sz w:val="24"/>
          <w:szCs w:val="24"/>
          <w:u w:val="single"/>
        </w:rPr>
        <w:t>n cautas a la hora de contratar”. “</w:t>
      </w:r>
      <w:r w:rsidRPr="006E5C27">
        <w:rPr>
          <w:rFonts w:ascii="Times New Roman" w:hAnsi="Times New Roman"/>
          <w:color w:val="FF0000"/>
          <w:sz w:val="24"/>
          <w:szCs w:val="24"/>
          <w:u w:val="single"/>
        </w:rPr>
        <w:t>La tasa de desempleo podría mantenerse alta por algún tiempo, incluso después de que se resta</w:t>
      </w:r>
      <w:r>
        <w:rPr>
          <w:rFonts w:ascii="Times New Roman" w:hAnsi="Times New Roman"/>
          <w:color w:val="FF0000"/>
          <w:sz w:val="24"/>
          <w:szCs w:val="24"/>
          <w:u w:val="single"/>
        </w:rPr>
        <w:t>blezca el crecimiento económico”</w:t>
      </w:r>
      <w:r w:rsidRPr="006E5C27">
        <w:rPr>
          <w:rFonts w:ascii="Times New Roman" w:hAnsi="Times New Roman"/>
          <w:color w:val="FF0000"/>
          <w:sz w:val="24"/>
          <w:szCs w:val="24"/>
          <w:u w:val="single"/>
        </w:rPr>
        <w:t xml:space="preserve">, alertó. </w:t>
      </w:r>
      <w:r w:rsidRPr="0004634A">
        <w:rPr>
          <w:rFonts w:ascii="Times New Roman" w:hAnsi="Times New Roman"/>
          <w:sz w:val="24"/>
          <w:szCs w:val="24"/>
        </w:rPr>
        <w:t>El jefe de la FED habló en un momento en que han aparecido indicios de una desaceleración de la caída de la actividad en Estados Unidos.</w:t>
      </w:r>
    </w:p>
    <w:p w:rsidR="002F07D4" w:rsidRDefault="002F07D4" w:rsidP="002F07D4">
      <w:pPr>
        <w:spacing w:line="240" w:lineRule="auto"/>
        <w:jc w:val="both"/>
        <w:rPr>
          <w:rFonts w:ascii="Times New Roman" w:hAnsi="Times New Roman"/>
          <w:color w:val="FF0000"/>
          <w:sz w:val="24"/>
          <w:szCs w:val="24"/>
          <w:u w:val="single"/>
        </w:rPr>
      </w:pPr>
      <w:r w:rsidRPr="006E5C27">
        <w:rPr>
          <w:rFonts w:ascii="Times New Roman" w:hAnsi="Times New Roman"/>
          <w:color w:val="FF0000"/>
          <w:sz w:val="24"/>
          <w:szCs w:val="24"/>
          <w:u w:val="single"/>
        </w:rPr>
        <w:t>3 de junio</w:t>
      </w:r>
      <w:r w:rsidRPr="0004634A">
        <w:rPr>
          <w:rFonts w:ascii="Times New Roman" w:hAnsi="Times New Roman"/>
          <w:sz w:val="24"/>
          <w:szCs w:val="24"/>
        </w:rPr>
        <w:t>: En un discurso pronunciado ante la Comisión de Déficit de la Cámara de Representantes estadounidense Bernanke ha señalado que</w:t>
      </w:r>
      <w:r>
        <w:rPr>
          <w:rFonts w:ascii="Times New Roman" w:hAnsi="Times New Roman"/>
          <w:color w:val="FF0000"/>
          <w:sz w:val="24"/>
          <w:szCs w:val="24"/>
        </w:rPr>
        <w:t xml:space="preserve"> “</w:t>
      </w:r>
      <w:r w:rsidRPr="006E5C27">
        <w:rPr>
          <w:rFonts w:ascii="Times New Roman" w:hAnsi="Times New Roman"/>
          <w:color w:val="FF0000"/>
          <w:sz w:val="24"/>
          <w:szCs w:val="24"/>
          <w:u w:val="single"/>
        </w:rPr>
        <w:t>seguimos esperando que la actividad económica toque fondo este año y que después</w:t>
      </w:r>
      <w:r>
        <w:rPr>
          <w:rFonts w:ascii="Times New Roman" w:hAnsi="Times New Roman"/>
          <w:color w:val="FF0000"/>
          <w:sz w:val="24"/>
          <w:szCs w:val="24"/>
          <w:u w:val="single"/>
        </w:rPr>
        <w:t xml:space="preserve"> se levante a finales del mismo”, señaló Bernanke. “</w:t>
      </w:r>
      <w:r w:rsidRPr="006E5C27">
        <w:rPr>
          <w:rFonts w:ascii="Times New Roman" w:hAnsi="Times New Roman"/>
          <w:color w:val="FF0000"/>
          <w:sz w:val="24"/>
          <w:szCs w:val="24"/>
          <w:u w:val="single"/>
        </w:rPr>
        <w:t>Los recientes datos sugieren que el ritmo de la contracción econó</w:t>
      </w:r>
      <w:r>
        <w:rPr>
          <w:rFonts w:ascii="Times New Roman" w:hAnsi="Times New Roman"/>
          <w:color w:val="FF0000"/>
          <w:sz w:val="24"/>
          <w:szCs w:val="24"/>
          <w:u w:val="single"/>
        </w:rPr>
        <w:t>mica podría haberse ralentizado”</w:t>
      </w:r>
      <w:r w:rsidRPr="006E5C27">
        <w:rPr>
          <w:rFonts w:ascii="Times New Roman" w:hAnsi="Times New Roman"/>
          <w:color w:val="FF0000"/>
          <w:sz w:val="24"/>
          <w:szCs w:val="24"/>
          <w:u w:val="single"/>
        </w:rPr>
        <w:t>.</w:t>
      </w:r>
    </w:p>
    <w:p w:rsidR="002F07D4" w:rsidRPr="00FB465F" w:rsidRDefault="002F07D4" w:rsidP="002F07D4">
      <w:pPr>
        <w:spacing w:line="240" w:lineRule="auto"/>
        <w:jc w:val="both"/>
        <w:rPr>
          <w:rFonts w:ascii="Times New Roman" w:hAnsi="Times New Roman"/>
          <w:b/>
          <w:sz w:val="24"/>
          <w:szCs w:val="24"/>
        </w:rPr>
      </w:pPr>
      <w:r w:rsidRPr="00FB465F">
        <w:rPr>
          <w:rFonts w:ascii="Times New Roman" w:hAnsi="Times New Roman"/>
          <w:b/>
          <w:sz w:val="24"/>
          <w:szCs w:val="24"/>
        </w:rPr>
        <w:t>Tócala</w:t>
      </w:r>
      <w:r>
        <w:rPr>
          <w:rFonts w:ascii="Times New Roman" w:hAnsi="Times New Roman"/>
          <w:b/>
          <w:sz w:val="24"/>
          <w:szCs w:val="24"/>
        </w:rPr>
        <w:t xml:space="preserve"> otra vez,</w:t>
      </w:r>
      <w:r w:rsidRPr="00FB465F">
        <w:rPr>
          <w:rFonts w:ascii="Times New Roman" w:hAnsi="Times New Roman"/>
          <w:b/>
          <w:sz w:val="24"/>
          <w:szCs w:val="24"/>
        </w:rPr>
        <w:t xml:space="preserve"> Ben</w:t>
      </w:r>
      <w:r>
        <w:rPr>
          <w:rFonts w:ascii="Times New Roman" w:hAnsi="Times New Roman"/>
          <w:b/>
          <w:sz w:val="24"/>
          <w:szCs w:val="24"/>
        </w:rPr>
        <w:t xml:space="preserve">: </w:t>
      </w:r>
      <w:r w:rsidRPr="00C37043">
        <w:rPr>
          <w:rFonts w:ascii="Times New Roman" w:hAnsi="Times New Roman"/>
          <w:b/>
          <w:sz w:val="24"/>
          <w:szCs w:val="24"/>
          <w:u w:val="single"/>
        </w:rPr>
        <w:t>Lecturas recomendadas</w:t>
      </w:r>
      <w:r>
        <w:rPr>
          <w:rFonts w:ascii="Times New Roman" w:hAnsi="Times New Roman"/>
          <w:b/>
          <w:sz w:val="24"/>
          <w:szCs w:val="24"/>
        </w:rPr>
        <w:t>, “para no olvidar lo inolvidable”</w:t>
      </w:r>
    </w:p>
    <w:p w:rsidR="002F07D4" w:rsidRPr="00120648" w:rsidRDefault="002F07D4" w:rsidP="002F07D4">
      <w:pPr>
        <w:spacing w:line="240" w:lineRule="auto"/>
        <w:jc w:val="both"/>
        <w:rPr>
          <w:rFonts w:ascii="Times New Roman" w:eastAsia="Times New Roman" w:hAnsi="Times New Roman"/>
          <w:b/>
          <w:sz w:val="24"/>
          <w:szCs w:val="24"/>
          <w:lang w:eastAsia="es-ES"/>
        </w:rPr>
      </w:pPr>
      <w:r w:rsidRPr="00120648">
        <w:rPr>
          <w:rFonts w:ascii="Times New Roman" w:eastAsia="Times New Roman" w:hAnsi="Times New Roman"/>
          <w:b/>
          <w:sz w:val="24"/>
          <w:szCs w:val="24"/>
          <w:lang w:eastAsia="es-ES"/>
        </w:rPr>
        <w:t>Mentiras y errores al descubierto</w:t>
      </w:r>
      <w:r>
        <w:rPr>
          <w:rFonts w:ascii="Times New Roman" w:eastAsia="Times New Roman" w:hAnsi="Times New Roman"/>
          <w:b/>
          <w:sz w:val="24"/>
          <w:szCs w:val="24"/>
          <w:lang w:eastAsia="es-ES"/>
        </w:rPr>
        <w:t xml:space="preserve"> (del conundrum de Alan, al oxímoron de Ben)</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F45223">
        <w:rPr>
          <w:rFonts w:ascii="Times New Roman" w:eastAsia="Times New Roman" w:hAnsi="Times New Roman"/>
          <w:sz w:val="24"/>
          <w:szCs w:val="24"/>
          <w:u w:val="single"/>
          <w:lang w:eastAsia="es-ES"/>
        </w:rPr>
        <w:t>Bernanke, el banquero central que engañó a medio mundo</w:t>
      </w:r>
      <w:r>
        <w:rPr>
          <w:rFonts w:ascii="Times New Roman" w:eastAsia="Times New Roman" w:hAnsi="Times New Roman"/>
          <w:sz w:val="24"/>
          <w:szCs w:val="24"/>
          <w:lang w:eastAsia="es-ES"/>
        </w:rPr>
        <w:t xml:space="preserve"> (Libertad Digital - </w:t>
      </w:r>
      <w:r w:rsidRPr="00F45223">
        <w:rPr>
          <w:rFonts w:ascii="Times New Roman" w:eastAsia="Times New Roman" w:hAnsi="Times New Roman"/>
          <w:b/>
          <w:sz w:val="24"/>
          <w:szCs w:val="24"/>
          <w:lang w:eastAsia="es-ES"/>
        </w:rPr>
        <w:t>5/1/11</w:t>
      </w:r>
      <w:r>
        <w:rPr>
          <w:rFonts w:ascii="Times New Roman" w:eastAsia="Times New Roman" w:hAnsi="Times New Roman"/>
          <w:sz w:val="24"/>
          <w:szCs w:val="24"/>
          <w:lang w:eastAsia="es-ES"/>
        </w:rPr>
        <w:t>)</w:t>
      </w:r>
    </w:p>
    <w:p w:rsidR="002F07D4" w:rsidRPr="00AB5356"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B5356">
        <w:rPr>
          <w:rFonts w:ascii="Times New Roman" w:eastAsia="Times New Roman" w:hAnsi="Times New Roman"/>
          <w:color w:val="FF0000"/>
          <w:sz w:val="24"/>
          <w:szCs w:val="24"/>
          <w:u w:val="single"/>
          <w:lang w:eastAsia="es-ES"/>
        </w:rPr>
        <w:t>El presidente de la FED, Ben Bernanke, fue alabado como la persona perfecta para afrontar el crash de 2008. Pero parece que a Bernanke se le apaga la estrella. Muchos le dan la espalda y las críticas empiezan a arreciar desde todos lados. No es de extrañar si se repasa la hemeroteca.</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F45223">
        <w:rPr>
          <w:rFonts w:ascii="Times New Roman" w:eastAsia="Times New Roman" w:hAnsi="Times New Roman"/>
          <w:sz w:val="24"/>
          <w:szCs w:val="24"/>
          <w:lang w:eastAsia="es-ES"/>
        </w:rPr>
        <w:t>Hugo Baldasano</w:t>
      </w:r>
      <w:r>
        <w:rPr>
          <w:rFonts w:ascii="Times New Roman" w:eastAsia="Times New Roman" w:hAnsi="Times New Roman"/>
          <w:sz w:val="24"/>
          <w:szCs w:val="24"/>
          <w:lang w:eastAsia="es-ES"/>
        </w:rPr>
        <w:t xml:space="preserve">)                                                                      </w:t>
      </w:r>
    </w:p>
    <w:p w:rsidR="002F07D4" w:rsidRPr="00AB5356"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AB5356">
        <w:rPr>
          <w:rFonts w:ascii="Times New Roman" w:eastAsia="Times New Roman" w:hAnsi="Times New Roman"/>
          <w:sz w:val="24"/>
          <w:szCs w:val="24"/>
          <w:u w:val="single"/>
          <w:lang w:eastAsia="es-ES"/>
        </w:rPr>
        <w:t>¿Están siendo injustos y oportunistas con Bernanke? ¿O realmente se merece las críticas</w:t>
      </w:r>
      <w:r w:rsidRPr="00F45223">
        <w:rPr>
          <w:rFonts w:ascii="Times New Roman" w:eastAsia="Times New Roman" w:hAnsi="Times New Roman"/>
          <w:sz w:val="24"/>
          <w:szCs w:val="24"/>
          <w:lang w:eastAsia="es-ES"/>
        </w:rPr>
        <w:t xml:space="preserve">? El debate se ha repetido por todo el internet económico, muchas veces como lucha entre diferentes visiones o escuelas, donde los participantes acaban enrocados. Para evitar caer en la misma dinámica </w:t>
      </w:r>
      <w:r w:rsidRPr="00AB5356">
        <w:rPr>
          <w:rFonts w:ascii="Times New Roman" w:eastAsia="Times New Roman" w:hAnsi="Times New Roman"/>
          <w:sz w:val="24"/>
          <w:szCs w:val="24"/>
          <w:u w:val="single"/>
          <w:lang w:eastAsia="es-ES"/>
        </w:rPr>
        <w:t>nada mejor que juzgar a Bernanke por sus predicciones. Para bien o para mal, el tiempo siempre pone a cada persona en su sitio.</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lang w:eastAsia="es-ES"/>
        </w:rPr>
      </w:pPr>
      <w:r w:rsidRPr="00F45223">
        <w:rPr>
          <w:rFonts w:ascii="Times New Roman" w:eastAsia="Times New Roman" w:hAnsi="Times New Roman"/>
          <w:sz w:val="24"/>
          <w:szCs w:val="24"/>
          <w:lang w:eastAsia="es-ES"/>
        </w:rPr>
        <w:t xml:space="preserve">1. </w:t>
      </w:r>
      <w:r w:rsidRPr="00D373CF">
        <w:rPr>
          <w:rFonts w:ascii="Times New Roman" w:eastAsia="Times New Roman" w:hAnsi="Times New Roman"/>
          <w:color w:val="FF0000"/>
          <w:sz w:val="24"/>
          <w:szCs w:val="24"/>
          <w:lang w:eastAsia="es-ES"/>
        </w:rPr>
        <w:t>Antes de la crisis</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F45223">
        <w:rPr>
          <w:rFonts w:ascii="Times New Roman" w:eastAsia="Times New Roman" w:hAnsi="Times New Roman"/>
          <w:sz w:val="24"/>
          <w:szCs w:val="24"/>
          <w:lang w:eastAsia="es-ES"/>
        </w:rPr>
        <w:t>Marzo de 2005</w:t>
      </w:r>
    </w:p>
    <w:p w:rsidR="002F07D4" w:rsidRPr="00AB5356"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B5356">
        <w:rPr>
          <w:rFonts w:ascii="Times New Roman" w:eastAsia="Times New Roman" w:hAnsi="Times New Roman"/>
          <w:color w:val="FF0000"/>
          <w:sz w:val="24"/>
          <w:szCs w:val="24"/>
          <w:u w:val="single"/>
          <w:lang w:eastAsia="es-ES"/>
        </w:rPr>
        <w:t>El reciente influjo de capital ha provocado una subida del precio de la vivienda. Esta subida, a su vez, ha alentado a las familias a aumentar su consumo. Por supuesto, el aumento de las tasas de propiedad de vivienda y de consumo de los hogares son cosas buenas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Discurso para la “</w:t>
      </w:r>
      <w:r w:rsidRPr="00F45223">
        <w:rPr>
          <w:rFonts w:ascii="Times New Roman" w:eastAsia="Times New Roman" w:hAnsi="Times New Roman"/>
          <w:sz w:val="24"/>
          <w:szCs w:val="24"/>
          <w:lang w:eastAsia="es-ES"/>
        </w:rPr>
        <w:t>V</w:t>
      </w:r>
      <w:r>
        <w:rPr>
          <w:rFonts w:ascii="Times New Roman" w:eastAsia="Times New Roman" w:hAnsi="Times New Roman"/>
          <w:sz w:val="24"/>
          <w:szCs w:val="24"/>
          <w:lang w:eastAsia="es-ES"/>
        </w:rPr>
        <w:t>irginia Association of Economics”</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F45223">
        <w:rPr>
          <w:rFonts w:ascii="Times New Roman" w:eastAsia="Times New Roman" w:hAnsi="Times New Roman"/>
          <w:sz w:val="24"/>
          <w:szCs w:val="24"/>
          <w:lang w:eastAsia="es-ES"/>
        </w:rPr>
        <w:lastRenderedPageBreak/>
        <w:t>Julio de 2005</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F45223">
        <w:rPr>
          <w:rFonts w:ascii="Times New Roman" w:eastAsia="Times New Roman" w:hAnsi="Times New Roman"/>
          <w:sz w:val="24"/>
          <w:szCs w:val="24"/>
          <w:lang w:eastAsia="es-ES"/>
        </w:rPr>
        <w:t>Transcripción de las parte</w:t>
      </w:r>
      <w:r>
        <w:rPr>
          <w:rFonts w:ascii="Times New Roman" w:eastAsia="Times New Roman" w:hAnsi="Times New Roman"/>
          <w:sz w:val="24"/>
          <w:szCs w:val="24"/>
          <w:lang w:eastAsia="es-ES"/>
        </w:rPr>
        <w:t>s más significativas del vídeo:</w:t>
      </w:r>
    </w:p>
    <w:p w:rsidR="002F07D4" w:rsidRPr="00AB5356"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F45223">
        <w:rPr>
          <w:rFonts w:ascii="Times New Roman" w:eastAsia="Times New Roman" w:hAnsi="Times New Roman"/>
          <w:sz w:val="24"/>
          <w:szCs w:val="24"/>
          <w:lang w:eastAsia="es-ES"/>
        </w:rPr>
        <w:t>Entrevistador: Ben, se habla mucho de una burbuja inmobilia</w:t>
      </w:r>
      <w:r>
        <w:rPr>
          <w:rFonts w:ascii="Times New Roman" w:eastAsia="Times New Roman" w:hAnsi="Times New Roman"/>
          <w:sz w:val="24"/>
          <w:szCs w:val="24"/>
          <w:lang w:eastAsia="es-ES"/>
        </w:rPr>
        <w:t>ria, particularmente, ya sabes (inaudible)</w:t>
      </w:r>
      <w:r w:rsidRPr="00F45223">
        <w:rPr>
          <w:rFonts w:ascii="Times New Roman" w:eastAsia="Times New Roman" w:hAnsi="Times New Roman"/>
          <w:sz w:val="24"/>
          <w:szCs w:val="24"/>
          <w:lang w:eastAsia="es-ES"/>
        </w:rPr>
        <w:t xml:space="preserve"> de todo tipo de lugares. </w:t>
      </w:r>
      <w:r w:rsidRPr="00AB5356">
        <w:rPr>
          <w:rFonts w:ascii="Times New Roman" w:eastAsia="Times New Roman" w:hAnsi="Times New Roman"/>
          <w:sz w:val="24"/>
          <w:szCs w:val="24"/>
          <w:u w:val="single"/>
          <w:lang w:eastAsia="es-ES"/>
        </w:rPr>
        <w:t>¿Puede darnos su opinión acerca de si existe o no una burbuja inmobiliaria?</w:t>
      </w:r>
    </w:p>
    <w:p w:rsidR="002F07D4" w:rsidRPr="00AB5356"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45223">
        <w:rPr>
          <w:rFonts w:ascii="Times New Roman" w:eastAsia="Times New Roman" w:hAnsi="Times New Roman"/>
          <w:sz w:val="24"/>
          <w:szCs w:val="24"/>
          <w:lang w:eastAsia="es-ES"/>
        </w:rPr>
        <w:t xml:space="preserve">Bernanke: </w:t>
      </w:r>
      <w:r w:rsidRPr="00AB5356">
        <w:rPr>
          <w:rFonts w:ascii="Times New Roman" w:eastAsia="Times New Roman" w:hAnsi="Times New Roman"/>
          <w:color w:val="FF0000"/>
          <w:sz w:val="24"/>
          <w:szCs w:val="24"/>
          <w:u w:val="single"/>
          <w:lang w:eastAsia="es-ES"/>
        </w:rPr>
        <w:t>Bueno, sin lugar a dudas, los precios de la vivienda han subido bastante; creo que es importante tener en cuenta que los fundamentales son también fuertes. Tenemos una economía en crecimiento, empleo, ingresos. Tenemos las tasas hipotecarias muy bajas. Tenemos la demografía apoyando el crecimiento de la vivienda.</w:t>
      </w:r>
    </w:p>
    <w:p w:rsidR="002F07D4" w:rsidRPr="00AB5356"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B5356">
        <w:rPr>
          <w:rFonts w:ascii="Times New Roman" w:eastAsia="Times New Roman" w:hAnsi="Times New Roman"/>
          <w:color w:val="FF0000"/>
          <w:sz w:val="24"/>
          <w:szCs w:val="24"/>
          <w:u w:val="single"/>
          <w:lang w:eastAsia="es-ES"/>
        </w:rPr>
        <w:t>Tenemos una oferta restringida en algunos lugares. Por lo tanto, es comprensible que los precios suban algo. No sé si los precios están exactamente donde deben estar, pero creo que es justo decir que mucho de lo que ha pasado está soportado por la fuerza de la economía.</w:t>
      </w:r>
    </w:p>
    <w:p w:rsidR="002F07D4" w:rsidRPr="00AB5356"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F45223">
        <w:rPr>
          <w:rFonts w:ascii="Times New Roman" w:eastAsia="Times New Roman" w:hAnsi="Times New Roman"/>
          <w:sz w:val="24"/>
          <w:szCs w:val="24"/>
          <w:lang w:eastAsia="es-ES"/>
        </w:rPr>
        <w:t xml:space="preserve">Entrevistador: Dígame, </w:t>
      </w:r>
      <w:r w:rsidRPr="00AB5356">
        <w:rPr>
          <w:rFonts w:ascii="Times New Roman" w:eastAsia="Times New Roman" w:hAnsi="Times New Roman"/>
          <w:sz w:val="24"/>
          <w:szCs w:val="24"/>
          <w:u w:val="single"/>
          <w:lang w:eastAsia="es-ES"/>
        </w:rPr>
        <w:t>¿cuál es el peor de los casos?</w:t>
      </w:r>
      <w:r w:rsidRPr="00F45223">
        <w:rPr>
          <w:rFonts w:ascii="Times New Roman" w:eastAsia="Times New Roman" w:hAnsi="Times New Roman"/>
          <w:sz w:val="24"/>
          <w:szCs w:val="24"/>
          <w:lang w:eastAsia="es-ES"/>
        </w:rPr>
        <w:t xml:space="preserve"> Señor, tenemos tantos economistas viniendo al programa y diciendo: </w:t>
      </w:r>
      <w:r>
        <w:rPr>
          <w:rFonts w:ascii="Times New Roman" w:eastAsia="Times New Roman" w:hAnsi="Times New Roman"/>
          <w:sz w:val="24"/>
          <w:szCs w:val="24"/>
          <w:u w:val="single"/>
          <w:lang w:eastAsia="es-ES"/>
        </w:rPr>
        <w:t>“</w:t>
      </w:r>
      <w:r w:rsidRPr="00AB5356">
        <w:rPr>
          <w:rFonts w:ascii="Times New Roman" w:eastAsia="Times New Roman" w:hAnsi="Times New Roman"/>
          <w:sz w:val="24"/>
          <w:szCs w:val="24"/>
          <w:u w:val="single"/>
          <w:lang w:eastAsia="es-ES"/>
        </w:rPr>
        <w:t>Oh, esto es una burbuja, y va a estallar, y esto va a ser un verdadero problema para la economía</w:t>
      </w:r>
      <w:r>
        <w:rPr>
          <w:rFonts w:ascii="Times New Roman" w:eastAsia="Times New Roman" w:hAnsi="Times New Roman"/>
          <w:sz w:val="24"/>
          <w:szCs w:val="24"/>
          <w:u w:val="single"/>
          <w:lang w:eastAsia="es-ES"/>
        </w:rPr>
        <w:t>”.</w:t>
      </w:r>
      <w:r w:rsidRPr="00AB5356">
        <w:rPr>
          <w:rFonts w:ascii="Times New Roman" w:eastAsia="Times New Roman" w:hAnsi="Times New Roman"/>
          <w:sz w:val="24"/>
          <w:szCs w:val="24"/>
          <w:u w:val="single"/>
          <w:lang w:eastAsia="es-ES"/>
        </w:rPr>
        <w:t>Algunos dicen que podría incluso provocar una recesión más adelante. ¿Cuál es el peor de los casos, si en realidad los precios bajaran considerablemente en todo el país?</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45223">
        <w:rPr>
          <w:rFonts w:ascii="Times New Roman" w:eastAsia="Times New Roman" w:hAnsi="Times New Roman"/>
          <w:sz w:val="24"/>
          <w:szCs w:val="24"/>
          <w:lang w:eastAsia="es-ES"/>
        </w:rPr>
        <w:t xml:space="preserve">Bernanke: </w:t>
      </w:r>
      <w:r w:rsidRPr="00D373CF">
        <w:rPr>
          <w:rFonts w:ascii="Times New Roman" w:eastAsia="Times New Roman" w:hAnsi="Times New Roman"/>
          <w:color w:val="FF0000"/>
          <w:sz w:val="24"/>
          <w:szCs w:val="24"/>
          <w:u w:val="single"/>
          <w:lang w:eastAsia="es-ES"/>
        </w:rPr>
        <w:t>Bueno, no acepto su premisa. Es una posibilidad bastante improbable. Nunca hemos tenido una disminución de los precios inmobiliarios en todo el territorio nacional. Creo que es más probable que los precios de la vivienda se desaceleren, tal vez estabilicen: podría reducir el consumo un poco. No creo que llevara a la economía muy lejos de su camino del pleno empleo, sin embargo.</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Febrero de 2007</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373CF">
        <w:rPr>
          <w:rFonts w:ascii="Times New Roman" w:eastAsia="Times New Roman" w:hAnsi="Times New Roman"/>
          <w:color w:val="FF0000"/>
          <w:sz w:val="24"/>
          <w:szCs w:val="24"/>
          <w:u w:val="single"/>
          <w:lang w:eastAsia="es-ES"/>
        </w:rPr>
        <w:t>Se espera un crecimiento moderado en el futuro. Creemos que si el sector inmobiliario comienza a estabilizarse, y si algunas de las correcciones de inventarios se completan, hay una posibilidad razonable de que veamos un cierto fortalecimiento de la economía en algún momento durante la mitad del año.</w:t>
      </w:r>
    </w:p>
    <w:p w:rsidR="002F07D4"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373CF">
        <w:rPr>
          <w:rFonts w:ascii="Times New Roman" w:eastAsia="Times New Roman" w:hAnsi="Times New Roman"/>
          <w:color w:val="FF0000"/>
          <w:sz w:val="24"/>
          <w:szCs w:val="24"/>
          <w:u w:val="single"/>
          <w:lang w:eastAsia="es-ES"/>
        </w:rPr>
        <w:t>Nuestra evaluación es que no hay indicación en este punto que las cuestiones de hipotecas de alto riesgo (subprime) se haya extendido a todo el mercado hipotecario, que todavía parece ser saludable.</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F45223">
        <w:rPr>
          <w:rFonts w:ascii="Times New Roman" w:eastAsia="Times New Roman" w:hAnsi="Times New Roman"/>
          <w:sz w:val="24"/>
          <w:szCs w:val="24"/>
          <w:lang w:eastAsia="es-ES"/>
        </w:rPr>
        <w:t>Julio 2007</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373CF">
        <w:rPr>
          <w:rFonts w:ascii="Times New Roman" w:eastAsia="Times New Roman" w:hAnsi="Times New Roman"/>
          <w:color w:val="FF0000"/>
          <w:sz w:val="24"/>
          <w:szCs w:val="24"/>
          <w:u w:val="single"/>
          <w:lang w:eastAsia="es-ES"/>
        </w:rPr>
        <w:t>La economía global sigue siendo fuerte, apoyado por un sólido crecimiento económico en el extranjero. Las exportaciones de EEUU deberían crecer aún más en los próximos trimestres. En general, parece que la economía de EEUU se expandirá a un ritmo moderado durante el segundo semestre de 2007, con crecimiento y fortalecimiento en 2008 llegando a una tasa cercana a la tendencia subyacente de la economía.</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sz w:val="24"/>
          <w:szCs w:val="24"/>
          <w:u w:val="single"/>
          <w:lang w:eastAsia="es-ES"/>
        </w:rPr>
        <w:lastRenderedPageBreak/>
        <w:t>No hay mucho que decir. Bernanke, el chairman de la Reserva Federal, no vio venir la crisis</w:t>
      </w:r>
      <w:r w:rsidRPr="00F45223">
        <w:rPr>
          <w:rFonts w:ascii="Times New Roman" w:eastAsia="Times New Roman" w:hAnsi="Times New Roman"/>
          <w:sz w:val="24"/>
          <w:szCs w:val="24"/>
          <w:lang w:eastAsia="es-ES"/>
        </w:rPr>
        <w:t xml:space="preserve">. </w:t>
      </w:r>
      <w:r w:rsidRPr="00D373CF">
        <w:rPr>
          <w:rFonts w:ascii="Times New Roman" w:eastAsia="Times New Roman" w:hAnsi="Times New Roman"/>
          <w:sz w:val="24"/>
          <w:szCs w:val="24"/>
          <w:u w:val="single"/>
          <w:lang w:eastAsia="es-ES"/>
        </w:rPr>
        <w:t>Bernanke creía que la economía funcionaba correctamente y sería capaz de realizar un pequeño ajuste no traumático en 2007, para recuperar crecimiento total en 2008.</w:t>
      </w:r>
    </w:p>
    <w:p w:rsidR="002F07D4" w:rsidRPr="00D373CF" w:rsidRDefault="00FF0D17"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sz w:val="24"/>
          <w:szCs w:val="24"/>
          <w:u w:val="single"/>
          <w:lang w:eastAsia="es-ES"/>
        </w:rPr>
        <w:t>Aun</w:t>
      </w:r>
      <w:r w:rsidR="002F07D4" w:rsidRPr="00D373CF">
        <w:rPr>
          <w:rFonts w:ascii="Times New Roman" w:eastAsia="Times New Roman" w:hAnsi="Times New Roman"/>
          <w:sz w:val="24"/>
          <w:szCs w:val="24"/>
          <w:u w:val="single"/>
          <w:lang w:eastAsia="es-ES"/>
        </w:rPr>
        <w:t xml:space="preserve"> así, Bernanke fue promocionado en 2008 y principios de 2009 como la persona más capacitada para entender la economía y afrontar los graves problemas que la crisis traía. Se hizo mucho énfasis en sus estudios académicos sobre </w:t>
      </w:r>
      <w:r w:rsidRPr="00D373CF">
        <w:rPr>
          <w:rFonts w:ascii="Times New Roman" w:eastAsia="Times New Roman" w:hAnsi="Times New Roman"/>
          <w:sz w:val="24"/>
          <w:szCs w:val="24"/>
          <w:u w:val="single"/>
          <w:lang w:eastAsia="es-ES"/>
        </w:rPr>
        <w:t>la</w:t>
      </w:r>
      <w:r w:rsidR="002F07D4" w:rsidRPr="00D373CF">
        <w:rPr>
          <w:rFonts w:ascii="Times New Roman" w:eastAsia="Times New Roman" w:hAnsi="Times New Roman"/>
          <w:sz w:val="24"/>
          <w:szCs w:val="24"/>
          <w:u w:val="single"/>
          <w:lang w:eastAsia="es-ES"/>
        </w:rPr>
        <w:t xml:space="preserve"> Gran Depresión.</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sz w:val="24"/>
          <w:szCs w:val="24"/>
          <w:u w:val="single"/>
          <w:lang w:eastAsia="es-ES"/>
        </w:rPr>
        <w:t>Llegada su renovación en 2009, ante la oposición de cierta parte del Congreso, personajes de las finanzas como Warren Buffet o el fondo de inversión PIMCO salieron a apoyarle. Obama finalmente le confirmó otros cuatro años al frente de la Reserva Federal (FED), el banco central más poderoso del planeta.</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F45223">
        <w:rPr>
          <w:rFonts w:ascii="Times New Roman" w:eastAsia="Times New Roman" w:hAnsi="Times New Roman"/>
          <w:sz w:val="24"/>
          <w:szCs w:val="24"/>
          <w:lang w:eastAsia="es-ES"/>
        </w:rPr>
        <w:t>Las alabanzas a la gestión de la crisis tampoco fueron escasas:</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F45223">
        <w:rPr>
          <w:rFonts w:ascii="Times New Roman" w:eastAsia="Times New Roman" w:hAnsi="Times New Roman"/>
          <w:sz w:val="24"/>
          <w:szCs w:val="24"/>
          <w:lang w:eastAsia="es-ES"/>
        </w:rPr>
        <w:t xml:space="preserve">Ben Bernanke será visto como el mejor chairman de la </w:t>
      </w:r>
      <w:r>
        <w:rPr>
          <w:rFonts w:ascii="Times New Roman" w:eastAsia="Times New Roman" w:hAnsi="Times New Roman"/>
          <w:sz w:val="24"/>
          <w:szCs w:val="24"/>
          <w:lang w:eastAsia="es-ES"/>
        </w:rPr>
        <w:t>Reserva Federal de la historia (...)</w:t>
      </w:r>
      <w:r w:rsidRPr="00F45223">
        <w:rPr>
          <w:rFonts w:ascii="Times New Roman" w:eastAsia="Times New Roman" w:hAnsi="Times New Roman"/>
          <w:sz w:val="24"/>
          <w:szCs w:val="24"/>
          <w:lang w:eastAsia="es-ES"/>
        </w:rPr>
        <w:t xml:space="preserve"> se le conocerá como el hombre que e</w:t>
      </w:r>
      <w:r>
        <w:rPr>
          <w:rFonts w:ascii="Times New Roman" w:eastAsia="Times New Roman" w:hAnsi="Times New Roman"/>
          <w:sz w:val="24"/>
          <w:szCs w:val="24"/>
          <w:lang w:eastAsia="es-ES"/>
        </w:rPr>
        <w:t>vitó la segunda Gran Depresión.</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lang w:eastAsia="es-ES"/>
        </w:rPr>
      </w:pPr>
      <w:r w:rsidRPr="00F45223">
        <w:rPr>
          <w:rFonts w:ascii="Times New Roman" w:eastAsia="Times New Roman" w:hAnsi="Times New Roman"/>
          <w:sz w:val="24"/>
          <w:szCs w:val="24"/>
          <w:lang w:eastAsia="es-ES"/>
        </w:rPr>
        <w:t xml:space="preserve">2. </w:t>
      </w:r>
      <w:r w:rsidRPr="00D373CF">
        <w:rPr>
          <w:rFonts w:ascii="Times New Roman" w:eastAsia="Times New Roman" w:hAnsi="Times New Roman"/>
          <w:color w:val="FF0000"/>
          <w:sz w:val="24"/>
          <w:szCs w:val="24"/>
          <w:lang w:eastAsia="es-ES"/>
        </w:rPr>
        <w:t>Durante la crisis</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sz w:val="24"/>
          <w:szCs w:val="24"/>
          <w:u w:val="single"/>
          <w:lang w:eastAsia="es-ES"/>
        </w:rPr>
        <w:t>La Reserva Federal anunció la primera ronda de compra de activos, conocida como quantitative easing (QE1), en noviembre de 2008. La respuesta del presidente de la FED a las críticas fue asegurar que las medidas eran temporales y su objetivo era proveer liquidez al sistema financiero. El balance del banco central se multiplicó casi por tres.</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F45223">
        <w:rPr>
          <w:rFonts w:ascii="Times New Roman" w:eastAsia="Times New Roman" w:hAnsi="Times New Roman"/>
          <w:sz w:val="24"/>
          <w:szCs w:val="24"/>
          <w:lang w:eastAsia="es-ES"/>
        </w:rPr>
        <w:t>A principios de 2</w:t>
      </w:r>
      <w:r>
        <w:rPr>
          <w:rFonts w:ascii="Times New Roman" w:eastAsia="Times New Roman" w:hAnsi="Times New Roman"/>
          <w:sz w:val="24"/>
          <w:szCs w:val="24"/>
          <w:lang w:eastAsia="es-ES"/>
        </w:rPr>
        <w:t>009, declarando en el Congreso:</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373CF">
        <w:rPr>
          <w:rFonts w:ascii="Times New Roman" w:eastAsia="Times New Roman" w:hAnsi="Times New Roman"/>
          <w:color w:val="FF0000"/>
          <w:sz w:val="24"/>
          <w:szCs w:val="24"/>
          <w:u w:val="single"/>
          <w:lang w:eastAsia="es-ES"/>
        </w:rPr>
        <w:t>La Reserva Federal no monetizará la deuda del gobierno</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373CF">
        <w:rPr>
          <w:rFonts w:ascii="Times New Roman" w:eastAsia="Times New Roman" w:hAnsi="Times New Roman"/>
          <w:color w:val="FF0000"/>
          <w:sz w:val="24"/>
          <w:szCs w:val="24"/>
          <w:u w:val="single"/>
          <w:lang w:eastAsia="es-ES"/>
        </w:rPr>
        <w:t>Adelantémonos por un momento hasta noviembre de 2010, cuando en un discurso para inversores el presidente de la Reserva Federal de Dallas, Richard W. Fisher, admitió a regañadientes que estaban monetizando la deuda del Gobierno.</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F45223">
        <w:rPr>
          <w:rFonts w:ascii="Times New Roman" w:eastAsia="Times New Roman" w:hAnsi="Times New Roman"/>
          <w:sz w:val="24"/>
          <w:szCs w:val="24"/>
          <w:lang w:eastAsia="es-ES"/>
        </w:rPr>
        <w:t xml:space="preserve">En junio de 2009, la Reserva Federal anunció la extensión de sus programas de liquidez temporales hasta febrero de 2010. </w:t>
      </w:r>
      <w:r w:rsidRPr="00D373CF">
        <w:rPr>
          <w:rFonts w:ascii="Times New Roman" w:eastAsia="Times New Roman" w:hAnsi="Times New Roman"/>
          <w:sz w:val="24"/>
          <w:szCs w:val="24"/>
          <w:u w:val="single"/>
          <w:lang w:eastAsia="es-ES"/>
        </w:rPr>
        <w:t>Hacia finales de año, diciembre de 2009, con la renovación de Bernanke atascada en el Congreso por las críticas a sus políticas expansivas, la Reserva Federal emitió un comunicado donde volvía a asegurar que las medidas tomadas en 2008 iban a expirar a principios de 2010. Los tipos de interés no iban a modificarse.</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F45223">
        <w:rPr>
          <w:rFonts w:ascii="Times New Roman" w:eastAsia="Times New Roman" w:hAnsi="Times New Roman"/>
          <w:sz w:val="24"/>
          <w:szCs w:val="24"/>
          <w:lang w:eastAsia="es-ES"/>
        </w:rPr>
        <w:t>A la luz de la mejora continua en el funcionamiento de los mercados financieros, el Comité y la Junta de Gobernadores prevén que la mayoría de los programas especiales de liquidez de la Reserva Federal expirarán el 1 de febrero de 2010, en consonancia con el anuncio de la Reserva F</w:t>
      </w:r>
      <w:r>
        <w:rPr>
          <w:rFonts w:ascii="Times New Roman" w:eastAsia="Times New Roman" w:hAnsi="Times New Roman"/>
          <w:sz w:val="24"/>
          <w:szCs w:val="24"/>
          <w:lang w:eastAsia="es-ES"/>
        </w:rPr>
        <w:t>ederal del 25 de junio de 2009.</w:t>
      </w:r>
    </w:p>
    <w:p w:rsidR="002F07D4" w:rsidRPr="00A14AE3"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A14AE3">
        <w:rPr>
          <w:rFonts w:ascii="Times New Roman" w:eastAsia="Times New Roman" w:hAnsi="Times New Roman"/>
          <w:sz w:val="24"/>
          <w:szCs w:val="24"/>
          <w:u w:val="single"/>
          <w:lang w:eastAsia="es-ES"/>
        </w:rPr>
        <w:t>Fue en este momento cuando desde la Reserva Federal se intentó promocionar el término jobless recovery, recuperación económica sin disminución del paro, para explicar la mejora de algunas estadísticas, pero no cuajó.</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373CF">
        <w:rPr>
          <w:rFonts w:ascii="Times New Roman" w:eastAsia="Times New Roman" w:hAnsi="Times New Roman"/>
          <w:color w:val="FF0000"/>
          <w:sz w:val="24"/>
          <w:szCs w:val="24"/>
          <w:u w:val="single"/>
          <w:lang w:eastAsia="es-ES"/>
        </w:rPr>
        <w:lastRenderedPageBreak/>
        <w:t>2010 llegó y las medidas se extendieron. En agosto del pasado año, la Reserva Federal anunció lo que se vino a llamar QE lite</w:t>
      </w:r>
      <w:r w:rsidRPr="00F45223">
        <w:rPr>
          <w:rFonts w:ascii="Times New Roman" w:eastAsia="Times New Roman" w:hAnsi="Times New Roman"/>
          <w:sz w:val="24"/>
          <w:szCs w:val="24"/>
          <w:lang w:eastAsia="es-ES"/>
        </w:rPr>
        <w:t>. Un nuevo programa que, básicamente, consiste en usar el dinero de las hipotecas compradas de los bancos a través del QE1 para comprar bonos del Gobierno federal, consolidando así la expansión crediticia in</w:t>
      </w:r>
      <w:r>
        <w:rPr>
          <w:rFonts w:ascii="Times New Roman" w:eastAsia="Times New Roman" w:hAnsi="Times New Roman"/>
          <w:sz w:val="24"/>
          <w:szCs w:val="24"/>
          <w:lang w:eastAsia="es-ES"/>
        </w:rPr>
        <w:t>i</w:t>
      </w:r>
      <w:r w:rsidRPr="00F45223">
        <w:rPr>
          <w:rFonts w:ascii="Times New Roman" w:eastAsia="Times New Roman" w:hAnsi="Times New Roman"/>
          <w:sz w:val="24"/>
          <w:szCs w:val="24"/>
          <w:lang w:eastAsia="es-ES"/>
        </w:rPr>
        <w:t xml:space="preserve">cial. </w:t>
      </w:r>
      <w:r w:rsidRPr="00D373CF">
        <w:rPr>
          <w:rFonts w:ascii="Times New Roman" w:eastAsia="Times New Roman" w:hAnsi="Times New Roman"/>
          <w:color w:val="FF0000"/>
          <w:sz w:val="24"/>
          <w:szCs w:val="24"/>
          <w:u w:val="single"/>
          <w:lang w:eastAsia="es-ES"/>
        </w:rPr>
        <w:t>Es decir, Bernanke no sólo no está retirando las medidas supuestamente temporales, sino que las está fijando en el balance del banco central.</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D373CF">
        <w:rPr>
          <w:rFonts w:ascii="Times New Roman" w:eastAsia="Times New Roman" w:hAnsi="Times New Roman"/>
          <w:sz w:val="24"/>
          <w:szCs w:val="24"/>
          <w:u w:val="single"/>
          <w:lang w:eastAsia="es-ES"/>
        </w:rPr>
        <w:t>Éste es un detalle por el que la prensa pasó mayoritariamente de puntillas... por una buena razón</w:t>
      </w:r>
      <w:r w:rsidRPr="00F45223">
        <w:rPr>
          <w:rFonts w:ascii="Times New Roman" w:eastAsia="Times New Roman" w:hAnsi="Times New Roman"/>
          <w:sz w:val="24"/>
          <w:szCs w:val="24"/>
          <w:lang w:eastAsia="es-ES"/>
        </w:rPr>
        <w:t>. Desde el inicio de la crisis se había intentado marginalizar a los críticos de la FED y de Bernanke tildándolos de alarmistas. Se hacía hincapié en lo ridículo de los argumentos que aseguraban que Bernanke no tenía intención de retirar las medidas supuestamente temporales, y que, cuando se filtrara, el dinero iba a crear una crisis inflacionaria.</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D373CF">
        <w:rPr>
          <w:rFonts w:ascii="Times New Roman" w:eastAsia="Times New Roman" w:hAnsi="Times New Roman"/>
          <w:sz w:val="24"/>
          <w:szCs w:val="24"/>
          <w:u w:val="single"/>
          <w:lang w:eastAsia="es-ES"/>
        </w:rPr>
        <w:t>A partir de este momento no se habló más de retirar las medidas. De hecho, en junio de 2010 Bernanke ya había mostrado su incredulidad por el precio del oro</w:t>
      </w:r>
      <w:r>
        <w:rPr>
          <w:rFonts w:ascii="Times New Roman" w:eastAsia="Times New Roman" w:hAnsi="Times New Roman"/>
          <w:sz w:val="24"/>
          <w:szCs w:val="24"/>
          <w:lang w:eastAsia="es-ES"/>
        </w:rPr>
        <w:t>:</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373CF">
        <w:rPr>
          <w:rFonts w:ascii="Times New Roman" w:eastAsia="Times New Roman" w:hAnsi="Times New Roman"/>
          <w:color w:val="FF0000"/>
          <w:sz w:val="24"/>
          <w:szCs w:val="24"/>
          <w:u w:val="single"/>
          <w:lang w:eastAsia="es-ES"/>
        </w:rPr>
        <w:t>Yo no entiendo muy bien los movimientos en el precio del oro</w:t>
      </w:r>
      <w:r w:rsidR="008A6AEF">
        <w:rPr>
          <w:rFonts w:ascii="Times New Roman" w:eastAsia="Times New Roman" w:hAnsi="Times New Roman"/>
          <w:color w:val="FF0000"/>
          <w:sz w:val="24"/>
          <w:szCs w:val="24"/>
          <w:u w:val="single"/>
          <w:lang w:eastAsia="es-ES"/>
        </w:rPr>
        <w:t>.</w:t>
      </w:r>
    </w:p>
    <w:p w:rsidR="002F07D4" w:rsidRPr="00F4522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D373CF">
        <w:rPr>
          <w:rFonts w:ascii="Times New Roman" w:eastAsia="Times New Roman" w:hAnsi="Times New Roman"/>
          <w:sz w:val="24"/>
          <w:szCs w:val="24"/>
          <w:u w:val="single"/>
          <w:lang w:eastAsia="es-ES"/>
        </w:rPr>
        <w:t>Y eso que su predecesor, Alan Greenspan, se lo había explicado meses antes</w:t>
      </w:r>
      <w:r>
        <w:rPr>
          <w:rFonts w:ascii="Times New Roman" w:eastAsia="Times New Roman" w:hAnsi="Times New Roman"/>
          <w:sz w:val="24"/>
          <w:szCs w:val="24"/>
          <w:lang w:eastAsia="es-ES"/>
        </w:rPr>
        <w:t>:</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“El aumento del precio del oro,</w:t>
      </w:r>
      <w:r w:rsidRPr="00D373CF">
        <w:rPr>
          <w:rFonts w:ascii="Times New Roman" w:eastAsia="Times New Roman" w:hAnsi="Times New Roman"/>
          <w:sz w:val="24"/>
          <w:szCs w:val="24"/>
          <w:u w:val="single"/>
          <w:lang w:eastAsia="es-ES"/>
        </w:rPr>
        <w:t xml:space="preserve"> es estri</w:t>
      </w:r>
      <w:r>
        <w:rPr>
          <w:rFonts w:ascii="Times New Roman" w:eastAsia="Times New Roman" w:hAnsi="Times New Roman"/>
          <w:sz w:val="24"/>
          <w:szCs w:val="24"/>
          <w:u w:val="single"/>
          <w:lang w:eastAsia="es-ES"/>
        </w:rPr>
        <w:t>ctamente un fenómeno monetario (...)</w:t>
      </w:r>
      <w:r w:rsidRPr="00D373CF">
        <w:rPr>
          <w:rFonts w:ascii="Times New Roman" w:eastAsia="Times New Roman" w:hAnsi="Times New Roman"/>
          <w:sz w:val="24"/>
          <w:szCs w:val="24"/>
          <w:u w:val="single"/>
          <w:lang w:eastAsia="es-ES"/>
        </w:rPr>
        <w:t xml:space="preserve"> una indicación de una etapa muy temprana del intento de al</w:t>
      </w:r>
      <w:r>
        <w:rPr>
          <w:rFonts w:ascii="Times New Roman" w:eastAsia="Times New Roman" w:hAnsi="Times New Roman"/>
          <w:sz w:val="24"/>
          <w:szCs w:val="24"/>
          <w:u w:val="single"/>
          <w:lang w:eastAsia="es-ES"/>
        </w:rPr>
        <w:t>ejarse de las monedas de papel (...)</w:t>
      </w:r>
      <w:r w:rsidRPr="00D373CF">
        <w:rPr>
          <w:rFonts w:ascii="Times New Roman" w:eastAsia="Times New Roman" w:hAnsi="Times New Roman"/>
          <w:sz w:val="24"/>
          <w:szCs w:val="24"/>
          <w:u w:val="single"/>
          <w:lang w:eastAsia="es-ES"/>
        </w:rPr>
        <w:t xml:space="preserve"> Lo que es fascinante es la influencia que el oro todavía tiene para reinar sobre el sistema financiero como la última forma de pago</w:t>
      </w:r>
      <w:r>
        <w:rPr>
          <w:rFonts w:ascii="Times New Roman" w:eastAsia="Times New Roman" w:hAnsi="Times New Roman"/>
          <w:sz w:val="24"/>
          <w:szCs w:val="24"/>
          <w:u w:val="single"/>
          <w:lang w:eastAsia="es-ES"/>
        </w:rPr>
        <w:t>”.</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373CF">
        <w:rPr>
          <w:rFonts w:ascii="Times New Roman" w:eastAsia="Times New Roman" w:hAnsi="Times New Roman"/>
          <w:color w:val="FF0000"/>
          <w:sz w:val="24"/>
          <w:szCs w:val="24"/>
          <w:u w:val="single"/>
          <w:lang w:eastAsia="es-ES"/>
        </w:rPr>
        <w:t>En noviembre de 2010 se anunció el QE2, más expansión monetaria. La diferencia con el QE1, donde la Reserva Federal compró bonos del Gobierno a largo plazo y deuda hipotecaria de los bancos, consiste en que el QE2 se dedicará exclusivamente a comprar más deuda pública del Gobierno.</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sz w:val="24"/>
          <w:szCs w:val="24"/>
          <w:u w:val="single"/>
          <w:lang w:eastAsia="es-ES"/>
        </w:rPr>
        <w:t>Pero el clima político en EEUU había cambiado para entonces. La segunda revolución keynesiana ingeniada por los políticos había fracasado y la popularidad de Obama no paraba de caer</w:t>
      </w:r>
      <w:r w:rsidRPr="00F45223">
        <w:rPr>
          <w:rFonts w:ascii="Times New Roman" w:eastAsia="Times New Roman" w:hAnsi="Times New Roman"/>
          <w:sz w:val="24"/>
          <w:szCs w:val="24"/>
          <w:lang w:eastAsia="es-ES"/>
        </w:rPr>
        <w:t xml:space="preserve">. Las ideas de contención fiscal y restricción gubernamental florecían, especialmente de la mano del Tea Party. </w:t>
      </w:r>
      <w:r w:rsidRPr="00D373CF">
        <w:rPr>
          <w:rFonts w:ascii="Times New Roman" w:eastAsia="Times New Roman" w:hAnsi="Times New Roman"/>
          <w:sz w:val="24"/>
          <w:szCs w:val="24"/>
          <w:u w:val="single"/>
          <w:lang w:eastAsia="es-ES"/>
        </w:rPr>
        <w:t>Así que cuando Bernanke concedió el pasado diciembre una nueva entrevista para explicar el QE2 aseguró:</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D373CF">
        <w:rPr>
          <w:rFonts w:ascii="Times New Roman" w:eastAsia="Times New Roman" w:hAnsi="Times New Roman"/>
          <w:color w:val="FF0000"/>
          <w:sz w:val="24"/>
          <w:szCs w:val="24"/>
          <w:u w:val="single"/>
          <w:lang w:eastAsia="es-ES"/>
        </w:rPr>
        <w:t>Se repite por ahí el mito de que lo que estamos haciendo es imprimir dinero. No estamos imprimiendo dinero.</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sz w:val="24"/>
          <w:szCs w:val="24"/>
          <w:u w:val="single"/>
          <w:lang w:eastAsia="es-ES"/>
        </w:rPr>
        <w:t>Sin embargo, en la entrevista que concedió un año y medio antes para justificar el QE1 dijo:</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Entrevistador: “</w:t>
      </w:r>
      <w:r w:rsidRPr="00D373CF">
        <w:rPr>
          <w:rFonts w:ascii="Times New Roman" w:eastAsia="Times New Roman" w:hAnsi="Times New Roman"/>
          <w:sz w:val="24"/>
          <w:szCs w:val="24"/>
          <w:u w:val="single"/>
          <w:lang w:eastAsia="es-ES"/>
        </w:rPr>
        <w:t>Uste</w:t>
      </w:r>
      <w:r>
        <w:rPr>
          <w:rFonts w:ascii="Times New Roman" w:eastAsia="Times New Roman" w:hAnsi="Times New Roman"/>
          <w:sz w:val="24"/>
          <w:szCs w:val="24"/>
          <w:u w:val="single"/>
          <w:lang w:eastAsia="es-ES"/>
        </w:rPr>
        <w:t>d ha estado imprimiendo dinero?”</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Bernanke: “</w:t>
      </w:r>
      <w:r w:rsidRPr="00D373CF">
        <w:rPr>
          <w:rFonts w:ascii="Times New Roman" w:eastAsia="Times New Roman" w:hAnsi="Times New Roman"/>
          <w:color w:val="FF0000"/>
          <w:sz w:val="24"/>
          <w:szCs w:val="24"/>
          <w:u w:val="single"/>
          <w:lang w:eastAsia="es-ES"/>
        </w:rPr>
        <w:t>Sí, efectivamente,</w:t>
      </w:r>
      <w:r>
        <w:rPr>
          <w:rFonts w:ascii="Times New Roman" w:eastAsia="Times New Roman" w:hAnsi="Times New Roman"/>
          <w:color w:val="FF0000"/>
          <w:sz w:val="24"/>
          <w:szCs w:val="24"/>
          <w:u w:val="single"/>
          <w:lang w:eastAsia="es-ES"/>
        </w:rPr>
        <w:t xml:space="preserve"> y es lo que tenemos que hacer”.</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color w:val="FF0000"/>
          <w:sz w:val="24"/>
          <w:szCs w:val="24"/>
          <w:u w:val="single"/>
          <w:lang w:eastAsia="es-ES"/>
        </w:rPr>
        <w:t>Las maniobras lingüísticas de Bernanke</w:t>
      </w:r>
      <w:r w:rsidRPr="00D373CF">
        <w:rPr>
          <w:rFonts w:ascii="Times New Roman" w:eastAsia="Times New Roman" w:hAnsi="Times New Roman"/>
          <w:sz w:val="24"/>
          <w:szCs w:val="24"/>
          <w:u w:val="single"/>
          <w:lang w:eastAsia="es-ES"/>
        </w:rPr>
        <w:t xml:space="preserve"> fueron recogidas por el siempre genial cómico Jon Stewart. La presión podría estar provocando estos deslices, pero las </w:t>
      </w:r>
      <w:r w:rsidRPr="00D373CF">
        <w:rPr>
          <w:rFonts w:ascii="Times New Roman" w:eastAsia="Times New Roman" w:hAnsi="Times New Roman"/>
          <w:sz w:val="24"/>
          <w:szCs w:val="24"/>
          <w:u w:val="single"/>
          <w:lang w:eastAsia="es-ES"/>
        </w:rPr>
        <w:lastRenderedPageBreak/>
        <w:t>prestidigitaciones semánticas no son nuevas para él. Ya en 2006 tuvo este divertido intercambio con el vicepresidente del Banco Central Europeo, Lucas Papademos:</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Bernanke: “</w:t>
      </w:r>
      <w:r w:rsidRPr="00D373CF">
        <w:rPr>
          <w:rFonts w:ascii="Times New Roman" w:eastAsia="Times New Roman" w:hAnsi="Times New Roman"/>
          <w:color w:val="FF0000"/>
          <w:sz w:val="24"/>
          <w:szCs w:val="24"/>
          <w:u w:val="single"/>
          <w:lang w:eastAsia="es-ES"/>
        </w:rPr>
        <w:t>Sería acertado decir que los agregados monetarios y de crédito no han jugado un papel central en la formulación de la política monet</w:t>
      </w:r>
      <w:r>
        <w:rPr>
          <w:rFonts w:ascii="Times New Roman" w:eastAsia="Times New Roman" w:hAnsi="Times New Roman"/>
          <w:color w:val="FF0000"/>
          <w:sz w:val="24"/>
          <w:szCs w:val="24"/>
          <w:u w:val="single"/>
          <w:lang w:eastAsia="es-ES"/>
        </w:rPr>
        <w:t>aria de EEUU (desde 1982)</w:t>
      </w:r>
      <w:r w:rsidRPr="00D373CF">
        <w:rPr>
          <w:rFonts w:ascii="Times New Roman" w:eastAsia="Times New Roman" w:hAnsi="Times New Roman"/>
          <w:color w:val="FF0000"/>
          <w:sz w:val="24"/>
          <w:szCs w:val="24"/>
          <w:u w:val="single"/>
          <w:lang w:eastAsia="es-ES"/>
        </w:rPr>
        <w:t>, aunque los políticos siguen utilizando los datos monetarios como fuente de información</w:t>
      </w:r>
      <w:r>
        <w:rPr>
          <w:rFonts w:ascii="Times New Roman" w:eastAsia="Times New Roman" w:hAnsi="Times New Roman"/>
          <w:color w:val="FF0000"/>
          <w:sz w:val="24"/>
          <w:szCs w:val="24"/>
          <w:u w:val="single"/>
          <w:lang w:eastAsia="es-ES"/>
        </w:rPr>
        <w:t xml:space="preserve"> sobre el estado de la economía”</w:t>
      </w:r>
      <w:r w:rsidRPr="00D373CF">
        <w:rPr>
          <w:rFonts w:ascii="Times New Roman" w:eastAsia="Times New Roman" w:hAnsi="Times New Roman"/>
          <w:color w:val="FF0000"/>
          <w:sz w:val="24"/>
          <w:szCs w:val="24"/>
          <w:u w:val="single"/>
          <w:lang w:eastAsia="es-ES"/>
        </w:rPr>
        <w:t>.</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sz w:val="24"/>
          <w:szCs w:val="24"/>
          <w:u w:val="single"/>
          <w:lang w:eastAsia="es-ES"/>
        </w:rPr>
        <w:t>Lucas Pa</w:t>
      </w:r>
      <w:r>
        <w:rPr>
          <w:rFonts w:ascii="Times New Roman" w:eastAsia="Times New Roman" w:hAnsi="Times New Roman"/>
          <w:sz w:val="24"/>
          <w:szCs w:val="24"/>
          <w:u w:val="single"/>
          <w:lang w:eastAsia="es-ES"/>
        </w:rPr>
        <w:t>pademos respondía sorprendido: “</w:t>
      </w:r>
      <w:r w:rsidRPr="00D373CF">
        <w:rPr>
          <w:rFonts w:ascii="Times New Roman" w:eastAsia="Times New Roman" w:hAnsi="Times New Roman"/>
          <w:sz w:val="24"/>
          <w:szCs w:val="24"/>
          <w:u w:val="single"/>
          <w:lang w:eastAsia="es-ES"/>
        </w:rPr>
        <w:t>¿Es realmente posible que una política descrita como monetaria sea formulada e implementada sin que el dinero juegue un papel central? De hecho, la sugerencia de que la política monetaria puede llevarse a cabo sin la asignación de un papel destacado al</w:t>
      </w:r>
      <w:r>
        <w:rPr>
          <w:rFonts w:ascii="Times New Roman" w:eastAsia="Times New Roman" w:hAnsi="Times New Roman"/>
          <w:sz w:val="24"/>
          <w:szCs w:val="24"/>
          <w:u w:val="single"/>
          <w:lang w:eastAsia="es-ES"/>
        </w:rPr>
        <w:t xml:space="preserve"> dinero parece ser una oxímoron”</w:t>
      </w:r>
      <w:r w:rsidRPr="00D373CF">
        <w:rPr>
          <w:rFonts w:ascii="Times New Roman" w:eastAsia="Times New Roman" w:hAnsi="Times New Roman"/>
          <w:sz w:val="24"/>
          <w:szCs w:val="24"/>
          <w:u w:val="single"/>
          <w:lang w:eastAsia="es-ES"/>
        </w:rPr>
        <w:t>. Es decir, una declaración contradictoria, sino peor, ya</w:t>
      </w:r>
      <w:r>
        <w:rPr>
          <w:rFonts w:ascii="Times New Roman" w:eastAsia="Times New Roman" w:hAnsi="Times New Roman"/>
          <w:sz w:val="24"/>
          <w:szCs w:val="24"/>
          <w:u w:val="single"/>
          <w:lang w:eastAsia="es-ES"/>
        </w:rPr>
        <w:t xml:space="preserve"> que el significado literal de “oxímoron” es “deliberadamente tonta”</w:t>
      </w:r>
      <w:r w:rsidRPr="00D373CF">
        <w:rPr>
          <w:rFonts w:ascii="Times New Roman" w:eastAsia="Times New Roman" w:hAnsi="Times New Roman"/>
          <w:sz w:val="24"/>
          <w:szCs w:val="24"/>
          <w:u w:val="single"/>
          <w:lang w:eastAsia="es-ES"/>
        </w:rPr>
        <w:t>.</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sz w:val="24"/>
          <w:szCs w:val="24"/>
          <w:u w:val="single"/>
          <w:lang w:eastAsia="es-ES"/>
        </w:rPr>
        <w:t>La Reserva Federal lleva ejecutando el QE2 desde su anuncio, comprando bonos del Gobierno. En la misma entrevista en Bernanke quiso tranquilizar a la gente:</w:t>
      </w:r>
    </w:p>
    <w:p w:rsidR="002F07D4" w:rsidRPr="00D373CF"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D373CF">
        <w:rPr>
          <w:rFonts w:ascii="Times New Roman" w:eastAsia="Times New Roman" w:hAnsi="Times New Roman"/>
          <w:sz w:val="24"/>
          <w:szCs w:val="24"/>
          <w:u w:val="single"/>
          <w:lang w:eastAsia="es-ES"/>
        </w:rPr>
        <w:t>Entrevistador</w:t>
      </w:r>
      <w:r>
        <w:rPr>
          <w:rFonts w:ascii="Times New Roman" w:eastAsia="Times New Roman" w:hAnsi="Times New Roman"/>
          <w:sz w:val="24"/>
          <w:szCs w:val="24"/>
          <w:u w:val="single"/>
          <w:lang w:eastAsia="es-ES"/>
        </w:rPr>
        <w:t>: “</w:t>
      </w:r>
      <w:r w:rsidRPr="00D373CF">
        <w:rPr>
          <w:rFonts w:ascii="Times New Roman" w:eastAsia="Times New Roman" w:hAnsi="Times New Roman"/>
          <w:sz w:val="24"/>
          <w:szCs w:val="24"/>
          <w:u w:val="single"/>
          <w:lang w:eastAsia="es-ES"/>
        </w:rPr>
        <w:t>¿Es mantener la inflación bajo control una prioridad menor de la Res</w:t>
      </w:r>
      <w:r>
        <w:rPr>
          <w:rFonts w:ascii="Times New Roman" w:eastAsia="Times New Roman" w:hAnsi="Times New Roman"/>
          <w:sz w:val="24"/>
          <w:szCs w:val="24"/>
          <w:u w:val="single"/>
          <w:lang w:eastAsia="es-ES"/>
        </w:rPr>
        <w:t>erva Federal en estos momentos?”</w:t>
      </w:r>
    </w:p>
    <w:p w:rsidR="002F07D4" w:rsidRPr="00D373CF"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Bernanke: “</w:t>
      </w:r>
      <w:r w:rsidRPr="00D373CF">
        <w:rPr>
          <w:rFonts w:ascii="Times New Roman" w:eastAsia="Times New Roman" w:hAnsi="Times New Roman"/>
          <w:color w:val="FF0000"/>
          <w:sz w:val="24"/>
          <w:szCs w:val="24"/>
          <w:u w:val="single"/>
          <w:lang w:eastAsia="es-ES"/>
        </w:rPr>
        <w:t>No, en absoluto, lo que estamos tratando de hacer es lograr un equilibrio. Hemos sido muy, muy claros que no vamos a permitir que la inflación pase por enci</w:t>
      </w:r>
      <w:r>
        <w:rPr>
          <w:rFonts w:ascii="Times New Roman" w:eastAsia="Times New Roman" w:hAnsi="Times New Roman"/>
          <w:color w:val="FF0000"/>
          <w:sz w:val="24"/>
          <w:szCs w:val="24"/>
          <w:u w:val="single"/>
          <w:lang w:eastAsia="es-ES"/>
        </w:rPr>
        <w:t>ma de un dos por ciento o menos”</w:t>
      </w:r>
      <w:r w:rsidRPr="00D373CF">
        <w:rPr>
          <w:rFonts w:ascii="Times New Roman" w:eastAsia="Times New Roman" w:hAnsi="Times New Roman"/>
          <w:color w:val="FF0000"/>
          <w:sz w:val="24"/>
          <w:szCs w:val="24"/>
          <w:u w:val="single"/>
          <w:lang w:eastAsia="es-ES"/>
        </w:rPr>
        <w:t>.</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D373CF">
        <w:rPr>
          <w:rFonts w:ascii="Times New Roman" w:eastAsia="Times New Roman" w:hAnsi="Times New Roman"/>
          <w:sz w:val="24"/>
          <w:szCs w:val="24"/>
          <w:u w:val="single"/>
          <w:lang w:eastAsia="es-ES"/>
        </w:rPr>
        <w:t>Dado el historial de Bernanke, ¿apostarías tu dinero en su capacidad o credibilidad de cumplir esta promesa</w:t>
      </w:r>
      <w:r w:rsidRPr="00117235">
        <w:rPr>
          <w:rFonts w:ascii="Times New Roman" w:eastAsia="Times New Roman" w:hAnsi="Times New Roman"/>
          <w:sz w:val="24"/>
          <w:szCs w:val="24"/>
          <w:u w:val="single"/>
          <w:lang w:eastAsia="es-ES"/>
        </w:rPr>
        <w:t>?</w:t>
      </w:r>
      <w:r w:rsidRPr="00117235">
        <w:rPr>
          <w:rFonts w:ascii="Times New Roman" w:eastAsia="Times New Roman" w:hAnsi="Times New Roman"/>
          <w:sz w:val="24"/>
          <w:szCs w:val="24"/>
          <w:lang w:eastAsia="es-ES"/>
        </w:rPr>
        <w:t>...</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Una foto panorámica tomada desde el helicóptero de Ben</w:t>
      </w:r>
    </w:p>
    <w:p w:rsidR="002F07D4" w:rsidRDefault="002F07D4" w:rsidP="002F07D4">
      <w:pPr>
        <w:spacing w:line="240" w:lineRule="auto"/>
        <w:jc w:val="both"/>
        <w:rPr>
          <w:rFonts w:ascii="Times New Roman" w:hAnsi="Times New Roman"/>
          <w:b/>
          <w:sz w:val="24"/>
          <w:szCs w:val="24"/>
        </w:rPr>
      </w:pPr>
      <w:r>
        <w:rPr>
          <w:rFonts w:ascii="Arial" w:eastAsia="Times New Roman" w:hAnsi="Arial" w:cs="Arial"/>
          <w:noProof/>
          <w:sz w:val="21"/>
          <w:szCs w:val="21"/>
          <w:lang w:val="en-GB" w:eastAsia="en-GB"/>
        </w:rPr>
        <w:drawing>
          <wp:anchor distT="0" distB="0" distL="0" distR="0" simplePos="0" relativeHeight="251660288" behindDoc="0" locked="0" layoutInCell="1" allowOverlap="0">
            <wp:simplePos x="0" y="0"/>
            <wp:positionH relativeFrom="column">
              <wp:posOffset>247015</wp:posOffset>
            </wp:positionH>
            <wp:positionV relativeFrom="line">
              <wp:posOffset>172720</wp:posOffset>
            </wp:positionV>
            <wp:extent cx="5111750" cy="3210560"/>
            <wp:effectExtent l="0" t="0" r="0" b="8890"/>
            <wp:wrapSquare wrapText="bothSides"/>
            <wp:docPr id="17" name="Imagen 17" descr="Balance F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Balance FED"/>
                    <pic:cNvPicPr>
                      <a:picLocks noChangeAspect="1" noChangeArrowheads="1"/>
                    </pic:cNvPicPr>
                  </pic:nvPicPr>
                  <pic:blipFill>
                    <a:blip r:embed="rId2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1750" cy="3210560"/>
                    </a:xfrm>
                    <a:prstGeom prst="rect">
                      <a:avLst/>
                    </a:prstGeom>
                    <a:noFill/>
                    <a:ln>
                      <a:noFill/>
                    </a:ln>
                  </pic:spPr>
                </pic:pic>
              </a:graphicData>
            </a:graphic>
          </wp:anchor>
        </w:drawing>
      </w: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p>
    <w:p w:rsidR="002F07D4" w:rsidRDefault="002F07D4" w:rsidP="002F07D4">
      <w:pPr>
        <w:spacing w:line="240" w:lineRule="auto"/>
        <w:jc w:val="both"/>
        <w:rPr>
          <w:rFonts w:ascii="Times New Roman" w:hAnsi="Times New Roman"/>
          <w:sz w:val="24"/>
          <w:szCs w:val="24"/>
        </w:rPr>
      </w:pPr>
      <w:r w:rsidRPr="00C456A1">
        <w:rPr>
          <w:rFonts w:ascii="Times New Roman" w:hAnsi="Times New Roman"/>
          <w:sz w:val="24"/>
          <w:szCs w:val="24"/>
        </w:rPr>
        <w:lastRenderedPageBreak/>
        <w:t>La crisis es el periodo doloroso, pero inevitable y necesario, en el que deberían corregirse estas distorsiones. Cuanto más tiempo se retrase este periodo de reajuste, más tarde podrá comenzar un periodo de recuperación económica sólida.</w:t>
      </w:r>
    </w:p>
    <w:p w:rsidR="002F07D4" w:rsidRPr="00C456A1" w:rsidRDefault="002F07D4" w:rsidP="002F07D4">
      <w:pPr>
        <w:spacing w:line="240" w:lineRule="auto"/>
        <w:jc w:val="both"/>
        <w:rPr>
          <w:rFonts w:ascii="Times New Roman" w:hAnsi="Times New Roman"/>
          <w:sz w:val="24"/>
          <w:szCs w:val="24"/>
        </w:rPr>
      </w:pPr>
      <w:r w:rsidRPr="0041030E">
        <w:rPr>
          <w:rFonts w:ascii="Times New Roman" w:hAnsi="Times New Roman"/>
          <w:sz w:val="24"/>
          <w:szCs w:val="24"/>
        </w:rPr>
        <w:t>Por ello, algunos piensan que el camino adecuado no es volver a unos tipos de interés artificialmente bajos, ya que ello podría acarrear nuevas distorsiones que deberían ser asumidas en el futuro. Como decía recientemente Thomas Hoenig, presidente del Banco de la Reserva Federal de Kansas City y principal disidente de las opiniones de Bernanke dentro de la FED</w:t>
      </w:r>
      <w:r w:rsidRPr="00A564A5">
        <w:rPr>
          <w:rFonts w:ascii="Times New Roman" w:hAnsi="Times New Roman"/>
          <w:sz w:val="24"/>
          <w:szCs w:val="24"/>
        </w:rPr>
        <w:t xml:space="preserve">, </w:t>
      </w:r>
      <w:r w:rsidRPr="00C456A1">
        <w:rPr>
          <w:rFonts w:ascii="Times New Roman" w:hAnsi="Times New Roman"/>
          <w:sz w:val="24"/>
          <w:szCs w:val="24"/>
        </w:rPr>
        <w:t>“ojalá el dinero gratis fuese realmente gratis y que existiese un método indoloro para pasar de una profunda recesión y un alto apalancamiento a un crecimiento económico sólido y sostenible, pero no existen atajos”.</w:t>
      </w:r>
    </w:p>
    <w:p w:rsidR="002F07D4" w:rsidRPr="00E27BFB" w:rsidRDefault="002F07D4" w:rsidP="002F07D4">
      <w:pPr>
        <w:jc w:val="both"/>
        <w:rPr>
          <w:rFonts w:ascii="Times New Roman" w:hAnsi="Times New Roman"/>
          <w:sz w:val="24"/>
          <w:szCs w:val="24"/>
          <w:lang w:val="en-GB"/>
        </w:rPr>
      </w:pPr>
      <w:r>
        <w:rPr>
          <w:rFonts w:ascii="Times New Roman" w:hAnsi="Times New Roman"/>
          <w:b/>
          <w:sz w:val="24"/>
          <w:szCs w:val="24"/>
        </w:rPr>
        <w:t xml:space="preserve"> Para evitar la trampa de liquidez, Ben nos propone el “opio” del riesgo moral…   y más allá… ¿la hiperinflación? Que Dios nos pille confesados. </w:t>
      </w:r>
      <w:r w:rsidRPr="00E27BFB">
        <w:rPr>
          <w:rFonts w:ascii="Times New Roman" w:hAnsi="Times New Roman"/>
          <w:b/>
          <w:sz w:val="24"/>
          <w:szCs w:val="24"/>
          <w:lang w:val="en-GB"/>
        </w:rPr>
        <w:t>Sólo nos queda rezar…</w:t>
      </w:r>
    </w:p>
    <w:p w:rsidR="002F07D4" w:rsidRDefault="002F07D4" w:rsidP="002F07D4">
      <w:pPr>
        <w:spacing w:line="240" w:lineRule="auto"/>
        <w:rPr>
          <w:rFonts w:ascii="Times New Roman" w:hAnsi="Times New Roman"/>
          <w:b/>
          <w:sz w:val="24"/>
          <w:szCs w:val="24"/>
          <w:lang w:val="en-US"/>
        </w:rPr>
      </w:pPr>
      <w:r w:rsidRPr="0031063D">
        <w:rPr>
          <w:rFonts w:ascii="Times New Roman" w:hAnsi="Times New Roman"/>
          <w:b/>
          <w:sz w:val="24"/>
          <w:szCs w:val="24"/>
          <w:lang w:val="en-US"/>
        </w:rPr>
        <w:t>Y Wall Street se mudó a Washington</w:t>
      </w:r>
      <w:r>
        <w:rPr>
          <w:rFonts w:ascii="Times New Roman" w:hAnsi="Times New Roman"/>
          <w:b/>
          <w:sz w:val="24"/>
          <w:szCs w:val="24"/>
          <w:lang w:val="en-US"/>
        </w:rPr>
        <w:t xml:space="preserve"> (Money, money, money, money, money…)</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El presidente de la Reserva Federal, Ben Bernanke, explicaba en el Washington Post (14/11/10):</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producirá mayores rentas y beneficios que, en un círculo virtual, darán un mayor soporte a la expansión económ</w:t>
      </w:r>
      <w:r>
        <w:rPr>
          <w:rFonts w:ascii="Times New Roman" w:eastAsia="Times New Roman" w:hAnsi="Times New Roman"/>
          <w:b/>
          <w:sz w:val="24"/>
          <w:szCs w:val="24"/>
          <w:lang w:eastAsia="es-ES"/>
        </w:rPr>
        <w:t>ica”</w:t>
      </w:r>
      <w:r w:rsidRPr="00D07614">
        <w:rPr>
          <w:rFonts w:ascii="Times New Roman" w:eastAsia="Times New Roman" w:hAnsi="Times New Roman"/>
          <w:b/>
          <w:sz w:val="24"/>
          <w:szCs w:val="24"/>
          <w:lang w:eastAsia="es-ES"/>
        </w:rPr>
        <w:t>.</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Sólo le faltó decir: Y si el “círculo virtual” n</w:t>
      </w:r>
      <w:r>
        <w:rPr>
          <w:rFonts w:ascii="Times New Roman" w:eastAsia="Times New Roman" w:hAnsi="Times New Roman"/>
          <w:b/>
          <w:sz w:val="24"/>
          <w:szCs w:val="24"/>
          <w:lang w:eastAsia="es-ES"/>
        </w:rPr>
        <w:t xml:space="preserve">o se cierra, que Dios (o </w:t>
      </w:r>
      <w:r w:rsidR="00FF0D17">
        <w:rPr>
          <w:rFonts w:ascii="Times New Roman" w:eastAsia="Times New Roman" w:hAnsi="Times New Roman"/>
          <w:b/>
          <w:sz w:val="24"/>
          <w:szCs w:val="24"/>
          <w:lang w:eastAsia="es-ES"/>
        </w:rPr>
        <w:t>Yahvéh</w:t>
      </w:r>
      <w:r w:rsidRPr="00D07614">
        <w:rPr>
          <w:rFonts w:ascii="Times New Roman" w:eastAsia="Times New Roman" w:hAnsi="Times New Roman"/>
          <w:b/>
          <w:sz w:val="24"/>
          <w:szCs w:val="24"/>
          <w:lang w:eastAsia="es-ES"/>
        </w:rPr>
        <w:t>, en su caso) y la Patria, me lo demanden.</w:t>
      </w:r>
    </w:p>
    <w:p w:rsidR="002F07D4" w:rsidRPr="00D07614" w:rsidRDefault="002F07D4" w:rsidP="002F07D4">
      <w:pPr>
        <w:spacing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Para unos (que creen en Dios)</w:t>
      </w: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 xml:space="preserve"> u otros (que creen en la Patria) o los pocos (que creemos en Dios y la Patria), algunas reflexiones de “Manias, panics and crashes”:</w:t>
      </w:r>
    </w:p>
    <w:p w:rsidR="002F07D4" w:rsidRPr="00D07614" w:rsidRDefault="002F07D4" w:rsidP="002F07D4">
      <w:pPr>
        <w:spacing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 xml:space="preserve">“La labor del prestamista de último recurso ante una debacle está plagada de ambigüedades y dilemas. (...) En estas circunstancias, más que una ciencia la intervención se convierte en un arte”.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“La evolución del “</w:t>
      </w:r>
      <w:r w:rsidRPr="00D07614">
        <w:rPr>
          <w:rFonts w:ascii="Times New Roman" w:eastAsia="Times New Roman" w:hAnsi="Times New Roman"/>
          <w:b/>
          <w:sz w:val="24"/>
          <w:szCs w:val="24"/>
          <w:lang w:eastAsia="es-ES"/>
        </w:rPr>
        <w:t xml:space="preserve">Arte del </w:t>
      </w:r>
      <w:r>
        <w:rPr>
          <w:rFonts w:ascii="Times New Roman" w:eastAsia="Times New Roman" w:hAnsi="Times New Roman"/>
          <w:b/>
          <w:sz w:val="24"/>
          <w:szCs w:val="24"/>
          <w:lang w:eastAsia="es-ES"/>
        </w:rPr>
        <w:t>banquero central”</w:t>
      </w:r>
      <w:r w:rsidRPr="00D07614">
        <w:rPr>
          <w:rFonts w:ascii="Times New Roman" w:eastAsia="Times New Roman" w:hAnsi="Times New Roman"/>
          <w:b/>
          <w:sz w:val="24"/>
          <w:szCs w:val="24"/>
          <w:lang w:eastAsia="es-ES"/>
        </w:rPr>
        <w:t xml:space="preserve"> durante los últimos doscientos años tiene como seña identidad la evolución del concepto de prestamista de último recurso”.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“El prestamista de último recurso está listo para frenar una estampida (…) proporcionando tanto dinero como sea necesario”.</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 xml:space="preserve">¿Con cuánto dinero? ¿Para quién? ¿En qué condiciones? ¿Cuándo? Estas preguntas acechan al prestamista de último recurso, que afronta el dilema de que </w:t>
      </w:r>
      <w:r w:rsidRPr="00D07614">
        <w:rPr>
          <w:rFonts w:ascii="Times New Roman" w:eastAsia="Times New Roman" w:hAnsi="Times New Roman"/>
          <w:b/>
          <w:sz w:val="24"/>
          <w:szCs w:val="24"/>
          <w:lang w:eastAsia="es-ES"/>
        </w:rPr>
        <w:lastRenderedPageBreak/>
        <w:t>los inversores piensen que los bancos y otros privilegiados acreedores recibirán apoyo en caso de dificultades, lo que reducirá su p</w:t>
      </w:r>
      <w:r>
        <w:rPr>
          <w:rFonts w:ascii="Times New Roman" w:eastAsia="Times New Roman" w:hAnsi="Times New Roman"/>
          <w:b/>
          <w:sz w:val="24"/>
          <w:szCs w:val="24"/>
          <w:lang w:eastAsia="es-ES"/>
        </w:rPr>
        <w:t>rudencia en el siguiente boom”</w:t>
      </w:r>
      <w:r w:rsidRPr="00D07614">
        <w:rPr>
          <w:rFonts w:ascii="Times New Roman" w:eastAsia="Times New Roman" w:hAnsi="Times New Roman"/>
          <w:b/>
          <w:sz w:val="24"/>
          <w:szCs w:val="24"/>
          <w:lang w:eastAsia="es-ES"/>
        </w:rPr>
        <w:t>.</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Sin embargo, si en medio del pánico la estampida no se frena (…) la venta de activos para minimizar pérdidas puede llevar a la bancarrota a un gran número de empresas, que hasta entonces eran solvent</w:t>
      </w:r>
      <w:r>
        <w:rPr>
          <w:rFonts w:ascii="Times New Roman" w:eastAsia="Times New Roman" w:hAnsi="Times New Roman"/>
          <w:b/>
          <w:sz w:val="24"/>
          <w:szCs w:val="24"/>
          <w:lang w:eastAsia="es-ES"/>
        </w:rPr>
        <w:t>es y estaban bien capitalizadas”</w:t>
      </w:r>
      <w:r w:rsidRPr="00D07614">
        <w:rPr>
          <w:rFonts w:ascii="Times New Roman" w:eastAsia="Times New Roman" w:hAnsi="Times New Roman"/>
          <w:b/>
          <w:sz w:val="24"/>
          <w:szCs w:val="24"/>
          <w:lang w:eastAsia="es-ES"/>
        </w:rPr>
        <w:t xml:space="preserve">.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Los argumentos en contra del prestamista de último recurso han sido continuos. (…) El más t</w:t>
      </w:r>
      <w:r>
        <w:rPr>
          <w:rFonts w:ascii="Times New Roman" w:eastAsia="Times New Roman" w:hAnsi="Times New Roman"/>
          <w:b/>
          <w:sz w:val="24"/>
          <w:szCs w:val="24"/>
          <w:lang w:eastAsia="es-ES"/>
        </w:rPr>
        <w:t>ajante fue de Herbert Spencer. “</w:t>
      </w:r>
      <w:r w:rsidRPr="00D07614">
        <w:rPr>
          <w:rFonts w:ascii="Times New Roman" w:eastAsia="Times New Roman" w:hAnsi="Times New Roman"/>
          <w:b/>
          <w:sz w:val="24"/>
          <w:szCs w:val="24"/>
          <w:lang w:eastAsia="es-ES"/>
        </w:rPr>
        <w:t xml:space="preserve">Proteger al hombre de los efectos de su locura lo único que consigue es llenar el </w:t>
      </w:r>
      <w:r>
        <w:rPr>
          <w:rFonts w:ascii="Times New Roman" w:eastAsia="Times New Roman" w:hAnsi="Times New Roman"/>
          <w:b/>
          <w:sz w:val="24"/>
          <w:szCs w:val="24"/>
          <w:lang w:eastAsia="es-ES"/>
        </w:rPr>
        <w:t>mundo de locos”</w:t>
      </w:r>
      <w:r w:rsidRPr="00D07614">
        <w:rPr>
          <w:rFonts w:ascii="Times New Roman" w:eastAsia="Times New Roman" w:hAnsi="Times New Roman"/>
          <w:b/>
          <w:sz w:val="24"/>
          <w:szCs w:val="24"/>
          <w:lang w:eastAsia="es-ES"/>
        </w:rPr>
        <w:t>. Un punto de vista compre</w:t>
      </w:r>
      <w:r>
        <w:rPr>
          <w:rFonts w:ascii="Times New Roman" w:eastAsia="Times New Roman" w:hAnsi="Times New Roman"/>
          <w:b/>
          <w:sz w:val="24"/>
          <w:szCs w:val="24"/>
          <w:lang w:eastAsia="es-ES"/>
        </w:rPr>
        <w:t>nsible en una era Darwiniana”</w:t>
      </w:r>
      <w:r w:rsidRPr="00D07614">
        <w:rPr>
          <w:rFonts w:ascii="Times New Roman" w:eastAsia="Times New Roman" w:hAnsi="Times New Roman"/>
          <w:b/>
          <w:sz w:val="24"/>
          <w:szCs w:val="24"/>
          <w:lang w:eastAsia="es-ES"/>
        </w:rPr>
        <w:t xml:space="preserve">.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Los bancos centrales suelen tener normas. Cuando no se pueden romper con facilidad, a menudo surgen problemas. También hay problemas cuando las normas se rompen con demasiada facilid</w:t>
      </w:r>
      <w:r>
        <w:rPr>
          <w:rFonts w:ascii="Times New Roman" w:eastAsia="Times New Roman" w:hAnsi="Times New Roman"/>
          <w:b/>
          <w:sz w:val="24"/>
          <w:szCs w:val="24"/>
          <w:lang w:eastAsia="es-ES"/>
        </w:rPr>
        <w:t>ad”</w:t>
      </w:r>
      <w:r w:rsidRPr="00D07614">
        <w:rPr>
          <w:rFonts w:ascii="Times New Roman" w:eastAsia="Times New Roman" w:hAnsi="Times New Roman"/>
          <w:b/>
          <w:sz w:val="24"/>
          <w:szCs w:val="24"/>
          <w:lang w:eastAsia="es-ES"/>
        </w:rPr>
        <w:t xml:space="preserve">.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'Demasiado poco, demasiado tarde’ es una de las frases más tristes en la jerga de los bancos centrales y de cualquier actividad. Pero ¿cuánto es bastante? Y ¿cuándo es el momento adecuado?</w:t>
      </w:r>
      <w:r>
        <w:rPr>
          <w:rFonts w:ascii="Times New Roman" w:eastAsia="Times New Roman" w:hAnsi="Times New Roman"/>
          <w:b/>
          <w:sz w:val="24"/>
          <w:szCs w:val="24"/>
          <w:lang w:eastAsia="es-ES"/>
        </w:rPr>
        <w:t>”.</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w:t>
      </w:r>
      <w:r w:rsidRPr="00D07614">
        <w:rPr>
          <w:rFonts w:ascii="Times New Roman" w:eastAsia="Times New Roman" w:hAnsi="Times New Roman"/>
          <w:b/>
          <w:sz w:val="24"/>
          <w:szCs w:val="24"/>
          <w:lang w:eastAsia="es-ES"/>
        </w:rPr>
        <w:t>La gestión del tiempo es un arte. Eso no dice nada y lo d</w:t>
      </w:r>
      <w:r>
        <w:rPr>
          <w:rFonts w:ascii="Times New Roman" w:eastAsia="Times New Roman" w:hAnsi="Times New Roman"/>
          <w:b/>
          <w:sz w:val="24"/>
          <w:szCs w:val="24"/>
          <w:lang w:eastAsia="es-ES"/>
        </w:rPr>
        <w:t>ice todo”</w:t>
      </w:r>
      <w:r w:rsidRPr="00D07614">
        <w:rPr>
          <w:rFonts w:ascii="Times New Roman" w:eastAsia="Times New Roman" w:hAnsi="Times New Roman"/>
          <w:b/>
          <w:sz w:val="24"/>
          <w:szCs w:val="24"/>
          <w:lang w:eastAsia="es-ES"/>
        </w:rPr>
        <w:t xml:space="preserve">. </w:t>
      </w:r>
    </w:p>
    <w:p w:rsidR="002F07D4" w:rsidRPr="00D07614" w:rsidRDefault="002F07D4" w:rsidP="002F07D4">
      <w:pPr>
        <w:spacing w:before="100" w:beforeAutospacing="1" w:after="100" w:afterAutospacing="1" w:line="240" w:lineRule="auto"/>
        <w:jc w:val="both"/>
        <w:rPr>
          <w:rFonts w:ascii="Times New Roman" w:eastAsia="Times New Roman" w:hAnsi="Times New Roman"/>
          <w:b/>
          <w:sz w:val="24"/>
          <w:szCs w:val="24"/>
          <w:lang w:val="en-US" w:eastAsia="es-ES"/>
        </w:rPr>
      </w:pPr>
      <w:r w:rsidRPr="00D07614">
        <w:rPr>
          <w:rFonts w:ascii="Times New Roman" w:eastAsia="Times New Roman" w:hAnsi="Times New Roman"/>
          <w:b/>
          <w:sz w:val="24"/>
          <w:szCs w:val="24"/>
          <w:lang w:val="en-US" w:eastAsia="es-ES"/>
        </w:rPr>
        <w:t>Textos: Charles P. Kindleberger and Robert Alibe</w:t>
      </w:r>
      <w:r>
        <w:rPr>
          <w:rFonts w:ascii="Times New Roman" w:eastAsia="Times New Roman" w:hAnsi="Times New Roman"/>
          <w:b/>
          <w:sz w:val="24"/>
          <w:szCs w:val="24"/>
          <w:lang w:val="en-US" w:eastAsia="es-ES"/>
        </w:rPr>
        <w:t xml:space="preserve">r, Manias, Panics, and Crashes: </w:t>
      </w:r>
      <w:r w:rsidRPr="00D07614">
        <w:rPr>
          <w:rFonts w:ascii="Times New Roman" w:eastAsia="Times New Roman" w:hAnsi="Times New Roman"/>
          <w:b/>
          <w:sz w:val="24"/>
          <w:szCs w:val="24"/>
          <w:lang w:val="en-US" w:eastAsia="es-ES"/>
        </w:rPr>
        <w:t xml:space="preserve">A history of financial crisis, New Jersey, John Wiley &amp; Sons, 2005 (5ª ed.). </w:t>
      </w:r>
    </w:p>
    <w:p w:rsidR="002F07D4" w:rsidRPr="00D07614" w:rsidRDefault="002F07D4" w:rsidP="002F07D4">
      <w:pPr>
        <w:spacing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En mi humilde opinión, y con esto termino, la Reserva Federal no sólo está intentado tratar los síntomas del enfermo en lugar de combatir la enfermedad, y lo sabe, sino que pretende crear una nueva burbuja para solucionar la actual con idénticas y devastadoras consecuencias. Desearía estar equivocado (una vez más)…</w:t>
      </w:r>
    </w:p>
    <w:p w:rsidR="002F07D4" w:rsidRPr="00D07614" w:rsidRDefault="002F07D4" w:rsidP="002F07D4">
      <w:pPr>
        <w:spacing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 xml:space="preserve">Antes de marcharme, ahora sí, dejo en el aire una pregunta para Bernanke, para algunos Nobeles mediáticos y para ustedes, tal vez: ¿adónde va a ir EEUU cuando la guerra de divisas degenere en un proteccionismo de manual y su capacidad de consumo se colapse? Recuerden que lo que hasta hoy podía resultar políticamente inaceptable, puede plantear un mañana con ciertas dudas razonables. Mientras, con paso firme hacia el abismo. Cuestión de tiempo… </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D07614">
        <w:rPr>
          <w:rFonts w:ascii="Times New Roman" w:eastAsia="Times New Roman" w:hAnsi="Times New Roman"/>
          <w:b/>
          <w:sz w:val="24"/>
          <w:szCs w:val="24"/>
          <w:lang w:eastAsia="es-ES"/>
        </w:rPr>
        <w:t xml:space="preserve">Así como la Gran Depresión reemplazó una cultura de derroche con una generación de ahorradores frugales. La última recesión -con sus altos niveles de desempleo, la caída en picada de los precios de las viviendas y las cuentas de ahorros vacías-  podría estar dando paso un nuevo tipo de comprador en EEUU: el “consumidor justo a tiempo” (comprar sólo lo que se necesita) y si es posible sin pedir crédito, tanto mejor. Está todo inventado: hay que ir vaciando la alacena y aumentado la cuenta de ahorro (el auténtico “círculo virtual”). Esto, seguramente, producirá un mayor “alivio cuantitativo” </w:t>
      </w:r>
      <w:r>
        <w:rPr>
          <w:rFonts w:ascii="Times New Roman" w:eastAsia="Times New Roman" w:hAnsi="Times New Roman"/>
          <w:b/>
          <w:sz w:val="24"/>
          <w:szCs w:val="24"/>
          <w:lang w:eastAsia="es-ES"/>
        </w:rPr>
        <w:t>que cualquiera de los “auspiciados</w:t>
      </w:r>
      <w:r w:rsidRPr="00D07614">
        <w:rPr>
          <w:rFonts w:ascii="Times New Roman" w:eastAsia="Times New Roman" w:hAnsi="Times New Roman"/>
          <w:b/>
          <w:sz w:val="24"/>
          <w:szCs w:val="24"/>
          <w:lang w:eastAsia="es-ES"/>
        </w:rPr>
        <w:t>” por la Reserva Federal (donde volverán a pagar justos por pecadores). Por algo se empieza…</w:t>
      </w:r>
    </w:p>
    <w:p w:rsidR="002F07D4" w:rsidRPr="00184D4B" w:rsidRDefault="002F07D4" w:rsidP="002F07D4">
      <w:pPr>
        <w:spacing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xml:space="preserve">Rechazar la capacidad para derrochar. </w:t>
      </w:r>
      <w:r w:rsidRPr="004E5DFF">
        <w:rPr>
          <w:rFonts w:ascii="Times New Roman" w:eastAsia="Times New Roman" w:hAnsi="Times New Roman"/>
          <w:b/>
          <w:sz w:val="24"/>
          <w:szCs w:val="24"/>
          <w:lang w:eastAsia="es-ES"/>
        </w:rPr>
        <w:t>Nuestros antepasados la predicaban. Nuestros padres nos la enseñaron. Occidente</w:t>
      </w:r>
      <w:r>
        <w:rPr>
          <w:rFonts w:ascii="Times New Roman" w:eastAsia="Times New Roman" w:hAnsi="Times New Roman"/>
          <w:b/>
          <w:sz w:val="24"/>
          <w:szCs w:val="24"/>
          <w:lang w:eastAsia="es-ES"/>
        </w:rPr>
        <w:t xml:space="preserve">, tarde y mal (tal vez por la fuerza de </w:t>
      </w:r>
      <w:r>
        <w:rPr>
          <w:rFonts w:ascii="Times New Roman" w:eastAsia="Times New Roman" w:hAnsi="Times New Roman"/>
          <w:b/>
          <w:sz w:val="24"/>
          <w:szCs w:val="24"/>
          <w:lang w:eastAsia="es-ES"/>
        </w:rPr>
        <w:lastRenderedPageBreak/>
        <w:t>los acontecimientos),</w:t>
      </w:r>
      <w:r w:rsidRPr="004E5DFF">
        <w:rPr>
          <w:rFonts w:ascii="Times New Roman" w:eastAsia="Times New Roman" w:hAnsi="Times New Roman"/>
          <w:b/>
          <w:sz w:val="24"/>
          <w:szCs w:val="24"/>
          <w:lang w:eastAsia="es-ES"/>
        </w:rPr>
        <w:t xml:space="preserve"> la está adoptando</w:t>
      </w:r>
      <w:r w:rsidRPr="00184D4B">
        <w:rPr>
          <w:rFonts w:ascii="Times New Roman" w:eastAsia="Times New Roman" w:hAnsi="Times New Roman"/>
          <w:b/>
          <w:sz w:val="24"/>
          <w:szCs w:val="24"/>
          <w:lang w:eastAsia="es-ES"/>
        </w:rPr>
        <w:t>. Resulta incomprensible el alejamiento de aquella sensatez. Resulta imperdonable la capacidad para despilfarrar y querer hacer ostentación de ella. Resulta absurdo considerar la conservación una señal de debilidad. Afortunadamente las reglas del juego han cambiado. La era de los excesos y el derroche (todo a crédito) ha dejado de ser sostenible. Esta situación brinda una oportunidad para demostrar capacidad de dirección.</w:t>
      </w:r>
      <w:r>
        <w:rPr>
          <w:rFonts w:ascii="Times New Roman" w:eastAsia="Times New Roman" w:hAnsi="Times New Roman"/>
          <w:b/>
          <w:sz w:val="24"/>
          <w:szCs w:val="24"/>
          <w:lang w:eastAsia="es-ES"/>
        </w:rPr>
        <w:t xml:space="preserve"> Mientras se agota (por fin)</w:t>
      </w:r>
      <w:r w:rsidRPr="00C81C74">
        <w:rPr>
          <w:rFonts w:ascii="Times New Roman" w:eastAsia="Times New Roman" w:hAnsi="Times New Roman"/>
          <w:b/>
          <w:sz w:val="24"/>
          <w:szCs w:val="24"/>
          <w:lang w:eastAsia="es-ES"/>
        </w:rPr>
        <w:t xml:space="preserve"> este particular y enl</w:t>
      </w:r>
      <w:r>
        <w:rPr>
          <w:rFonts w:ascii="Times New Roman" w:eastAsia="Times New Roman" w:hAnsi="Times New Roman"/>
          <w:b/>
          <w:sz w:val="24"/>
          <w:szCs w:val="24"/>
          <w:lang w:eastAsia="es-ES"/>
        </w:rPr>
        <w:t>oquecido Monopoly del siglo XXI (al que los historiadores se referirán como“el capitalismo financiero que pasó y no ha sido”), habrá que hacer virtud de la necesidad…</w:t>
      </w:r>
    </w:p>
    <w:p w:rsidR="002F07D4" w:rsidRDefault="002F07D4" w:rsidP="002F07D4">
      <w:pPr>
        <w:spacing w:line="240" w:lineRule="auto"/>
        <w:jc w:val="both"/>
        <w:rPr>
          <w:rFonts w:ascii="Times New Roman" w:hAnsi="Times New Roman"/>
          <w:b/>
          <w:sz w:val="24"/>
          <w:szCs w:val="24"/>
        </w:rPr>
      </w:pPr>
      <w:r>
        <w:rPr>
          <w:rFonts w:ascii="Times New Roman" w:eastAsia="Times New Roman" w:hAnsi="Times New Roman"/>
          <w:b/>
          <w:sz w:val="24"/>
          <w:szCs w:val="24"/>
          <w:lang w:eastAsia="es-ES"/>
        </w:rPr>
        <w:t xml:space="preserve">No vivir con dinero prestado, o continuar con </w:t>
      </w:r>
      <w:r w:rsidRPr="002847F1">
        <w:rPr>
          <w:rFonts w:ascii="Times New Roman" w:eastAsia="Times New Roman" w:hAnsi="Times New Roman"/>
          <w:b/>
          <w:sz w:val="24"/>
          <w:szCs w:val="24"/>
          <w:lang w:eastAsia="es-ES"/>
        </w:rPr>
        <w:t>la diaria sumisión final a lo que dictan aquellos locos traders en sus locas pantallas de ordenador</w:t>
      </w:r>
      <w:r>
        <w:rPr>
          <w:rFonts w:ascii="Times New Roman" w:eastAsia="Times New Roman" w:hAnsi="Times New Roman"/>
          <w:b/>
          <w:sz w:val="24"/>
          <w:szCs w:val="24"/>
          <w:lang w:eastAsia="es-ES"/>
        </w:rPr>
        <w:t>. Ustedes elijen…</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PD: Tócala otra vez, Ben (una magnífica reseña de sus principales “deposiciones”)</w:t>
      </w:r>
    </w:p>
    <w:p w:rsidR="002F07D4" w:rsidRPr="00F86687" w:rsidRDefault="002F07D4" w:rsidP="002F07D4">
      <w:pPr>
        <w:pStyle w:val="NormalWeb"/>
        <w:jc w:val="both"/>
        <w:rPr>
          <w:color w:val="FF0000"/>
          <w:u w:val="single"/>
        </w:rPr>
      </w:pPr>
      <w:r w:rsidRPr="00F86B9D">
        <w:t xml:space="preserve">Uno de los últimos en atacar al presidente del regulador monetario ha sido </w:t>
      </w:r>
      <w:r w:rsidRPr="00F86687">
        <w:rPr>
          <w:u w:val="single"/>
        </w:rPr>
        <w:t>Business Insider,</w:t>
      </w:r>
      <w:r>
        <w:t xml:space="preserve"> en un artículo publicado el 8/12/10</w:t>
      </w:r>
      <w:r w:rsidRPr="00F86B9D">
        <w:t xml:space="preserve">, bajo el titular </w:t>
      </w:r>
      <w:r>
        <w:rPr>
          <w:color w:val="FF0000"/>
          <w:u w:val="single"/>
        </w:rPr>
        <w:t>“</w:t>
      </w:r>
      <w:r w:rsidRPr="00F86687">
        <w:rPr>
          <w:color w:val="FF0000"/>
          <w:u w:val="single"/>
        </w:rPr>
        <w:t>30 citas de Bernanke tan absurda</w:t>
      </w:r>
      <w:r>
        <w:rPr>
          <w:color w:val="FF0000"/>
          <w:u w:val="single"/>
        </w:rPr>
        <w:t>s que no sabes si reír o llorar”</w:t>
      </w:r>
      <w:r w:rsidRPr="00F86687">
        <w:rPr>
          <w:color w:val="FF0000"/>
          <w:u w:val="single"/>
        </w:rPr>
        <w:t>.</w:t>
      </w:r>
    </w:p>
    <w:p w:rsidR="002F07D4" w:rsidRPr="00D56357" w:rsidRDefault="002F07D4" w:rsidP="002F07D4">
      <w:pPr>
        <w:pStyle w:val="NormalWeb"/>
        <w:jc w:val="both"/>
        <w:rPr>
          <w:color w:val="FF0000"/>
          <w:u w:val="single"/>
        </w:rPr>
      </w:pPr>
      <w:r w:rsidRPr="00D56357">
        <w:t>Así, la que podría ser la mejor “perla” de Bernanke retrata toda su política monetaria y se encuentra en su discurso del 21 de noviembre de 2002.  Entonces aseguró que</w:t>
      </w:r>
      <w:r>
        <w:rPr>
          <w:color w:val="FF0000"/>
          <w:u w:val="single"/>
        </w:rPr>
        <w:t>“</w:t>
      </w:r>
      <w:r w:rsidRPr="00F86687">
        <w:rPr>
          <w:color w:val="FF0000"/>
          <w:u w:val="single"/>
        </w:rPr>
        <w:t>El Gobierno de Estados Unidos tiene una tecnología llamada imprenta (hoy en día su equivalente tecnológico) que permite producir todos los dólares qu</w:t>
      </w:r>
      <w:r>
        <w:rPr>
          <w:color w:val="FF0000"/>
          <w:u w:val="single"/>
        </w:rPr>
        <w:t>e se deseen a ningún coste”</w:t>
      </w:r>
      <w:r w:rsidRPr="00F86687">
        <w:rPr>
          <w:color w:val="FF0000"/>
          <w:u w:val="single"/>
        </w:rPr>
        <w:t>.</w:t>
      </w:r>
    </w:p>
    <w:p w:rsidR="002F07D4" w:rsidRDefault="002F07D4" w:rsidP="002F07D4">
      <w:pPr>
        <w:pStyle w:val="NormalWeb"/>
        <w:jc w:val="both"/>
        <w:rPr>
          <w:lang w:val="en-US"/>
        </w:rPr>
      </w:pPr>
      <w:r w:rsidRPr="00F86B9D">
        <w:rPr>
          <w:lang w:val="en-US"/>
        </w:rPr>
        <w:t xml:space="preserve">- </w:t>
      </w:r>
      <w:r w:rsidRPr="00F86B9D">
        <w:rPr>
          <w:u w:val="single"/>
          <w:lang w:val="en-US"/>
        </w:rPr>
        <w:t>30 Bernanke Quotes That Are So Absurd You Won’t Know Whether To Laugh Or Cry</w:t>
      </w:r>
      <w:r>
        <w:rPr>
          <w:lang w:val="en-US"/>
        </w:rPr>
        <w:t xml:space="preserve"> (Business Insider - </w:t>
      </w:r>
      <w:r w:rsidRPr="00F86B9D">
        <w:rPr>
          <w:b/>
          <w:lang w:val="en-US"/>
        </w:rPr>
        <w:t>8/12/10</w:t>
      </w:r>
      <w:r>
        <w:rPr>
          <w:lang w:val="en-US"/>
        </w:rPr>
        <w:t>)</w:t>
      </w:r>
    </w:p>
    <w:p w:rsidR="002F07D4" w:rsidRPr="00F86B9D" w:rsidRDefault="002F07D4" w:rsidP="002F07D4">
      <w:pPr>
        <w:pStyle w:val="NormalWeb"/>
        <w:jc w:val="both"/>
        <w:rPr>
          <w:lang w:val="en-US"/>
        </w:rPr>
      </w:pPr>
      <w:r>
        <w:rPr>
          <w:lang w:val="en-US"/>
        </w:rPr>
        <w:t xml:space="preserve"> (By Michael Snyder, </w:t>
      </w:r>
      <w:r w:rsidRPr="00F86B9D">
        <w:rPr>
          <w:lang w:val="en-US"/>
        </w:rPr>
        <w:t>The Economic Collapse</w:t>
      </w:r>
      <w:r>
        <w:rPr>
          <w:lang w:val="en-US"/>
        </w:rPr>
        <w:t>)</w:t>
      </w:r>
    </w:p>
    <w:p w:rsidR="002F07D4" w:rsidRPr="00F86B9D" w:rsidRDefault="002F07D4" w:rsidP="002F07D4">
      <w:pPr>
        <w:pStyle w:val="NormalWeb"/>
        <w:jc w:val="both"/>
        <w:rPr>
          <w:lang w:val="en-US"/>
        </w:rPr>
      </w:pPr>
      <w:r w:rsidRPr="00F86B9D">
        <w:rPr>
          <w:lang w:val="en-US"/>
        </w:rPr>
        <w:t>Did you see Federal Reserve Chairman Ben Bernanke on 60 Minutes the other night? Bernanke portrayed the Federal Reserve as the great protector of the U.S. economy, he claimed that unemployment would be 15 percent higher if the Federal Reserve had sat back and done nothing during the financial crisis and he even started laying the groundwork for a third round of quantitative easing.</w:t>
      </w:r>
    </w:p>
    <w:p w:rsidR="002F07D4" w:rsidRPr="00F86B9D" w:rsidRDefault="002F07D4" w:rsidP="002F07D4">
      <w:pPr>
        <w:pStyle w:val="NormalWeb"/>
        <w:jc w:val="both"/>
        <w:rPr>
          <w:lang w:val="en-US"/>
        </w:rPr>
      </w:pPr>
      <w:r w:rsidRPr="00F86B9D">
        <w:rPr>
          <w:lang w:val="en-US"/>
        </w:rPr>
        <w:t xml:space="preserve">Unfortunately, 60 Minutes did not ask Bernanke any hard questions and did not challenge him on his past record. It was almost as if they considered Bernanke to be above criticism. But someone in the mainstream media should be taking a closer look at this guy and his record. The truth is that the incompetence that Bernanke has displayed over the past few years makes the Cincinnati Bengals look like a model of excellence. </w:t>
      </w:r>
    </w:p>
    <w:p w:rsidR="002F07D4" w:rsidRPr="00F86B9D" w:rsidRDefault="002F07D4" w:rsidP="002F07D4">
      <w:pPr>
        <w:pStyle w:val="NormalWeb"/>
        <w:jc w:val="both"/>
        <w:rPr>
          <w:lang w:val="en-US"/>
        </w:rPr>
      </w:pPr>
      <w:r w:rsidRPr="00F86B9D">
        <w:rPr>
          <w:lang w:val="en-US"/>
        </w:rPr>
        <w:t xml:space="preserve">Bernanke kept insisting that the housing market was stable even while it was falling apart, he had absolutely no idea the financial crisis was coming, he declared that Fannie Mae and Freddie Mac were in no danger of failing just before they failed, his policies have created asset bubble after asset bubble and the world financial system is now inherently unstable. </w:t>
      </w:r>
    </w:p>
    <w:p w:rsidR="002F07D4" w:rsidRPr="00F86B9D" w:rsidRDefault="002F07D4" w:rsidP="002F07D4">
      <w:pPr>
        <w:pStyle w:val="NormalWeb"/>
        <w:jc w:val="both"/>
        <w:rPr>
          <w:lang w:val="en-US"/>
        </w:rPr>
      </w:pPr>
      <w:r w:rsidRPr="00F86B9D">
        <w:rPr>
          <w:lang w:val="en-US"/>
        </w:rPr>
        <w:lastRenderedPageBreak/>
        <w:t>But even with such horrific job performance, Barack Obama and leaders of both political parties continue to publicly praise Bernanke at every opportunity.  What in the world is going on here?</w:t>
      </w:r>
    </w:p>
    <w:p w:rsidR="002F07D4" w:rsidRPr="00F86B9D" w:rsidRDefault="002F07D4" w:rsidP="002F07D4">
      <w:pPr>
        <w:pStyle w:val="NormalWeb"/>
        <w:jc w:val="both"/>
        <w:rPr>
          <w:lang w:val="en-US"/>
        </w:rPr>
      </w:pPr>
      <w:r w:rsidRPr="00F86B9D">
        <w:rPr>
          <w:lang w:val="en-US"/>
        </w:rPr>
        <w:t>Not that Bernanke is solely responsible. His predecessor, Alan Greenspan, was responsible for many of the policies that have brought us to this point. In addition, most of the other presidents of the individual Federal Reserve banks across the United States seem just as clueless as Bernanke.</w:t>
      </w:r>
    </w:p>
    <w:p w:rsidR="002F07D4" w:rsidRPr="00F86B9D" w:rsidRDefault="002F07D4" w:rsidP="002F07D4">
      <w:pPr>
        <w:pStyle w:val="NormalWeb"/>
        <w:jc w:val="both"/>
        <w:rPr>
          <w:lang w:val="en-US"/>
        </w:rPr>
      </w:pPr>
      <w:r w:rsidRPr="00F86B9D">
        <w:rPr>
          <w:lang w:val="en-US"/>
        </w:rPr>
        <w:t>But you would think at some point someone in authority would be calling for Bernanke to resign.  Accountability has to begin somewhere.</w:t>
      </w:r>
    </w:p>
    <w:p w:rsidR="002F07D4" w:rsidRPr="00F86B9D" w:rsidRDefault="002F07D4" w:rsidP="002F07D4">
      <w:pPr>
        <w:pStyle w:val="NormalWeb"/>
        <w:jc w:val="both"/>
        <w:rPr>
          <w:lang w:val="en-US"/>
        </w:rPr>
      </w:pPr>
      <w:r w:rsidRPr="00F86B9D">
        <w:rPr>
          <w:lang w:val="en-US"/>
        </w:rPr>
        <w:t>The Bernanke quotes that you will read below reveal a pattern of incompetence and mismanagement that is absolutely mind blowing. Looking back now, we can see that Bernanke was wrong about almost everything.</w:t>
      </w:r>
    </w:p>
    <w:p w:rsidR="002F07D4" w:rsidRPr="00F86B9D" w:rsidRDefault="002F07D4" w:rsidP="002F07D4">
      <w:pPr>
        <w:pStyle w:val="NormalWeb"/>
        <w:jc w:val="both"/>
        <w:rPr>
          <w:lang w:val="en-US"/>
        </w:rPr>
      </w:pPr>
      <w:r w:rsidRPr="00F86B9D">
        <w:rPr>
          <w:lang w:val="en-US"/>
        </w:rPr>
        <w:t>But the mainstream media and our top politicians keep insisting that Bernanke is the man to lead our economy into a bright future.</w:t>
      </w:r>
    </w:p>
    <w:p w:rsidR="002F07D4" w:rsidRPr="00F86B9D" w:rsidRDefault="002F07D4" w:rsidP="002F07D4">
      <w:pPr>
        <w:pStyle w:val="NormalWeb"/>
        <w:jc w:val="both"/>
        <w:rPr>
          <w:lang w:val="en-US"/>
        </w:rPr>
      </w:pPr>
      <w:r w:rsidRPr="00F86B9D">
        <w:rPr>
          <w:lang w:val="en-US"/>
        </w:rPr>
        <w:t>It is almost as if we have been transporte</w:t>
      </w:r>
      <w:r>
        <w:rPr>
          <w:lang w:val="en-US"/>
        </w:rPr>
        <w:t>d into some bizarre episode of “The Twilight Zone”</w:t>
      </w:r>
      <w:r w:rsidRPr="00F86B9D">
        <w:rPr>
          <w:lang w:val="en-US"/>
        </w:rPr>
        <w:t xml:space="preserve"> where the more incompetence someone exhibits the more they are to be praised.</w:t>
      </w:r>
    </w:p>
    <w:p w:rsidR="002F07D4" w:rsidRPr="00F86B9D" w:rsidRDefault="002F07D4" w:rsidP="002F07D4">
      <w:pPr>
        <w:pStyle w:val="NormalWeb"/>
        <w:jc w:val="both"/>
        <w:rPr>
          <w:lang w:val="en-US"/>
        </w:rPr>
      </w:pPr>
      <w:r w:rsidRPr="00F86B9D">
        <w:rPr>
          <w:lang w:val="en-US"/>
        </w:rPr>
        <w:t xml:space="preserve">The following are 30 Ben Bernanke quotes that are so stupid that you won't </w:t>
      </w:r>
      <w:r>
        <w:rPr>
          <w:lang w:val="en-US"/>
        </w:rPr>
        <w:t>know whether to laugh or cry...</w:t>
      </w:r>
    </w:p>
    <w:p w:rsidR="002F07D4" w:rsidRPr="00F86B9D" w:rsidRDefault="002F07D4" w:rsidP="002F07D4">
      <w:pPr>
        <w:pStyle w:val="NormalWeb"/>
        <w:jc w:val="both"/>
        <w:rPr>
          <w:lang w:val="en-US"/>
        </w:rPr>
      </w:pPr>
      <w:r w:rsidRPr="00F86B9D">
        <w:rPr>
          <w:lang w:val="en-US"/>
        </w:rPr>
        <w:t>Nov. 21, 2002</w:t>
      </w:r>
    </w:p>
    <w:p w:rsidR="002F07D4" w:rsidRDefault="002F07D4" w:rsidP="002F07D4">
      <w:pPr>
        <w:pStyle w:val="NormalWeb"/>
        <w:jc w:val="both"/>
        <w:rPr>
          <w:color w:val="FF0000"/>
          <w:lang w:val="en-US"/>
        </w:rPr>
      </w:pPr>
      <w:r>
        <w:rPr>
          <w:color w:val="FF0000"/>
          <w:lang w:val="en-US"/>
        </w:rPr>
        <w:t>“</w:t>
      </w:r>
      <w:r w:rsidRPr="00F86687">
        <w:rPr>
          <w:color w:val="FF0000"/>
          <w:lang w:val="en-US"/>
        </w:rPr>
        <w:t>The U.S. government has a technology, called a printing press (or today, its electronic equivalent), that allows it to produce as many U.S. d</w:t>
      </w:r>
      <w:r>
        <w:rPr>
          <w:color w:val="FF0000"/>
          <w:lang w:val="en-US"/>
        </w:rPr>
        <w:t>ollars as it wishes at no cost”.</w:t>
      </w:r>
    </w:p>
    <w:p w:rsidR="002F07D4" w:rsidRPr="00F86B9D" w:rsidRDefault="002F07D4" w:rsidP="002F07D4">
      <w:pPr>
        <w:pStyle w:val="NormalWeb"/>
        <w:jc w:val="both"/>
        <w:rPr>
          <w:lang w:val="en-US"/>
        </w:rPr>
      </w:pPr>
      <w:r w:rsidRPr="00F86B9D">
        <w:rPr>
          <w:lang w:val="en-US"/>
        </w:rPr>
        <w:t>June 2004</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Economics has many substantive areas of knowledge where there is agreement but also contains areas of c</w:t>
      </w:r>
      <w:r>
        <w:rPr>
          <w:color w:val="FF0000"/>
          <w:lang w:val="en-US"/>
        </w:rPr>
        <w:t>ontroversy. That's inescapable”.</w:t>
      </w:r>
    </w:p>
    <w:p w:rsidR="002F07D4" w:rsidRPr="00F86B9D" w:rsidRDefault="002F07D4" w:rsidP="002F07D4">
      <w:pPr>
        <w:pStyle w:val="NormalWeb"/>
        <w:jc w:val="both"/>
        <w:rPr>
          <w:lang w:val="en-US"/>
        </w:rPr>
      </w:pPr>
      <w:r w:rsidRPr="00F86B9D">
        <w:rPr>
          <w:lang w:val="en-US"/>
        </w:rPr>
        <w:t>June 2004</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Not</w:t>
      </w:r>
      <w:r>
        <w:rPr>
          <w:color w:val="FF0000"/>
          <w:lang w:val="en-US"/>
        </w:rPr>
        <w:t xml:space="preserve"> all information is beneficial”.</w:t>
      </w:r>
    </w:p>
    <w:p w:rsidR="002F07D4" w:rsidRPr="00F86B9D" w:rsidRDefault="002F07D4" w:rsidP="002F07D4">
      <w:pPr>
        <w:pStyle w:val="NormalWeb"/>
        <w:jc w:val="both"/>
        <w:rPr>
          <w:lang w:val="en-US"/>
        </w:rPr>
      </w:pPr>
      <w:r w:rsidRPr="00F86B9D">
        <w:rPr>
          <w:lang w:val="en-US"/>
        </w:rPr>
        <w:t>July, 2005</w:t>
      </w:r>
    </w:p>
    <w:p w:rsidR="002F07D4" w:rsidRDefault="002F07D4" w:rsidP="002F07D4">
      <w:pPr>
        <w:pStyle w:val="NormalWeb"/>
        <w:jc w:val="both"/>
        <w:rPr>
          <w:color w:val="FF0000"/>
          <w:lang w:val="en-US"/>
        </w:rPr>
      </w:pPr>
      <w:r>
        <w:rPr>
          <w:color w:val="FF0000"/>
          <w:lang w:val="en-US"/>
        </w:rPr>
        <w:t>“</w:t>
      </w:r>
      <w:r w:rsidRPr="00F86687">
        <w:rPr>
          <w:color w:val="FF0000"/>
          <w:lang w:val="en-US"/>
        </w:rPr>
        <w:t>We’ve never had a decline in house prices on a nationwide basis. So, what I think what is more likely is that house prices will slow, maybe stabilize, might slow consumption spending a bit. I don’t think it’s gonna drive the economy too far from it</w:t>
      </w:r>
      <w:r>
        <w:rPr>
          <w:color w:val="FF0000"/>
          <w:lang w:val="en-US"/>
        </w:rPr>
        <w:t>s full employment path, though”.</w:t>
      </w:r>
    </w:p>
    <w:p w:rsidR="00246AB8" w:rsidRDefault="00246AB8" w:rsidP="002F07D4">
      <w:pPr>
        <w:pStyle w:val="NormalWeb"/>
        <w:jc w:val="both"/>
        <w:rPr>
          <w:color w:val="FF0000"/>
          <w:lang w:val="en-US"/>
        </w:rPr>
      </w:pPr>
    </w:p>
    <w:p w:rsidR="00246AB8" w:rsidRDefault="00246AB8" w:rsidP="002F07D4">
      <w:pPr>
        <w:pStyle w:val="NormalWeb"/>
        <w:jc w:val="both"/>
        <w:rPr>
          <w:color w:val="FF0000"/>
          <w:lang w:val="en-US"/>
        </w:rPr>
      </w:pPr>
    </w:p>
    <w:p w:rsidR="002F07D4" w:rsidRPr="00F86B9D" w:rsidRDefault="002F07D4" w:rsidP="002F07D4">
      <w:pPr>
        <w:pStyle w:val="NormalWeb"/>
        <w:jc w:val="both"/>
        <w:rPr>
          <w:lang w:val="en-US"/>
        </w:rPr>
      </w:pPr>
      <w:r w:rsidRPr="00F86B9D">
        <w:rPr>
          <w:lang w:val="en-US"/>
        </w:rPr>
        <w:lastRenderedPageBreak/>
        <w:t>Oct. 20, 2005</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House prices have risen by nearly 25 percent over the past two years. Although speculative activity has increased in some areas, at a national level these price increases largely reflec</w:t>
      </w:r>
      <w:r>
        <w:rPr>
          <w:color w:val="FF0000"/>
          <w:lang w:val="en-US"/>
        </w:rPr>
        <w:t>t strong economic fundamentals”.</w:t>
      </w:r>
    </w:p>
    <w:p w:rsidR="002F07D4" w:rsidRPr="00F86B9D" w:rsidRDefault="002F07D4" w:rsidP="002F07D4">
      <w:pPr>
        <w:pStyle w:val="NormalWeb"/>
        <w:jc w:val="both"/>
        <w:rPr>
          <w:lang w:val="en-US"/>
        </w:rPr>
      </w:pPr>
      <w:r w:rsidRPr="00F86B9D">
        <w:rPr>
          <w:lang w:val="en-US"/>
        </w:rPr>
        <w:t>Nov. 15, 2005</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With respect to their safety, derivatives, for the most part, are traded among very sophisticated financial institutions and individuals who have considerable incentive to understand</w:t>
      </w:r>
      <w:r>
        <w:rPr>
          <w:color w:val="FF0000"/>
          <w:lang w:val="en-US"/>
        </w:rPr>
        <w:t xml:space="preserve"> them and to use them properly”.</w:t>
      </w:r>
    </w:p>
    <w:p w:rsidR="002F07D4" w:rsidRPr="00F86B9D" w:rsidRDefault="002F07D4" w:rsidP="002F07D4">
      <w:pPr>
        <w:pStyle w:val="NormalWeb"/>
        <w:jc w:val="both"/>
        <w:rPr>
          <w:lang w:val="en-US"/>
        </w:rPr>
      </w:pPr>
      <w:r w:rsidRPr="00F86B9D">
        <w:rPr>
          <w:lang w:val="en-US"/>
        </w:rPr>
        <w:t>Feb. 15, 2006</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 xml:space="preserve">Housing markets are cooling a bit. Our expectation is that the decline in activity or the slowing in activity will be moderate, that house prices </w:t>
      </w:r>
      <w:r>
        <w:rPr>
          <w:color w:val="FF0000"/>
          <w:lang w:val="en-US"/>
        </w:rPr>
        <w:t>will probably continue to rise”.</w:t>
      </w:r>
    </w:p>
    <w:p w:rsidR="002F07D4" w:rsidRPr="00F86B9D" w:rsidRDefault="002F07D4" w:rsidP="002F07D4">
      <w:pPr>
        <w:pStyle w:val="NormalWeb"/>
        <w:jc w:val="both"/>
        <w:rPr>
          <w:lang w:val="en-US"/>
        </w:rPr>
      </w:pPr>
      <w:r w:rsidRPr="00F86B9D">
        <w:rPr>
          <w:lang w:val="en-US"/>
        </w:rPr>
        <w:t>Feb. 16, 2006</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I don't think that Chinese ownership of U.S. assets is so large as to put ou</w:t>
      </w:r>
      <w:r>
        <w:rPr>
          <w:color w:val="FF0000"/>
          <w:lang w:val="en-US"/>
        </w:rPr>
        <w:t>r country at risk economically”.</w:t>
      </w:r>
    </w:p>
    <w:p w:rsidR="002F07D4" w:rsidRPr="00F86B9D" w:rsidRDefault="002F07D4" w:rsidP="002F07D4">
      <w:pPr>
        <w:pStyle w:val="NormalWeb"/>
        <w:jc w:val="both"/>
        <w:rPr>
          <w:lang w:val="en-US"/>
        </w:rPr>
      </w:pPr>
      <w:r w:rsidRPr="00F86B9D">
        <w:rPr>
          <w:lang w:val="en-US"/>
        </w:rPr>
        <w:t>Oct. 4, 2006</w:t>
      </w:r>
    </w:p>
    <w:p w:rsidR="002F07D4" w:rsidRDefault="002F07D4" w:rsidP="002F07D4">
      <w:pPr>
        <w:pStyle w:val="NormalWeb"/>
        <w:jc w:val="both"/>
        <w:rPr>
          <w:color w:val="FF0000"/>
          <w:lang w:val="en-US"/>
        </w:rPr>
      </w:pPr>
      <w:r>
        <w:rPr>
          <w:color w:val="FF0000"/>
          <w:lang w:val="en-US"/>
        </w:rPr>
        <w:t>“</w:t>
      </w:r>
      <w:r w:rsidRPr="00F86687">
        <w:rPr>
          <w:color w:val="FF0000"/>
          <w:lang w:val="en-US"/>
        </w:rPr>
        <w:t>If current trends continue, the typical U.S. worker will be considerably more productive several decades from now. Thus, one might argue that letting future generations bear the burden of population aging is appropriate, as they will likely be richer than we are even t</w:t>
      </w:r>
      <w:r>
        <w:rPr>
          <w:color w:val="FF0000"/>
          <w:lang w:val="en-US"/>
        </w:rPr>
        <w:t>aking that burden into account”.</w:t>
      </w:r>
    </w:p>
    <w:p w:rsidR="002F07D4" w:rsidRPr="00F75516" w:rsidRDefault="002F07D4" w:rsidP="002F07D4">
      <w:pPr>
        <w:pStyle w:val="NormalWeb"/>
        <w:jc w:val="both"/>
        <w:rPr>
          <w:color w:val="FF0000"/>
          <w:lang w:val="en-US"/>
        </w:rPr>
      </w:pPr>
      <w:r w:rsidRPr="00F86B9D">
        <w:rPr>
          <w:lang w:val="en-US"/>
        </w:rPr>
        <w:t>March 28, 2007</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At this juncture, however, the impact on the broader economy and financial markets of the problems in the subprime market seems likely to be contained. In particular, mortgages to prime borrowers and fixed-rate mortgages to all classes of borrowers continue to perform well,</w:t>
      </w:r>
      <w:r>
        <w:rPr>
          <w:color w:val="FF0000"/>
          <w:lang w:val="en-US"/>
        </w:rPr>
        <w:t xml:space="preserve"> with low rates of delinquency”.</w:t>
      </w:r>
    </w:p>
    <w:p w:rsidR="002F07D4" w:rsidRPr="00F86B9D" w:rsidRDefault="002F07D4" w:rsidP="002F07D4">
      <w:pPr>
        <w:pStyle w:val="NormalWeb"/>
        <w:jc w:val="both"/>
        <w:rPr>
          <w:lang w:val="en-US"/>
        </w:rPr>
      </w:pPr>
      <w:r w:rsidRPr="00F86B9D">
        <w:rPr>
          <w:lang w:val="en-US"/>
        </w:rPr>
        <w:t>Feb. 15, 2007</w:t>
      </w:r>
    </w:p>
    <w:p w:rsidR="002F07D4" w:rsidRDefault="002F07D4" w:rsidP="002F07D4">
      <w:pPr>
        <w:pStyle w:val="NormalWeb"/>
        <w:jc w:val="both"/>
        <w:rPr>
          <w:color w:val="FF0000"/>
          <w:lang w:val="en-US"/>
        </w:rPr>
      </w:pPr>
      <w:r>
        <w:rPr>
          <w:color w:val="FF0000"/>
          <w:lang w:val="en-US"/>
        </w:rPr>
        <w:t>“</w:t>
      </w:r>
      <w:r w:rsidRPr="00F86687">
        <w:rPr>
          <w:color w:val="FF0000"/>
          <w:lang w:val="en-US"/>
        </w:rPr>
        <w:t>Despite the ongoing adjustments in the housing sector, overall economic prospects for households remain good. Household finances appear generally solid, and delinquency rates on most types of consumer loans and re</w:t>
      </w:r>
      <w:r>
        <w:rPr>
          <w:color w:val="FF0000"/>
          <w:lang w:val="en-US"/>
        </w:rPr>
        <w:t>sidential mortgages remain low”.</w:t>
      </w:r>
    </w:p>
    <w:p w:rsidR="002F07D4" w:rsidRPr="00F86B9D" w:rsidRDefault="002F07D4" w:rsidP="002F07D4">
      <w:pPr>
        <w:pStyle w:val="NormalWeb"/>
        <w:jc w:val="both"/>
        <w:rPr>
          <w:lang w:val="en-US"/>
        </w:rPr>
      </w:pPr>
      <w:r w:rsidRPr="00F86B9D">
        <w:rPr>
          <w:lang w:val="en-US"/>
        </w:rPr>
        <w:t>May 17, 2007</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 xml:space="preserve">All that said, given the fundamental factors in place that should support the demand for housing, we believe the effect of the troubles in the subprime sector on the broader housing market will likely be limited, and we do not expect significant spillovers from the subprime market to the rest of the economy or to the financial system.  The vast majority of mortgages, including even subprime mortgages, continue to perform well.  Past gains in house prices have left most homeowners with significant amounts of home </w:t>
      </w:r>
      <w:r w:rsidRPr="00F86687">
        <w:rPr>
          <w:color w:val="FF0000"/>
          <w:lang w:val="en-US"/>
        </w:rPr>
        <w:lastRenderedPageBreak/>
        <w:t>equity, and growth in jobs and incomes should help keep the financial obligations</w:t>
      </w:r>
      <w:r>
        <w:rPr>
          <w:color w:val="FF0000"/>
          <w:lang w:val="en-US"/>
        </w:rPr>
        <w:t xml:space="preserve"> of most households manageable”.</w:t>
      </w:r>
    </w:p>
    <w:p w:rsidR="002F07D4" w:rsidRPr="00F86B9D" w:rsidRDefault="002F07D4" w:rsidP="002F07D4">
      <w:pPr>
        <w:pStyle w:val="NormalWeb"/>
        <w:jc w:val="both"/>
        <w:rPr>
          <w:lang w:val="en-US"/>
        </w:rPr>
      </w:pPr>
      <w:r w:rsidRPr="00F86B9D">
        <w:rPr>
          <w:lang w:val="en-US"/>
        </w:rPr>
        <w:t>Oct. 31, 2007</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It is not the responsibility of the Federal Reserve</w:t>
      </w:r>
      <w:r>
        <w:rPr>
          <w:color w:val="FF0000"/>
          <w:lang w:val="en-US"/>
        </w:rPr>
        <w:t xml:space="preserve"> – nor would it be appropriate -</w:t>
      </w:r>
      <w:r w:rsidRPr="00F86687">
        <w:rPr>
          <w:color w:val="FF0000"/>
          <w:lang w:val="en-US"/>
        </w:rPr>
        <w:t xml:space="preserve"> to protect lenders and investors from the consequences of their financia</w:t>
      </w:r>
      <w:r>
        <w:rPr>
          <w:color w:val="FF0000"/>
          <w:lang w:val="en-US"/>
        </w:rPr>
        <w:t>l decisions”.</w:t>
      </w:r>
    </w:p>
    <w:p w:rsidR="002F07D4" w:rsidRPr="00F86B9D" w:rsidRDefault="002F07D4" w:rsidP="002F07D4">
      <w:pPr>
        <w:pStyle w:val="NormalWeb"/>
        <w:jc w:val="both"/>
        <w:rPr>
          <w:lang w:val="en-US"/>
        </w:rPr>
      </w:pPr>
      <w:r w:rsidRPr="00F86B9D">
        <w:rPr>
          <w:lang w:val="en-US"/>
        </w:rPr>
        <w:t>Jan. 10, 2008</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The Federal Reserve is not cur</w:t>
      </w:r>
      <w:r>
        <w:rPr>
          <w:color w:val="FF0000"/>
          <w:lang w:val="en-US"/>
        </w:rPr>
        <w:t>rently forecasting a recession”.</w:t>
      </w:r>
    </w:p>
    <w:p w:rsidR="002F07D4" w:rsidRPr="00F86B9D" w:rsidRDefault="002F07D4" w:rsidP="002F07D4">
      <w:pPr>
        <w:pStyle w:val="NormalWeb"/>
        <w:jc w:val="both"/>
        <w:rPr>
          <w:lang w:val="en-US"/>
        </w:rPr>
      </w:pPr>
      <w:r w:rsidRPr="00F86B9D">
        <w:rPr>
          <w:lang w:val="en-US"/>
        </w:rPr>
        <w:t>Jan. 18, 2008</w:t>
      </w:r>
    </w:p>
    <w:p w:rsidR="002F07D4" w:rsidRPr="00EB6DFB" w:rsidRDefault="002F07D4" w:rsidP="002F07D4">
      <w:pPr>
        <w:pStyle w:val="NormalWeb"/>
        <w:jc w:val="both"/>
        <w:rPr>
          <w:color w:val="FF0000"/>
          <w:lang w:val="en-US"/>
        </w:rPr>
      </w:pPr>
      <w:r w:rsidRPr="00EB6DFB">
        <w:rPr>
          <w:lang w:val="en-US"/>
        </w:rPr>
        <w:t xml:space="preserve">(Two months before Fannie Mae and Freddie Mac collapsed and were nationalized) </w:t>
      </w:r>
      <w:r>
        <w:rPr>
          <w:color w:val="FF0000"/>
          <w:lang w:val="en-US"/>
        </w:rPr>
        <w:t>“</w:t>
      </w:r>
      <w:r w:rsidRPr="00EB6DFB">
        <w:rPr>
          <w:color w:val="FF0000"/>
          <w:lang w:val="en-US"/>
        </w:rPr>
        <w:t xml:space="preserve">They </w:t>
      </w:r>
      <w:r>
        <w:rPr>
          <w:color w:val="FF0000"/>
          <w:lang w:val="en-US"/>
        </w:rPr>
        <w:t>will make it through the storm”.</w:t>
      </w:r>
    </w:p>
    <w:p w:rsidR="002F07D4" w:rsidRPr="00F86B9D" w:rsidRDefault="002F07D4" w:rsidP="002F07D4">
      <w:pPr>
        <w:pStyle w:val="NormalWeb"/>
        <w:jc w:val="both"/>
        <w:rPr>
          <w:lang w:val="en-US"/>
        </w:rPr>
      </w:pPr>
      <w:r w:rsidRPr="00F86B9D">
        <w:rPr>
          <w:lang w:val="en-US"/>
        </w:rPr>
        <w:t>Jan. 18, 2008</w:t>
      </w:r>
    </w:p>
    <w:p w:rsidR="002F07D4" w:rsidRPr="00F86687" w:rsidRDefault="002F07D4" w:rsidP="002F07D4">
      <w:pPr>
        <w:pStyle w:val="NormalWeb"/>
        <w:jc w:val="both"/>
        <w:rPr>
          <w:color w:val="FF0000"/>
          <w:lang w:val="en-US"/>
        </w:rPr>
      </w:pPr>
      <w:r>
        <w:rPr>
          <w:color w:val="FF0000"/>
          <w:lang w:val="en-US"/>
        </w:rPr>
        <w:t>“(The U.S. economy)</w:t>
      </w:r>
      <w:r w:rsidRPr="00F86687">
        <w:rPr>
          <w:color w:val="FF0000"/>
          <w:lang w:val="en-US"/>
        </w:rPr>
        <w:t xml:space="preserve"> has a strong labor force, excellent productivity and technology, and a deep and liquid financial market that is in t</w:t>
      </w:r>
      <w:r>
        <w:rPr>
          <w:color w:val="FF0000"/>
          <w:lang w:val="en-US"/>
        </w:rPr>
        <w:t>he process of repairing itself”.</w:t>
      </w:r>
    </w:p>
    <w:p w:rsidR="002F07D4" w:rsidRPr="00F86B9D" w:rsidRDefault="002F07D4" w:rsidP="002F07D4">
      <w:pPr>
        <w:pStyle w:val="NormalWeb"/>
        <w:jc w:val="both"/>
        <w:rPr>
          <w:lang w:val="en-US"/>
        </w:rPr>
      </w:pPr>
      <w:r w:rsidRPr="00F86B9D">
        <w:rPr>
          <w:lang w:val="en-US"/>
        </w:rPr>
        <w:t>June 3, 2009</w:t>
      </w:r>
    </w:p>
    <w:p w:rsidR="002F07D4" w:rsidRPr="00EB6DFB" w:rsidRDefault="002F07D4" w:rsidP="002F07D4">
      <w:pPr>
        <w:pStyle w:val="NormalWeb"/>
        <w:jc w:val="both"/>
        <w:rPr>
          <w:color w:val="FF0000"/>
          <w:lang w:val="en-US"/>
        </w:rPr>
      </w:pPr>
      <w:r w:rsidRPr="00F86B9D">
        <w:rPr>
          <w:lang w:val="en-US"/>
        </w:rPr>
        <w:t xml:space="preserve">(When asked directly during a congressional hearing if the Federal Reserve would monetize U.S. government debt) </w:t>
      </w:r>
      <w:r>
        <w:rPr>
          <w:color w:val="FF0000"/>
          <w:lang w:val="en-US"/>
        </w:rPr>
        <w:t>“</w:t>
      </w:r>
      <w:r w:rsidRPr="00EB6DFB">
        <w:rPr>
          <w:color w:val="FF0000"/>
          <w:lang w:val="en-US"/>
        </w:rPr>
        <w:t>The Federal Rese</w:t>
      </w:r>
      <w:r>
        <w:rPr>
          <w:color w:val="FF0000"/>
          <w:lang w:val="en-US"/>
        </w:rPr>
        <w:t>rve will not monetize the debt”.</w:t>
      </w:r>
    </w:p>
    <w:p w:rsidR="002F07D4" w:rsidRPr="00F86B9D" w:rsidRDefault="002F07D4" w:rsidP="002F07D4">
      <w:pPr>
        <w:pStyle w:val="NormalWeb"/>
        <w:jc w:val="both"/>
        <w:rPr>
          <w:lang w:val="en-US"/>
        </w:rPr>
      </w:pPr>
      <w:r w:rsidRPr="00F86B9D">
        <w:rPr>
          <w:lang w:val="en-US"/>
        </w:rPr>
        <w:t>June 9, 2008</w:t>
      </w:r>
    </w:p>
    <w:p w:rsidR="002F07D4" w:rsidRDefault="002F07D4" w:rsidP="002F07D4">
      <w:pPr>
        <w:pStyle w:val="NormalWeb"/>
        <w:jc w:val="both"/>
        <w:rPr>
          <w:color w:val="FF0000"/>
          <w:lang w:val="en-US"/>
        </w:rPr>
      </w:pPr>
      <w:r>
        <w:rPr>
          <w:color w:val="FF0000"/>
          <w:lang w:val="en-US"/>
        </w:rPr>
        <w:t>“</w:t>
      </w:r>
      <w:r w:rsidRPr="00F86687">
        <w:rPr>
          <w:color w:val="FF0000"/>
          <w:lang w:val="en-US"/>
        </w:rPr>
        <w:t>The risk that the economy has entered a substantial downturn appears to have diminished over the pa</w:t>
      </w:r>
      <w:r>
        <w:rPr>
          <w:color w:val="FF0000"/>
          <w:lang w:val="en-US"/>
        </w:rPr>
        <w:t>st month or so”.</w:t>
      </w:r>
    </w:p>
    <w:p w:rsidR="002F07D4" w:rsidRPr="00D56357" w:rsidRDefault="002F07D4" w:rsidP="002F07D4">
      <w:pPr>
        <w:pStyle w:val="NormalWeb"/>
        <w:jc w:val="both"/>
        <w:rPr>
          <w:lang w:val="en-US"/>
        </w:rPr>
      </w:pPr>
      <w:r w:rsidRPr="00D56357">
        <w:rPr>
          <w:lang w:val="en-US"/>
        </w:rPr>
        <w:t>July 20, 2008</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The GSEs are adequately capitalized. Th</w:t>
      </w:r>
      <w:r>
        <w:rPr>
          <w:color w:val="FF0000"/>
          <w:lang w:val="en-US"/>
        </w:rPr>
        <w:t>ey are in no danger of failing”.</w:t>
      </w:r>
    </w:p>
    <w:p w:rsidR="002F07D4" w:rsidRPr="00D56357" w:rsidRDefault="002F07D4" w:rsidP="002F07D4">
      <w:pPr>
        <w:pStyle w:val="NormalWeb"/>
        <w:jc w:val="both"/>
        <w:rPr>
          <w:lang w:val="en-US"/>
        </w:rPr>
      </w:pPr>
      <w:r w:rsidRPr="00D56357">
        <w:rPr>
          <w:lang w:val="en-US"/>
        </w:rPr>
        <w:t>Sept. 23, 2008</w:t>
      </w:r>
    </w:p>
    <w:p w:rsidR="002F07D4" w:rsidRDefault="002F07D4" w:rsidP="002F07D4">
      <w:pPr>
        <w:pStyle w:val="NormalWeb"/>
        <w:jc w:val="both"/>
        <w:rPr>
          <w:color w:val="FF0000"/>
          <w:lang w:val="en-US"/>
        </w:rPr>
      </w:pPr>
      <w:r>
        <w:rPr>
          <w:color w:val="FF0000"/>
          <w:lang w:val="en-US"/>
        </w:rPr>
        <w:t>“</w:t>
      </w:r>
      <w:r w:rsidRPr="00F86687">
        <w:rPr>
          <w:color w:val="FF0000"/>
          <w:lang w:val="en-US"/>
        </w:rPr>
        <w:t>My interest is solely for the strength an</w:t>
      </w:r>
      <w:r>
        <w:rPr>
          <w:color w:val="FF0000"/>
          <w:lang w:val="en-US"/>
        </w:rPr>
        <w:t>d recovery of the U.S. economy”.</w:t>
      </w:r>
    </w:p>
    <w:p w:rsidR="002F07D4" w:rsidRPr="00F86B9D" w:rsidRDefault="002F07D4" w:rsidP="002F07D4">
      <w:pPr>
        <w:pStyle w:val="NormalWeb"/>
        <w:jc w:val="both"/>
        <w:rPr>
          <w:lang w:val="en-US"/>
        </w:rPr>
      </w:pPr>
      <w:r w:rsidRPr="00F86B9D">
        <w:rPr>
          <w:lang w:val="en-US"/>
        </w:rPr>
        <w:t>Aug. 2, 2010</w:t>
      </w:r>
    </w:p>
    <w:p w:rsidR="002F07D4" w:rsidRDefault="002F07D4" w:rsidP="002F07D4">
      <w:pPr>
        <w:pStyle w:val="NormalWeb"/>
        <w:jc w:val="both"/>
        <w:rPr>
          <w:color w:val="FF0000"/>
          <w:lang w:val="en-US"/>
        </w:rPr>
      </w:pPr>
      <w:r>
        <w:rPr>
          <w:color w:val="FF0000"/>
          <w:lang w:val="en-US"/>
        </w:rPr>
        <w:t>“</w:t>
      </w:r>
      <w:r w:rsidRPr="00F86687">
        <w:rPr>
          <w:color w:val="FF0000"/>
          <w:lang w:val="en-US"/>
        </w:rPr>
        <w:t>The financial crisis appears to be mostly behind us, and the economy seems to have sta</w:t>
      </w:r>
      <w:r>
        <w:rPr>
          <w:color w:val="FF0000"/>
          <w:lang w:val="en-US"/>
        </w:rPr>
        <w:t>bilized and is expanding again”.</w:t>
      </w:r>
    </w:p>
    <w:p w:rsidR="002F07D4" w:rsidRPr="00F86B9D" w:rsidRDefault="002F07D4" w:rsidP="002F07D4">
      <w:pPr>
        <w:pStyle w:val="NormalWeb"/>
        <w:jc w:val="both"/>
        <w:rPr>
          <w:lang w:val="en-US"/>
        </w:rPr>
      </w:pPr>
      <w:r w:rsidRPr="00F86B9D">
        <w:rPr>
          <w:lang w:val="en-US"/>
        </w:rPr>
        <w:t>Oct. 15, 2010</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 xml:space="preserve">...inflation is running at rates that are too low relative to the levels that the Committee judges to be most consistent with the Federal Reserve's </w:t>
      </w:r>
      <w:r>
        <w:rPr>
          <w:color w:val="FF0000"/>
          <w:lang w:val="en-US"/>
        </w:rPr>
        <w:t>dual mandate in the longer run”.</w:t>
      </w:r>
    </w:p>
    <w:p w:rsidR="002F07D4" w:rsidRPr="00F86B9D" w:rsidRDefault="002F07D4" w:rsidP="002F07D4">
      <w:pPr>
        <w:pStyle w:val="NormalWeb"/>
        <w:jc w:val="both"/>
        <w:rPr>
          <w:lang w:val="en-US"/>
        </w:rPr>
      </w:pPr>
      <w:r w:rsidRPr="00F86B9D">
        <w:rPr>
          <w:lang w:val="en-US"/>
        </w:rPr>
        <w:lastRenderedPageBreak/>
        <w:t>Oct. 15, 2010</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Similarly, the ma</w:t>
      </w:r>
      <w:r>
        <w:rPr>
          <w:color w:val="FF0000"/>
          <w:lang w:val="en-US"/>
        </w:rPr>
        <w:t xml:space="preserve">ndate-consistent inflation rate </w:t>
      </w:r>
      <w:r w:rsidRPr="00F86687">
        <w:rPr>
          <w:color w:val="FF0000"/>
          <w:lang w:val="en-US"/>
        </w:rPr>
        <w:t xml:space="preserve">-the inflation rate that best promotes our dual objectives in </w:t>
      </w:r>
      <w:r>
        <w:rPr>
          <w:color w:val="FF0000"/>
          <w:lang w:val="en-US"/>
        </w:rPr>
        <w:t xml:space="preserve">the long run- </w:t>
      </w:r>
      <w:r w:rsidRPr="00F86687">
        <w:rPr>
          <w:color w:val="FF0000"/>
          <w:lang w:val="en-US"/>
        </w:rPr>
        <w:t>is not necessarily zero; indeed, Committee participants have generally judged that a modestly positive inflation rate over the longer run is most co</w:t>
      </w:r>
      <w:r>
        <w:rPr>
          <w:color w:val="FF0000"/>
          <w:lang w:val="en-US"/>
        </w:rPr>
        <w:t>nsistent with the dual mandate”.</w:t>
      </w:r>
    </w:p>
    <w:p w:rsidR="002F07D4" w:rsidRPr="00F86B9D" w:rsidRDefault="002F07D4" w:rsidP="002F07D4">
      <w:pPr>
        <w:pStyle w:val="NormalWeb"/>
        <w:jc w:val="both"/>
        <w:rPr>
          <w:lang w:val="en-US"/>
        </w:rPr>
      </w:pPr>
      <w:r w:rsidRPr="00F86B9D">
        <w:rPr>
          <w:lang w:val="en-US"/>
        </w:rPr>
        <w:t>Nov. 5, 2010</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 xml:space="preserve">Although low inflation is generally good, inflation that is too low can pose risks to the economy - especially </w:t>
      </w:r>
      <w:r>
        <w:rPr>
          <w:color w:val="FF0000"/>
          <w:lang w:val="en-US"/>
        </w:rPr>
        <w:t>when the economy is struggling”.</w:t>
      </w:r>
    </w:p>
    <w:p w:rsidR="002F07D4" w:rsidRPr="00F86B9D" w:rsidRDefault="002F07D4" w:rsidP="002F07D4">
      <w:pPr>
        <w:pStyle w:val="NormalWeb"/>
        <w:jc w:val="both"/>
        <w:rPr>
          <w:lang w:val="en-US"/>
        </w:rPr>
      </w:pPr>
      <w:r w:rsidRPr="00F86B9D">
        <w:rPr>
          <w:lang w:val="en-US"/>
        </w:rPr>
        <w:t>Dec. 5, 2010</w:t>
      </w:r>
    </w:p>
    <w:p w:rsidR="002F07D4" w:rsidRPr="00F86687" w:rsidRDefault="002F07D4" w:rsidP="002F07D4">
      <w:pPr>
        <w:pStyle w:val="NormalWeb"/>
        <w:jc w:val="both"/>
        <w:rPr>
          <w:color w:val="FF0000"/>
          <w:lang w:val="en-US"/>
        </w:rPr>
      </w:pPr>
      <w:r w:rsidRPr="00EB6DFB">
        <w:rPr>
          <w:lang w:val="en-US"/>
        </w:rPr>
        <w:t xml:space="preserve">(On 60 Minutes in response to a question about what would have happened </w:t>
      </w:r>
      <w:r>
        <w:rPr>
          <w:lang w:val="en-US"/>
        </w:rPr>
        <w:t>if the Federal Reserve had not “bailed out”</w:t>
      </w:r>
      <w:r w:rsidRPr="00EB6DFB">
        <w:rPr>
          <w:lang w:val="en-US"/>
        </w:rPr>
        <w:t xml:space="preserve"> the U.S. economy)</w:t>
      </w:r>
      <w:r>
        <w:rPr>
          <w:color w:val="FF0000"/>
          <w:lang w:val="en-US"/>
        </w:rPr>
        <w:t xml:space="preserve"> “</w:t>
      </w:r>
      <w:r w:rsidRPr="00F86687">
        <w:rPr>
          <w:color w:val="FF0000"/>
          <w:lang w:val="en-US"/>
        </w:rPr>
        <w:t>Unemployment would be much, much higher. It might be something like it was in the D</w:t>
      </w:r>
      <w:r>
        <w:rPr>
          <w:color w:val="FF0000"/>
          <w:lang w:val="en-US"/>
        </w:rPr>
        <w:t>epression. Twenty-five percent”.</w:t>
      </w:r>
    </w:p>
    <w:p w:rsidR="002F07D4" w:rsidRPr="00F86B9D" w:rsidRDefault="002F07D4" w:rsidP="002F07D4">
      <w:pPr>
        <w:pStyle w:val="NormalWeb"/>
        <w:jc w:val="both"/>
        <w:rPr>
          <w:lang w:val="en-US"/>
        </w:rPr>
      </w:pPr>
      <w:r w:rsidRPr="00F86B9D">
        <w:rPr>
          <w:lang w:val="en-US"/>
        </w:rPr>
        <w:t>Dec. 5, 2010</w:t>
      </w:r>
    </w:p>
    <w:p w:rsidR="002F07D4" w:rsidRDefault="002F07D4" w:rsidP="002F07D4">
      <w:pPr>
        <w:pStyle w:val="NormalWeb"/>
        <w:jc w:val="both"/>
        <w:rPr>
          <w:color w:val="FF0000"/>
          <w:lang w:val="en-US"/>
        </w:rPr>
      </w:pPr>
      <w:r>
        <w:rPr>
          <w:color w:val="FF0000"/>
          <w:lang w:val="en-US"/>
        </w:rPr>
        <w:t>“</w:t>
      </w:r>
      <w:r w:rsidRPr="00F86687">
        <w:rPr>
          <w:color w:val="FF0000"/>
          <w:lang w:val="en-US"/>
        </w:rPr>
        <w:t>One myth that’s out there is that what we’re doing is printing m</w:t>
      </w:r>
      <w:r>
        <w:rPr>
          <w:color w:val="FF0000"/>
          <w:lang w:val="en-US"/>
        </w:rPr>
        <w:t>oney. We’re not printing money”.</w:t>
      </w:r>
    </w:p>
    <w:p w:rsidR="002F07D4" w:rsidRPr="00F86B9D" w:rsidRDefault="002F07D4" w:rsidP="002F07D4">
      <w:pPr>
        <w:pStyle w:val="NormalWeb"/>
        <w:jc w:val="both"/>
        <w:rPr>
          <w:lang w:val="en-US"/>
        </w:rPr>
      </w:pPr>
      <w:r w:rsidRPr="00F86B9D">
        <w:rPr>
          <w:lang w:val="en-US"/>
        </w:rPr>
        <w:t>Dec. 5, 2010</w:t>
      </w:r>
    </w:p>
    <w:p w:rsidR="002F07D4" w:rsidRDefault="002F07D4" w:rsidP="002F07D4">
      <w:pPr>
        <w:pStyle w:val="NormalWeb"/>
        <w:jc w:val="both"/>
        <w:rPr>
          <w:color w:val="FF0000"/>
          <w:lang w:val="en-US"/>
        </w:rPr>
      </w:pPr>
      <w:r>
        <w:rPr>
          <w:color w:val="FF0000"/>
          <w:lang w:val="en-US"/>
        </w:rPr>
        <w:t>“</w:t>
      </w:r>
      <w:r w:rsidRPr="00F86687">
        <w:rPr>
          <w:color w:val="FF0000"/>
          <w:lang w:val="en-US"/>
        </w:rPr>
        <w:t>The money supply is not changing in any significant way. What we’re doing is lowering interest rates</w:t>
      </w:r>
      <w:r>
        <w:rPr>
          <w:color w:val="FF0000"/>
          <w:lang w:val="en-US"/>
        </w:rPr>
        <w:t xml:space="preserve"> by buying Treasury securities”.</w:t>
      </w:r>
    </w:p>
    <w:p w:rsidR="002F07D4" w:rsidRPr="00F86B9D" w:rsidRDefault="002F07D4" w:rsidP="002F07D4">
      <w:pPr>
        <w:pStyle w:val="NormalWeb"/>
        <w:jc w:val="both"/>
        <w:rPr>
          <w:lang w:val="en-US"/>
        </w:rPr>
      </w:pPr>
      <w:r w:rsidRPr="00F86B9D">
        <w:rPr>
          <w:lang w:val="en-US"/>
        </w:rPr>
        <w:t>Dec. 5, 2010</w:t>
      </w:r>
    </w:p>
    <w:p w:rsidR="002F07D4" w:rsidRPr="00F86687" w:rsidRDefault="002F07D4" w:rsidP="002F07D4">
      <w:pPr>
        <w:pStyle w:val="NormalWeb"/>
        <w:jc w:val="both"/>
        <w:rPr>
          <w:color w:val="FF0000"/>
          <w:lang w:val="en-US"/>
        </w:rPr>
      </w:pPr>
      <w:r w:rsidRPr="00EB6DFB">
        <w:rPr>
          <w:lang w:val="en-US"/>
        </w:rPr>
        <w:t>(On the possibility that the Fed might launch QE3)</w:t>
      </w:r>
      <w:r>
        <w:rPr>
          <w:color w:val="FF0000"/>
          <w:lang w:val="en-US"/>
        </w:rPr>
        <w:t xml:space="preserve"> “</w:t>
      </w:r>
      <w:r w:rsidRPr="00F86687">
        <w:rPr>
          <w:color w:val="FF0000"/>
          <w:lang w:val="en-US"/>
        </w:rPr>
        <w:t>Oh, it's certainly possible. And again, it depends on the efficacy of the program. It depends on inflation. And finally it de</w:t>
      </w:r>
      <w:r>
        <w:rPr>
          <w:color w:val="FF0000"/>
          <w:lang w:val="en-US"/>
        </w:rPr>
        <w:t>pends on how the economy looks”.</w:t>
      </w:r>
    </w:p>
    <w:p w:rsidR="002F07D4" w:rsidRPr="00F86B9D" w:rsidRDefault="002F07D4" w:rsidP="002F07D4">
      <w:pPr>
        <w:pStyle w:val="NormalWeb"/>
        <w:jc w:val="both"/>
        <w:rPr>
          <w:lang w:val="en-US"/>
        </w:rPr>
      </w:pPr>
      <w:r w:rsidRPr="00F86B9D">
        <w:rPr>
          <w:lang w:val="en-US"/>
        </w:rPr>
        <w:t>Dec. 5, 2010</w:t>
      </w:r>
    </w:p>
    <w:p w:rsidR="002F07D4" w:rsidRDefault="002F07D4" w:rsidP="002F07D4">
      <w:pPr>
        <w:pStyle w:val="NormalWeb"/>
        <w:jc w:val="both"/>
        <w:rPr>
          <w:color w:val="FF0000"/>
          <w:lang w:val="en-US"/>
        </w:rPr>
      </w:pPr>
      <w:r>
        <w:rPr>
          <w:color w:val="FF0000"/>
          <w:lang w:val="en-US"/>
        </w:rPr>
        <w:t>“</w:t>
      </w:r>
      <w:r w:rsidRPr="00F86687">
        <w:rPr>
          <w:color w:val="FF0000"/>
          <w:lang w:val="en-US"/>
        </w:rPr>
        <w:t>I wish I'd been omnisci</w:t>
      </w:r>
      <w:r>
        <w:rPr>
          <w:color w:val="FF0000"/>
          <w:lang w:val="en-US"/>
        </w:rPr>
        <w:t>ent and seen the crisis coming”.</w:t>
      </w:r>
    </w:p>
    <w:p w:rsidR="002F07D4" w:rsidRPr="00AB0D54" w:rsidRDefault="002F07D4" w:rsidP="002F07D4">
      <w:pPr>
        <w:pStyle w:val="NormalWeb"/>
        <w:jc w:val="both"/>
        <w:rPr>
          <w:color w:val="FF0000"/>
          <w:lang w:val="en-US"/>
        </w:rPr>
      </w:pPr>
      <w:r w:rsidRPr="00F86B9D">
        <w:rPr>
          <w:lang w:val="en-US"/>
        </w:rPr>
        <w:t>Dec. 5, 2010</w:t>
      </w:r>
    </w:p>
    <w:p w:rsidR="002F07D4" w:rsidRPr="00F86687" w:rsidRDefault="002F07D4" w:rsidP="002F07D4">
      <w:pPr>
        <w:pStyle w:val="NormalWeb"/>
        <w:jc w:val="both"/>
        <w:rPr>
          <w:color w:val="FF0000"/>
          <w:lang w:val="en-US"/>
        </w:rPr>
      </w:pPr>
      <w:r>
        <w:rPr>
          <w:color w:val="FF0000"/>
          <w:lang w:val="en-US"/>
        </w:rPr>
        <w:t>“</w:t>
      </w:r>
      <w:r w:rsidRPr="00F86687">
        <w:rPr>
          <w:color w:val="FF0000"/>
          <w:lang w:val="en-US"/>
        </w:rPr>
        <w:t>We’ve been very, very clear that we will not allow inf</w:t>
      </w:r>
      <w:r>
        <w:rPr>
          <w:color w:val="FF0000"/>
          <w:lang w:val="en-US"/>
        </w:rPr>
        <w:t>lation to rise above 2 percent”.</w:t>
      </w:r>
    </w:p>
    <w:p w:rsidR="002F07D4" w:rsidRPr="00F86687" w:rsidRDefault="002F07D4" w:rsidP="002F07D4">
      <w:pPr>
        <w:pStyle w:val="NormalWeb"/>
        <w:jc w:val="both"/>
        <w:rPr>
          <w:color w:val="FF0000"/>
          <w:lang w:val="en-US"/>
        </w:rPr>
      </w:pPr>
      <w:r>
        <w:rPr>
          <w:color w:val="FF0000"/>
          <w:lang w:val="en-US"/>
        </w:rPr>
        <w:t>Bonus: “</w:t>
      </w:r>
      <w:r w:rsidRPr="00F86687">
        <w:rPr>
          <w:color w:val="FF0000"/>
          <w:lang w:val="en-US"/>
        </w:rPr>
        <w:t>I don't fully underst</w:t>
      </w:r>
      <w:r>
        <w:rPr>
          <w:color w:val="FF0000"/>
          <w:lang w:val="en-US"/>
        </w:rPr>
        <w:t>and movements in the gold price”.</w:t>
      </w:r>
    </w:p>
    <w:p w:rsidR="002F07D4" w:rsidRDefault="002F07D4" w:rsidP="002F07D4">
      <w:pPr>
        <w:shd w:val="clear" w:color="auto" w:fill="EBF1F6"/>
        <w:spacing w:line="240" w:lineRule="auto"/>
        <w:rPr>
          <w:rFonts w:ascii="Arial" w:hAnsi="Arial" w:cs="Arial"/>
          <w:color w:val="222222"/>
          <w:sz w:val="19"/>
          <w:szCs w:val="19"/>
          <w:lang/>
        </w:rPr>
      </w:pPr>
      <w:r>
        <w:rPr>
          <w:rFonts w:ascii="Arial" w:hAnsi="Arial" w:cs="Arial"/>
          <w:noProof/>
          <w:color w:val="222222"/>
          <w:sz w:val="19"/>
          <w:szCs w:val="19"/>
          <w:lang w:val="en-GB" w:eastAsia="en-GB"/>
        </w:rPr>
        <w:lastRenderedPageBreak/>
        <w:drawing>
          <wp:inline distT="0" distB="0" distL="0" distR="0">
            <wp:extent cx="5200650" cy="2711450"/>
            <wp:effectExtent l="0" t="0" r="0" b="0"/>
            <wp:docPr id="352" name="Imagen 352" descr="Bonus: &quot;I don't fully understand movements in the gold pric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descr="Bonus: &quot;I don't fully understand movements in the gold price&quot;"/>
                    <pic:cNvPicPr>
                      <a:picLocks noChangeAspect="1" noChangeArrowheads="1"/>
                    </pic:cNvPicPr>
                  </pic:nvPicPr>
                  <pic:blipFill>
                    <a:blip r:embed="rId2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00650" cy="2711450"/>
                    </a:xfrm>
                    <a:prstGeom prst="rect">
                      <a:avLst/>
                    </a:prstGeom>
                    <a:noFill/>
                    <a:ln>
                      <a:noFill/>
                    </a:ln>
                  </pic:spPr>
                </pic:pic>
              </a:graphicData>
            </a:graphic>
          </wp:inline>
        </w:drawing>
      </w:r>
    </w:p>
    <w:p w:rsidR="002F07D4" w:rsidRDefault="002F07D4" w:rsidP="002F07D4">
      <w:pPr>
        <w:shd w:val="clear" w:color="auto" w:fill="EBF1F6"/>
        <w:spacing w:line="240" w:lineRule="auto"/>
        <w:rPr>
          <w:rFonts w:ascii="Times New Roman" w:hAnsi="Times New Roman"/>
          <w:sz w:val="24"/>
          <w:szCs w:val="24"/>
          <w:lang w:val="en-US"/>
        </w:rPr>
      </w:pPr>
      <w:r w:rsidRPr="00EB6DFB">
        <w:rPr>
          <w:rFonts w:ascii="Times New Roman" w:hAnsi="Times New Roman"/>
          <w:sz w:val="24"/>
          <w:szCs w:val="24"/>
          <w:lang w:val="en-US"/>
        </w:rPr>
        <w:t>Dear Bernanke, Here's Your Guide To What's Really Making Gold Explode</w:t>
      </w:r>
      <w:r>
        <w:rPr>
          <w:rFonts w:ascii="Times New Roman" w:hAnsi="Times New Roman"/>
          <w:sz w:val="24"/>
          <w:szCs w:val="24"/>
          <w:lang w:val="en-US"/>
        </w:rPr>
        <w:t>…</w:t>
      </w:r>
    </w:p>
    <w:p w:rsidR="002F07D4" w:rsidRDefault="002F07D4" w:rsidP="002F07D4">
      <w:pPr>
        <w:spacing w:after="0"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Cinco años tarde Berniealerta sobre la banca en la sombra</w:t>
      </w:r>
      <w:r w:rsidRPr="000D68EE">
        <w:rPr>
          <w:rFonts w:ascii="Times New Roman" w:eastAsia="Times New Roman" w:hAnsi="Times New Roman"/>
          <w:b/>
          <w:sz w:val="24"/>
          <w:szCs w:val="24"/>
          <w:lang w:eastAsia="es-ES"/>
        </w:rPr>
        <w:t>: otro falso “Maestro”</w:t>
      </w:r>
    </w:p>
    <w:p w:rsidR="002F07D4" w:rsidRPr="000D68EE" w:rsidRDefault="002F07D4" w:rsidP="002F07D4">
      <w:pPr>
        <w:spacing w:after="0" w:line="240" w:lineRule="auto"/>
        <w:jc w:val="both"/>
        <w:rPr>
          <w:rFonts w:ascii="Times New Roman" w:eastAsia="Times New Roman" w:hAnsi="Times New Roman"/>
          <w:b/>
          <w:sz w:val="24"/>
          <w:szCs w:val="24"/>
          <w:lang w:eastAsia="es-ES"/>
        </w:rPr>
      </w:pPr>
    </w:p>
    <w:p w:rsidR="002F07D4"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0D68EE">
        <w:rPr>
          <w:rFonts w:ascii="Times New Roman" w:hAnsi="Times New Roman"/>
          <w:i/>
          <w:sz w:val="24"/>
          <w:szCs w:val="24"/>
        </w:rPr>
        <w:t>El presidente de la Reserva Federal de Estados Unidos, Ben Bernanke, ha pedido más regulación y ha alertado hoy sobre el peligro que suponen para la banca tradicional las operaciones financieras de riesgo en la sombra</w:t>
      </w:r>
      <w:r>
        <w:rPr>
          <w:rFonts w:ascii="Times New Roman" w:hAnsi="Times New Roman"/>
          <w:i/>
          <w:sz w:val="24"/>
          <w:szCs w:val="24"/>
        </w:rPr>
        <w:t>”..</w:t>
      </w:r>
      <w:r w:rsidRPr="000D68EE">
        <w:rPr>
          <w:rFonts w:ascii="Times New Roman" w:hAnsi="Times New Roman"/>
          <w:i/>
          <w:sz w:val="24"/>
          <w:szCs w:val="24"/>
        </w:rPr>
        <w:t>.</w:t>
      </w:r>
      <w:r w:rsidRPr="00D524DF">
        <w:rPr>
          <w:rFonts w:ascii="Times New Roman" w:hAnsi="Times New Roman"/>
          <w:sz w:val="24"/>
          <w:szCs w:val="24"/>
          <w:u w:val="single"/>
        </w:rPr>
        <w:t>Bernanke alerta de los peligros de las instituciones financieras en la sombra</w:t>
      </w:r>
      <w:r>
        <w:rPr>
          <w:rFonts w:ascii="Times New Roman" w:hAnsi="Times New Roman"/>
          <w:sz w:val="24"/>
          <w:szCs w:val="24"/>
        </w:rPr>
        <w:t xml:space="preserve"> (Expansión - </w:t>
      </w:r>
      <w:r w:rsidRPr="00D524DF">
        <w:rPr>
          <w:rFonts w:ascii="Times New Roman" w:hAnsi="Times New Roman"/>
          <w:b/>
          <w:sz w:val="24"/>
          <w:szCs w:val="24"/>
        </w:rPr>
        <w:t>10/4/12</w:t>
      </w:r>
      <w:r>
        <w:rPr>
          <w:rFonts w:ascii="Times New Roman" w:hAnsi="Times New Roman"/>
          <w:sz w:val="24"/>
          <w:szCs w:val="24"/>
        </w:rPr>
        <w:t>)</w:t>
      </w:r>
    </w:p>
    <w:p w:rsidR="002F07D4" w:rsidRPr="00A40923" w:rsidRDefault="002F07D4" w:rsidP="002F07D4">
      <w:pPr>
        <w:spacing w:line="240" w:lineRule="auto"/>
        <w:jc w:val="both"/>
        <w:rPr>
          <w:rFonts w:ascii="Times New Roman" w:hAnsi="Times New Roman"/>
          <w:color w:val="FF0000"/>
          <w:sz w:val="24"/>
          <w:szCs w:val="24"/>
          <w:u w:val="single"/>
        </w:rPr>
      </w:pPr>
      <w:r w:rsidRPr="00A40923">
        <w:rPr>
          <w:rFonts w:ascii="Times New Roman" w:hAnsi="Times New Roman"/>
          <w:color w:val="FF0000"/>
          <w:sz w:val="24"/>
          <w:szCs w:val="24"/>
          <w:u w:val="single"/>
        </w:rPr>
        <w:t>En un discurso en la Reserva Federal de Atlanta (estado de Georgia), Bernanke ha pedido que “tanto reguladores como el sector privado comiencen a tomar acciones para prevenir futuros pánicos y otros trastornos en la banca en la sombra”, en referencia a instituciones financieras que operan a los márgenes del sistema con activos de alto riesgo.</w:t>
      </w:r>
    </w:p>
    <w:p w:rsidR="002F07D4" w:rsidRPr="009A2485" w:rsidRDefault="002F07D4" w:rsidP="002F07D4">
      <w:pPr>
        <w:spacing w:line="240" w:lineRule="auto"/>
        <w:jc w:val="both"/>
        <w:rPr>
          <w:rFonts w:ascii="Times New Roman" w:hAnsi="Times New Roman"/>
          <w:sz w:val="24"/>
          <w:szCs w:val="24"/>
        </w:rPr>
      </w:pPr>
      <w:r w:rsidRPr="00A40923">
        <w:rPr>
          <w:rFonts w:ascii="Times New Roman" w:hAnsi="Times New Roman"/>
          <w:color w:val="FF0000"/>
          <w:sz w:val="24"/>
          <w:szCs w:val="24"/>
          <w:u w:val="single"/>
        </w:rPr>
        <w:t>“Pánicos y otras crisis en la banca en la sombra pueden extenderse y contagiar a la banca tradicional”</w:t>
      </w:r>
      <w:r w:rsidRPr="009A2485">
        <w:rPr>
          <w:rFonts w:ascii="Times New Roman" w:hAnsi="Times New Roman"/>
          <w:sz w:val="24"/>
          <w:szCs w:val="24"/>
        </w:rPr>
        <w:t>, ha indicado Bernanke, que ha insistido en la necesidad de que se exploren vías para reducir los riesgos que aún persisten en el sistema financiero.</w:t>
      </w:r>
    </w:p>
    <w:p w:rsidR="002F07D4" w:rsidRPr="00A40923" w:rsidRDefault="002F07D4" w:rsidP="002F07D4">
      <w:pPr>
        <w:spacing w:line="240" w:lineRule="auto"/>
        <w:jc w:val="both"/>
        <w:rPr>
          <w:rFonts w:ascii="Times New Roman" w:hAnsi="Times New Roman"/>
          <w:color w:val="FF0000"/>
          <w:sz w:val="24"/>
          <w:szCs w:val="24"/>
          <w:u w:val="single"/>
        </w:rPr>
      </w:pPr>
      <w:r w:rsidRPr="009A2485">
        <w:rPr>
          <w:rFonts w:ascii="Times New Roman" w:hAnsi="Times New Roman"/>
          <w:sz w:val="24"/>
          <w:szCs w:val="24"/>
        </w:rPr>
        <w:t xml:space="preserve">El jefe de la política monetaria estadounidense </w:t>
      </w:r>
      <w:r w:rsidRPr="00A40923">
        <w:rPr>
          <w:rFonts w:ascii="Times New Roman" w:hAnsi="Times New Roman"/>
          <w:color w:val="FF0000"/>
          <w:sz w:val="24"/>
          <w:szCs w:val="24"/>
          <w:u w:val="single"/>
        </w:rPr>
        <w:t>ha reconocido que se han realizado progresos, pero que es necesario que se fortalezca la supervisión en el sistema financiero, como en el caso de los fondos monetarios, que invierten a corto plazo en activos gubernamentales.</w:t>
      </w:r>
    </w:p>
    <w:p w:rsidR="002F07D4" w:rsidRPr="009A2485" w:rsidRDefault="002F07D4" w:rsidP="002F07D4">
      <w:pPr>
        <w:spacing w:line="240" w:lineRule="auto"/>
        <w:jc w:val="both"/>
        <w:rPr>
          <w:rFonts w:ascii="Times New Roman" w:hAnsi="Times New Roman"/>
          <w:sz w:val="24"/>
          <w:szCs w:val="24"/>
        </w:rPr>
      </w:pPr>
      <w:r w:rsidRPr="00A40923">
        <w:rPr>
          <w:rFonts w:ascii="Times New Roman" w:hAnsi="Times New Roman"/>
          <w:color w:val="FF0000"/>
          <w:sz w:val="24"/>
          <w:szCs w:val="24"/>
          <w:u w:val="single"/>
        </w:rPr>
        <w:t>“Son necesarios pasos adicionales para aumentar la resistencia de los fondos monetarios, que son importantes para la estabilidad a nivel general del sistema financiero”,</w:t>
      </w:r>
      <w:r w:rsidRPr="009A2485">
        <w:rPr>
          <w:rFonts w:ascii="Times New Roman" w:hAnsi="Times New Roman"/>
          <w:sz w:val="24"/>
          <w:szCs w:val="24"/>
        </w:rPr>
        <w:t xml:space="preserve"> ha indicado Bernanke en su discurso.</w:t>
      </w:r>
    </w:p>
    <w:p w:rsidR="002F07D4" w:rsidRPr="009A2485" w:rsidRDefault="002F07D4" w:rsidP="002F07D4">
      <w:pPr>
        <w:spacing w:line="240" w:lineRule="auto"/>
        <w:jc w:val="both"/>
        <w:rPr>
          <w:rFonts w:ascii="Times New Roman" w:hAnsi="Times New Roman"/>
          <w:sz w:val="24"/>
          <w:szCs w:val="24"/>
        </w:rPr>
      </w:pPr>
      <w:r w:rsidRPr="00A40923">
        <w:rPr>
          <w:rFonts w:ascii="Times New Roman" w:hAnsi="Times New Roman"/>
          <w:color w:val="FF0000"/>
          <w:sz w:val="24"/>
          <w:szCs w:val="24"/>
          <w:u w:val="single"/>
        </w:rPr>
        <w:t>“Una de las más importante lecciones aprendidas en la crisis financiera es que el aumento</w:t>
      </w:r>
      <w:r>
        <w:rPr>
          <w:rFonts w:ascii="Times New Roman" w:hAnsi="Times New Roman"/>
          <w:color w:val="FF0000"/>
          <w:sz w:val="24"/>
          <w:szCs w:val="24"/>
          <w:u w:val="single"/>
        </w:rPr>
        <w:t xml:space="preserve"> de lo que se ha dado a llamar “banca en la sombra”</w:t>
      </w:r>
      <w:r w:rsidRPr="00A40923">
        <w:rPr>
          <w:rFonts w:ascii="Times New Roman" w:hAnsi="Times New Roman"/>
          <w:color w:val="FF0000"/>
          <w:sz w:val="24"/>
          <w:szCs w:val="24"/>
          <w:u w:val="single"/>
        </w:rPr>
        <w:t xml:space="preserve"> crea canales potenciales de propagación de shocks a través de todo el sistema financiero y la economía”,</w:t>
      </w:r>
      <w:r w:rsidRPr="009A2485">
        <w:rPr>
          <w:rFonts w:ascii="Times New Roman" w:hAnsi="Times New Roman"/>
          <w:sz w:val="24"/>
          <w:szCs w:val="24"/>
        </w:rPr>
        <w:t xml:space="preserve"> ha advertido Bernanke.</w:t>
      </w:r>
    </w:p>
    <w:p w:rsidR="002F07D4" w:rsidRPr="009A2485" w:rsidRDefault="002F07D4" w:rsidP="002F07D4">
      <w:pPr>
        <w:spacing w:line="240" w:lineRule="auto"/>
        <w:jc w:val="both"/>
        <w:rPr>
          <w:rFonts w:ascii="Times New Roman" w:hAnsi="Times New Roman"/>
          <w:sz w:val="24"/>
          <w:szCs w:val="24"/>
        </w:rPr>
      </w:pPr>
      <w:r w:rsidRPr="00A40923">
        <w:rPr>
          <w:rFonts w:ascii="Times New Roman" w:hAnsi="Times New Roman"/>
          <w:color w:val="FF0000"/>
          <w:sz w:val="24"/>
          <w:szCs w:val="24"/>
          <w:u w:val="single"/>
        </w:rPr>
        <w:t xml:space="preserve">“El alto coste económico y el lastre humano de una crisis subraya la importancia de tomar todas las medidas necesarias para evitar que se repitan los eventos del </w:t>
      </w:r>
      <w:r w:rsidRPr="00A40923">
        <w:rPr>
          <w:rFonts w:ascii="Times New Roman" w:hAnsi="Times New Roman"/>
          <w:color w:val="FF0000"/>
          <w:sz w:val="24"/>
          <w:szCs w:val="24"/>
          <w:u w:val="single"/>
        </w:rPr>
        <w:lastRenderedPageBreak/>
        <w:t>pasado”,</w:t>
      </w:r>
      <w:r w:rsidRPr="009A2485">
        <w:rPr>
          <w:rFonts w:ascii="Times New Roman" w:hAnsi="Times New Roman"/>
          <w:sz w:val="24"/>
          <w:szCs w:val="24"/>
        </w:rPr>
        <w:t>indicó Bernanke en referencia al crack de 2008 que desató la quiebra de Lehman Brothers y la sobrevaloración de activos respaldados por hipotecas basura.</w:t>
      </w:r>
    </w:p>
    <w:p w:rsidR="002F07D4" w:rsidRPr="00D83EE7"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9A2485">
        <w:rPr>
          <w:rFonts w:ascii="Times New Roman" w:hAnsi="Times New Roman"/>
          <w:i/>
          <w:sz w:val="24"/>
          <w:szCs w:val="24"/>
        </w:rPr>
        <w:t>Sería necesaria mayor regulación para proteger el sector de fondos mutuos y los mercados de dinero, dijo el presidente de la Reserva Federal estadounidense, Ben Bernanke, en un discurso pronunciado el lunes por la noche, respaldando así a otros altos funcionarios que quieren endurecer la supervisión de un sector que mueve alrededor de US$2,7 billones</w:t>
      </w:r>
      <w:r>
        <w:rPr>
          <w:rFonts w:ascii="Times New Roman" w:hAnsi="Times New Roman"/>
          <w:i/>
          <w:sz w:val="24"/>
          <w:szCs w:val="24"/>
        </w:rPr>
        <w:t>”..</w:t>
      </w:r>
      <w:r w:rsidRPr="009A2485">
        <w:rPr>
          <w:rFonts w:ascii="Times New Roman" w:hAnsi="Times New Roman"/>
          <w:i/>
          <w:sz w:val="24"/>
          <w:szCs w:val="24"/>
        </w:rPr>
        <w:t xml:space="preserve">. </w:t>
      </w:r>
      <w:r w:rsidRPr="00D83EE7">
        <w:rPr>
          <w:rFonts w:ascii="Times New Roman" w:hAnsi="Times New Roman"/>
          <w:sz w:val="24"/>
          <w:szCs w:val="24"/>
          <w:u w:val="single"/>
        </w:rPr>
        <w:t>La Fed respalda una mayor supervisión a los fondos mutuos</w:t>
      </w:r>
      <w:r>
        <w:rPr>
          <w:rFonts w:ascii="Times New Roman" w:hAnsi="Times New Roman"/>
          <w:sz w:val="24"/>
          <w:szCs w:val="24"/>
        </w:rPr>
        <w:t xml:space="preserve"> (The Wall Street Journal - </w:t>
      </w:r>
      <w:r w:rsidRPr="00D83EE7">
        <w:rPr>
          <w:rFonts w:ascii="Times New Roman" w:hAnsi="Times New Roman"/>
          <w:b/>
          <w:sz w:val="24"/>
          <w:szCs w:val="24"/>
        </w:rPr>
        <w:t>10/4/12</w:t>
      </w:r>
      <w:r>
        <w:rPr>
          <w:rFonts w:ascii="Times New Roman" w:hAnsi="Times New Roman"/>
          <w:sz w:val="24"/>
          <w:szCs w:val="24"/>
        </w:rPr>
        <w:t>)</w:t>
      </w:r>
    </w:p>
    <w:p w:rsidR="002F07D4" w:rsidRPr="00A40923" w:rsidRDefault="002F07D4" w:rsidP="002F07D4">
      <w:pPr>
        <w:spacing w:line="240" w:lineRule="auto"/>
        <w:jc w:val="both"/>
        <w:rPr>
          <w:rFonts w:ascii="Times New Roman" w:hAnsi="Times New Roman"/>
          <w:color w:val="FF0000"/>
          <w:sz w:val="24"/>
          <w:szCs w:val="24"/>
          <w:u w:val="single"/>
        </w:rPr>
      </w:pPr>
      <w:r w:rsidRPr="00A40923">
        <w:rPr>
          <w:rFonts w:ascii="Times New Roman" w:hAnsi="Times New Roman"/>
          <w:color w:val="FF0000"/>
          <w:sz w:val="24"/>
          <w:szCs w:val="24"/>
          <w:u w:val="single"/>
        </w:rPr>
        <w:t xml:space="preserve">En una intervención principalmente enfocada en el llamado sistema financiero “en las sombras”, Bernanke enfatizó la necesidad de establecer regulaciones que protejan al sistema en su conjunto de los riesgos que lo amenazaron durante la crisis financiera. </w:t>
      </w:r>
    </w:p>
    <w:p w:rsidR="002F07D4" w:rsidRPr="009A2485" w:rsidRDefault="002F07D4" w:rsidP="002F07D4">
      <w:pPr>
        <w:spacing w:line="240" w:lineRule="auto"/>
        <w:jc w:val="both"/>
        <w:rPr>
          <w:rFonts w:ascii="Times New Roman" w:hAnsi="Times New Roman"/>
          <w:sz w:val="24"/>
          <w:szCs w:val="24"/>
        </w:rPr>
      </w:pPr>
      <w:r w:rsidRPr="00A40923">
        <w:rPr>
          <w:rFonts w:ascii="Times New Roman" w:hAnsi="Times New Roman"/>
          <w:color w:val="FF0000"/>
          <w:sz w:val="24"/>
          <w:szCs w:val="24"/>
          <w:u w:val="single"/>
        </w:rPr>
        <w:t>El sector de fondos mutuos y mercado de dinero sigue siendo propenso a pánicos desestabilizadores incluso con la nueva regulación</w:t>
      </w:r>
      <w:r w:rsidRPr="009A2485">
        <w:rPr>
          <w:rFonts w:ascii="Times New Roman" w:hAnsi="Times New Roman"/>
          <w:sz w:val="24"/>
          <w:szCs w:val="24"/>
        </w:rPr>
        <w:t xml:space="preserve">, aseguró Bernanke en una conferencia organizada por la Reserva Federal de Atlanta en Stone Mountain, en el estado de Georgia. </w:t>
      </w:r>
      <w:r w:rsidRPr="00A40923">
        <w:rPr>
          <w:rFonts w:ascii="Times New Roman" w:hAnsi="Times New Roman"/>
          <w:color w:val="FF0000"/>
          <w:sz w:val="24"/>
          <w:szCs w:val="24"/>
          <w:u w:val="single"/>
        </w:rPr>
        <w:t>“El riesgo creado por la combinación de unos valores de activos netos constantes, de inversores extremadamente adversos al riesgo y de la ausencia explícita de capacidad de absorción de pérdidas sigue siendo una preocupación</w:t>
      </w:r>
      <w:r>
        <w:rPr>
          <w:rFonts w:ascii="Times New Roman" w:hAnsi="Times New Roman"/>
          <w:sz w:val="24"/>
          <w:szCs w:val="24"/>
        </w:rPr>
        <w:t>”</w:t>
      </w:r>
      <w:r w:rsidRPr="009A2485">
        <w:rPr>
          <w:rFonts w:ascii="Times New Roman" w:hAnsi="Times New Roman"/>
          <w:sz w:val="24"/>
          <w:szCs w:val="24"/>
        </w:rPr>
        <w:t xml:space="preserve">, agregó Bernanke. </w:t>
      </w:r>
    </w:p>
    <w:p w:rsidR="002F07D4" w:rsidRPr="009A2485" w:rsidRDefault="002F07D4" w:rsidP="002F07D4">
      <w:pPr>
        <w:spacing w:line="240" w:lineRule="auto"/>
        <w:jc w:val="both"/>
        <w:rPr>
          <w:rFonts w:ascii="Times New Roman" w:hAnsi="Times New Roman"/>
          <w:sz w:val="24"/>
          <w:szCs w:val="24"/>
        </w:rPr>
      </w:pPr>
      <w:r w:rsidRPr="009A2485">
        <w:rPr>
          <w:rFonts w:ascii="Times New Roman" w:hAnsi="Times New Roman"/>
          <w:sz w:val="24"/>
          <w:szCs w:val="24"/>
        </w:rPr>
        <w:t>Durante la crisis financiera, el Departamento del Tesoro y la Reserva Federal controlaron un pánico creciente con la promesa de respaldar todos los fondos mutuos después de que uno de ellos, con gran exposición a la deuda de</w:t>
      </w:r>
      <w:r>
        <w:rPr>
          <w:rFonts w:ascii="Times New Roman" w:hAnsi="Times New Roman"/>
          <w:sz w:val="24"/>
          <w:szCs w:val="24"/>
        </w:rPr>
        <w:t xml:space="preserve"> Lehman Brothers Holding Inc., “reventase el dólar”</w:t>
      </w:r>
      <w:r w:rsidRPr="009A2485">
        <w:rPr>
          <w:rFonts w:ascii="Times New Roman" w:hAnsi="Times New Roman"/>
          <w:sz w:val="24"/>
          <w:szCs w:val="24"/>
        </w:rPr>
        <w:t xml:space="preserve">, situación que se produce cuando el valor neto de los activos de un fondo cae por debajo de US$1. La Comisión de Bolsa y Valores estadounidense, o SEC, impuso en 2010 reglas sobre el tipo de activos en los que estos fondos pueden invertir, y la presidenta de la SEC, Mary Schapiro, ha defendido medidas adicionales, </w:t>
      </w:r>
      <w:r>
        <w:rPr>
          <w:rFonts w:ascii="Times New Roman" w:hAnsi="Times New Roman"/>
          <w:sz w:val="24"/>
          <w:szCs w:val="24"/>
        </w:rPr>
        <w:t xml:space="preserve">algo que Bernanke dijo </w:t>
      </w:r>
      <w:r w:rsidRPr="009A2485">
        <w:rPr>
          <w:rFonts w:ascii="Times New Roman" w:hAnsi="Times New Roman"/>
          <w:sz w:val="24"/>
          <w:szCs w:val="24"/>
        </w:rPr>
        <w:t xml:space="preserve">que podría ser necesario. </w:t>
      </w:r>
    </w:p>
    <w:p w:rsidR="002F07D4" w:rsidRPr="009A2485" w:rsidRDefault="002F07D4" w:rsidP="002F07D4">
      <w:pPr>
        <w:spacing w:line="240" w:lineRule="auto"/>
        <w:jc w:val="both"/>
        <w:rPr>
          <w:rFonts w:ascii="Times New Roman" w:hAnsi="Times New Roman"/>
          <w:sz w:val="24"/>
          <w:szCs w:val="24"/>
        </w:rPr>
      </w:pPr>
      <w:r w:rsidRPr="00A40923">
        <w:rPr>
          <w:rFonts w:ascii="Times New Roman" w:hAnsi="Times New Roman"/>
          <w:color w:val="FF0000"/>
          <w:sz w:val="24"/>
          <w:szCs w:val="24"/>
          <w:u w:val="single"/>
        </w:rPr>
        <w:t>“Medidas adicionales para incrementar la resistencia de los fondos mutuos del mercado de dinero son importantes para una mayor estabilidad de nuestro sistema financiero y justifican serias consideraciones”,</w:t>
      </w:r>
      <w:r w:rsidRPr="009A2485">
        <w:rPr>
          <w:rFonts w:ascii="Times New Roman" w:hAnsi="Times New Roman"/>
          <w:sz w:val="24"/>
          <w:szCs w:val="24"/>
        </w:rPr>
        <w:t xml:space="preserve"> añadió Bernanke en su intervención. </w:t>
      </w:r>
    </w:p>
    <w:p w:rsidR="002F07D4" w:rsidRPr="009A2485" w:rsidRDefault="002F07D4" w:rsidP="002F07D4">
      <w:pPr>
        <w:spacing w:line="240" w:lineRule="auto"/>
        <w:jc w:val="both"/>
        <w:rPr>
          <w:rFonts w:ascii="Times New Roman" w:hAnsi="Times New Roman"/>
          <w:sz w:val="24"/>
          <w:szCs w:val="24"/>
        </w:rPr>
      </w:pPr>
      <w:r w:rsidRPr="009A2485">
        <w:rPr>
          <w:rFonts w:ascii="Times New Roman" w:hAnsi="Times New Roman"/>
          <w:sz w:val="24"/>
          <w:szCs w:val="24"/>
        </w:rPr>
        <w:t>Entre las ide</w:t>
      </w:r>
      <w:r>
        <w:rPr>
          <w:rFonts w:ascii="Times New Roman" w:hAnsi="Times New Roman"/>
          <w:sz w:val="24"/>
          <w:szCs w:val="24"/>
        </w:rPr>
        <w:t>as que se considerarían estaría</w:t>
      </w:r>
      <w:r w:rsidRPr="009A2485">
        <w:rPr>
          <w:rFonts w:ascii="Times New Roman" w:hAnsi="Times New Roman"/>
          <w:sz w:val="24"/>
          <w:szCs w:val="24"/>
        </w:rPr>
        <w:t xml:space="preserve"> eliminar el valor fijo constante de US$1 de los activos de los fondos del mercado monetario y permitir que fluctúe, como ocurre con el resto de fondos de inversión, o forzar a estos fondos a tener un colchón de capital contra los activos de sus carteras. </w:t>
      </w:r>
    </w:p>
    <w:p w:rsidR="002F07D4" w:rsidRPr="00A40923" w:rsidRDefault="002F07D4" w:rsidP="002F07D4">
      <w:pPr>
        <w:spacing w:line="240" w:lineRule="auto"/>
        <w:jc w:val="both"/>
        <w:rPr>
          <w:rFonts w:ascii="Times New Roman" w:hAnsi="Times New Roman"/>
          <w:color w:val="FF0000"/>
          <w:sz w:val="24"/>
          <w:szCs w:val="24"/>
          <w:u w:val="single"/>
        </w:rPr>
      </w:pPr>
      <w:r w:rsidRPr="00A40923">
        <w:rPr>
          <w:rFonts w:ascii="Times New Roman" w:hAnsi="Times New Roman"/>
          <w:color w:val="FF0000"/>
          <w:sz w:val="24"/>
          <w:szCs w:val="24"/>
          <w:u w:val="single"/>
        </w:rPr>
        <w:t xml:space="preserve">Una de las razones por las que Bernanke percibe más riesgo en estos fondos es que el banco central ya no tiene capacidad para implementar las medidas prestamistas de emergencia que podía usar durante la crisis financiera. La reforma financiera regulada por la ley Dodd-Frank restringió algunos de los tradicionales poderes de emergencia de la Fed. </w:t>
      </w:r>
    </w:p>
    <w:p w:rsidR="002F07D4" w:rsidRPr="00A40923" w:rsidRDefault="002F07D4" w:rsidP="002F07D4">
      <w:pPr>
        <w:spacing w:line="240" w:lineRule="auto"/>
        <w:jc w:val="both"/>
        <w:rPr>
          <w:rFonts w:ascii="Times New Roman" w:hAnsi="Times New Roman"/>
          <w:color w:val="FF0000"/>
          <w:sz w:val="24"/>
          <w:szCs w:val="24"/>
          <w:u w:val="single"/>
        </w:rPr>
      </w:pPr>
      <w:r w:rsidRPr="00A40923">
        <w:rPr>
          <w:rFonts w:ascii="Times New Roman" w:hAnsi="Times New Roman"/>
          <w:color w:val="FF0000"/>
          <w:sz w:val="24"/>
          <w:szCs w:val="24"/>
          <w:u w:val="single"/>
        </w:rPr>
        <w:t xml:space="preserve">Bernanke también aseguró que el mercado de operaciones de recompra, que los inversores utilizan para financiar sus posiciones de negociación de deuda, sigue siendo una fuente de preocupación -por su alta volatilidad cuando los operadores pierden confianza entre ellos- y que el ritmo de reforma de este mercado se tiene que acelerar. </w:t>
      </w:r>
    </w:p>
    <w:p w:rsidR="002F07D4" w:rsidRPr="006A2117" w:rsidRDefault="002F07D4" w:rsidP="002F07D4">
      <w:pPr>
        <w:spacing w:line="240" w:lineRule="auto"/>
        <w:jc w:val="both"/>
        <w:rPr>
          <w:rFonts w:ascii="Times New Roman" w:hAnsi="Times New Roman"/>
          <w:color w:val="FF0000"/>
          <w:sz w:val="24"/>
          <w:szCs w:val="24"/>
        </w:rPr>
      </w:pPr>
      <w:r w:rsidRPr="006A2117">
        <w:rPr>
          <w:rFonts w:ascii="Times New Roman" w:hAnsi="Times New Roman"/>
          <w:color w:val="FF0000"/>
          <w:sz w:val="24"/>
          <w:szCs w:val="24"/>
        </w:rPr>
        <w:lastRenderedPageBreak/>
        <w:t xml:space="preserve">Bernanke dijo que aquellas partes del sistema financiero que permanecen fuera de las tradicionales redes de seguridad siguen siendo un área de preocupación para los reguladores. </w:t>
      </w:r>
    </w:p>
    <w:p w:rsidR="002F07D4" w:rsidRPr="006A2117" w:rsidRDefault="002F07D4" w:rsidP="002F07D4">
      <w:pPr>
        <w:spacing w:line="240" w:lineRule="auto"/>
        <w:jc w:val="both"/>
        <w:rPr>
          <w:rFonts w:ascii="Times New Roman" w:hAnsi="Times New Roman"/>
          <w:color w:val="FF0000"/>
          <w:sz w:val="24"/>
          <w:szCs w:val="24"/>
        </w:rPr>
      </w:pPr>
      <w:r w:rsidRPr="006A2117">
        <w:rPr>
          <w:rFonts w:ascii="Times New Roman" w:hAnsi="Times New Roman"/>
          <w:color w:val="FF0000"/>
          <w:sz w:val="24"/>
          <w:szCs w:val="24"/>
        </w:rPr>
        <w:t>“Los pánicos y otros impactos en el sistema bancario en la sombra pueden contagiarse al sistema bancario tradicional”, dijo el presidente de la Fed, que añadió que, por eso, es crucial que los reguladores encuentran soluciones para mitigar estos riesgos</w:t>
      </w:r>
      <w:r>
        <w:rPr>
          <w:rFonts w:ascii="Times New Roman" w:hAnsi="Times New Roman"/>
          <w:color w:val="FF0000"/>
          <w:sz w:val="24"/>
          <w:szCs w:val="24"/>
        </w:rPr>
        <w:t>…</w:t>
      </w:r>
    </w:p>
    <w:p w:rsidR="002F07D4" w:rsidRPr="009058F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D1B3A">
        <w:rPr>
          <w:rFonts w:ascii="Times New Roman" w:eastAsia="Times New Roman" w:hAnsi="Times New Roman"/>
          <w:b/>
          <w:sz w:val="24"/>
          <w:szCs w:val="24"/>
          <w:lang w:eastAsia="es-ES"/>
        </w:rPr>
        <w:t>La Leyenda de Sigfrido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Sigfrido, hijo del Rey Sigmund de Niederland y de la bella Siegelinde, escuchó la llamada de la aventura a edad temprana. Siendo apenas un niño abandonó el castillo de sus padres y vagó a través de campos, ríos y bosques, hasta que el enano Mimir lo acogió en su fragua.</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Cerca de la casa de Mimir se abría una profunda cueva que conducía al reino de los Nibelungos. Esos enanos expertos en la minería y la orfebrería, poseían un fabuloso tesoro que guardaban en una gran cámara próxima a la superficie. Un gran dragón llamado Fafnir protegía el tesoro.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Mimir también era Nibelungo, pero odiaba a sus congéneres por haberlo expulsado del reino subterráneo. Cuando vio que Sigfrido tenía valor suficiente para convertirse en un gran héroe, concibió la idea de utilizar al joven como instrumento de venganza. A partir de ese instante comenzó a enseñarle todo lo que sabía y a adiestrarlo en el manejo de las armas, con la esperanza de que algún día venciera al dragón Fafnir arrebatando a los Nibelungos sus riquezas.</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Llegó el momento en que Sigfrido estuvo preparado para batir a Fafnir, pero no tenía una espada lo suficientemente resistente como para enfrentarse con garantías a él.  Así que Mimir forjó la espada Balmung con los fragmentos de otra que había encontrado en el bosque (y que algunos dicen que había fabricado el mismísimo Odín tiempo atrás) y se la entregó a Sigfrido para que partiera a combatir con el dragón.</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xml:space="preserve">Tras una dura lid, Sigfrido logró clavar la espada en el corazón de la bestia, que murió entre rugidos y coletazos ya inútiles. Cuando el dragón dejó de moverse, Sigfrido se </w:t>
      </w:r>
      <w:r w:rsidR="00FF0D17">
        <w:rPr>
          <w:rFonts w:ascii="Times New Roman" w:eastAsia="Times New Roman" w:hAnsi="Times New Roman"/>
          <w:b/>
          <w:sz w:val="24"/>
          <w:szCs w:val="24"/>
          <w:lang w:eastAsia="es-ES"/>
        </w:rPr>
        <w:t>bañó</w:t>
      </w:r>
      <w:r>
        <w:rPr>
          <w:rFonts w:ascii="Times New Roman" w:eastAsia="Times New Roman" w:hAnsi="Times New Roman"/>
          <w:b/>
          <w:sz w:val="24"/>
          <w:szCs w:val="24"/>
          <w:lang w:eastAsia="es-ES"/>
        </w:rPr>
        <w:t xml:space="preserve"> con su sangre aún caliente, pues Mimir le había revelado que si hacía así se volvería invulnerable. Sin embargo una pequeña hoja de tilo pegada a su espada dejó un punto en el que la sangre del dragón no llegó a tocar.</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La hazaña no calmó la sed de aventuras de Sigfrido, que abandonó la casa del herrero para buscar nuevos desafíos. Del tesoro de los Nibelungos sólo se llevó un casco mágico que volvía invisible a quien lo llevaba puesto y también, a pesar de los consejos de Mimir, un anillo muy hermoso pero que según una antigua maldición traía la muerte a su dueño…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(La segunda jornada del Anillo del Nibelungo: Sigfrido - Obra de Richard Wagner, estrenada el 16 de agosto de 1876, durante el Primer Festival de Bayreuth)</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lastRenderedPageBreak/>
        <w:t>Ignoro si la historia considerará a Bernanke como el héroe Sigfrido, o el enano Mimir, pero conviene recordar (según la leyenda) que el valiente Sigfrido murió traicionado por su esposa (la bella Crimilda) que confiesa al vasallo Hagen aquel pequeño punto de la espada en el que la hoja de tilo había impedido que la sangre tocara su piel. Una vez que supo esto. Hagen organizó una cacería durante la que, tras quedarse a solas con Sigfrido, le clavó una daga en la espalda, atravesando su corazón.</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Así murió el valiente Sigfrido. Con su muerte se cumplió la maldición del anillo de los nibelungos.</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Esta es sólo una entre las múltiples versiones de la Leyenda de Sigfrido…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Siguiendo a Wagner faltaría saber (descubrir) si Bernanke será capaz de componer “El ocaso de los dioses” o simplemente será acompañado por los unos y los otros, al compás de la “Marcha fúnebre”, entre los murmullos del bosque, al cementerio de la historia.</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La misma “ortodoxia” económica dominante que fue incapaz de prever la actual crisis económica y financiera, básicamente porque invalidaría los principios esenciales bajo los cuales se han educado, forzó su receta para salir de la crisis. Para ello propuso una combinación de política fiscal restrictiva (en la UE sí, en EEUU aún no), una política monetaria expansiva (ampliación de los balances de la Fed y del BCE), y la deflación de los salarios (tanto en la UE, como en los EEUU).</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Resulta cuando menos asombroso que en un sector tan regulado, supervisado e inspeccionado se hayan podido producir tropelías tan ajenas a las buenas prácticas mercantiles, como las que llevaron a la crisis (y siguen…). Y es escalofriante que sea ahora (más de cinco años después), cuando se nos anuncie una regulación “definitiva que impedirá que tales hechos se vuelvan a repetir en el futuro” (mientras mantienen a Volcker en el freezer, o peor aún).</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El equipo económico de Barack Obama (1.0) está dominado por figuras con fuertes vínculos con el sector financiero que han aguado toda regulación del sector. Al momento de concluir este Apartado (noviembre de 2012) aún no ha sido elegido el  nuevo equipo destinado a acompañar a Obama (2.0), pero los nombres que figuran en las “quinielas” no presagian ningún cambio de estilo (todo sea por la banca).</w:t>
      </w:r>
    </w:p>
    <w:p w:rsidR="002F07D4" w:rsidRPr="006472C3" w:rsidRDefault="002F07D4" w:rsidP="002F07D4">
      <w:pPr>
        <w:spacing w:before="100" w:beforeAutospacing="1" w:after="100" w:afterAutospacing="1" w:line="240" w:lineRule="auto"/>
        <w:jc w:val="both"/>
        <w:rPr>
          <w:rFonts w:ascii="Times New Roman" w:eastAsia="Times New Roman" w:hAnsi="Times New Roman"/>
          <w:b/>
          <w:sz w:val="24"/>
          <w:szCs w:val="24"/>
          <w:lang w:val="en-US" w:eastAsia="es-ES"/>
        </w:rPr>
      </w:pPr>
      <w:r>
        <w:rPr>
          <w:rFonts w:ascii="Times New Roman" w:eastAsia="Times New Roman" w:hAnsi="Times New Roman"/>
          <w:b/>
          <w:sz w:val="24"/>
          <w:szCs w:val="24"/>
          <w:lang w:eastAsia="es-ES"/>
        </w:rPr>
        <w:t xml:space="preserve">Bernanke es el… ¿game changer? </w:t>
      </w:r>
      <w:r w:rsidRPr="006472C3">
        <w:rPr>
          <w:rFonts w:ascii="Times New Roman" w:eastAsia="Times New Roman" w:hAnsi="Times New Roman"/>
          <w:b/>
          <w:sz w:val="24"/>
          <w:szCs w:val="24"/>
          <w:lang w:val="en-US" w:eastAsia="es-ES"/>
        </w:rPr>
        <w:t>¿game over? ¿game finisher?... Ustedes mismos.</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Bernanke es el… ¿gran “ventilador” del riesgo moral? ¿el “Gutenberg” de la banca?... Ustedes mismos.</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Bernanke (hasta que lo juzgue la historia) lo único seguro es que ha rebajado los límites de la lógica económica (si es que existe esa lógica, cosa que dudo cada vez más, lamentablemente).</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xml:space="preserve">Bernanke, es sobre todo un burócrata, dispuesto a que algo cambie, para que nada cambie y seguir ejerciendo de conservador, que es el adjetivo que más le va. Lo malo para él (y para nosotros, ni hablar) es que los tiempos no le acompañan y </w:t>
      </w:r>
      <w:r>
        <w:rPr>
          <w:rFonts w:ascii="Times New Roman" w:eastAsia="Times New Roman" w:hAnsi="Times New Roman"/>
          <w:b/>
          <w:sz w:val="24"/>
          <w:szCs w:val="24"/>
          <w:lang w:eastAsia="es-ES"/>
        </w:rPr>
        <w:lastRenderedPageBreak/>
        <w:t>pronto nada tendrá para conservar en las manos, vacías de ideas y futuro (y del nuestro, ni hablar).</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xml:space="preserve">Envuelto en la “vitola” de académico universitario (el gran profesor experto en la crisis del 29) para justificar lo injustificable. El economista que más sabe (o ha estudiado) del mundo sobre la crisis del 29, y de la de 2008, ni sabe, ni contesta. Ni una mala palabra, ni una buena acción… </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Si la banca acierta gana un montón de dinero. Y si la banca se equivoca lo pagamos todos.</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Si antes la banca era un negocio de “hardware”, a partir de Greenspan y Bernanke (los grandes facilitadores) ha pasado a ser un negocio de “software” (fábricas de humo, gas, pedo… o como lo quieran llamar). Y con ellos, todos.</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Como estará deteriorado el “percal” para que se haya llegado a este punto…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Si no ha sido el artífice de la mayor crisis económico y financiera desde 1930, por lo menos (y a peor) ha sido el cómplice necesario de todo lo anterior (¡y sigue dando clases magistrales urbi et orbi¡)</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xml:space="preserve">Con Bernanke la Reserva Federal ha pasado de “prestamista de último recurso” a “prestamista de últimos recursos”. </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¿Cuántas veces se puede volver la cabeza fingiendo no ver nada?</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¿Logrará Ben Shalom Bernanke ser considerado por la historia como el salvador de la patria mundial o por el contrario como artífice de la muerte definitiva del sistema fiduciario, basado en la confianza, que sustituyó el patrón oro con eje en el dólar USA?</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¿Lo recordará la historia como un benefactor económico o como el personaje alquimista que nos hizo morir de absurdo?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¿Lo recordará la historia como el “cortesano” de los banqueros irresponsables o como el “camello” que proveyó al adicto (mercado) de toda la droga (dinero) que hiciera falta para quitarse el mono?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Esperemos que los historiadores no escriban sobre él: “cuando despertó la muerte anunciada se había consumado”… Ojalá que no.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El gran pensador liberal Jean-François Revel comienza su libro “El conocimiento inútil” con la frase:</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“La primera de todas las fuerzas que dirigen el mundo es la mentira”, refiriéndose a la información en la era de la comunicación, y no le faltaba razón al ensayista francés, pues si tratan ustedes de extrapolar su afirmación al mundo de la economía, descubrirán que esta también se mueve por una gran mentira: el dinero fiduciario.</w:t>
      </w:r>
    </w:p>
    <w:p w:rsidR="002F07D4"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lastRenderedPageBreak/>
        <w:t>¿Se podrá volver a poner al genio en la botella? O la botella sólo servirá para seguir animando el global party de los especuladores financieros.</w:t>
      </w:r>
    </w:p>
    <w:p w:rsidR="002F07D4" w:rsidRPr="00C41607" w:rsidRDefault="002F07D4" w:rsidP="002F07D4">
      <w:pPr>
        <w:spacing w:before="100" w:beforeAutospacing="1" w:after="100" w:afterAutospacing="1" w:line="240" w:lineRule="auto"/>
        <w:jc w:val="both"/>
        <w:rPr>
          <w:rFonts w:ascii="Times New Roman" w:eastAsia="Times New Roman" w:hAnsi="Times New Roman"/>
          <w:b/>
          <w:color w:val="FF0000"/>
          <w:sz w:val="24"/>
          <w:szCs w:val="24"/>
          <w:lang w:eastAsia="es-ES"/>
        </w:rPr>
      </w:pPr>
      <w:r w:rsidRPr="00C41607">
        <w:rPr>
          <w:rFonts w:ascii="Times New Roman" w:eastAsia="Times New Roman" w:hAnsi="Times New Roman"/>
          <w:b/>
          <w:color w:val="FF0000"/>
          <w:sz w:val="24"/>
          <w:szCs w:val="24"/>
          <w:lang w:eastAsia="es-ES"/>
        </w:rPr>
        <w:t>(Año 2014)</w:t>
      </w:r>
    </w:p>
    <w:p w:rsidR="002F07D4" w:rsidRPr="00AF071F" w:rsidRDefault="002F07D4" w:rsidP="002F07D4">
      <w:pPr>
        <w:jc w:val="both"/>
        <w:rPr>
          <w:rFonts w:ascii="Times New Roman" w:hAnsi="Times New Roman" w:cs="Times New Roman"/>
          <w:sz w:val="24"/>
          <w:szCs w:val="24"/>
        </w:rPr>
      </w:pPr>
      <w:r w:rsidRPr="00AF071F">
        <w:rPr>
          <w:rFonts w:ascii="Times New Roman" w:hAnsi="Times New Roman" w:cs="Times New Roman"/>
          <w:sz w:val="24"/>
          <w:szCs w:val="24"/>
        </w:rPr>
        <w:t>Del Paper -</w:t>
      </w:r>
      <w:r>
        <w:rPr>
          <w:rFonts w:ascii="Times New Roman" w:hAnsi="Times New Roman" w:cs="Times New Roman"/>
          <w:b/>
          <w:sz w:val="24"/>
          <w:szCs w:val="24"/>
        </w:rPr>
        <w:t xml:space="preserve"> La era de la desigualdad (¿consecuencia directa del “imperialismo monetario”?) - Parte I</w:t>
      </w:r>
      <w:r>
        <w:rPr>
          <w:rFonts w:ascii="Times New Roman" w:hAnsi="Times New Roman" w:cs="Times New Roman"/>
          <w:sz w:val="24"/>
          <w:szCs w:val="24"/>
        </w:rPr>
        <w:t>, publicado el 15/12/14</w:t>
      </w:r>
    </w:p>
    <w:p w:rsidR="002F07D4" w:rsidRDefault="002F07D4" w:rsidP="002F07D4">
      <w:pPr>
        <w:jc w:val="both"/>
        <w:rPr>
          <w:rFonts w:ascii="Times New Roman" w:hAnsi="Times New Roman" w:cs="Times New Roman"/>
          <w:b/>
          <w:sz w:val="24"/>
          <w:szCs w:val="24"/>
        </w:rPr>
      </w:pPr>
      <w:r>
        <w:rPr>
          <w:rFonts w:ascii="Times New Roman" w:hAnsi="Times New Roman" w:cs="Times New Roman"/>
          <w:b/>
          <w:sz w:val="24"/>
          <w:szCs w:val="24"/>
        </w:rPr>
        <w:t>Facta: el nuevo mapa de la pobreza</w:t>
      </w:r>
    </w:p>
    <w:p w:rsidR="002F07D4" w:rsidRDefault="002F07D4" w:rsidP="002F07D4">
      <w:pPr>
        <w:jc w:val="both"/>
        <w:rPr>
          <w:rFonts w:ascii="Times New Roman" w:hAnsi="Times New Roman" w:cs="Times New Roman"/>
          <w:b/>
          <w:sz w:val="24"/>
          <w:szCs w:val="24"/>
        </w:rPr>
      </w:pPr>
      <w:r>
        <w:rPr>
          <w:rFonts w:ascii="Times New Roman" w:hAnsi="Times New Roman" w:cs="Times New Roman"/>
          <w:b/>
          <w:sz w:val="24"/>
          <w:szCs w:val="24"/>
        </w:rPr>
        <w:t>L</w:t>
      </w:r>
      <w:r w:rsidRPr="009A3C27">
        <w:rPr>
          <w:rFonts w:ascii="Times New Roman" w:hAnsi="Times New Roman" w:cs="Times New Roman"/>
          <w:b/>
          <w:sz w:val="24"/>
          <w:szCs w:val="24"/>
        </w:rPr>
        <w:t>a movilidad “descendente” (primeras estaciones del “vía crucis”)</w:t>
      </w:r>
    </w:p>
    <w:p w:rsidR="002F07D4" w:rsidRPr="00186DF1" w:rsidRDefault="002F07D4" w:rsidP="002F07D4">
      <w:pPr>
        <w:spacing w:line="240" w:lineRule="auto"/>
        <w:jc w:val="both"/>
        <w:rPr>
          <w:rFonts w:ascii="Times New Roman" w:hAnsi="Times New Roman"/>
          <w:sz w:val="24"/>
          <w:szCs w:val="24"/>
        </w:rPr>
      </w:pPr>
      <w:r>
        <w:rPr>
          <w:rFonts w:ascii="Times New Roman" w:hAnsi="Times New Roman"/>
          <w:sz w:val="24"/>
          <w:szCs w:val="24"/>
        </w:rPr>
        <w:t>En el</w:t>
      </w:r>
      <w:r w:rsidRPr="003E5D94">
        <w:rPr>
          <w:rFonts w:ascii="Times New Roman" w:hAnsi="Times New Roman"/>
          <w:sz w:val="24"/>
          <w:szCs w:val="24"/>
        </w:rPr>
        <w:t xml:space="preserve"> Paper</w:t>
      </w:r>
      <w:r>
        <w:rPr>
          <w:rFonts w:ascii="Times New Roman" w:hAnsi="Times New Roman"/>
          <w:b/>
          <w:sz w:val="24"/>
          <w:szCs w:val="24"/>
        </w:rPr>
        <w:t xml:space="preserve"> - </w:t>
      </w:r>
      <w:r w:rsidRPr="00AC5065">
        <w:rPr>
          <w:rFonts w:ascii="Times New Roman" w:hAnsi="Times New Roman"/>
          <w:b/>
          <w:sz w:val="24"/>
          <w:szCs w:val="24"/>
        </w:rPr>
        <w:t>Un análisis sobre la desigualdad de los ingresos (ganadores y perdedores de la crisis</w:t>
      </w:r>
      <w:r>
        <w:rPr>
          <w:rFonts w:ascii="Times New Roman" w:hAnsi="Times New Roman"/>
          <w:b/>
          <w:sz w:val="24"/>
          <w:szCs w:val="24"/>
        </w:rPr>
        <w:t xml:space="preserve"> financiera mundial</w:t>
      </w:r>
      <w:r w:rsidRPr="00AC5065">
        <w:rPr>
          <w:rFonts w:ascii="Times New Roman" w:hAnsi="Times New Roman"/>
          <w:b/>
          <w:sz w:val="24"/>
          <w:szCs w:val="24"/>
        </w:rPr>
        <w:t>) - La Economía del Malestar</w:t>
      </w:r>
      <w:r>
        <w:rPr>
          <w:rFonts w:ascii="Times New Roman" w:hAnsi="Times New Roman"/>
          <w:b/>
          <w:sz w:val="24"/>
          <w:szCs w:val="24"/>
        </w:rPr>
        <w:t xml:space="preserve"> (el fin de la cohesión económica y social)</w:t>
      </w:r>
      <w:r>
        <w:rPr>
          <w:rFonts w:ascii="Times New Roman" w:hAnsi="Times New Roman"/>
          <w:sz w:val="24"/>
          <w:szCs w:val="24"/>
        </w:rPr>
        <w:t>, publicado el 15/7/11, decía:</w:t>
      </w:r>
    </w:p>
    <w:p w:rsidR="002F07D4" w:rsidRPr="004D36C1" w:rsidRDefault="002F07D4" w:rsidP="002F07D4">
      <w:pPr>
        <w:shd w:val="clear" w:color="auto" w:fill="FFFFFF"/>
        <w:spacing w:after="225" w:line="240" w:lineRule="auto"/>
        <w:jc w:val="both"/>
        <w:rPr>
          <w:rFonts w:ascii="Times New Roman" w:eastAsia="Times New Roman" w:hAnsi="Times New Roman"/>
          <w:b/>
          <w:sz w:val="24"/>
          <w:szCs w:val="24"/>
        </w:rPr>
      </w:pPr>
      <w:r w:rsidRPr="004D36C1">
        <w:rPr>
          <w:rFonts w:ascii="Times New Roman" w:eastAsia="Times New Roman" w:hAnsi="Times New Roman"/>
          <w:b/>
          <w:sz w:val="24"/>
          <w:szCs w:val="24"/>
        </w:rPr>
        <w:t>Nunca antes tan pocos habían engañado a tan</w:t>
      </w:r>
      <w:r>
        <w:rPr>
          <w:rFonts w:ascii="Times New Roman" w:eastAsia="Times New Roman" w:hAnsi="Times New Roman"/>
          <w:b/>
          <w:sz w:val="24"/>
          <w:szCs w:val="24"/>
        </w:rPr>
        <w:t>tos durante tanto tiempo -jamás</w:t>
      </w:r>
    </w:p>
    <w:p w:rsidR="002F07D4" w:rsidRPr="00851EAE" w:rsidRDefault="002F07D4" w:rsidP="002F07D4">
      <w:pPr>
        <w:shd w:val="clear" w:color="auto" w:fill="FFFFFF"/>
        <w:spacing w:after="225" w:line="240" w:lineRule="auto"/>
        <w:jc w:val="both"/>
        <w:rPr>
          <w:rFonts w:ascii="Times New Roman" w:eastAsia="Times New Roman" w:hAnsi="Times New Roman"/>
          <w:sz w:val="24"/>
          <w:szCs w:val="24"/>
        </w:rPr>
      </w:pPr>
      <w:r w:rsidRPr="00851EAE">
        <w:rPr>
          <w:rFonts w:ascii="Times New Roman" w:eastAsia="Times New Roman" w:hAnsi="Times New Roman"/>
          <w:sz w:val="24"/>
          <w:szCs w:val="24"/>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2F07D4" w:rsidRPr="00851EAE" w:rsidRDefault="002F07D4" w:rsidP="002F07D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Aseguraban que l</w:t>
      </w:r>
      <w:r w:rsidRPr="00851EAE">
        <w:rPr>
          <w:rFonts w:ascii="Times New Roman" w:eastAsia="Times New Roman" w:hAnsi="Times New Roman"/>
          <w:sz w:val="24"/>
          <w:szCs w:val="24"/>
        </w:rPr>
        <w:t>a desregulación, la privatización y el libre movi</w:t>
      </w:r>
      <w:r>
        <w:rPr>
          <w:rFonts w:ascii="Times New Roman" w:eastAsia="Times New Roman" w:hAnsi="Times New Roman"/>
          <w:sz w:val="24"/>
          <w:szCs w:val="24"/>
        </w:rPr>
        <w:t>miento de capitales, servicios y mercancías</w:t>
      </w:r>
      <w:r w:rsidRPr="00851EAE">
        <w:rPr>
          <w:rFonts w:ascii="Times New Roman" w:eastAsia="Times New Roman" w:hAnsi="Times New Roman"/>
          <w:sz w:val="24"/>
          <w:szCs w:val="24"/>
        </w:rPr>
        <w:t xml:space="preserve"> (el de personas, nunca llegó, ni se lo espera) harían entrar a la humanidad en una era de progreso exponencial y continuado, como nunca se había vivido. Y además, desaparecerían los ciclos económicos</w:t>
      </w:r>
      <w:r>
        <w:rPr>
          <w:rFonts w:ascii="Times New Roman" w:eastAsia="Times New Roman" w:hAnsi="Times New Roman"/>
          <w:sz w:val="24"/>
          <w:szCs w:val="24"/>
        </w:rPr>
        <w:t xml:space="preserve"> (¿verdad, grandes bonetes del FMI?)</w:t>
      </w:r>
      <w:r w:rsidRPr="00851EAE">
        <w:rPr>
          <w:rFonts w:ascii="Times New Roman" w:eastAsia="Times New Roman" w:hAnsi="Times New Roman"/>
          <w:sz w:val="24"/>
          <w:szCs w:val="24"/>
        </w:rPr>
        <w:t>. Algunos profetas,</w:t>
      </w:r>
      <w:r>
        <w:rPr>
          <w:rFonts w:ascii="Times New Roman" w:eastAsia="Times New Roman" w:hAnsi="Times New Roman"/>
          <w:sz w:val="24"/>
          <w:szCs w:val="24"/>
        </w:rPr>
        <w:t xml:space="preserve"> hasta llegaron a proclamar el “fin de la Historia” (¿verdad, Profesor Fukuyama?)</w:t>
      </w:r>
      <w:r w:rsidRPr="00851EAE">
        <w:rPr>
          <w:rFonts w:ascii="Times New Roman" w:eastAsia="Times New Roman" w:hAnsi="Times New Roman"/>
          <w:sz w:val="24"/>
          <w:szCs w:val="24"/>
        </w:rPr>
        <w:t>.</w:t>
      </w:r>
    </w:p>
    <w:p w:rsidR="002F07D4" w:rsidRPr="00851EAE" w:rsidRDefault="002F07D4" w:rsidP="002F07D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851EAE">
        <w:rPr>
          <w:rFonts w:ascii="Times New Roman" w:eastAsia="Times New Roman" w:hAnsi="Times New Roman"/>
          <w:sz w:val="24"/>
          <w:szCs w:val="24"/>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w:t>
      </w:r>
      <w:r>
        <w:rPr>
          <w:rFonts w:ascii="Times New Roman" w:eastAsia="Times New Roman" w:hAnsi="Times New Roman"/>
          <w:sz w:val="24"/>
          <w:szCs w:val="24"/>
        </w:rPr>
        <w:t>”</w:t>
      </w:r>
      <w:r w:rsidRPr="00851EAE">
        <w:rPr>
          <w:rFonts w:ascii="Times New Roman" w:eastAsia="Times New Roman" w:hAnsi="Times New Roman"/>
          <w:sz w:val="24"/>
          <w:szCs w:val="24"/>
        </w:rPr>
        <w:t>… Para los creadores de estas “genialidades” (dogmas, mantras), la visión de un ejército de parados, inimaginable hasta entonces, era una obviedad.</w:t>
      </w:r>
    </w:p>
    <w:p w:rsidR="002F07D4" w:rsidRPr="00851EAE" w:rsidRDefault="002F07D4" w:rsidP="002F07D4">
      <w:pPr>
        <w:shd w:val="clear" w:color="auto" w:fill="FFFFFF"/>
        <w:spacing w:after="225" w:line="240" w:lineRule="auto"/>
        <w:jc w:val="both"/>
        <w:rPr>
          <w:rFonts w:ascii="Times New Roman" w:eastAsia="Times New Roman" w:hAnsi="Times New Roman"/>
          <w:sz w:val="24"/>
          <w:szCs w:val="24"/>
        </w:rPr>
      </w:pPr>
      <w:r w:rsidRPr="00851EAE">
        <w:rPr>
          <w:rFonts w:ascii="Times New Roman" w:eastAsia="Times New Roman" w:hAnsi="Times New Roman"/>
          <w:sz w:val="24"/>
          <w:szCs w:val="24"/>
        </w:rPr>
        <w:t>Ninguno de los altamente remunerados creadores de estos paradigmas (de los sectores de</w:t>
      </w:r>
      <w:r>
        <w:rPr>
          <w:rFonts w:ascii="Times New Roman" w:eastAsia="Times New Roman" w:hAnsi="Times New Roman"/>
          <w:sz w:val="24"/>
          <w:szCs w:val="24"/>
        </w:rPr>
        <w:t xml:space="preserve"> futuro y países de futuro) creía</w:t>
      </w:r>
      <w:r w:rsidRPr="00851EAE">
        <w:rPr>
          <w:rFonts w:ascii="Times New Roman" w:eastAsia="Times New Roman" w:hAnsi="Times New Roman"/>
          <w:sz w:val="24"/>
          <w:szCs w:val="24"/>
        </w:rPr>
        <w:t xml:space="preserve"> en la existencia de suficientes puestos de trabajo, decentemente pagados, en los tecnológicamente costosos mercados en crecimiento de los que hasta entonces fueron países del bienestar… no importa en qué sector.</w:t>
      </w:r>
    </w:p>
    <w:p w:rsidR="002F07D4" w:rsidRPr="00851EAE"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i/>
          <w:sz w:val="24"/>
          <w:szCs w:val="24"/>
        </w:rPr>
        <w:t>“Los pragmáticos del “turbo capitalismo” reducen el futuro a un par de números y un concepto: “20 a 80” y tittytainment”…,</w:t>
      </w:r>
      <w:r>
        <w:rPr>
          <w:rFonts w:ascii="Times New Roman" w:eastAsia="Times New Roman" w:hAnsi="Times New Roman"/>
          <w:sz w:val="24"/>
          <w:szCs w:val="24"/>
        </w:rPr>
        <w:t xml:space="preserve"> decían </w:t>
      </w:r>
      <w:r w:rsidRPr="00851EAE">
        <w:rPr>
          <w:rFonts w:ascii="Times New Roman" w:eastAsia="Times New Roman" w:hAnsi="Times New Roman"/>
          <w:sz w:val="24"/>
          <w:szCs w:val="24"/>
        </w:rPr>
        <w:t>Hans-Peter Martin y Harald Schumann, en su libro La trampa de la globalización - Taurus 1998)</w:t>
      </w:r>
      <w:r>
        <w:rPr>
          <w:rFonts w:ascii="Times New Roman" w:eastAsia="Times New Roman" w:hAnsi="Times New Roman"/>
          <w:sz w:val="24"/>
          <w:szCs w:val="24"/>
        </w:rPr>
        <w:t>, y además, reseñaban:</w:t>
      </w:r>
    </w:p>
    <w:p w:rsidR="002F07D4" w:rsidRDefault="002F07D4" w:rsidP="002F07D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(Las escenas que siguen corresponden a una reunión mantenida por 500 políticos de primera línea, líderes económicos y científicos de los cinco continentes, efectuada en el año 1995 en el Hotel Fairmont de San Francisco, EEUU) </w:t>
      </w:r>
    </w:p>
    <w:p w:rsidR="002F07D4" w:rsidRPr="00373FFB" w:rsidRDefault="002F07D4" w:rsidP="002F07D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lastRenderedPageBreak/>
        <w:t>“En el próximo siglo (XXI), el 20% de la población activa bastará para mantener en marcha la economía mundial. No se necesitará más fuerza de trabajo…</w:t>
      </w:r>
    </w:p>
    <w:p w:rsidR="002F07D4" w:rsidRPr="00373FFB" w:rsidRDefault="002F07D4" w:rsidP="002F07D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Una quinta parte de todos los que buscan trabajo bastará para producir todas las mercancías y aportar las valiosas prestaciones de servicios que la sociedad mundial pueda permitirse. Ese 20% participará, por tanto, activamente en la vida, el beneficio y el consumo, no importa en qué país. Se puede añadir a ellos un 1 o un 2%, admiten los participantes en el debate, por ejemplo contando con los herederos acomodados.</w:t>
      </w:r>
    </w:p>
    <w:p w:rsidR="002F07D4" w:rsidRPr="00373FFB" w:rsidRDefault="002F07D4" w:rsidP="002F07D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¿Y los demás? ¿El 80% de los dispuestos a trabajar que no tengan trabajo? “Sin duda”, dice el escritor norteamericano Jeremy Rifkin, autor del libro “El fin del trabajo”, “el 80% tendrá grandes problemas</w:t>
      </w:r>
      <w:r>
        <w:rPr>
          <w:rFonts w:ascii="Times New Roman" w:eastAsia="Times New Roman" w:hAnsi="Times New Roman"/>
          <w:i/>
          <w:sz w:val="24"/>
          <w:szCs w:val="24"/>
        </w:rPr>
        <w:t>”</w:t>
      </w:r>
      <w:r w:rsidRPr="00373FFB">
        <w:rPr>
          <w:rFonts w:ascii="Times New Roman" w:eastAsia="Times New Roman" w:hAnsi="Times New Roman"/>
          <w:i/>
          <w:sz w:val="24"/>
          <w:szCs w:val="24"/>
        </w:rPr>
        <w:t xml:space="preserve">… </w:t>
      </w:r>
    </w:p>
    <w:p w:rsidR="002F07D4" w:rsidRPr="00373FFB" w:rsidRDefault="002F07D4" w:rsidP="002F07D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El esbozo de un nuevo orden social: países ricos sin una clase media digna de mención… En el futuro, la cuestión será “to have lunch or be lunch” (comer o ser comido)…</w:t>
      </w:r>
    </w:p>
    <w:p w:rsidR="002F07D4" w:rsidRPr="00373FFB" w:rsidRDefault="002F07D4" w:rsidP="002F07D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2F07D4" w:rsidRPr="00373FFB" w:rsidRDefault="002F07D4" w:rsidP="002F07D4">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Esa es la sociedad que hoy se está construyendo por encargo. Se les proporciona Ritalin, se les da una X-box con juegos de violencia e insinuaciones sexuales,</w:t>
      </w:r>
      <w:r>
        <w:rPr>
          <w:rFonts w:ascii="Times New Roman" w:eastAsia="Times New Roman" w:hAnsi="Times New Roman"/>
          <w:sz w:val="24"/>
          <w:szCs w:val="24"/>
        </w:rPr>
        <w:t xml:space="preserve"> mientras</w:t>
      </w:r>
      <w:r w:rsidRPr="00E96036">
        <w:rPr>
          <w:rFonts w:ascii="Times New Roman" w:eastAsia="Times New Roman" w:hAnsi="Times New Roman"/>
          <w:sz w:val="24"/>
          <w:szCs w:val="24"/>
        </w:rPr>
        <w:t xml:space="preserve"> Face</w:t>
      </w:r>
      <w:r>
        <w:rPr>
          <w:rFonts w:ascii="Times New Roman" w:eastAsia="Times New Roman" w:hAnsi="Times New Roman"/>
          <w:sz w:val="24"/>
          <w:szCs w:val="24"/>
        </w:rPr>
        <w:t xml:space="preserve">book, </w:t>
      </w:r>
      <w:r w:rsidRPr="00E96036">
        <w:rPr>
          <w:rFonts w:ascii="Times New Roman" w:eastAsia="Times New Roman" w:hAnsi="Times New Roman"/>
          <w:sz w:val="24"/>
          <w:szCs w:val="24"/>
        </w:rPr>
        <w:t>You Tube,</w:t>
      </w:r>
      <w:r>
        <w:rPr>
          <w:rFonts w:ascii="Times New Roman" w:eastAsia="Times New Roman" w:hAnsi="Times New Roman"/>
          <w:sz w:val="24"/>
          <w:szCs w:val="24"/>
        </w:rPr>
        <w:t xml:space="preserve"> Twitter</w:t>
      </w:r>
      <w:r w:rsidRPr="00E96036">
        <w:rPr>
          <w:rFonts w:ascii="Times New Roman" w:eastAsia="Times New Roman" w:hAnsi="Times New Roman"/>
          <w:sz w:val="24"/>
          <w:szCs w:val="24"/>
        </w:rPr>
        <w:t xml:space="preserve"> y los “sms” hacen el resto (a veces con la “inapreciable” colaboración del alcohol y las drogas).</w:t>
      </w:r>
      <w:r>
        <w:rPr>
          <w:rFonts w:ascii="Times New Roman" w:eastAsia="Times New Roman" w:hAnsi="Times New Roman"/>
          <w:sz w:val="24"/>
          <w:szCs w:val="24"/>
        </w:rPr>
        <w:t xml:space="preserve"> Zombis felices… Todos en la “nube”…</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¿Por qué quiere alguien deliberadamente una sociedad idiotizada? Por una parte es mucho más fácil de controlar a alguien que no tiene conciencia de lo que sucede a su alrededor. Se ofrece futbol</w:t>
      </w:r>
      <w:r>
        <w:rPr>
          <w:rFonts w:ascii="Times New Roman" w:eastAsia="Times New Roman" w:hAnsi="Times New Roman"/>
          <w:sz w:val="24"/>
          <w:szCs w:val="24"/>
        </w:rPr>
        <w:t xml:space="preserve"> (u otros deportes)</w:t>
      </w:r>
      <w:r w:rsidRPr="00E96036">
        <w:rPr>
          <w:rFonts w:ascii="Times New Roman" w:eastAsia="Times New Roman" w:hAnsi="Times New Roman"/>
          <w:sz w:val="24"/>
          <w:szCs w:val="24"/>
        </w:rPr>
        <w:t xml:space="preserve"> cinco noches a la semana para mantener a todos ocupados mientras que el saqueo de su riqueza continúa convenciéndoles que hacer hamburguesas en McDonald’s cobrando el salario mínimo es “empleo”.</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Hay quien busca explicaciones más rocambolescas que aseguran que un movimiento sin precedentes como éste en tiempos sin precedentes como éstos puede llevar a una conclusión sin precedentes.</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 xml:space="preserve">La economía de EEUU es hoy el doble de lo que era en 1980 mientras que el salario medio real apenas se ha movido. La mayor parte de los beneficios del crecimiento ha ido a parar a los niveles altos. A finales de los 70, el 1 por ciento de los estadounidenses </w:t>
      </w:r>
      <w:r w:rsidRPr="00E96036">
        <w:rPr>
          <w:rFonts w:ascii="Times New Roman" w:eastAsia="Times New Roman" w:hAnsi="Times New Roman"/>
          <w:sz w:val="24"/>
          <w:szCs w:val="24"/>
        </w:rPr>
        <w:lastRenderedPageBreak/>
        <w:t xml:space="preserve">más ricos cobraba el 9 por ciento de los ingresos totales. A principios de la Gran Recesión, esa cifra sobrepasaba el 23 por ciento. La riqueza está más concentrada. </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Ése es el meollo del problema. La mayoría de estadounidenses ya no tiene el poder de compra suficiente como para que la economía vuelva a andar. Cuando estalló la burbuja de la deuda, se quedaron encallados.</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Los beneficios empresariales están en alza, pero los empleos y salarios siguen estancados.</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Las personas con activos financieros o cuyo talento es tenido en cuenta por las grandes corporaciones están disfrutando de una fuerte recuperación. Mientras tanto, la mayoría de los estadounidenses se esfuerza por ir tirando.</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Las empresas no tienen la culpa, pues su objetivo es obtener beneficios. Ni tampoco es culpa de los ricos, que sólo han jugado según las reglas. El problema es que hay que cambiarlas.</w:t>
      </w:r>
    </w:p>
    <w:p w:rsidR="002F07D4" w:rsidRPr="00E96036" w:rsidRDefault="002F07D4" w:rsidP="002F07D4">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Un futuro sin trabajo o con contratos basura para la mayoría de los estadounidenses es insostenible, también para las propias empresas del país, cuya rentabilidad a largo plazo depende del resurgimiento de la demanda nacional.</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Si el lector desea cambiar el término EEUU por el de Unión Europea, todo parecido con la realidad no será mera coincidencia…</w:t>
      </w:r>
    </w:p>
    <w:p w:rsidR="002F07D4" w:rsidRDefault="002F07D4" w:rsidP="002F07D4">
      <w:pPr>
        <w:spacing w:line="240" w:lineRule="auto"/>
        <w:jc w:val="both"/>
        <w:rPr>
          <w:rFonts w:ascii="Times New Roman" w:hAnsi="Times New Roman" w:cs="Times New Roman"/>
          <w:sz w:val="24"/>
          <w:szCs w:val="24"/>
        </w:rPr>
      </w:pPr>
      <w:r w:rsidRPr="007D1BCD">
        <w:rPr>
          <w:rFonts w:ascii="Times New Roman" w:hAnsi="Times New Roman" w:cs="Times New Roman"/>
          <w:sz w:val="24"/>
          <w:szCs w:val="24"/>
        </w:rPr>
        <w:t>Del Paper -</w:t>
      </w:r>
      <w:r>
        <w:rPr>
          <w:rFonts w:ascii="Times New Roman" w:hAnsi="Times New Roman" w:cs="Times New Roman"/>
          <w:b/>
          <w:sz w:val="24"/>
          <w:szCs w:val="24"/>
        </w:rPr>
        <w:t xml:space="preserve"> La era de la desigualdad (¿consecuencia directa del “imperialismo monetario”?) - Parte II</w:t>
      </w:r>
      <w:r w:rsidRPr="00B401DD">
        <w:rPr>
          <w:rFonts w:ascii="Times New Roman" w:hAnsi="Times New Roman" w:cs="Times New Roman"/>
          <w:sz w:val="24"/>
          <w:szCs w:val="24"/>
        </w:rPr>
        <w:t>, publicado el 15/1/15</w:t>
      </w:r>
    </w:p>
    <w:p w:rsidR="002F07D4" w:rsidRDefault="002F07D4" w:rsidP="002F07D4">
      <w:pPr>
        <w:spacing w:line="240" w:lineRule="auto"/>
        <w:jc w:val="both"/>
        <w:rPr>
          <w:rFonts w:ascii="Times New Roman" w:hAnsi="Times New Roman" w:cs="Times New Roman"/>
          <w:b/>
          <w:sz w:val="24"/>
          <w:szCs w:val="24"/>
        </w:rPr>
      </w:pPr>
      <w:r w:rsidRPr="009A0C06">
        <w:rPr>
          <w:rFonts w:ascii="Times New Roman" w:hAnsi="Times New Roman" w:cs="Times New Roman"/>
          <w:b/>
          <w:sz w:val="24"/>
          <w:szCs w:val="24"/>
        </w:rPr>
        <w:t>Verba:</w:t>
      </w:r>
      <w:r>
        <w:rPr>
          <w:rFonts w:ascii="Times New Roman" w:hAnsi="Times New Roman" w:cs="Times New Roman"/>
          <w:b/>
          <w:sz w:val="24"/>
          <w:szCs w:val="24"/>
        </w:rPr>
        <w:t xml:space="preserve"> viejas y queridas causas perdidas o la amargura de la victoria (el riesgo inmoral)</w:t>
      </w:r>
    </w:p>
    <w:p w:rsidR="002F07D4" w:rsidRPr="00186DF1" w:rsidRDefault="002F07D4" w:rsidP="002F07D4">
      <w:pPr>
        <w:spacing w:line="240" w:lineRule="auto"/>
        <w:jc w:val="both"/>
        <w:rPr>
          <w:rFonts w:ascii="Times New Roman" w:hAnsi="Times New Roman"/>
          <w:sz w:val="24"/>
          <w:szCs w:val="24"/>
        </w:rPr>
      </w:pPr>
      <w:r>
        <w:rPr>
          <w:rFonts w:ascii="Times New Roman" w:hAnsi="Times New Roman"/>
          <w:sz w:val="24"/>
          <w:szCs w:val="24"/>
        </w:rPr>
        <w:t>En el</w:t>
      </w:r>
      <w:r w:rsidRPr="003E5D94">
        <w:rPr>
          <w:rFonts w:ascii="Times New Roman" w:hAnsi="Times New Roman"/>
          <w:sz w:val="24"/>
          <w:szCs w:val="24"/>
        </w:rPr>
        <w:t xml:space="preserve"> Paper</w:t>
      </w:r>
      <w:r>
        <w:rPr>
          <w:rFonts w:ascii="Times New Roman" w:hAnsi="Times New Roman"/>
          <w:b/>
          <w:sz w:val="24"/>
          <w:szCs w:val="24"/>
        </w:rPr>
        <w:t xml:space="preserve"> - </w:t>
      </w:r>
      <w:r w:rsidRPr="00AC5065">
        <w:rPr>
          <w:rFonts w:ascii="Times New Roman" w:hAnsi="Times New Roman"/>
          <w:b/>
          <w:sz w:val="24"/>
          <w:szCs w:val="24"/>
        </w:rPr>
        <w:t>Un análisis sobre la desigualdad de los ingresos (ganadores y perdedores de la crisis</w:t>
      </w:r>
      <w:r>
        <w:rPr>
          <w:rFonts w:ascii="Times New Roman" w:hAnsi="Times New Roman"/>
          <w:b/>
          <w:sz w:val="24"/>
          <w:szCs w:val="24"/>
        </w:rPr>
        <w:t xml:space="preserve"> financiera mundial</w:t>
      </w:r>
      <w:r w:rsidRPr="00AC5065">
        <w:rPr>
          <w:rFonts w:ascii="Times New Roman" w:hAnsi="Times New Roman"/>
          <w:b/>
          <w:sz w:val="24"/>
          <w:szCs w:val="24"/>
        </w:rPr>
        <w:t>) - La Economía del Malestar</w:t>
      </w:r>
      <w:r>
        <w:rPr>
          <w:rFonts w:ascii="Times New Roman" w:hAnsi="Times New Roman"/>
          <w:b/>
          <w:sz w:val="24"/>
          <w:szCs w:val="24"/>
        </w:rPr>
        <w:t xml:space="preserve"> (el fin de la cohesión económica y social)</w:t>
      </w:r>
      <w:r>
        <w:rPr>
          <w:rFonts w:ascii="Times New Roman" w:hAnsi="Times New Roman"/>
          <w:sz w:val="24"/>
          <w:szCs w:val="24"/>
        </w:rPr>
        <w:t>, publicado el 15/7/11, decía:</w:t>
      </w:r>
    </w:p>
    <w:p w:rsidR="002F07D4" w:rsidRDefault="002F07D4" w:rsidP="002F07D4">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 xml:space="preserve">Un largo viaje a ninguna parte </w:t>
      </w:r>
    </w:p>
    <w:p w:rsidR="002F07D4" w:rsidRDefault="002F07D4" w:rsidP="002F07D4">
      <w:pPr>
        <w:autoSpaceDE w:val="0"/>
        <w:autoSpaceDN w:val="0"/>
        <w:adjustRightInd w:val="0"/>
        <w:spacing w:after="0" w:line="240" w:lineRule="auto"/>
        <w:jc w:val="both"/>
        <w:rPr>
          <w:rFonts w:ascii="Times New Roman" w:hAnsi="Times New Roman"/>
          <w:b/>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En los últimos 25 años, la desigualdad de los ingresos ha aumentado en la mayoría de los países y regiones. </w:t>
      </w:r>
      <w:r w:rsidRPr="0085472D">
        <w:rPr>
          <w:rFonts w:ascii="Times New Roman" w:hAnsi="Times New Roman"/>
          <w:sz w:val="24"/>
          <w:szCs w:val="24"/>
        </w:rPr>
        <w:t xml:space="preserve">Aunque el ingreso per cápita se ha incrementado en casi todas las </w:t>
      </w:r>
      <w:r w:rsidRPr="0085472D">
        <w:rPr>
          <w:rFonts w:ascii="Times New Roman" w:hAnsi="Times New Roman"/>
          <w:sz w:val="24"/>
          <w:szCs w:val="24"/>
        </w:rPr>
        <w:lastRenderedPageBreak/>
        <w:t>regiones incluso para los segmentos más pobres de la población, los ingresos de los grupos relativamente acomodados han aumentado a un ritmo más rápido.</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Pr="0085472D" w:rsidRDefault="002F07D4" w:rsidP="002F07D4">
      <w:pPr>
        <w:autoSpaceDE w:val="0"/>
        <w:autoSpaceDN w:val="0"/>
        <w:adjustRightInd w:val="0"/>
        <w:spacing w:after="0" w:line="240" w:lineRule="auto"/>
        <w:jc w:val="both"/>
        <w:rPr>
          <w:rFonts w:ascii="Times New Roman" w:hAnsi="Times New Roman"/>
          <w:color w:val="FF0000"/>
          <w:sz w:val="24"/>
          <w:szCs w:val="24"/>
          <w:u w:val="single"/>
        </w:rPr>
      </w:pPr>
      <w:r w:rsidRPr="0085472D">
        <w:rPr>
          <w:rFonts w:ascii="Times New Roman" w:hAnsi="Times New Roman"/>
          <w:sz w:val="24"/>
          <w:szCs w:val="24"/>
        </w:rPr>
        <w:t>Los avances tecnológicos son el factor que más ha contribuido al aumento reciente de la desigualdad. El desarrollo de la globalización financiera -y la inversión extranjera directa en particular- también ha contribuido a aumentar la desigualdad,</w:t>
      </w:r>
      <w:r w:rsidRPr="00BD4612">
        <w:rPr>
          <w:rFonts w:ascii="Times New Roman" w:hAnsi="Times New Roman"/>
          <w:sz w:val="24"/>
          <w:szCs w:val="24"/>
        </w:rPr>
        <w:t>sobre todo en las economías avanzadas. El progreso tecnológico en sí mismo explica la mayor parte del aumento de la desigualdad desde principios de los años ochenta, lo que coincide con la opinión de que la nueva tecnología, tanto en las economías avanzadas como en las economías en desarrollo, incrementa la prima por nivel de c</w:t>
      </w:r>
      <w:r>
        <w:rPr>
          <w:rFonts w:ascii="Times New Roman" w:hAnsi="Times New Roman"/>
          <w:sz w:val="24"/>
          <w:szCs w:val="24"/>
        </w:rPr>
        <w:t>u</w:t>
      </w:r>
      <w:r w:rsidRPr="00BD4612">
        <w:rPr>
          <w:rFonts w:ascii="Times New Roman" w:hAnsi="Times New Roman"/>
          <w:sz w:val="24"/>
          <w:szCs w:val="24"/>
        </w:rPr>
        <w:t>alificación y reemplaza los insumos relativamente poco c</w:t>
      </w:r>
      <w:r>
        <w:rPr>
          <w:rFonts w:ascii="Times New Roman" w:hAnsi="Times New Roman"/>
          <w:sz w:val="24"/>
          <w:szCs w:val="24"/>
        </w:rPr>
        <w:t>u</w:t>
      </w:r>
      <w:r w:rsidRPr="00BD4612">
        <w:rPr>
          <w:rFonts w:ascii="Times New Roman" w:hAnsi="Times New Roman"/>
          <w:sz w:val="24"/>
          <w:szCs w:val="24"/>
        </w:rPr>
        <w:t>alificados</w:t>
      </w:r>
      <w:r>
        <w:rPr>
          <w:rFonts w:ascii="Times New Roman" w:hAnsi="Times New Roman"/>
          <w:sz w:val="24"/>
          <w:szCs w:val="24"/>
        </w:rPr>
        <w:t>.</w:t>
      </w:r>
    </w:p>
    <w:p w:rsidR="002F07D4" w:rsidRDefault="002F07D4" w:rsidP="002F07D4">
      <w:pPr>
        <w:autoSpaceDE w:val="0"/>
        <w:autoSpaceDN w:val="0"/>
        <w:adjustRightInd w:val="0"/>
        <w:spacing w:after="0" w:line="240" w:lineRule="auto"/>
        <w:jc w:val="both"/>
        <w:rPr>
          <w:rFonts w:ascii="Times New Roman" w:hAnsi="Times New Roman"/>
          <w:b/>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La desigualdad en la renta no es consecuencia de la crisis financiera. Las explicaciones de la desigualdad deben buscarse en premisas desechas hace tiempo mediante razonamientos lógicos (que luego se demostraron falsos).</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La desigualdad económica se ha incrementado durante el período conocido como la “era de la globalización”. En un mundo que se veía a sí mismo como próspero, igualitario y de pleno empleo, los pobres eran “otros”. La pobreza se llegó a definir como algo ajeno al sistema capitalista, y no como una extensión de éste.</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En ese terreno de juego (“la Tierra es plana”) los debates sobre la desigualdad se centraron en una cuestión de oferta y demanda. ¿Se debe el incremento de la desigualdad al aumento de la demanda relativa de (un incremento en la productividad física marginal de) los trabajadores altamente cualificados? ¿O se debe a un incremento de la oferta efectiva de trabajadores de baja cualificación, mediante la inmigración o el comercio, que ha reducido su salario (en un esquema de productividad marginal fijo)? En ambos casos, los argumentos se atienen completamente al paradigma de la productividad marginal y el mecanismo de mercado.</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¿Cuál es la relación entre la desigualdad y el desempleo? Probablemente, esta pregunta sea una de las cuestiones de debate más importantes en la economía política de Europa, y es relevante para otras regiones con vínculos transnacionales crecientes, incluyendo Estados Unidos.</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Una interpretación dominante explicaba que las tasas de desempleo en Europa estaban causadas por los generosos sistemas sociales del continente y las rígidas estructuras salariales, o, en otras palabras, por la igualdad que constituye el objetivo característico de la socialdemocracia. </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Bajo esta perspectiva, los (otrora) bajos niveles de desempleo en Estados Unidos se deben (deberían) a los mercados laborales flexibles del país, la voluntad para tolerar la creciente desigualdad salarial y el nivel absoluto de la desigualdad salarial.</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Como luego se demostraría, esta interpretación resultó sorprendentemente inconsistente con los hechos. Por ejemplo, suponía que, dentro de Europa, los países con mayor desigualdad deberían tener menos desempleo. También parece suponer que los países con niveles salariales altos deberían tener más desempleo, y ciertamente, no menos que los países con salarios inferiores. Pero ocurre justo lo contrario en ambos casos. En Europa, el desempleo siempre ha sido más elevado en los países con salarios menores.</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Muchos países vieron como  aumentaba la desigualdad en la “era de la globalización”, este resultado no puede sorprendernos: los países liberalizadores se vieron forzados a adaptarse a la pauta global. Esto nos conduce a una profunda reflexión. Parece que la modernización basada en las exportaciones es inherentemente un juego de suma cero para la distribución de la renta en los países. Esto es, la mejora de las distribuciones en el empleo en un país conduce a una destrucción que no es especialmente creativa y a un empeoramiento de la desigualdad en el resto de los países, a través de la distribución de los puestos de trabajo.</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En una economía mundial liberalizada y globalizada, sólo una compresión de las estructuras de los ingresos puede crear un contexto adecuado para que la igualación se imponga en la escena de desarrollo global. Pero esta situación se desconoce en la escena mundial desde los años setenta.</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No puedo responder la pregunta habitual de si la desigualdad es buena para el crecimiento. Sin embargo, la evidencia me permite, aunque no firmemente, ofrecer una respuesta a la pregunta contraria. En la mayoría de los países, el crecimiento es bueno para la igualdad; de hecho, el crecimiento rápido parece ser un requisito indispensable para la igualación salarial. Por el contrario, el crecimiento débil en la mayoría de los países  ha resultado un desastre para la igualdad.</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No parece que importe si el crecimiento se logra mediante la sustitución de importaciones o mediante el crecimiento rápido de los sectores exportadores de salarios altos. El problema es que el crecimiento rápido de esos sectores exportadores es una solución a la desigualdad sólo al alcance de pocos países. Por tanto, una reducción de la desigualdad a nivel global requeriría una vuelta a la sustitución de importaciones y unas estructuras salariales con base nacional (o regional), o bien un ritmo de crecimiento mundial sustancialmente más alto.</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La tendencia que predomina en el mundo actual es hacia un aumento de la desigualdad. Las liberalizaciones han provocado siempre un empeoramiento y sólo unos pocos países en desarrollo han escapado a este efecto mediante la mejora de sus estructuras de empleo, lo cual es una proeza que sólo algunos pueden lograr.</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Las últimas décadas han sido muy malas para buena parte del mundo desarrollado (y algunos países en desarrollo). Con la liberalización y la globalización, los países han quedado más expuestos a las condiciones globales, precisamente cuando éstas han empeorado drásticamente. En realidad, el resultado fue un fracaso de coordinación global. La crisis reciente ha evidenciado que ni siquiera hemos comenzado a idear las formas y los medios para establecer un crecimiento estable y una desigualdad decreciente en un mundo liberal. A menos que, y hasta que, este problema sea resuelto, es razonable concluir que a largo plazo el orden mundial neoliberal no puede, no podrá, y probablemente no debe perdurar…</w:t>
      </w:r>
    </w:p>
    <w:p w:rsidR="002F07D4" w:rsidRDefault="002F07D4" w:rsidP="002F07D4">
      <w:pPr>
        <w:autoSpaceDE w:val="0"/>
        <w:autoSpaceDN w:val="0"/>
        <w:adjustRightInd w:val="0"/>
        <w:spacing w:after="0" w:line="240" w:lineRule="auto"/>
        <w:jc w:val="both"/>
        <w:rPr>
          <w:rFonts w:ascii="Times New Roman" w:hAnsi="Times New Roman"/>
          <w:sz w:val="24"/>
          <w:szCs w:val="24"/>
        </w:rPr>
      </w:pPr>
    </w:p>
    <w:p w:rsidR="002F07D4" w:rsidRDefault="002F07D4" w:rsidP="002F07D4">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La economía del malestar </w:t>
      </w:r>
    </w:p>
    <w:p w:rsidR="002F07D4" w:rsidRPr="00EA180A" w:rsidRDefault="002F07D4" w:rsidP="002F07D4">
      <w:pPr>
        <w:spacing w:after="0" w:line="240" w:lineRule="auto"/>
        <w:jc w:val="both"/>
        <w:rPr>
          <w:rFonts w:ascii="Times New Roman" w:eastAsia="Times New Roman" w:hAnsi="Times New Roman"/>
          <w:b/>
          <w:sz w:val="24"/>
          <w:szCs w:val="24"/>
        </w:rPr>
      </w:pPr>
    </w:p>
    <w:p w:rsidR="002F07D4" w:rsidRPr="0096710D" w:rsidRDefault="002F07D4" w:rsidP="002F07D4">
      <w:pPr>
        <w:spacing w:after="0" w:line="240" w:lineRule="auto"/>
        <w:jc w:val="both"/>
        <w:rPr>
          <w:rFonts w:ascii="Times New Roman" w:eastAsia="Times New Roman" w:hAnsi="Times New Roman" w:cs="Calibri"/>
          <w:sz w:val="24"/>
          <w:szCs w:val="24"/>
        </w:rPr>
      </w:pPr>
      <w:r w:rsidRPr="0096710D">
        <w:rPr>
          <w:rFonts w:ascii="Times New Roman" w:eastAsia="Times New Roman" w:hAnsi="Times New Roman"/>
          <w:sz w:val="24"/>
          <w:szCs w:val="24"/>
        </w:rPr>
        <w:t>Si uno le pregunta a una persona común y corriente cuáles son los principales problemas que el mundo enfrenta en la actualidad, es probable que una de las prim</w:t>
      </w:r>
      <w:r>
        <w:rPr>
          <w:rFonts w:ascii="Times New Roman" w:eastAsia="Times New Roman" w:hAnsi="Times New Roman"/>
          <w:sz w:val="24"/>
          <w:szCs w:val="24"/>
        </w:rPr>
        <w:t>eras cosas que mencione sea la -</w:t>
      </w:r>
      <w:r w:rsidRPr="0096710D">
        <w:rPr>
          <w:rFonts w:ascii="Times New Roman" w:eastAsia="Times New Roman" w:hAnsi="Times New Roman"/>
          <w:sz w:val="24"/>
          <w:szCs w:val="24"/>
        </w:rPr>
        <w:t>desigualdad y la pobreza</w:t>
      </w:r>
      <w:r w:rsidRPr="0096710D">
        <w:rPr>
          <w:rFonts w:ascii="Times New Roman" w:eastAsia="Times New Roman" w:hAnsi="Times New Roman" w:cs="Calibri"/>
          <w:sz w:val="24"/>
          <w:szCs w:val="24"/>
        </w:rPr>
        <w:t xml:space="preserve">. Existe la preocupación </w:t>
      </w:r>
      <w:r w:rsidRPr="0096710D">
        <w:rPr>
          <w:rFonts w:ascii="Times New Roman" w:eastAsia="Times New Roman" w:hAnsi="Times New Roman" w:cs="Calibri"/>
          <w:sz w:val="24"/>
          <w:szCs w:val="24"/>
        </w:rPr>
        <w:lastRenderedPageBreak/>
        <w:t>generalizada de</w:t>
      </w:r>
      <w:r w:rsidRPr="0096710D">
        <w:rPr>
          <w:rFonts w:ascii="Times New Roman" w:eastAsia="Times New Roman" w:hAnsi="Times New Roman"/>
          <w:sz w:val="24"/>
          <w:szCs w:val="24"/>
        </w:rPr>
        <w:t xml:space="preserve"> que el crecimiento económico no se está compartiendo en forma equitativa. Una encuesta realizada por la BBC en febrero del 2008 indica que aproximadamente dos terceras partes de la población de 34 países pensaba que -el desarrollo económico de los últimos años</w:t>
      </w:r>
      <w:r w:rsidRPr="0096710D">
        <w:rPr>
          <w:rFonts w:ascii="Times New Roman" w:eastAsia="Times New Roman" w:hAnsi="Times New Roman" w:cs="Calibri"/>
          <w:sz w:val="24"/>
          <w:szCs w:val="24"/>
        </w:rPr>
        <w:t xml:space="preserve"> no se ha compartido de manera equitativa. En Corea, Portugal, Italia, Japón y Turquía, más del 80% de los encuestados estuvieron de acuerdo con esa aseveración. Existen muchos otros estudios y encuestas que indican lo mismo. </w:t>
      </w:r>
    </w:p>
    <w:p w:rsidR="002F07D4" w:rsidRPr="0096710D" w:rsidRDefault="002F07D4" w:rsidP="002F07D4">
      <w:pPr>
        <w:spacing w:after="0" w:line="240" w:lineRule="auto"/>
        <w:jc w:val="both"/>
        <w:rPr>
          <w:rFonts w:ascii="Times New Roman" w:eastAsia="Times New Roman" w:hAnsi="Times New Roman" w:cs="Calibri"/>
          <w:sz w:val="24"/>
          <w:szCs w:val="24"/>
        </w:rPr>
      </w:pPr>
    </w:p>
    <w:p w:rsidR="002F07D4" w:rsidRPr="0096710D" w:rsidRDefault="002F07D4" w:rsidP="002F07D4">
      <w:pPr>
        <w:shd w:val="clear" w:color="auto" w:fill="FFFFFF"/>
        <w:spacing w:after="0" w:line="240" w:lineRule="auto"/>
        <w:jc w:val="both"/>
        <w:rPr>
          <w:rFonts w:ascii="Times New Roman" w:hAnsi="Times New Roman"/>
          <w:sz w:val="24"/>
          <w:szCs w:val="24"/>
        </w:rPr>
      </w:pPr>
      <w:r w:rsidRPr="0096710D">
        <w:rPr>
          <w:rFonts w:ascii="Times New Roman" w:eastAsia="Times New Roman" w:hAnsi="Times New Roman" w:cs="Calibri"/>
          <w:sz w:val="24"/>
          <w:szCs w:val="24"/>
        </w:rPr>
        <w:t>¿Así que la gente tiene</w:t>
      </w:r>
      <w:r w:rsidRPr="0096710D">
        <w:rPr>
          <w:rFonts w:ascii="Times New Roman" w:eastAsia="Times New Roman" w:hAnsi="Times New Roman"/>
          <w:sz w:val="24"/>
          <w:szCs w:val="24"/>
        </w:rPr>
        <w:t xml:space="preserve"> razón al pensar que “los ricos se enriquecieron más y los pobres se empobrecieron más</w:t>
      </w:r>
      <w:r>
        <w:rPr>
          <w:rFonts w:ascii="Times New Roman" w:eastAsia="Times New Roman" w:hAnsi="Times New Roman"/>
          <w:sz w:val="24"/>
          <w:szCs w:val="24"/>
        </w:rPr>
        <w:t>”?</w:t>
      </w:r>
    </w:p>
    <w:p w:rsidR="002F07D4" w:rsidRPr="0096710D" w:rsidRDefault="002F07D4" w:rsidP="002F07D4">
      <w:pPr>
        <w:shd w:val="clear" w:color="auto" w:fill="FFFFFF"/>
        <w:spacing w:after="0" w:line="240" w:lineRule="auto"/>
        <w:jc w:val="both"/>
        <w:rPr>
          <w:rFonts w:ascii="Times New Roman" w:hAnsi="Times New Roman"/>
          <w:sz w:val="24"/>
          <w:szCs w:val="24"/>
        </w:rPr>
      </w:pPr>
    </w:p>
    <w:p w:rsidR="002F07D4" w:rsidRPr="0096710D" w:rsidRDefault="002F07D4" w:rsidP="002F07D4">
      <w:pPr>
        <w:pStyle w:val="Default"/>
        <w:jc w:val="both"/>
        <w:rPr>
          <w:bCs/>
        </w:rPr>
      </w:pPr>
      <w:r w:rsidRPr="0096710D">
        <w:rPr>
          <w:bCs/>
        </w:rPr>
        <w:t xml:space="preserve">Aspectos que caracterizan la distribución del ingreso familiar en los países de la OCDE </w:t>
      </w:r>
    </w:p>
    <w:p w:rsidR="002F07D4" w:rsidRPr="00EA180A" w:rsidRDefault="002F07D4" w:rsidP="002F07D4">
      <w:pPr>
        <w:pStyle w:val="Default"/>
        <w:jc w:val="both"/>
      </w:pPr>
    </w:p>
    <w:p w:rsidR="002F07D4" w:rsidRPr="0096710D" w:rsidRDefault="002F07D4" w:rsidP="002F07D4">
      <w:pPr>
        <w:pStyle w:val="Default"/>
        <w:numPr>
          <w:ilvl w:val="0"/>
          <w:numId w:val="10"/>
        </w:numPr>
        <w:jc w:val="both"/>
        <w:rPr>
          <w:color w:val="auto"/>
        </w:rPr>
      </w:pPr>
      <w:r w:rsidRPr="0096710D">
        <w:rPr>
          <w:color w:val="auto"/>
        </w:rPr>
        <w:t xml:space="preserve">Algunos países tienen una distribución del ingreso mucho más desigual que otros; independientemente de la forma en que se mida la desigualdad. </w:t>
      </w:r>
    </w:p>
    <w:p w:rsidR="002F07D4" w:rsidRPr="0096710D" w:rsidRDefault="002F07D4" w:rsidP="002F07D4">
      <w:pPr>
        <w:pStyle w:val="Default"/>
        <w:jc w:val="both"/>
        <w:rPr>
          <w:color w:val="auto"/>
        </w:rPr>
      </w:pPr>
    </w:p>
    <w:p w:rsidR="002F07D4" w:rsidRPr="0096710D" w:rsidRDefault="002F07D4" w:rsidP="002F07D4">
      <w:pPr>
        <w:pStyle w:val="Default"/>
        <w:numPr>
          <w:ilvl w:val="0"/>
          <w:numId w:val="10"/>
        </w:numPr>
        <w:jc w:val="both"/>
        <w:rPr>
          <w:color w:val="auto"/>
        </w:rPr>
      </w:pPr>
      <w:r w:rsidRPr="0096710D">
        <w:rPr>
          <w:color w:val="auto"/>
        </w:rPr>
        <w:t xml:space="preserve">Los países con una distribución del ingreso más amplia también tienen una pobreza de ingresos relativa mayor, con sólo unas cuantas excepciones. </w:t>
      </w:r>
    </w:p>
    <w:p w:rsidR="002F07D4" w:rsidRPr="0096710D" w:rsidRDefault="002F07D4" w:rsidP="002F07D4">
      <w:pPr>
        <w:pStyle w:val="Default"/>
        <w:jc w:val="both"/>
        <w:rPr>
          <w:color w:val="auto"/>
        </w:rPr>
      </w:pPr>
    </w:p>
    <w:p w:rsidR="002F07D4" w:rsidRDefault="002F07D4" w:rsidP="002F07D4">
      <w:pPr>
        <w:pStyle w:val="Default"/>
        <w:numPr>
          <w:ilvl w:val="0"/>
          <w:numId w:val="10"/>
        </w:numPr>
        <w:jc w:val="both"/>
        <w:rPr>
          <w:color w:val="auto"/>
        </w:rPr>
      </w:pPr>
      <w:r w:rsidRPr="00D63C84">
        <w:rPr>
          <w:color w:val="auto"/>
        </w:rPr>
        <w:t xml:space="preserve">Tanto la desigualdad en los ingresos como el recuento de la pobreza (basados en un umbral de mediana de ingresos del 50%) han aumentado durante los dos últimos decenios. El aumento es bastante generalizado, afecta a dos tercios de todos los países. El aumento es moderado pero importante (promedia alrededor de 2 puntos para el coeficiente Gini y 1.5 puntos para el recuento de la pobreza). </w:t>
      </w:r>
    </w:p>
    <w:p w:rsidR="002F07D4" w:rsidRPr="00D63C84" w:rsidRDefault="002F07D4" w:rsidP="002F07D4">
      <w:pPr>
        <w:pStyle w:val="Default"/>
        <w:jc w:val="both"/>
        <w:rPr>
          <w:color w:val="auto"/>
        </w:rPr>
      </w:pPr>
    </w:p>
    <w:p w:rsidR="002F07D4" w:rsidRPr="0096710D" w:rsidRDefault="002F07D4" w:rsidP="002F07D4">
      <w:pPr>
        <w:pStyle w:val="Default"/>
        <w:numPr>
          <w:ilvl w:val="0"/>
          <w:numId w:val="10"/>
        </w:numPr>
        <w:jc w:val="both"/>
        <w:rPr>
          <w:color w:val="auto"/>
        </w:rPr>
      </w:pPr>
      <w:r w:rsidRPr="0096710D">
        <w:rPr>
          <w:color w:val="auto"/>
        </w:rPr>
        <w:t xml:space="preserve">La desigualdad en los ingresos ha aumentado considerablemente desde el año 2000 en Canadá, Alemania, Noruega, Estados Unidos, Italia y Finlandia; y ha disminuido en el Reino Unido, México, Grecia y Australia. </w:t>
      </w:r>
    </w:p>
    <w:p w:rsidR="002F07D4" w:rsidRPr="0096710D" w:rsidRDefault="002F07D4" w:rsidP="002F07D4">
      <w:pPr>
        <w:pStyle w:val="Default"/>
        <w:jc w:val="both"/>
        <w:rPr>
          <w:color w:val="auto"/>
        </w:rPr>
      </w:pPr>
    </w:p>
    <w:p w:rsidR="002F07D4" w:rsidRPr="0096710D" w:rsidRDefault="002F07D4" w:rsidP="002F07D4">
      <w:pPr>
        <w:pStyle w:val="Default"/>
        <w:numPr>
          <w:ilvl w:val="0"/>
          <w:numId w:val="10"/>
        </w:numPr>
        <w:jc w:val="both"/>
        <w:rPr>
          <w:color w:val="auto"/>
        </w:rPr>
      </w:pPr>
      <w:r w:rsidRPr="0096710D">
        <w:rPr>
          <w:color w:val="auto"/>
        </w:rPr>
        <w:t xml:space="preserve">En forma general, la desigualdad ha aumentado porque a las familias ricas les ha ido particularmente bien comparadas con las de la clase media y con las que se ubican en la parte inferior de la distribución del ingreso. </w:t>
      </w:r>
    </w:p>
    <w:p w:rsidR="002F07D4" w:rsidRPr="0096710D" w:rsidRDefault="002F07D4" w:rsidP="002F07D4">
      <w:pPr>
        <w:pStyle w:val="Default"/>
        <w:jc w:val="both"/>
        <w:rPr>
          <w:color w:val="auto"/>
        </w:rPr>
      </w:pPr>
    </w:p>
    <w:p w:rsidR="002F07D4" w:rsidRPr="0096710D" w:rsidRDefault="002F07D4" w:rsidP="002F07D4">
      <w:pPr>
        <w:pStyle w:val="Default"/>
        <w:numPr>
          <w:ilvl w:val="0"/>
          <w:numId w:val="10"/>
        </w:numPr>
        <w:jc w:val="both"/>
        <w:rPr>
          <w:color w:val="auto"/>
        </w:rPr>
      </w:pPr>
      <w:r w:rsidRPr="0096710D">
        <w:rPr>
          <w:color w:val="auto"/>
        </w:rPr>
        <w:t xml:space="preserve">La pobreza de ingresos entre los ancianos ha seguido bajando; mientras que la pobreza entre los adultos jóvenes y las familias con niños ha aumentado. </w:t>
      </w:r>
    </w:p>
    <w:p w:rsidR="002F07D4" w:rsidRPr="0096710D" w:rsidRDefault="002F07D4" w:rsidP="002F07D4">
      <w:pPr>
        <w:pStyle w:val="Default"/>
        <w:jc w:val="both"/>
        <w:rPr>
          <w:color w:val="auto"/>
        </w:rPr>
      </w:pPr>
    </w:p>
    <w:p w:rsidR="002F07D4" w:rsidRDefault="002F07D4" w:rsidP="002F07D4">
      <w:pPr>
        <w:pStyle w:val="Default"/>
        <w:numPr>
          <w:ilvl w:val="0"/>
          <w:numId w:val="10"/>
        </w:numPr>
        <w:jc w:val="both"/>
        <w:rPr>
          <w:color w:val="auto"/>
        </w:rPr>
      </w:pPr>
      <w:r w:rsidRPr="0096710D">
        <w:rPr>
          <w:color w:val="auto"/>
        </w:rPr>
        <w:t xml:space="preserve">La gente pobre en países con un alto ingreso medio y una distribución del ingreso amplia (como Estados Unidos) pueden tener un nivel de vida inferior al de la gente pobre de países con un ingreso medio más bajo pero con distribuciones más estrechas (Suecia). A la inversa, la gente rica de países con bajos ingresos medios y distribuciones amplias (Italia) pueden tener un nivel de vida más alto que la gente rica de países donde el ingreso medio es más alto pero la distribución del ingreso es más estrecha (Alemania). </w:t>
      </w:r>
    </w:p>
    <w:p w:rsidR="002F07D4" w:rsidRDefault="002F07D4" w:rsidP="002F07D4">
      <w:pPr>
        <w:pStyle w:val="Prrafodelista"/>
        <w:spacing w:line="240" w:lineRule="auto"/>
      </w:pPr>
    </w:p>
    <w:p w:rsidR="002F07D4" w:rsidRPr="0096710D" w:rsidRDefault="002F07D4" w:rsidP="002F07D4">
      <w:pPr>
        <w:pStyle w:val="Default"/>
        <w:jc w:val="both"/>
        <w:rPr>
          <w:bCs/>
        </w:rPr>
      </w:pPr>
      <w:r w:rsidRPr="0096710D">
        <w:rPr>
          <w:bCs/>
        </w:rPr>
        <w:t xml:space="preserve">Factores que han impulsado los cambios en la desigualdad en los ingresos y en la pobreza a lo largo del tiempo </w:t>
      </w:r>
    </w:p>
    <w:p w:rsidR="002F07D4" w:rsidRDefault="002F07D4" w:rsidP="002F07D4">
      <w:pPr>
        <w:pStyle w:val="Default"/>
        <w:jc w:val="both"/>
        <w:rPr>
          <w:b/>
          <w:bCs/>
        </w:rPr>
      </w:pPr>
    </w:p>
    <w:p w:rsidR="002F07D4" w:rsidRPr="0096710D" w:rsidRDefault="002F07D4" w:rsidP="002F07D4">
      <w:pPr>
        <w:pStyle w:val="Default"/>
        <w:numPr>
          <w:ilvl w:val="0"/>
          <w:numId w:val="10"/>
        </w:numPr>
        <w:jc w:val="both"/>
        <w:rPr>
          <w:color w:val="auto"/>
        </w:rPr>
      </w:pPr>
      <w:r w:rsidRPr="0096710D">
        <w:rPr>
          <w:color w:val="auto"/>
        </w:rPr>
        <w:t xml:space="preserve">Los cambios en la estructura de la población son una de las causas de mayor desigualdad. Sin embargo, eso se refleja principalmente en el crecimiento de la cantidad de adultos que viven solos y no en el envejecimiento demográfico en sí. </w:t>
      </w:r>
    </w:p>
    <w:p w:rsidR="002F07D4" w:rsidRPr="0096710D" w:rsidRDefault="002F07D4" w:rsidP="002F07D4">
      <w:pPr>
        <w:pStyle w:val="Default"/>
        <w:ind w:left="720"/>
        <w:jc w:val="both"/>
        <w:rPr>
          <w:color w:val="auto"/>
        </w:rPr>
      </w:pPr>
    </w:p>
    <w:p w:rsidR="002F07D4" w:rsidRPr="0096710D" w:rsidRDefault="002F07D4" w:rsidP="002F07D4">
      <w:pPr>
        <w:pStyle w:val="Default"/>
        <w:numPr>
          <w:ilvl w:val="0"/>
          <w:numId w:val="10"/>
        </w:numPr>
        <w:jc w:val="both"/>
        <w:rPr>
          <w:color w:val="auto"/>
        </w:rPr>
      </w:pPr>
      <w:r w:rsidRPr="0096710D">
        <w:rPr>
          <w:color w:val="auto"/>
        </w:rPr>
        <w:t xml:space="preserve">Los ingresos de los trabajadores de tiempo completo se han vuelto más desiguales en casi todos los países de la OCDE. Eso se debe a que quienes ganan mucho están ganando aún más. Es probable que la globalización, el cambio tecnológico que favorece las habilidades y las políticas e instituciones del mercado laboral en conjunto hayan contribuido a ese resultado. </w:t>
      </w:r>
    </w:p>
    <w:p w:rsidR="002F07D4" w:rsidRPr="0096710D" w:rsidRDefault="002F07D4" w:rsidP="002F07D4">
      <w:pPr>
        <w:pStyle w:val="Default"/>
        <w:jc w:val="both"/>
        <w:rPr>
          <w:color w:val="auto"/>
        </w:rPr>
      </w:pPr>
    </w:p>
    <w:p w:rsidR="002F07D4" w:rsidRPr="0096710D" w:rsidRDefault="002F07D4" w:rsidP="002F07D4">
      <w:pPr>
        <w:pStyle w:val="Default"/>
        <w:numPr>
          <w:ilvl w:val="0"/>
          <w:numId w:val="10"/>
        </w:numPr>
        <w:jc w:val="both"/>
        <w:rPr>
          <w:color w:val="auto"/>
        </w:rPr>
      </w:pPr>
      <w:r w:rsidRPr="0096710D">
        <w:rPr>
          <w:color w:val="auto"/>
        </w:rPr>
        <w:t>El efecto de las discrepancias salariales más amplias en la desigualdad en los ingresos se ha compensado con mayor empleo. Sin embargo, las tasas de empleo entre la gente con menos estudios han bajado y la cesantía de las familias sigue siendo alta.</w:t>
      </w:r>
    </w:p>
    <w:p w:rsidR="002F07D4" w:rsidRPr="0096710D" w:rsidRDefault="002F07D4" w:rsidP="002F07D4">
      <w:pPr>
        <w:pStyle w:val="Default"/>
        <w:jc w:val="both"/>
        <w:rPr>
          <w:color w:val="auto"/>
        </w:rPr>
      </w:pPr>
    </w:p>
    <w:p w:rsidR="002F07D4" w:rsidRPr="0096710D" w:rsidRDefault="002F07D4" w:rsidP="002F07D4">
      <w:pPr>
        <w:pStyle w:val="Default"/>
        <w:numPr>
          <w:ilvl w:val="0"/>
          <w:numId w:val="10"/>
        </w:numPr>
        <w:jc w:val="both"/>
        <w:rPr>
          <w:color w:val="auto"/>
        </w:rPr>
      </w:pPr>
      <w:r w:rsidRPr="0096710D">
        <w:rPr>
          <w:color w:val="auto"/>
        </w:rPr>
        <w:t xml:space="preserve">Los ingresos de capital y los ingresos por trabajo autónomo se han distribuido con mucha desigualdad y más aún durante el último decenio. Estas tendencias son una causa muy importante de las desigualdades más amplias en el ingreso. </w:t>
      </w:r>
    </w:p>
    <w:p w:rsidR="002F07D4" w:rsidRPr="0096710D" w:rsidRDefault="002F07D4" w:rsidP="002F07D4">
      <w:pPr>
        <w:pStyle w:val="Default"/>
        <w:jc w:val="both"/>
        <w:rPr>
          <w:color w:val="auto"/>
        </w:rPr>
      </w:pPr>
    </w:p>
    <w:p w:rsidR="002F07D4" w:rsidRPr="0096710D" w:rsidRDefault="002F07D4" w:rsidP="002F07D4">
      <w:pPr>
        <w:pStyle w:val="Default"/>
        <w:numPr>
          <w:ilvl w:val="0"/>
          <w:numId w:val="10"/>
        </w:numPr>
        <w:jc w:val="both"/>
        <w:rPr>
          <w:color w:val="auto"/>
        </w:rPr>
      </w:pPr>
      <w:r w:rsidRPr="0096710D">
        <w:rPr>
          <w:color w:val="auto"/>
        </w:rPr>
        <w:t xml:space="preserve">El trabajo es muy eficaz para atacar la pobreza. Las tasas de pobreza entre las familias desempleadas son casi seis veces más altas que las de las familias con trabajo. </w:t>
      </w:r>
    </w:p>
    <w:p w:rsidR="002F07D4" w:rsidRPr="0096710D" w:rsidRDefault="002F07D4" w:rsidP="002F07D4">
      <w:pPr>
        <w:pStyle w:val="Default"/>
        <w:jc w:val="both"/>
        <w:rPr>
          <w:color w:val="auto"/>
        </w:rPr>
      </w:pPr>
    </w:p>
    <w:p w:rsidR="002F07D4" w:rsidRPr="0096710D" w:rsidRDefault="002F07D4" w:rsidP="002F07D4">
      <w:pPr>
        <w:pStyle w:val="Default"/>
        <w:numPr>
          <w:ilvl w:val="0"/>
          <w:numId w:val="10"/>
        </w:numPr>
        <w:jc w:val="both"/>
        <w:rPr>
          <w:color w:val="auto"/>
        </w:rPr>
      </w:pPr>
      <w:r w:rsidRPr="0096710D">
        <w:rPr>
          <w:color w:val="auto"/>
        </w:rPr>
        <w:t xml:space="preserve">Sin embargo, el trabajo no basta para evitar la pobreza. Más de la mitad de toda la gente pobre pertenece a familias con algunos ingresos, debido a una combinación de pocas horas trabajadas durante el año y a los bajos salarios o a ambos factores. Reducir la pobreza laboral a menudo requiere beneficios laborales que completen los ingresos.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rPr>
      </w:pPr>
      <w:r>
        <w:rPr>
          <w:rFonts w:ascii="Times New Roman" w:hAnsi="Times New Roman"/>
          <w:sz w:val="24"/>
          <w:szCs w:val="24"/>
        </w:rPr>
        <w:t>Al momento de redactar este Apartado (febrero de 2011), l</w:t>
      </w:r>
      <w:r w:rsidRPr="00AA56D8">
        <w:rPr>
          <w:rFonts w:ascii="Times New Roman" w:eastAsia="Times New Roman" w:hAnsi="Times New Roman"/>
          <w:sz w:val="24"/>
          <w:szCs w:val="24"/>
        </w:rPr>
        <w:t>os primeros problemas sociales</w:t>
      </w:r>
      <w:r>
        <w:rPr>
          <w:rFonts w:ascii="Times New Roman" w:eastAsia="Times New Roman" w:hAnsi="Times New Roman"/>
          <w:sz w:val="24"/>
          <w:szCs w:val="24"/>
        </w:rPr>
        <w:t xml:space="preserve"> (Túnez, Egipto…)</w:t>
      </w:r>
      <w:r w:rsidRPr="00AA56D8">
        <w:rPr>
          <w:rFonts w:ascii="Times New Roman" w:eastAsia="Times New Roman" w:hAnsi="Times New Roman"/>
          <w:sz w:val="24"/>
          <w:szCs w:val="24"/>
        </w:rPr>
        <w:t xml:space="preserve"> se están empezando a ver: los riesgos geopolíticos no van a dejar de crecer en los próximos meses. Eso, a fin de cuentas, es lo que suele ocurrir históricamente cuando a una crisis financiera se le suma una crisis económica de estas dimensiones, especialmente en zonas geográficas donde además hay carencias de todo tipo y, sobre todo, grandes desigualdades</w:t>
      </w:r>
      <w:r w:rsidRPr="00D52974">
        <w:rPr>
          <w:rFonts w:ascii="Times New Roman" w:eastAsia="Times New Roman" w:hAnsi="Times New Roman"/>
          <w:sz w:val="24"/>
          <w:szCs w:val="24"/>
        </w:rPr>
        <w:t xml:space="preserve">. Atentos a las desigualdades porque van a dar </w:t>
      </w:r>
      <w:r>
        <w:rPr>
          <w:rFonts w:ascii="Times New Roman" w:eastAsia="Times New Roman" w:hAnsi="Times New Roman"/>
          <w:sz w:val="24"/>
          <w:szCs w:val="24"/>
        </w:rPr>
        <w:t>tremendos quebraderos de cabeza</w:t>
      </w:r>
      <w:r w:rsidRPr="00D52974">
        <w:rPr>
          <w:rFonts w:ascii="Times New Roman" w:eastAsia="Times New Roman" w:hAnsi="Times New Roman"/>
          <w:sz w:val="24"/>
          <w:szCs w:val="24"/>
        </w:rPr>
        <w:t>.</w:t>
      </w:r>
    </w:p>
    <w:p w:rsidR="002F07D4" w:rsidRPr="00D52974" w:rsidRDefault="002F07D4" w:rsidP="002F07D4">
      <w:pPr>
        <w:spacing w:before="100" w:beforeAutospacing="1" w:after="100" w:afterAutospacing="1" w:line="240" w:lineRule="auto"/>
        <w:jc w:val="both"/>
        <w:rPr>
          <w:rFonts w:ascii="Times New Roman" w:eastAsia="Times New Roman" w:hAnsi="Times New Roman"/>
          <w:sz w:val="24"/>
          <w:szCs w:val="24"/>
        </w:rPr>
      </w:pPr>
      <w:r w:rsidRPr="00D52974">
        <w:rPr>
          <w:rFonts w:ascii="Times New Roman" w:eastAsia="Times New Roman" w:hAnsi="Times New Roman"/>
          <w:sz w:val="24"/>
          <w:szCs w:val="24"/>
        </w:rPr>
        <w:t>Los problemas derivados del altísimo endeudamiento público y privado no van a desaparecer rápidam</w:t>
      </w:r>
      <w:r>
        <w:rPr>
          <w:rFonts w:ascii="Times New Roman" w:eastAsia="Times New Roman" w:hAnsi="Times New Roman"/>
          <w:sz w:val="24"/>
          <w:szCs w:val="24"/>
        </w:rPr>
        <w:t>ente, las dificultades devenidas</w:t>
      </w:r>
      <w:r w:rsidRPr="00D52974">
        <w:rPr>
          <w:rFonts w:ascii="Times New Roman" w:eastAsia="Times New Roman" w:hAnsi="Times New Roman"/>
          <w:sz w:val="24"/>
          <w:szCs w:val="24"/>
        </w:rPr>
        <w:t xml:space="preserve"> de la montaña de deuda acumulada están aquí para quedarse durante mucho tiempo. Gobiernos y mercados están mirando a 2011, pero lo realmente preocupante no es este año sino el próximo lustro, prácticamente la próxima década: algunos países van a tener que hacer algo, y pronto, para que no veamos graves problemas o al menos un larguísimo estancamiento. Va a haber muchos periodos de volatilidad, porque así son las poscrisis con alto endeudamiento: los shocks pequeños se amplifican. Eso para los países desarrollados. Para los emergentes, ahí está de nuevo la inflación y el fantasma de una nueva burbuja. Y para todo el mundo, tal vez la mayor amenaza son las tensiones políticas, las crisis sociales, de las que hemos visto sólo el principio. Los beneficios de las multinacionales están creciendo y la participación de los trabajadores en el reparto de la riqueza ha estado cayendo: ése es un problema global.</w:t>
      </w:r>
    </w:p>
    <w:p w:rsidR="002F07D4" w:rsidRPr="0040752C" w:rsidRDefault="002F07D4" w:rsidP="002F07D4">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 xml:space="preserve">En toda Europa, Asia y América, las corporaciones nadan en efectivo, mientras su implacable búsqueda de eficiencia sigue generando enormes ganancias. Sin embargo, la </w:t>
      </w:r>
      <w:r w:rsidRPr="0040752C">
        <w:rPr>
          <w:rFonts w:ascii="Times New Roman" w:eastAsia="Times New Roman" w:hAnsi="Times New Roman"/>
          <w:sz w:val="24"/>
          <w:szCs w:val="24"/>
        </w:rPr>
        <w:lastRenderedPageBreak/>
        <w:t>porción de la torta que les corresponde a los trabajadores se está reduciendo, gracias al alto desempleo, a las jornadas reducidas de trabajo y a los salarios estancados.</w:t>
      </w:r>
    </w:p>
    <w:p w:rsidR="002F07D4" w:rsidRPr="0040752C" w:rsidRDefault="002F07D4" w:rsidP="002F07D4">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 xml:space="preserve">Paradójicamente, la realidad es que las mediciones de desigualdad de ingresos y riqueza entre países están cayendo, gracias a un crecimiento robusto constante en los mercados emergentes. Pero a la mayoría de la gente le importa más lo bien que le va en relación a sus vecinos que a ciudadanos de tierras lejanas. </w:t>
      </w:r>
    </w:p>
    <w:p w:rsidR="002F07D4" w:rsidRPr="0040752C" w:rsidRDefault="002F07D4" w:rsidP="002F07D4">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 xml:space="preserve">A los ricos les está yendo esencialmente bien. Los mercados bursátiles globales se recuperaron. Muchos países son testigos de un crecimiento vigoroso de los precios de la vivienda, de las propiedades comerciales o de ambos. Los renacientes precios de las materias primas están creando enormes ingresos para los dueños de minas y pozos petroleros, incluso a pesar de que las subas de precios de los alimentos básicos están desatando disturbios, si no completas revoluciones, en el mundo en desarrollo. Internet y el sector financiero siguen desovando nuevos millonarios y hasta multimillonarios a un ritmo asombroso. </w:t>
      </w:r>
    </w:p>
    <w:p w:rsidR="002F07D4" w:rsidRPr="0040752C" w:rsidRDefault="002F07D4" w:rsidP="002F07D4">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 xml:space="preserve">Las causas de la creciente desigualdad en el interior de los países son bien entendibles, y  ya han sido desgranadas aquí. Vivimos en una época en la que la globalización expande el mercado para los individuos ultra talentosos, pero hace que la competencia deje afuera a los empleados comunes. La competencia entre países por individuos calificados e industrias rentables, a su vez, limita la capacidad de los gobiernos de mantener impuestos elevados a los ricos. La movilidad social está aún más afectada porque los ricos les brindan a sus hijos una educación privada y ayuda post-escolar, mientras que los más pobres en muchos países no pueden permitirse ni siquiera que sus hijos sigan yendo a la escuela. </w:t>
      </w:r>
    </w:p>
    <w:p w:rsidR="002F07D4" w:rsidRPr="0040752C" w:rsidRDefault="002F07D4" w:rsidP="002F07D4">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En el siglo XIX, Karl Marx observó maravillosamente las tendencias de desigualdad en sus días y concluyó que el capitalismo no podía sustentarse políticamente de manera indefinida. Llegado el caso, los trabajadores se levantarían y derrocarían el sistema. Transcurrida la primera década del siglo XXI, aún se espera que llegue el caso… Mientras, fuera de Cuba, Corea del Norte y unas pocas universidades de izquierda en todo el mundo, ya nadie se toma en serio a Marx.</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Sin embargo, en un momento en que la desigualdad alcanza niveles similares a los de hace 100 años, el statu quo tiene que ser vulnerable. La inestabilidad puede expresarse en cualquier parte. Fue apenas hace poco más de cuatro décadas que los disturbios urbanos y las manifestaciones masivas sacudieron al mundo desarrollado, catalizando en definitiva reformas sociales y políticas de amplio alcance</w:t>
      </w:r>
      <w:r>
        <w:rPr>
          <w:rFonts w:ascii="Times New Roman" w:eastAsia="Times New Roman" w:hAnsi="Times New Roman"/>
          <w:sz w:val="24"/>
          <w:szCs w:val="24"/>
        </w:rPr>
        <w:t>…</w:t>
      </w:r>
    </w:p>
    <w:p w:rsidR="002F07D4" w:rsidRPr="00AF7613" w:rsidRDefault="002F07D4" w:rsidP="002F07D4">
      <w:pPr>
        <w:spacing w:line="240" w:lineRule="auto"/>
        <w:jc w:val="both"/>
        <w:rPr>
          <w:rFonts w:ascii="Times New Roman" w:hAnsi="Times New Roman"/>
          <w:b/>
          <w:sz w:val="24"/>
          <w:szCs w:val="24"/>
        </w:rPr>
      </w:pPr>
      <w:r>
        <w:rPr>
          <w:rFonts w:ascii="Times New Roman" w:hAnsi="Times New Roman"/>
          <w:sz w:val="24"/>
          <w:szCs w:val="24"/>
        </w:rPr>
        <w:t>En el</w:t>
      </w:r>
      <w:r w:rsidRPr="00A75908">
        <w:rPr>
          <w:rFonts w:ascii="Times New Roman" w:hAnsi="Times New Roman"/>
          <w:sz w:val="24"/>
          <w:szCs w:val="24"/>
        </w:rPr>
        <w:t xml:space="preserve"> Ensayo:</w:t>
      </w:r>
      <w:r>
        <w:rPr>
          <w:rFonts w:ascii="Times New Roman" w:hAnsi="Times New Roman"/>
          <w:b/>
          <w:sz w:val="24"/>
          <w:szCs w:val="24"/>
        </w:rPr>
        <w:t xml:space="preserve"> El “factor” Bernanke: otro “Maestro” que se cae del tabernáculo (Hagiografía -no autorizada- del heterodoxo “socializador” de las pérdidas del sistema financiero) - (Parte II), </w:t>
      </w:r>
      <w:r>
        <w:rPr>
          <w:rFonts w:ascii="Times New Roman" w:hAnsi="Times New Roman"/>
          <w:sz w:val="24"/>
          <w:szCs w:val="24"/>
        </w:rPr>
        <w:t>p</w:t>
      </w:r>
      <w:r w:rsidRPr="00A75908">
        <w:rPr>
          <w:rFonts w:ascii="Times New Roman" w:hAnsi="Times New Roman"/>
          <w:sz w:val="24"/>
          <w:szCs w:val="24"/>
        </w:rPr>
        <w:t>ublicado en Junio de 2013</w:t>
      </w:r>
      <w:r>
        <w:rPr>
          <w:rFonts w:ascii="Times New Roman" w:hAnsi="Times New Roman"/>
          <w:sz w:val="24"/>
          <w:szCs w:val="24"/>
        </w:rPr>
        <w:t>, decía:</w:t>
      </w:r>
    </w:p>
    <w:p w:rsidR="002F07D4" w:rsidRDefault="002F07D4" w:rsidP="002F07D4">
      <w:pPr>
        <w:spacing w:line="240" w:lineRule="auto"/>
        <w:jc w:val="both"/>
        <w:rPr>
          <w:rFonts w:ascii="Times New Roman" w:hAnsi="Times New Roman"/>
          <w:b/>
          <w:sz w:val="24"/>
          <w:szCs w:val="24"/>
        </w:rPr>
      </w:pPr>
      <w:r>
        <w:rPr>
          <w:rFonts w:ascii="Times New Roman" w:hAnsi="Times New Roman"/>
          <w:sz w:val="24"/>
          <w:szCs w:val="24"/>
        </w:rPr>
        <w:t>(</w:t>
      </w:r>
      <w:r w:rsidRPr="00A75908">
        <w:rPr>
          <w:rFonts w:ascii="Times New Roman" w:hAnsi="Times New Roman"/>
          <w:sz w:val="24"/>
          <w:szCs w:val="24"/>
        </w:rPr>
        <w:t>Apartado 10</w:t>
      </w:r>
      <w:r>
        <w:rPr>
          <w:rFonts w:ascii="Times New Roman" w:hAnsi="Times New Roman"/>
          <w:sz w:val="24"/>
          <w:szCs w:val="24"/>
        </w:rPr>
        <w:t>)</w:t>
      </w:r>
      <w:r>
        <w:rPr>
          <w:rFonts w:ascii="Times New Roman" w:hAnsi="Times New Roman"/>
          <w:b/>
          <w:sz w:val="24"/>
          <w:szCs w:val="24"/>
        </w:rPr>
        <w:t xml:space="preserve"> - Canción triste de Main Street (el Día de la víctima)</w:t>
      </w:r>
    </w:p>
    <w:p w:rsidR="002F07D4" w:rsidRPr="00C03EA7" w:rsidRDefault="002F07D4" w:rsidP="002F07D4">
      <w:pPr>
        <w:pStyle w:val="NormalWeb"/>
        <w:jc w:val="both"/>
        <w:rPr>
          <w:b/>
        </w:rPr>
      </w:pPr>
      <w:r w:rsidRPr="00C03EA7">
        <w:rPr>
          <w:b/>
        </w:rPr>
        <w:t>Asalto a la ilusión</w:t>
      </w:r>
    </w:p>
    <w:p w:rsidR="002F07D4" w:rsidRPr="00AF7613" w:rsidRDefault="002F07D4" w:rsidP="002F07D4">
      <w:pPr>
        <w:pStyle w:val="NormalWeb"/>
        <w:jc w:val="both"/>
      </w:pPr>
      <w:r w:rsidRPr="00AF7613">
        <w:t xml:space="preserve">Cuando era pequeño, mi padre, hijo de inmigrantes (que sabía muy bien lo que era la pobreza), me decía: si tú estudias y terminas la escuela primaria, nunca tendrás que ser </w:t>
      </w:r>
      <w:r w:rsidRPr="00AF7613">
        <w:lastRenderedPageBreak/>
        <w:t xml:space="preserve">peón de campo… si terminas el colegio secundario, nunca tendrás que ser peón de albañil… y si terminas la universidad… tendrás la vida asegurada. </w:t>
      </w:r>
    </w:p>
    <w:p w:rsidR="002F07D4" w:rsidRPr="00AF7613" w:rsidRDefault="002F07D4" w:rsidP="002F07D4">
      <w:pPr>
        <w:pStyle w:val="NormalWeb"/>
        <w:jc w:val="both"/>
      </w:pPr>
      <w:r w:rsidRPr="00AF7613">
        <w:t xml:space="preserve">Ese “paradigma” fue cierto hasta en la remota, falaz y fugaz Argentina. Ese país donde alguna vez sus pobladores se creyeron que eran ingleses que hablaban en francés, y un día descubrieron que eran italianos que hablaban en español. Ese país que se creyó elegido por Dios, para que en sus campos creciera de noche lo que no se podían comer durante el día. Ese país que estaba predestinado al éxito y terminó siendo el mayor ejemplo mundial de fracaso económico. </w:t>
      </w:r>
    </w:p>
    <w:p w:rsidR="002F07D4" w:rsidRPr="00AF7613" w:rsidRDefault="002F07D4" w:rsidP="002F07D4">
      <w:pPr>
        <w:pStyle w:val="NormalWeb"/>
        <w:jc w:val="both"/>
      </w:pPr>
      <w:r w:rsidRPr="00AF7613">
        <w:t xml:space="preserve">Así y todo, al menos hasta los años 80, ese proyecto de vida fue cierto. El ascensor social funcionaba. Los hijos (en la mayoría de los casos) superaban a sus padres en “calidad” de trabajo, “nivel” de remuneración y “progreso” social. En definitiva mi padre tuvo razón y sus dos hijos universitarios… tuvieron la vida asegurada. </w:t>
      </w:r>
    </w:p>
    <w:p w:rsidR="002F07D4" w:rsidRPr="00AF7613" w:rsidRDefault="002F07D4" w:rsidP="002F07D4">
      <w:pPr>
        <w:pStyle w:val="NormalWeb"/>
        <w:jc w:val="both"/>
      </w:pPr>
      <w:r w:rsidRPr="00AF7613">
        <w:t>Después paso lo que pasó en Argentina, y eso ya es otra historia…</w:t>
      </w:r>
    </w:p>
    <w:p w:rsidR="002F07D4" w:rsidRPr="00AF7613" w:rsidRDefault="002F07D4" w:rsidP="002F07D4">
      <w:pPr>
        <w:pStyle w:val="NormalWeb"/>
        <w:jc w:val="both"/>
      </w:pPr>
      <w:r w:rsidRPr="00AF7613">
        <w:t>Luego de casi 25 años de exilio voluntario en la “avanzada” Europa, ¿podría hacer a mis hijas (o nietos) el planteo que mi padre me hizo en la lejana Argentina, allí por 1950?</w:t>
      </w:r>
    </w:p>
    <w:p w:rsidR="002F07D4" w:rsidRPr="00AF7613" w:rsidRDefault="002F07D4" w:rsidP="002F07D4">
      <w:pPr>
        <w:pStyle w:val="NormalWeb"/>
        <w:jc w:val="both"/>
      </w:pPr>
      <w:r w:rsidRPr="00AF7613">
        <w:t>¿Pueden hoy los jóvenes, mejor preparados que sus padres (en un gran porcentaje), esperar un nivel de vida más alto que el de sus padres? No digamos un mejor nivel de vida… ¿al menos un trabajo mejor que el de sus padres? No digamos un trabajo mejor… ¿al menos un trabajo?</w:t>
      </w:r>
    </w:p>
    <w:p w:rsidR="002F07D4" w:rsidRPr="00AF7613" w:rsidRDefault="002F07D4" w:rsidP="002F07D4">
      <w:pPr>
        <w:pStyle w:val="NormalWeb"/>
        <w:jc w:val="both"/>
      </w:pPr>
      <w:r w:rsidRPr="00AF7613">
        <w:t xml:space="preserve">Todas las respuestas son NO. Con un 50% de paro juvenil, no hay casi ninguna (podría decir, ninguna, sin pecar de pesimismo) probabilidad de que puedan tener un mejor trabajo que sus padres. “Década perdida” o ¿generaciones perdidas?…  </w:t>
      </w:r>
    </w:p>
    <w:p w:rsidR="002F07D4" w:rsidRPr="00AF7613" w:rsidRDefault="002F07D4" w:rsidP="002F07D4">
      <w:pPr>
        <w:pStyle w:val="NormalWeb"/>
        <w:jc w:val="both"/>
      </w:pPr>
      <w:r w:rsidRPr="00AF7613">
        <w:t xml:space="preserve">Y no estoy hablando de los ni nis (que va de suyo), sino de graduados universitarios (a veces, con masters e idiomas). Un 20% de paro juvenil universitario, varios años de espera antes de tener un primer empleo. Becarios eternos, estudiantes aparcados en guarderías universitarias (el master del master, el idioma del idioma…). “Talludos” que se ven obligados a continuar viviendo “con” sus padres o (peor aún) “de” sus padres.  </w:t>
      </w:r>
    </w:p>
    <w:p w:rsidR="002F07D4" w:rsidRPr="00AF7613" w:rsidRDefault="002F07D4" w:rsidP="002F07D4">
      <w:pPr>
        <w:pStyle w:val="NormalWeb"/>
        <w:jc w:val="both"/>
      </w:pPr>
      <w:r w:rsidRPr="00AF7613">
        <w:t>Han destruido el mercado de trabajo, han roto el ascensor social, han limitado las posibilidades de constituir nuevas familias, han cercenado la natalidad…</w:t>
      </w:r>
    </w:p>
    <w:p w:rsidR="002F07D4" w:rsidRPr="00AF7613" w:rsidRDefault="002F07D4" w:rsidP="002F07D4">
      <w:pPr>
        <w:pStyle w:val="NormalWeb"/>
        <w:jc w:val="both"/>
      </w:pPr>
      <w:r w:rsidRPr="00AF7613">
        <w:t>Han transformado el Primer Mundo en el Tercer Mundo. Lo que se dice, todo un éxito. Bravo por la financierización de la economía, por la globalización, por el librecambio, por la desregulación, por la privatización, por la deslocalización, por la competitividad, por la economía de casino, por la turboeconomía, por la economía de “manos libres”. Bienvenidos al subdesarrollo.</w:t>
      </w:r>
    </w:p>
    <w:p w:rsidR="002F07D4" w:rsidRPr="00AF7613" w:rsidRDefault="002F07D4" w:rsidP="002F07D4">
      <w:pPr>
        <w:pStyle w:val="NormalWeb"/>
        <w:jc w:val="both"/>
      </w:pPr>
      <w:r w:rsidRPr="00AF7613">
        <w:t>¿Qué guerra o catástrofe natural asoló Europa para que su clase media tenga que recurrir a la Cruz Roja en busca de ayuda?</w:t>
      </w:r>
    </w:p>
    <w:p w:rsidR="002F07D4" w:rsidRPr="00AF7613" w:rsidRDefault="002F07D4" w:rsidP="002F07D4">
      <w:pPr>
        <w:pStyle w:val="NormalWeb"/>
        <w:jc w:val="both"/>
      </w:pPr>
      <w:r w:rsidRPr="00AF7613">
        <w:t>¿Qué razón hay para admitir la perspectiva de una generación perdida de gente joven, destinada a sufrir durante toda su vida lo peor del desempleo y sus condiciones sociales?</w:t>
      </w:r>
    </w:p>
    <w:p w:rsidR="002F07D4" w:rsidRPr="00AF7613" w:rsidRDefault="002F07D4" w:rsidP="002F07D4">
      <w:pPr>
        <w:pStyle w:val="NormalWeb"/>
        <w:jc w:val="both"/>
      </w:pPr>
      <w:r w:rsidRPr="00AF7613">
        <w:lastRenderedPageBreak/>
        <w:t>¿Qué siniestro ha ocurrido en los EEUU donde desde enero de 2009 el número de estadounidenses que necesitan cupones de comidas se ha disparado desde los 32 millones hasta los 43 millones?</w:t>
      </w:r>
    </w:p>
    <w:p w:rsidR="002F07D4" w:rsidRPr="00AF7613" w:rsidRDefault="002F07D4" w:rsidP="002F07D4">
      <w:pPr>
        <w:pStyle w:val="NormalWeb"/>
        <w:jc w:val="both"/>
      </w:pPr>
      <w:r w:rsidRPr="00AF7613">
        <w:t>¿Qué acontecimiento trágico ha ocurrido en el Reino Unido para que el poder adquisitivo de los británicos acabara en 2011 en niveles de 2005, un estancamiento tal que hay que irse 80 años atrás en el país anglosajón para ver algo similar?</w:t>
      </w:r>
    </w:p>
    <w:p w:rsidR="002F07D4" w:rsidRPr="00AF7613" w:rsidRDefault="002F07D4" w:rsidP="002F07D4">
      <w:pPr>
        <w:pStyle w:val="NormalWeb"/>
        <w:jc w:val="both"/>
      </w:pPr>
      <w:r w:rsidRPr="00AF7613">
        <w:t xml:space="preserve">En el </w:t>
      </w:r>
      <w:r w:rsidRPr="00AF7613">
        <w:rPr>
          <w:bCs/>
        </w:rPr>
        <w:t>“Manifiesto de economistas aterrados”</w:t>
      </w:r>
      <w:r w:rsidRPr="00AF7613">
        <w:t xml:space="preserve">, escrito en 2011 en Francia por cuatro economistas galos </w:t>
      </w:r>
      <w:r w:rsidRPr="00AF7613">
        <w:rPr>
          <w:b/>
        </w:rPr>
        <w:t>-</w:t>
      </w:r>
      <w:r w:rsidRPr="00AF7613">
        <w:rPr>
          <w:rStyle w:val="Textoennegrita"/>
        </w:rPr>
        <w:t>Philippe Askenazy</w:t>
      </w:r>
      <w:r w:rsidRPr="00AF7613">
        <w:rPr>
          <w:b/>
        </w:rPr>
        <w:t xml:space="preserve">, </w:t>
      </w:r>
      <w:r w:rsidRPr="00AF7613">
        <w:rPr>
          <w:rStyle w:val="Textoennegrita"/>
        </w:rPr>
        <w:t>Thomas Coutrot</w:t>
      </w:r>
      <w:r w:rsidRPr="00AF7613">
        <w:rPr>
          <w:b/>
        </w:rPr>
        <w:t xml:space="preserve">, </w:t>
      </w:r>
      <w:r w:rsidRPr="00AF7613">
        <w:rPr>
          <w:rStyle w:val="Textoennegrita"/>
        </w:rPr>
        <w:t>André Orléan</w:t>
      </w:r>
      <w:r w:rsidRPr="00AF7613">
        <w:rPr>
          <w:b/>
        </w:rPr>
        <w:t xml:space="preserve"> y </w:t>
      </w:r>
      <w:r w:rsidRPr="00AF7613">
        <w:rPr>
          <w:rStyle w:val="Textoennegrita"/>
        </w:rPr>
        <w:t>Henri Sterdyniak</w:t>
      </w:r>
      <w:r w:rsidRPr="00AF7613">
        <w:rPr>
          <w:b/>
        </w:rPr>
        <w:t>-</w:t>
      </w:r>
      <w:r w:rsidRPr="00AF7613">
        <w:t xml:space="preserve">, lanzado en España en abril de 2011 y al que se han adherido ya más de tres mil doscientos colegas (a enero de 2012), se denuncian </w:t>
      </w:r>
      <w:r w:rsidRPr="00AF7613">
        <w:rPr>
          <w:bCs/>
        </w:rPr>
        <w:t>las diez falsas evidencias que “se invocan para justificar las políticas que actualmente se llevan a cabo en Europa</w:t>
      </w:r>
      <w:r w:rsidRPr="00AF7613">
        <w:t xml:space="preserve">”. El análisis de estos economistas, aunque formulado con aliento socialdemócrata, conecta con una percepción que tiende a generalizarse. Porque constatan que, pese a la crisis, “no se han puesto de ninguna manera en cuestión los fundamentos del poder de las finanzas”, por lo que esta recesión requiere </w:t>
      </w:r>
      <w:r w:rsidRPr="00AF7613">
        <w:rPr>
          <w:bCs/>
        </w:rPr>
        <w:t>“la refundación del pensamiento económico”.</w:t>
      </w:r>
    </w:p>
    <w:p w:rsidR="002F07D4" w:rsidRPr="00AF7613" w:rsidRDefault="002F07D4" w:rsidP="002F07D4">
      <w:pPr>
        <w:pStyle w:val="NormalWeb"/>
        <w:jc w:val="both"/>
      </w:pPr>
      <w:r w:rsidRPr="00AF7613">
        <w:t xml:space="preserve">Para los “aterrados” expertos son falsas las siguientes evidencias: </w:t>
      </w:r>
      <w:r w:rsidRPr="00AF7613">
        <w:rPr>
          <w:bCs/>
        </w:rPr>
        <w:t>1)</w:t>
      </w:r>
      <w:r w:rsidRPr="00AF7613">
        <w:t xml:space="preserve"> la de que los mercados financieros sean eficientes; </w:t>
      </w:r>
      <w:r w:rsidRPr="00AF7613">
        <w:rPr>
          <w:bCs/>
        </w:rPr>
        <w:t>2)</w:t>
      </w:r>
      <w:r w:rsidRPr="00AF7613">
        <w:t xml:space="preserve"> la de que los mercados financieros favorezcan el crecimiento económico; </w:t>
      </w:r>
      <w:r w:rsidRPr="00AF7613">
        <w:rPr>
          <w:bCs/>
        </w:rPr>
        <w:t>3)</w:t>
      </w:r>
      <w:r w:rsidRPr="00AF7613">
        <w:t xml:space="preserve"> la de que los mercados son buenos jueces de la solvencia de los Estados; </w:t>
      </w:r>
      <w:r w:rsidRPr="00AF7613">
        <w:rPr>
          <w:bCs/>
        </w:rPr>
        <w:t>4)</w:t>
      </w:r>
      <w:r w:rsidRPr="00AF7613">
        <w:t xml:space="preserve"> la de que el alza excesiva de la deuda pública es consecuencia de un exceso de gasto; </w:t>
      </w:r>
      <w:r w:rsidRPr="00AF7613">
        <w:rPr>
          <w:bCs/>
        </w:rPr>
        <w:t>5)</w:t>
      </w:r>
      <w:r w:rsidRPr="00AF7613">
        <w:t xml:space="preserve"> la de que hay que reducir los gastos para reducir la deuda pública; </w:t>
      </w:r>
      <w:r w:rsidRPr="00AF7613">
        <w:rPr>
          <w:bCs/>
        </w:rPr>
        <w:t>6)</w:t>
      </w:r>
      <w:r w:rsidRPr="00AF7613">
        <w:t xml:space="preserve"> la de que la deuda pública transfiere el precio de nuestros excesos a nuestros nietos; </w:t>
      </w:r>
      <w:r w:rsidRPr="00AF7613">
        <w:rPr>
          <w:bCs/>
        </w:rPr>
        <w:t>7)</w:t>
      </w:r>
      <w:r w:rsidRPr="00AF7613">
        <w:t xml:space="preserve"> la de que hay que tranquilizar a los mercados financieros para poder financiar la deuda pública; </w:t>
      </w:r>
      <w:r w:rsidRPr="00AF7613">
        <w:rPr>
          <w:bCs/>
        </w:rPr>
        <w:t>8)</w:t>
      </w:r>
      <w:r w:rsidRPr="00AF7613">
        <w:t xml:space="preserve"> la de que la Unión Europea defiende el modelo socialeuropeo; </w:t>
      </w:r>
      <w:r w:rsidRPr="00AF7613">
        <w:rPr>
          <w:bCs/>
        </w:rPr>
        <w:t>9)</w:t>
      </w:r>
      <w:r w:rsidRPr="00AF7613">
        <w:t xml:space="preserve"> la de que el euro es un escudo contra la crisis, y </w:t>
      </w:r>
      <w:r w:rsidRPr="00AF7613">
        <w:rPr>
          <w:bCs/>
        </w:rPr>
        <w:t>10)</w:t>
      </w:r>
      <w:r w:rsidRPr="00AF7613">
        <w:t xml:space="preserve"> la de que la crisis griega ha permitido por fin avanzar hacia un gobierno económico y una verdadera solidaridad europea.</w:t>
      </w:r>
    </w:p>
    <w:p w:rsidR="002F07D4" w:rsidRDefault="002F07D4" w:rsidP="002F07D4">
      <w:pPr>
        <w:pStyle w:val="NormalWeb"/>
        <w:jc w:val="both"/>
        <w:rPr>
          <w:bCs/>
        </w:rPr>
      </w:pPr>
      <w:r w:rsidRPr="00AF7613">
        <w:t xml:space="preserve">Obviamente, no todas “las falsas evidencias” de los “economista aterrados” son por igual convincentes, pero lo es el predominio que ellos denuncian: la política neoliberal como única opción que viene impuesta desde los mismos centros de decisión en los que se gestó la crisis. </w:t>
      </w:r>
      <w:r w:rsidRPr="00AF7613">
        <w:rPr>
          <w:bCs/>
        </w:rPr>
        <w:t>No se trata de un problema ideológico sino empírico: el ajuste infinito nos lleva a una recesión de profundidad incalculable</w:t>
      </w:r>
      <w:r>
        <w:rPr>
          <w:bCs/>
        </w:rPr>
        <w:t>.</w:t>
      </w:r>
    </w:p>
    <w:p w:rsidR="002F07D4" w:rsidRPr="004D1DFB" w:rsidRDefault="002F07D4" w:rsidP="002F07D4">
      <w:pPr>
        <w:spacing w:line="240" w:lineRule="auto"/>
        <w:jc w:val="both"/>
        <w:rPr>
          <w:rFonts w:ascii="Times New Roman" w:hAnsi="Times New Roman"/>
          <w:sz w:val="24"/>
          <w:szCs w:val="24"/>
        </w:rPr>
      </w:pPr>
      <w:r>
        <w:rPr>
          <w:rFonts w:ascii="Times New Roman" w:hAnsi="Times New Roman"/>
          <w:i/>
          <w:sz w:val="24"/>
          <w:szCs w:val="24"/>
        </w:rPr>
        <w:t>“</w:t>
      </w:r>
      <w:r w:rsidRPr="0015446E">
        <w:rPr>
          <w:rFonts w:ascii="Times New Roman" w:hAnsi="Times New Roman"/>
          <w:i/>
          <w:sz w:val="24"/>
          <w:szCs w:val="24"/>
        </w:rPr>
        <w:t>Los economistas esperan que, cerca de una cuarta parte de los 8,4 millones de empleos que fueron eliminados desde el inicio de la recesión en Estados Unidos, no volverán a ser creados y a la larga, estos deberán ser reemplazados por otros tipos de trabajo en sectores en crecimiento, según la última encuesta de The Wall Street Journal</w:t>
      </w:r>
      <w:r>
        <w:rPr>
          <w:rFonts w:ascii="Times New Roman" w:hAnsi="Times New Roman"/>
          <w:i/>
          <w:sz w:val="24"/>
          <w:szCs w:val="24"/>
        </w:rPr>
        <w:t>”..</w:t>
      </w:r>
      <w:r w:rsidRPr="0015446E">
        <w:rPr>
          <w:rFonts w:ascii="Times New Roman" w:hAnsi="Times New Roman"/>
          <w:i/>
          <w:sz w:val="24"/>
          <w:szCs w:val="24"/>
        </w:rPr>
        <w:t>.</w:t>
      </w:r>
      <w:r w:rsidRPr="004D1DFB">
        <w:rPr>
          <w:rFonts w:ascii="Times New Roman" w:hAnsi="Times New Roman"/>
          <w:sz w:val="24"/>
          <w:szCs w:val="24"/>
          <w:u w:val="single"/>
        </w:rPr>
        <w:t>Según econo</w:t>
      </w:r>
      <w:r>
        <w:rPr>
          <w:rFonts w:ascii="Times New Roman" w:hAnsi="Times New Roman"/>
          <w:sz w:val="24"/>
          <w:szCs w:val="24"/>
          <w:u w:val="single"/>
        </w:rPr>
        <w:t>mistas, muchos empleos en EEUU</w:t>
      </w:r>
      <w:r w:rsidRPr="004D1DFB">
        <w:rPr>
          <w:rFonts w:ascii="Times New Roman" w:hAnsi="Times New Roman"/>
          <w:sz w:val="24"/>
          <w:szCs w:val="24"/>
          <w:u w:val="single"/>
        </w:rPr>
        <w:t xml:space="preserve"> no volverán a ser creados</w:t>
      </w:r>
      <w:r>
        <w:rPr>
          <w:rFonts w:ascii="Times New Roman" w:hAnsi="Times New Roman"/>
          <w:sz w:val="24"/>
          <w:szCs w:val="24"/>
        </w:rPr>
        <w:t xml:space="preserve"> (The Wall Street Journal - </w:t>
      </w:r>
      <w:r w:rsidRPr="004D1DFB">
        <w:rPr>
          <w:rFonts w:ascii="Times New Roman" w:hAnsi="Times New Roman"/>
          <w:b/>
          <w:sz w:val="24"/>
          <w:szCs w:val="24"/>
        </w:rPr>
        <w:t>11/2/10</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u w:val="single"/>
        </w:rPr>
      </w:pPr>
      <w:r>
        <w:rPr>
          <w:rFonts w:ascii="Times New Roman" w:hAnsi="Times New Roman"/>
          <w:sz w:val="24"/>
          <w:szCs w:val="24"/>
          <w:u w:val="single"/>
        </w:rPr>
        <w:t>¿Nuevos paradigmas? Un modelo insostenible (el daño autoinfligido): t</w:t>
      </w:r>
      <w:r w:rsidRPr="002067BA">
        <w:rPr>
          <w:rFonts w:ascii="Times New Roman" w:hAnsi="Times New Roman"/>
          <w:sz w:val="24"/>
          <w:szCs w:val="24"/>
          <w:u w:val="single"/>
        </w:rPr>
        <w:t>enemos que continuar corriendo, como ardillas enjauladas. ¿Por cuánto tiempo? Mientra</w:t>
      </w:r>
      <w:r>
        <w:rPr>
          <w:rFonts w:ascii="Times New Roman" w:hAnsi="Times New Roman"/>
          <w:sz w:val="24"/>
          <w:szCs w:val="24"/>
          <w:u w:val="single"/>
        </w:rPr>
        <w:t>s podamos...</w:t>
      </w:r>
    </w:p>
    <w:p w:rsidR="002F07D4" w:rsidRPr="00684A85" w:rsidRDefault="002F07D4" w:rsidP="002F07D4">
      <w:pPr>
        <w:pStyle w:val="NormalWeb"/>
        <w:jc w:val="both"/>
      </w:pPr>
      <w:r w:rsidRPr="00684A85">
        <w:rPr>
          <w:b/>
        </w:rPr>
        <w:t>Manifiesto de un economista “defraudado” (además de “aterrado”): no se puede justificar lo injustificable</w:t>
      </w:r>
      <w:r>
        <w:t xml:space="preserve">(escrito a principios de 2012) </w:t>
      </w:r>
    </w:p>
    <w:p w:rsidR="002F07D4" w:rsidRPr="00AF7613" w:rsidRDefault="002F07D4" w:rsidP="002F07D4">
      <w:pPr>
        <w:pStyle w:val="NormalWeb"/>
        <w:jc w:val="both"/>
      </w:pPr>
      <w:r w:rsidRPr="00AF7613">
        <w:t>No es cierto que los pobres sean los culpables de la crisis (créditos subprime).</w:t>
      </w:r>
    </w:p>
    <w:p w:rsidR="002F07D4" w:rsidRPr="00AF7613" w:rsidRDefault="002F07D4" w:rsidP="002F07D4">
      <w:pPr>
        <w:pStyle w:val="NormalWeb"/>
        <w:jc w:val="both"/>
      </w:pPr>
      <w:r w:rsidRPr="00AF7613">
        <w:lastRenderedPageBreak/>
        <w:t>No es cierto que las reformas estructurales se deben limitar al sector trabajo.</w:t>
      </w:r>
    </w:p>
    <w:p w:rsidR="002F07D4" w:rsidRPr="00AF7613" w:rsidRDefault="002F07D4" w:rsidP="002F07D4">
      <w:pPr>
        <w:pStyle w:val="NormalWeb"/>
        <w:jc w:val="both"/>
      </w:pPr>
      <w:r w:rsidRPr="00AF7613">
        <w:t>No es cierto que para mejorar la competitividad los trabajadores deban aceptar contratos basura y despido libre.</w:t>
      </w:r>
    </w:p>
    <w:p w:rsidR="002F07D4" w:rsidRPr="00AF7613" w:rsidRDefault="002F07D4" w:rsidP="002F07D4">
      <w:pPr>
        <w:pStyle w:val="NormalWeb"/>
        <w:jc w:val="both"/>
      </w:pPr>
      <w:r w:rsidRPr="00AF7613">
        <w:t>No es cierto que para resolver el problema del déficit público haya que limitar el gasto en sanidad, educación, pensiones y otros gastos sociales.</w:t>
      </w:r>
    </w:p>
    <w:p w:rsidR="002F07D4" w:rsidRPr="00AF7613" w:rsidRDefault="002F07D4" w:rsidP="002F07D4">
      <w:pPr>
        <w:pStyle w:val="NormalWeb"/>
        <w:jc w:val="both"/>
      </w:pPr>
      <w:r w:rsidRPr="00AF7613">
        <w:t xml:space="preserve">No es cierto que el problema de la deuda en la eurozona sea más grave que en los Estados Unidos o en el Reino Unido. </w:t>
      </w:r>
    </w:p>
    <w:p w:rsidR="002F07D4" w:rsidRPr="00AF7613" w:rsidRDefault="002F07D4" w:rsidP="002F07D4">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 xml:space="preserve">No es cierto que no se puedan restablecer el crecimiento en el corto plazo y, al mismo tiempo, abordar los problemas de la deuda en el mediano y largo plazo, como respuesta válida a la crisis. </w:t>
      </w:r>
    </w:p>
    <w:p w:rsidR="002F07D4" w:rsidRPr="00AF7613" w:rsidRDefault="002F07D4" w:rsidP="002F07D4">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No es cierto que los países que manejan su política monetaria necesiten del mercado para financiar su deuda.</w:t>
      </w:r>
    </w:p>
    <w:p w:rsidR="002F07D4" w:rsidRPr="00AF7613" w:rsidRDefault="002F07D4" w:rsidP="002F07D4">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No es cierto que el poder lo tenga el “mercado”. En los países soberanos el poder lo tiene el Estado a través de su banco central y Ministerio de Hacienda. Nunca el “mercado”.</w:t>
      </w:r>
    </w:p>
    <w:p w:rsidR="002F07D4" w:rsidRPr="00AF7613" w:rsidRDefault="002F07D4" w:rsidP="002F07D4">
      <w:pPr>
        <w:pStyle w:val="NormalWeb"/>
        <w:jc w:val="both"/>
        <w:rPr>
          <w:iCs/>
        </w:rPr>
      </w:pPr>
      <w:r w:rsidRPr="00AF7613">
        <w:t xml:space="preserve">No es cierto que (únicamente) con “rigor fiscal” se sale de la crisis. </w:t>
      </w:r>
      <w:r w:rsidRPr="00AF7613">
        <w:rPr>
          <w:iCs/>
        </w:rPr>
        <w:t xml:space="preserve">Es mucho lo que está en juego. Sin una acción audaz, Europa (me animaría a decir que EEUU también) podría verse arrastrada a una espiral bajista de deterioro de la confianza, de estancamiento del crecimiento y de menor empleo. Y ninguna región quedaría inmune ante semejante catástrofe. </w:t>
      </w:r>
    </w:p>
    <w:p w:rsidR="002F07D4" w:rsidRDefault="002F07D4" w:rsidP="002F07D4">
      <w:pPr>
        <w:pStyle w:val="NormalWeb"/>
        <w:jc w:val="both"/>
        <w:rPr>
          <w:bCs/>
        </w:rPr>
      </w:pPr>
      <w:r w:rsidRPr="00AF7613">
        <w:t xml:space="preserve">Es aritméticamente </w:t>
      </w:r>
      <w:r w:rsidRPr="00AF7613">
        <w:rPr>
          <w:bCs/>
        </w:rPr>
        <w:t>imposible que todos los países en la eurozona se escapen simultáneamente de la crisis de la deuda a base de deflación. ¿Vamos a morir juntos?</w:t>
      </w:r>
    </w:p>
    <w:p w:rsidR="002F07D4" w:rsidRDefault="002F07D4" w:rsidP="002F07D4">
      <w:pPr>
        <w:spacing w:line="240" w:lineRule="auto"/>
        <w:jc w:val="both"/>
        <w:rPr>
          <w:rFonts w:ascii="Times New Roman" w:hAnsi="Times New Roman"/>
          <w:sz w:val="24"/>
          <w:szCs w:val="24"/>
        </w:rPr>
      </w:pPr>
      <w:r w:rsidRPr="0053703C">
        <w:rPr>
          <w:rFonts w:ascii="Times New Roman" w:hAnsi="Times New Roman"/>
          <w:b/>
          <w:sz w:val="24"/>
          <w:szCs w:val="24"/>
        </w:rPr>
        <w:t>El eclipse de la razón</w:t>
      </w:r>
      <w:r>
        <w:rPr>
          <w:rFonts w:ascii="Times New Roman" w:hAnsi="Times New Roman"/>
          <w:b/>
          <w:sz w:val="24"/>
          <w:szCs w:val="24"/>
        </w:rPr>
        <w:t xml:space="preserve">: la </w:t>
      </w:r>
      <w:r w:rsidRPr="0053703C">
        <w:rPr>
          <w:rFonts w:ascii="Times New Roman" w:hAnsi="Times New Roman"/>
          <w:b/>
          <w:sz w:val="24"/>
          <w:szCs w:val="24"/>
        </w:rPr>
        <w:t>crónica de una derrota cantada</w:t>
      </w:r>
      <w:r>
        <w:rPr>
          <w:rFonts w:ascii="Times New Roman" w:hAnsi="Times New Roman"/>
          <w:sz w:val="24"/>
          <w:szCs w:val="24"/>
        </w:rPr>
        <w:t>(escrito en enero de 2013)</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En varios escritos anteriores he citado el libro “La nueva pobreza en la Argentina” de Alberto Minujin y Gabriel Kessler (Temas de Hoy -1995), para referirme al fracaso  socio-económico de Argentina, y de otros países latinoamericanos, pero nunca, nunca, ni en la peor de mis pesadillas, me hubiera imaginado que me volvería a servir, esta vez, para ilustrar y buscar semejanzas con la “nueva pobreza” en los Estados Unidos, la Unión Europea y otras economías desarrolladas  (ahora, en “vías de subdesarrollo”).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Me permito citar (nuevamente) algunos párrafos que describen el drama de la pauperización de la clase media (los “nuevos pobres”), perfectamente asimilables al proceso de “argentinización” de la economía norteamericana y europea (al menos):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“Los nuevos pobres se parecen a los no pobres en algunos aspectos socioculturales, como el acceso a la enseñanza media y superior, el número de hijos por familia -más reducido que entre los pobres estructurales-, etc.; y a los pobres de vieja data, en los aspectos asociados a la crisis: el desempleo, la precariedad laboral, la falta de cobertura de salud, entre otros…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lastRenderedPageBreak/>
        <w:t>No es fácil captar en toda su extensión las consecuencias que la pauperización de una parte de la clase media argentina tiene tanto en aquellos que la sufren en carne propia como en la sociedad argentina en su conjunto. Es que este hecho marca un punto de no retorno, el fin de un tipo determinado de sociedad. Hasta entonces, la Argentina había sido una sociedad relativamente integrada -al menos en comparación con la mayoría de los países latinoamericanos- en la que una importante clase media había surgido como resultado de un proceso de movilidad social ascendente cuya continuidad no se ponía en cuestión. Hoy, luego de casi dos décadas de empobrecimiento masivo de la clase media, no hay duda de que, como decían muchos nuevos pobres que entrevistamos, “este país ya no es el mismo país”…</w:t>
      </w:r>
    </w:p>
    <w:p w:rsidR="002F07D4" w:rsidRDefault="002F07D4" w:rsidP="002F07D4">
      <w:pPr>
        <w:spacing w:line="240" w:lineRule="auto"/>
        <w:jc w:val="both"/>
        <w:rPr>
          <w:rFonts w:ascii="Times New Roman" w:hAnsi="Times New Roman"/>
          <w:sz w:val="24"/>
          <w:szCs w:val="24"/>
        </w:rPr>
      </w:pPr>
      <w:r w:rsidRPr="005405C1">
        <w:rPr>
          <w:rFonts w:ascii="Times New Roman" w:hAnsi="Times New Roman"/>
          <w:sz w:val="24"/>
          <w:szCs w:val="24"/>
        </w:rPr>
        <w:t>El empobrecimiento de una parte importante de las clases medias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desde el sector público hacia el sector privado producido en las dos últimas décadas, al endeudamiento externo, la pérdida de derechos sociales y la falta de una intervención estatal eficaz dirigida a los sectores más vulnerables. Simultáneamente, se conformó la contracara indisociable del empobrecimiento masivo: la nueva riqueza, que emerge y alcanza su apogeo en gran medida en individuos y grupos económicos muy vinculados con el poder político. En suma: el empobrecimiento fue un hecho económico, un hecho social y un hecho político</w:t>
      </w:r>
      <w:r>
        <w:rPr>
          <w:rFonts w:ascii="Times New Roman" w:hAnsi="Times New Roman"/>
          <w:sz w:val="24"/>
          <w:szCs w:val="24"/>
        </w:rPr>
        <w:t>…</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Ciertamente la Argentina de hoy no es la de ayer. No sólo por lo que una serie de cifras indiquen sobre el producto bruto, sobre su lugar en el ranking de las naciones. La Argentina se había pensado a sí misma como una nación de modo distinto de lo que hoy puede pensarse. O, mejor dicho, los argentinos se soñaron como otro tipo de sociedad: más justa, más solidaria y, sobre todo, siguiendo un acompasado movimiento conjunto de progreso. En el imaginario argentino del siglo XX, cerrando la brecha social entre una cúpula y su base, aparecía la imagen de una multitudinaria clase media que los diferenciaba de otros países latinoamericanos donde entre los pudientes y los miserables se abría un abismo d</w:t>
      </w:r>
      <w:r>
        <w:rPr>
          <w:rFonts w:ascii="Times New Roman" w:hAnsi="Times New Roman"/>
          <w:sz w:val="24"/>
          <w:szCs w:val="24"/>
        </w:rPr>
        <w:t>e temor y violencia recíprocos.</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 xml:space="preserve">Investigaciones sucesivas demuestran que más del 70 por ciento de la población se consideraba miembro de la clase media, que podía albergar a todo aquel que gozara de un trabajo formal, del acceso real o potencial a ciertos bienes y servicios. La clase media argentina era notablemente homogénea: podrían encontrar cobijo dentro de ella tanto un obrero del conurbano como un aventajado profesional de Palermo (barrio de nivel  medio-alto de Buenos Aires), un empleado público del interior o un pequeño propietario del campo. Tal es su capacidad de bienvenida a tan diferentes formas de vida, que se puede pensar a la clase media como lo más cercano a esa identidad  nacional moderna de </w:t>
      </w:r>
      <w:r>
        <w:rPr>
          <w:rFonts w:ascii="Times New Roman" w:hAnsi="Times New Roman"/>
          <w:sz w:val="24"/>
          <w:szCs w:val="24"/>
        </w:rPr>
        <w:t>siempre tan costosa definición.</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¿Qué pasó en las últimas décadas con gran parte de la clase media? La primera respuesta que surge es: ha desaparecido. Y sin embargo, esto no es cierto. La clase media no desapareció: una parte pequeña se ha mantenido en su lugar sin perder nada; otra porción, escasa, ha mejorado su posición y la gran mayoría se ha empobrecido. Es que la sociedad en su conjunto ha perdido casi un 40 por ciento de sus ingresos entre 1980 y 1990. Los empleados públicos, un 41 por ciento; los cuentapropistas, un 45 por ciento; los trabajadores de la construcción, un</w:t>
      </w:r>
      <w:r>
        <w:rPr>
          <w:rFonts w:ascii="Times New Roman" w:hAnsi="Times New Roman"/>
          <w:sz w:val="24"/>
          <w:szCs w:val="24"/>
        </w:rPr>
        <w:t xml:space="preserve"> 49 por ciento, y así el resto…</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lastRenderedPageBreak/>
        <w:t>La sociedad argentina ha perdido mucho, muchísimo más de lo que en un primer pantallazo puede parecer. Si chequeáramos cosa por cosa, bien por bien, gusto por gusto lo que se ha modificado, contraído, suprimido y posteriormente olvidado, la lista parecería hablar de otra vida. Desde ir al club hasta los postres, desde el diario hasta el coche, desde el servicio de salud hasta la ropa nueva, desde las vacaciones hasta invitar a cenar a los amigos; distintos sectores de la clase media, dependiendo de su ubicación original y la magnitud de su caída, han perdido en casi todo los terrenos. Pero al empobrecerse como sociedad han perdido también bienes y servicios que colectivamente les pertenecían en tanto ciudadanos: hospitales deteriorados, escuelas sobrecargadas, rutas pagas que reemplazan a las gratuitas, espacios privatizados que antes eran públicos, un medio ambiente descuidado, servicios encarecidos, nuevos impuestos sin un aumento en el polo de los ingresos, son algunos capítulos del empobrecimiento colectivo de una ciudadanía. También en tanto trabajador, el ciudadano ha perdido: las nuevas leyes de flexibilización laboral implican el cercenamiento de</w:t>
      </w:r>
      <w:r>
        <w:rPr>
          <w:rFonts w:ascii="Times New Roman" w:hAnsi="Times New Roman"/>
          <w:sz w:val="24"/>
          <w:szCs w:val="24"/>
        </w:rPr>
        <w:t xml:space="preserve"> derechos sociales adquiridos. </w:t>
      </w:r>
      <w:r w:rsidRPr="007445FB">
        <w:rPr>
          <w:rFonts w:ascii="Times New Roman" w:hAnsi="Times New Roman"/>
          <w:sz w:val="24"/>
          <w:szCs w:val="24"/>
        </w:rPr>
        <w:t>Empobrecimiento individual o familiar, empobrecimiento como ciudadano y como trabajador son las facetas de una caída colectiva comenzada hace más de dos décadas y que hoy continúa…</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Con la caída económica cae un valor central de nuestro imaginario: la creencia en el progreso ¿Qué lugar queda entonces para la esperanza? ¿Qué futuros nos esperan?</w:t>
      </w:r>
      <w:r>
        <w:rPr>
          <w:rFonts w:ascii="Times New Roman" w:hAnsi="Times New Roman"/>
          <w:sz w:val="24"/>
          <w:szCs w:val="24"/>
        </w:rPr>
        <w:t>...</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La nueva pobreza es también una miseria difusa, dispersa en las grandes ciudades. Mientras que los viejos pobres viven en barrios y enclaves reconocibles por todos, los nuevos pobres no. Casi cualquier barrio, prácticamente cualquier edificio de clase media puede albergarlos. Es una pobreza privada, de puertas adentro. Esta dispersión y la desorientación que produce transforman la nueva po</w:t>
      </w:r>
      <w:r>
        <w:rPr>
          <w:rFonts w:ascii="Times New Roman" w:hAnsi="Times New Roman"/>
          <w:sz w:val="24"/>
          <w:szCs w:val="24"/>
        </w:rPr>
        <w:t>breza en una pobreza invisible…</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El gran ausente en el escenario de la nueva pobreza es el Estado… Una característica central de lo que Eduardo Bustelo (1991) llamó el “Estado del Malestar” es que abandonó a sus ciudadanos  justamente cuando m</w:t>
      </w:r>
      <w:r>
        <w:rPr>
          <w:rFonts w:ascii="Times New Roman" w:hAnsi="Times New Roman"/>
          <w:sz w:val="24"/>
          <w:szCs w:val="24"/>
        </w:rPr>
        <w:t>ás necesitaban de él. Si en la ú</w:t>
      </w:r>
      <w:r w:rsidRPr="007445FB">
        <w:rPr>
          <w:rFonts w:ascii="Times New Roman" w:hAnsi="Times New Roman"/>
          <w:sz w:val="24"/>
          <w:szCs w:val="24"/>
        </w:rPr>
        <w:t>ltima década tantos cientos de millones de habitantes de la Argentina no pudieron evitar su ingreso en el territorio de la pobreza, se debió no sólo al tipo de políticas de estabilización y ajuste llevadas a cabo, sino también a la inexistencia de políticas “preventivas” a las que se pueda recurrir antes de verse arroja</w:t>
      </w:r>
      <w:r>
        <w:rPr>
          <w:rFonts w:ascii="Times New Roman" w:hAnsi="Times New Roman"/>
          <w:sz w:val="24"/>
          <w:szCs w:val="24"/>
        </w:rPr>
        <w:t>do a la pobreza y la exclusión…</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Empobrecidos  por la paulatina pérdida de valor de sus ingresos, por el desempleo, por haber perdido uno de los dos o tres trabajos que mantenían en pie a la familia: pauperizados por estar condenados a peores trabajos que aquéllos para los que están calificados, por el casamiento, por el nacimiento de hijos o la enfermedad terminal de uno de los padres, por ser madres solteras o por un forzado cambio de rumbo, de las malas hacia una peor, lo cierto es que estamos ante un fenómeno nuevo, la “nueva pobreza”, que modificó la estru</w:t>
      </w:r>
      <w:r>
        <w:rPr>
          <w:rFonts w:ascii="Times New Roman" w:hAnsi="Times New Roman"/>
          <w:sz w:val="24"/>
          <w:szCs w:val="24"/>
        </w:rPr>
        <w:t>ctura de la sociedad argentina…</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 xml:space="preserve">Los empobrecidos y los nuevos pobres constituyen -como sus hogares- un “estrato híbrido”. Un grupo social caracterizado por la combinación de prácticas, costumbres, creencias,  carencias y consumos hasta hoy asociados </w:t>
      </w:r>
      <w:r>
        <w:rPr>
          <w:rFonts w:ascii="Times New Roman" w:hAnsi="Times New Roman"/>
          <w:sz w:val="24"/>
          <w:szCs w:val="24"/>
        </w:rPr>
        <w:t>a diferentes sectores sociales…</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 xml:space="preserve">La hibridez resulta de tres procesos de presencia </w:t>
      </w:r>
      <w:r>
        <w:rPr>
          <w:rFonts w:ascii="Times New Roman" w:hAnsi="Times New Roman"/>
          <w:sz w:val="24"/>
          <w:szCs w:val="24"/>
        </w:rPr>
        <w:t>simultánea en la nueva pobreza:</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a)</w:t>
      </w:r>
      <w:r w:rsidRPr="007445FB">
        <w:rPr>
          <w:rFonts w:ascii="Times New Roman" w:hAnsi="Times New Roman"/>
          <w:sz w:val="24"/>
          <w:szCs w:val="24"/>
        </w:rPr>
        <w:tab/>
        <w:t>carencias y necesidades insatisfechas del presente;</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lastRenderedPageBreak/>
        <w:t>b)</w:t>
      </w:r>
      <w:r w:rsidRPr="007445FB">
        <w:rPr>
          <w:rFonts w:ascii="Times New Roman" w:hAnsi="Times New Roman"/>
          <w:sz w:val="24"/>
          <w:szCs w:val="24"/>
        </w:rPr>
        <w:tab/>
        <w:t>bienes, gustos y costumbres que quedan del pasado, y</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c)</w:t>
      </w:r>
      <w:r w:rsidRPr="007445FB">
        <w:rPr>
          <w:rFonts w:ascii="Times New Roman" w:hAnsi="Times New Roman"/>
          <w:sz w:val="24"/>
          <w:szCs w:val="24"/>
        </w:rPr>
        <w:tab/>
        <w:t>posibilidad de suplir algunas carencias gracias al capita</w:t>
      </w:r>
      <w:r>
        <w:rPr>
          <w:rFonts w:ascii="Times New Roman" w:hAnsi="Times New Roman"/>
          <w:sz w:val="24"/>
          <w:szCs w:val="24"/>
        </w:rPr>
        <w:t xml:space="preserve">l social y cultural acumulado… </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El empobrecimiento conlleva dos movimientos simultáneos y de sentido inverso. En una dirección se debe contraer, recortar, resignar y modificar todo tipo de hábitos relacionados de un modo u otro con lo económico. Y en la otra dirección, se hace necesario aprender, inventar, permutar, incorporar, recorrer inusitados circuitos en busca de nuevas opciones de consumo, de obtención de ingresos o cualquier oportunidad de mejorar la situación. Al empobrecerse, no sólo se pierde todo lo que se pierde sino que, para evitar una mayor desestructurización, deben adoptarse nuevos criterios rectores de la organización económica familiar, lo cual no es otra cosa que un cambio cultural profundo. Se debe, ni más ni menos, aprender a ser pobre, proceso para el cual no existen en nuestra cultura comportamientos-guía a seguir. No hay en las sociedades modernas conocimientos disponibles que permitan a un individuo o familia que está cayendo saber desde un comienzo qué conviene hacer, por dónde empezar a ajustar, cómo racionalizar recursos que serán más tarde imprescindibles. El camino hacia la pobreza es un constante ensayo y error en el que cada error sale caro y lleva a perder un capital que ya será d</w:t>
      </w:r>
      <w:r>
        <w:rPr>
          <w:rFonts w:ascii="Times New Roman" w:hAnsi="Times New Roman"/>
          <w:sz w:val="24"/>
          <w:szCs w:val="24"/>
        </w:rPr>
        <w:t>ifícil recuperar.</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En muchos casos la historia de la caída es una historia de pérdidas sucesivas: primero, para mantener el estilo de vida acostumbrado y, más tarde, para intentar hacer pie en medio de la debacle. Se hacen inversiones que fracasan, o se sacrifica un bien para salvar otro que a su vez también terminará perdiéndose… Insuficiente información, nulo entrenamiento y ningún punto de apoyo para</w:t>
      </w:r>
      <w:r>
        <w:rPr>
          <w:rFonts w:ascii="Times New Roman" w:hAnsi="Times New Roman"/>
          <w:sz w:val="24"/>
          <w:szCs w:val="24"/>
        </w:rPr>
        <w:t xml:space="preserve">, al menos, no seguir cayendo… </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La sociedad actual es diferente de aquella que en el pasado imaginaron tantos inmigrantes y, más tarde, muchos de los que hoy se empobrecieron. ¿Qué perdura y qué se ha desvanecido de las creencias que postulaban a esa nación nueva y casi deshabitada como el escenario de una promesa de sociedad integrada, próspera y con equidad creciente? Imaginario de progreso colectivo cuyo consenso social residía en gran medida en la integración de dos ideas: la del país rico, la tierra naturalmente dotada -resabios de tiempos pasados donde la posesión de materias primas podía definir el grado de riqueza de un país- y la fe en la persistencia de una dinámica social distributiva que había originado ciertos grados de bienestar y equidad a partir de una movilidad social ascendente efectivamente producida, legislaciones sociales avanzadas, una participación importante de los trabajadores en el t</w:t>
      </w:r>
      <w:r>
        <w:rPr>
          <w:rFonts w:ascii="Times New Roman" w:hAnsi="Times New Roman"/>
          <w:sz w:val="24"/>
          <w:szCs w:val="24"/>
        </w:rPr>
        <w:t>otal de los ingresos, etcétera…</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La pauperización de la clase media es quizás la desmentida más cruda de la promesa or</w:t>
      </w:r>
      <w:r>
        <w:rPr>
          <w:rFonts w:ascii="Times New Roman" w:hAnsi="Times New Roman"/>
          <w:sz w:val="24"/>
          <w:szCs w:val="24"/>
        </w:rPr>
        <w:t>iginaria de progreso colectivo…</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 xml:space="preserve">No preguntamos si acaso las imágenes de la pauperización no conllevan una carga de culpabilización hacia las víctimas por su suerte, como si las causas de la pobreza estuvieran en gran medida en su propio accionar. No una culpabilización abierta, pero sí una cierta estigmatización, una discriminación encubierta al tratarlos, por ejemplo, como contingentes de población que han quedado a la vera de un camino inexorable, como resabios del pasado; en especial cuando se hace referencia al sector público, a las áreas menos dinámicas de la economía o a los jubilados. Una suerte de “costo” a ser pagado por la modernización o la estabilidad que beneficia al “país”; como si pudiéramos hablar en términos de “costos y precios” al referirnos a hombres y mujeres y como si la situación de un país pudiera ser realmente pensada en términos absolutos, </w:t>
      </w:r>
      <w:r w:rsidRPr="007445FB">
        <w:rPr>
          <w:rFonts w:ascii="Times New Roman" w:hAnsi="Times New Roman"/>
          <w:sz w:val="24"/>
          <w:szCs w:val="24"/>
        </w:rPr>
        <w:lastRenderedPageBreak/>
        <w:t>sin tomar en cuenta las desigualdades internas, los “costos” que determinados sectores “pa</w:t>
      </w:r>
      <w:r>
        <w:rPr>
          <w:rFonts w:ascii="Times New Roman" w:hAnsi="Times New Roman"/>
          <w:sz w:val="24"/>
          <w:szCs w:val="24"/>
        </w:rPr>
        <w:t xml:space="preserve">gan” y otros tipo de clivajes. </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 xml:space="preserve">Esto nos lleva a preguntarnos acerca de nuestra tolerancia hacia la desigualdad ¿No nos estará empezando a parecer perfectamente normal que ante la pobreza, la vulnerabilidad social o la exclusión, cada cual deba arreglárselas por sus propios medios, sin contar con una red de resguardo provisto por el Estado y la sociedad? ¿Habremos comenzado a habituarnos a ser una sociedad más equitativa, sin que esto suscite cuestionamientos ni un profundo debate acerca de cuáles deberían ser los criterios de justicia rectores en la distribución de bienes y servicios en las distintas esferas de la vida social? </w:t>
      </w:r>
    </w:p>
    <w:p w:rsidR="002F07D4" w:rsidRPr="007445FB" w:rsidRDefault="002F07D4" w:rsidP="002F07D4">
      <w:pPr>
        <w:spacing w:line="240" w:lineRule="auto"/>
        <w:jc w:val="both"/>
        <w:rPr>
          <w:rFonts w:ascii="Times New Roman" w:hAnsi="Times New Roman"/>
          <w:sz w:val="24"/>
          <w:szCs w:val="24"/>
        </w:rPr>
      </w:pPr>
      <w:r w:rsidRPr="007445FB">
        <w:rPr>
          <w:rFonts w:ascii="Times New Roman" w:hAnsi="Times New Roman"/>
          <w:sz w:val="24"/>
          <w:szCs w:val="24"/>
        </w:rPr>
        <w:t>Una sociedad puede crecer en lo económico, y a la par no sólo no disminuir las desigualdades, sino más aún, puede producirse simultáneamente un aumento de la pobreza y de la inequidad en la d</w:t>
      </w:r>
      <w:r>
        <w:rPr>
          <w:rFonts w:ascii="Times New Roman" w:hAnsi="Times New Roman"/>
          <w:sz w:val="24"/>
          <w:szCs w:val="24"/>
        </w:rPr>
        <w:t>istribución de los ingresos”...</w:t>
      </w:r>
    </w:p>
    <w:p w:rsidR="002F07D4" w:rsidRPr="00A079D5" w:rsidRDefault="002F07D4" w:rsidP="002F07D4">
      <w:pPr>
        <w:spacing w:line="240" w:lineRule="auto"/>
        <w:jc w:val="both"/>
        <w:rPr>
          <w:rFonts w:ascii="Times New Roman" w:hAnsi="Times New Roman"/>
          <w:sz w:val="24"/>
          <w:szCs w:val="24"/>
        </w:rPr>
      </w:pPr>
      <w:r w:rsidRPr="00A079D5">
        <w:rPr>
          <w:rFonts w:ascii="Times New Roman" w:hAnsi="Times New Roman"/>
          <w:sz w:val="24"/>
          <w:szCs w:val="24"/>
        </w:rPr>
        <w:t>Recorriendo el relato sobre la nueva pobreza en la Argentina (según lo publicado por Alberto Minujin y Gabriel Kessler), espero y deseo que muchos lectores se hayan visto reflejados en su situación particular, aunque pertenezcan -aún y por poco tiempo- a la “sociedad de los conformes” (Europa, Estados Unidos o Japón).</w:t>
      </w:r>
    </w:p>
    <w:p w:rsidR="002F07D4" w:rsidRPr="00A079D5" w:rsidRDefault="002F07D4" w:rsidP="002F07D4">
      <w:pPr>
        <w:spacing w:line="240" w:lineRule="auto"/>
        <w:jc w:val="both"/>
        <w:rPr>
          <w:rFonts w:ascii="Times New Roman" w:hAnsi="Times New Roman"/>
          <w:sz w:val="24"/>
          <w:szCs w:val="24"/>
        </w:rPr>
      </w:pPr>
      <w:r w:rsidRPr="00A079D5">
        <w:rPr>
          <w:rFonts w:ascii="Times New Roman" w:hAnsi="Times New Roman"/>
          <w:sz w:val="24"/>
          <w:szCs w:val="24"/>
        </w:rPr>
        <w:t>Cuando mi padre me decía en la remota y lejana Argentina de los “sueños” (allí por 1955): si tú estudias y terminas la escuela primaria, no tendrás que trabajar de peón en la agricultura; si estudias y terminas la escuela secundaria, no tendrás que trabajar de peón en la construcción; y si estudias y terminas la universidad, tendrás la vida asegurada.  Ese hijo de inmigrantes italianos, sabía bien lo que era ser peón. Lo llevaba en los genes. En esa época y en esa circunstancia, estuvo acertado. En esa época y en esa circunstancia, salvo en casos excepcionales, los hijos estaban “llamados” a tener un éxito económico mayor que el de sus padres. El ascensor social funcionaba.</w:t>
      </w:r>
    </w:p>
    <w:p w:rsidR="002F07D4" w:rsidRPr="00A079D5" w:rsidRDefault="002F07D4" w:rsidP="002F07D4">
      <w:pPr>
        <w:spacing w:line="240" w:lineRule="auto"/>
        <w:jc w:val="both"/>
        <w:rPr>
          <w:rFonts w:ascii="Times New Roman" w:hAnsi="Times New Roman"/>
          <w:sz w:val="24"/>
          <w:szCs w:val="24"/>
        </w:rPr>
      </w:pPr>
      <w:r w:rsidRPr="00A079D5">
        <w:rPr>
          <w:rFonts w:ascii="Times New Roman" w:hAnsi="Times New Roman"/>
          <w:sz w:val="24"/>
          <w:szCs w:val="24"/>
        </w:rPr>
        <w:t xml:space="preserve">En la actualidad, en la “sumergente” Argentina, en la “satisfecha” Europa, en el “incuestionable” Estados Unidos o en el “opaco” Japón, salvo casos excepcionales, los hijos están “llamados” a tener unos ingresos inferiores a los de sus padres, para similar profesión. El ascensor social está: “out of order”. </w:t>
      </w:r>
    </w:p>
    <w:p w:rsidR="002F07D4" w:rsidRPr="00A079D5" w:rsidRDefault="002F07D4" w:rsidP="002F07D4">
      <w:pPr>
        <w:spacing w:line="240" w:lineRule="auto"/>
        <w:jc w:val="both"/>
        <w:rPr>
          <w:rFonts w:ascii="Times New Roman" w:hAnsi="Times New Roman"/>
          <w:sz w:val="24"/>
          <w:szCs w:val="24"/>
        </w:rPr>
      </w:pPr>
      <w:r w:rsidRPr="00A079D5">
        <w:rPr>
          <w:rFonts w:ascii="Times New Roman" w:hAnsi="Times New Roman"/>
          <w:sz w:val="24"/>
          <w:szCs w:val="24"/>
        </w:rPr>
        <w:t xml:space="preserve">Este último párrafo corresponde al Paper </w:t>
      </w:r>
      <w:r w:rsidRPr="00A079D5">
        <w:rPr>
          <w:rFonts w:ascii="Times New Roman" w:hAnsi="Times New Roman"/>
          <w:b/>
          <w:sz w:val="24"/>
          <w:szCs w:val="24"/>
        </w:rPr>
        <w:t>La clase media y su proceso de movilidad social descendente - Parte I: De “clase media” a “nuevos pobres”</w:t>
      </w:r>
      <w:r w:rsidRPr="00A079D5">
        <w:rPr>
          <w:rFonts w:ascii="Times New Roman" w:hAnsi="Times New Roman"/>
          <w:sz w:val="24"/>
          <w:szCs w:val="24"/>
        </w:rPr>
        <w:t>, publicado el15/8/2007. Creo que ahora, vivido y padecido los últimos cinco años de crisis moral, financiera, económica y social (en ese orden), en alguno de los países anteriormente llamados “avanzados”, debería “rectificar” (actualizar) y escribir:</w:t>
      </w:r>
    </w:p>
    <w:p w:rsidR="002F07D4" w:rsidRDefault="002F07D4" w:rsidP="002F07D4">
      <w:pPr>
        <w:spacing w:line="240" w:lineRule="auto"/>
        <w:jc w:val="both"/>
        <w:rPr>
          <w:rFonts w:ascii="Times New Roman" w:hAnsi="Times New Roman"/>
          <w:sz w:val="24"/>
          <w:szCs w:val="24"/>
          <w:lang w:val="en-US"/>
        </w:rPr>
      </w:pPr>
      <w:r w:rsidRPr="00A079D5">
        <w:rPr>
          <w:rFonts w:ascii="Times New Roman" w:hAnsi="Times New Roman"/>
          <w:sz w:val="24"/>
          <w:szCs w:val="24"/>
        </w:rPr>
        <w:t xml:space="preserve">En la actualidad, en la “sumergente” Argentina (que sigue en lo mismo), en la “perpleja” Europa (que no sale del pasmo y complejo de inferioridad), en el “deficitario” Estados Unidos (dependiente del crédito de su principal proveedor -y rival imperial- para mantener su adicción al consumo y la deuda) o en el “sonámbulo” Japón (que parece haber optado por las megainyecciones de liquidez al estilo americano, para seguir empujando la soga), salvo casos excepcionales, los hijos están “llamados” a tener unos ingresos inferiores a los de sus padres, para similar profesión. </w:t>
      </w:r>
      <w:r w:rsidRPr="00A079D5">
        <w:rPr>
          <w:rFonts w:ascii="Times New Roman" w:hAnsi="Times New Roman"/>
          <w:sz w:val="24"/>
          <w:szCs w:val="24"/>
          <w:lang w:val="en-US"/>
        </w:rPr>
        <w:t>El ascensor social está: “out of order”. And so on…</w:t>
      </w:r>
    </w:p>
    <w:p w:rsidR="005F0DC2" w:rsidRDefault="005F0DC2" w:rsidP="002F07D4">
      <w:pPr>
        <w:spacing w:line="240" w:lineRule="auto"/>
        <w:jc w:val="both"/>
        <w:rPr>
          <w:rFonts w:ascii="Times New Roman" w:hAnsi="Times New Roman"/>
          <w:sz w:val="24"/>
          <w:szCs w:val="24"/>
          <w:lang w:val="en-US"/>
        </w:rPr>
      </w:pPr>
    </w:p>
    <w:p w:rsidR="005F0DC2" w:rsidRDefault="005F0DC2" w:rsidP="002F07D4">
      <w:pPr>
        <w:spacing w:line="240" w:lineRule="auto"/>
        <w:jc w:val="both"/>
        <w:rPr>
          <w:rFonts w:ascii="Times New Roman" w:hAnsi="Times New Roman"/>
          <w:sz w:val="24"/>
          <w:szCs w:val="24"/>
          <w:lang w:val="en-US"/>
        </w:rPr>
      </w:pPr>
    </w:p>
    <w:p w:rsidR="002F07D4" w:rsidRPr="00220CA0" w:rsidRDefault="002F07D4" w:rsidP="002F07D4">
      <w:pPr>
        <w:spacing w:after="315" w:line="240" w:lineRule="auto"/>
        <w:jc w:val="both"/>
        <w:textAlignment w:val="baseline"/>
        <w:rPr>
          <w:rFonts w:ascii="Times New Roman" w:eastAsia="Times New Roman" w:hAnsi="Times New Roman"/>
          <w:b/>
          <w:sz w:val="24"/>
          <w:szCs w:val="24"/>
          <w:lang w:eastAsia="es-AR"/>
        </w:rPr>
      </w:pPr>
      <w:r>
        <w:rPr>
          <w:rFonts w:ascii="Times New Roman" w:eastAsia="Times New Roman" w:hAnsi="Times New Roman"/>
          <w:b/>
          <w:sz w:val="24"/>
          <w:szCs w:val="24"/>
          <w:lang w:eastAsia="es-AR"/>
        </w:rPr>
        <w:lastRenderedPageBreak/>
        <w:t xml:space="preserve">De un “bi-bis”, a los “ni-nis” </w:t>
      </w:r>
      <w:r w:rsidRPr="00220CA0">
        <w:rPr>
          <w:rFonts w:ascii="Times New Roman" w:hAnsi="Times New Roman"/>
          <w:b/>
          <w:bCs/>
          <w:sz w:val="24"/>
          <w:szCs w:val="24"/>
        </w:rPr>
        <w:t>(</w:t>
      </w:r>
      <w:r>
        <w:rPr>
          <w:rFonts w:ascii="Times New Roman" w:hAnsi="Times New Roman"/>
          <w:b/>
          <w:bCs/>
          <w:sz w:val="24"/>
          <w:szCs w:val="24"/>
        </w:rPr>
        <w:t>“</w:t>
      </w:r>
      <w:r w:rsidRPr="00220CA0">
        <w:rPr>
          <w:rFonts w:ascii="Times New Roman" w:hAnsi="Times New Roman"/>
          <w:b/>
          <w:bCs/>
          <w:sz w:val="24"/>
          <w:szCs w:val="24"/>
        </w:rPr>
        <w:t>¿Hasta cuándo, Catilina, abusarás de nuestra paciencia?</w:t>
      </w:r>
      <w:r>
        <w:rPr>
          <w:rFonts w:ascii="Times New Roman" w:hAnsi="Times New Roman"/>
          <w:b/>
          <w:bCs/>
          <w:sz w:val="24"/>
          <w:szCs w:val="24"/>
        </w:rPr>
        <w:t>”</w:t>
      </w:r>
      <w:r w:rsidRPr="00220CA0">
        <w:rPr>
          <w:rFonts w:ascii="Times New Roman" w:hAnsi="Times New Roman"/>
          <w:b/>
          <w:bCs/>
          <w:sz w:val="24"/>
          <w:szCs w:val="24"/>
        </w:rPr>
        <w:t xml:space="preserve"> - Cicerón - 55 AC)</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Mi experiencia “bi”-nacional, está en camino de “doblar” la frustración, el dolor y el espanto, en un patético “bis”. Por eso, y porque mis fuerzas ya flaquean, deseo dejarle a los ni-nis algunos interrogantes, con la esperanza que sean ellos los puedan dar respuesta (y si es posible -también, deseable- el debido escarmiento).</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¿Por qué este engaño, práctica generalizada en (casi) todos los países avanzados, en (casi) todos los sectores económicos (transables y no transables), y en (casi) todas las mayores corporaciones globales?</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 xml:space="preserve">¿Por qué dicen flexibilización y/o productividad y/o competitividad, cuando quieren decir mano de obra de usar y tirar y/o despido libre y/o salarios tercermundistas? </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¿Cómo se le explica a alguien a quien se le permitió vivir aceptablemente bien y que ahora vive muy parcamente o simplemente mal, que nunca va a volver a vivir cómo vivió?</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rPr>
        <w:t>E</w:t>
      </w:r>
      <w:r w:rsidRPr="00F11B39">
        <w:rPr>
          <w:rFonts w:ascii="Times New Roman" w:eastAsia="Times New Roman" w:hAnsi="Times New Roman"/>
          <w:bCs/>
          <w:sz w:val="24"/>
          <w:szCs w:val="24"/>
        </w:rPr>
        <w:t>sta crisis es la primera en la que las expectativas para su después no son las de volver a una situación mejor a la existente antes de que esta crisis comenzase</w:t>
      </w:r>
      <w:r w:rsidRPr="00F11B39">
        <w:rPr>
          <w:rFonts w:ascii="Times New Roman" w:eastAsia="Times New Roman" w:hAnsi="Times New Roman"/>
          <w:sz w:val="24"/>
          <w:szCs w:val="24"/>
        </w:rPr>
        <w:t>.</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En esta hora  de post burbuja (antes que formen otra, y tengamos que volver a pagar sus pérdidas), ¿no habrá llegado la hora de hacer un acto de justicia y responsabilidad, y que cada palo aguante su vela?</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¿Se puede salir de la crisis haciendo más grande el problema?</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¿No han sido ya, demasiado los “polvos” (en todas sus acepciones), para estos lodos (en su interpretación más cenagosa)?</w:t>
      </w:r>
    </w:p>
    <w:p w:rsidR="002F07D4" w:rsidRPr="00F11B39" w:rsidRDefault="002F07D4" w:rsidP="002F07D4">
      <w:pPr>
        <w:spacing w:line="240" w:lineRule="auto"/>
        <w:jc w:val="both"/>
        <w:rPr>
          <w:rFonts w:ascii="Times New Roman" w:hAnsi="Times New Roman"/>
          <w:sz w:val="24"/>
          <w:szCs w:val="24"/>
        </w:rPr>
      </w:pPr>
      <w:r w:rsidRPr="00F11B39">
        <w:rPr>
          <w:rFonts w:ascii="Times New Roman" w:hAnsi="Times New Roman"/>
          <w:sz w:val="24"/>
          <w:szCs w:val="24"/>
        </w:rPr>
        <w:t>¿Cuánto tiempo más puede durar el asalto a la clase media y a los pobres por los intereses especiales de los ricos (procurando hacer sostenible lo insostenible)?</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¿Puede ser que la “nueva pobreza” no tenga contestación social?</w:t>
      </w:r>
    </w:p>
    <w:p w:rsidR="002F07D4" w:rsidRPr="00F11B39"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¿Es posible esperar de aquellos que “ni” estudian “ni” trabajan, alguna forma de reacción social? ¿Para cuándo el “estallido” social (esperable y deseable)?</w:t>
      </w:r>
    </w:p>
    <w:p w:rsidR="002F07D4" w:rsidRDefault="002F07D4" w:rsidP="002F07D4">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¿O al final (como antes en Argentina y ahora en Europa, EEUU, o Japón), ganarán aquellos que los han condenado a No estudiar y No trabajar, volviendo a ganar  logrando, esta vez (para mayor escarnio), que No piensen? IPhone, tweets, drinks...</w:t>
      </w:r>
    </w:p>
    <w:p w:rsidR="002F07D4" w:rsidRDefault="002F07D4" w:rsidP="002F07D4">
      <w:pPr>
        <w:spacing w:after="315" w:line="240" w:lineRule="auto"/>
        <w:jc w:val="both"/>
        <w:textAlignment w:val="baseline"/>
        <w:rPr>
          <w:rFonts w:ascii="Times New Roman" w:eastAsia="Times New Roman" w:hAnsi="Times New Roman"/>
          <w:b/>
          <w:sz w:val="24"/>
          <w:szCs w:val="24"/>
          <w:lang w:eastAsia="es-AR"/>
        </w:rPr>
      </w:pPr>
      <w:r>
        <w:rPr>
          <w:rFonts w:ascii="Times New Roman" w:eastAsia="Times New Roman" w:hAnsi="Times New Roman"/>
          <w:b/>
          <w:sz w:val="24"/>
          <w:szCs w:val="24"/>
          <w:lang w:eastAsia="es-AR"/>
        </w:rPr>
        <w:t xml:space="preserve">“Antes que sea demasiado tarde”, vuelvan los jóvenes a releer al Maestro Sábato: </w:t>
      </w:r>
      <w:r>
        <w:rPr>
          <w:rFonts w:ascii="Times New Roman" w:hAnsi="Times New Roman"/>
          <w:i/>
        </w:rPr>
        <w:t>“</w:t>
      </w:r>
      <w:r w:rsidRPr="00C42F1B">
        <w:rPr>
          <w:rFonts w:ascii="Times New Roman" w:hAnsi="Times New Roman"/>
          <w:i/>
        </w:rPr>
        <w:t>Tengamos en consideración entonces las palabras de María Zambrano: “No se pasa de lo posible a lo real sino de lo imposible a lo verdadero”. Muchas utopías han sido futuras realidades”...</w:t>
      </w:r>
      <w:r>
        <w:rPr>
          <w:rFonts w:ascii="Times New Roman" w:hAnsi="Times New Roman"/>
          <w:b/>
        </w:rPr>
        <w:t>l</w:t>
      </w:r>
      <w:r w:rsidRPr="00220CA0">
        <w:rPr>
          <w:rFonts w:ascii="Times New Roman" w:hAnsi="Times New Roman"/>
          <w:b/>
        </w:rPr>
        <w:t>uego,</w:t>
      </w:r>
      <w:r>
        <w:rPr>
          <w:rFonts w:ascii="Times New Roman" w:eastAsia="Times New Roman" w:hAnsi="Times New Roman"/>
          <w:b/>
          <w:sz w:val="24"/>
          <w:szCs w:val="24"/>
          <w:lang w:eastAsia="es-AR"/>
        </w:rPr>
        <w:t>por favor, “piensen”… y “actúen” en consecuencia. Eso espero.</w:t>
      </w:r>
    </w:p>
    <w:p w:rsidR="002F07D4" w:rsidRDefault="002F07D4" w:rsidP="002F07D4">
      <w:pPr>
        <w:spacing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En el Paper</w:t>
      </w:r>
      <w:r w:rsidRPr="00315005">
        <w:rPr>
          <w:rFonts w:ascii="Times New Roman" w:hAnsi="Times New Roman" w:cs="Times New Roman"/>
          <w:sz w:val="24"/>
          <w:szCs w:val="24"/>
        </w:rPr>
        <w:t>-</w:t>
      </w:r>
      <w:r w:rsidRPr="00315005">
        <w:rPr>
          <w:rFonts w:ascii="Times New Roman" w:hAnsi="Times New Roman" w:cs="Times New Roman"/>
          <w:b/>
          <w:sz w:val="24"/>
          <w:szCs w:val="24"/>
        </w:rPr>
        <w:t xml:space="preserve"> Los “nuevos” pobres</w:t>
      </w:r>
      <w:r>
        <w:rPr>
          <w:rFonts w:ascii="Times New Roman" w:hAnsi="Times New Roman" w:cs="Times New Roman"/>
          <w:b/>
          <w:sz w:val="24"/>
          <w:szCs w:val="24"/>
        </w:rPr>
        <w:t>,</w:t>
      </w:r>
      <w:r w:rsidRPr="00315005">
        <w:rPr>
          <w:rFonts w:ascii="Times New Roman" w:hAnsi="Times New Roman" w:cs="Times New Roman"/>
          <w:b/>
          <w:sz w:val="24"/>
          <w:szCs w:val="24"/>
        </w:rPr>
        <w:t xml:space="preserve"> de los países ricos (un relato trágico de la crisis)</w:t>
      </w:r>
      <w:r>
        <w:rPr>
          <w:rFonts w:ascii="Times New Roman" w:hAnsi="Times New Roman" w:cs="Times New Roman"/>
          <w:b/>
          <w:sz w:val="24"/>
          <w:szCs w:val="24"/>
        </w:rPr>
        <w:t xml:space="preserve"> (I)</w:t>
      </w:r>
      <w:r>
        <w:rPr>
          <w:rFonts w:ascii="Times New Roman" w:hAnsi="Times New Roman" w:cs="Times New Roman"/>
          <w:sz w:val="24"/>
          <w:szCs w:val="24"/>
        </w:rPr>
        <w:t>, publicado el 15/2/14, decía:</w:t>
      </w:r>
    </w:p>
    <w:p w:rsidR="002F07D4" w:rsidRDefault="002F07D4" w:rsidP="002F07D4">
      <w:pPr>
        <w:spacing w:line="240" w:lineRule="auto"/>
        <w:jc w:val="both"/>
        <w:rPr>
          <w:rFonts w:ascii="Times New Roman" w:hAnsi="Times New Roman" w:cs="Times New Roman"/>
          <w:b/>
          <w:sz w:val="24"/>
          <w:szCs w:val="24"/>
        </w:rPr>
      </w:pPr>
      <w:r>
        <w:rPr>
          <w:rFonts w:ascii="Times New Roman" w:hAnsi="Times New Roman" w:cs="Times New Roman"/>
          <w:b/>
          <w:sz w:val="24"/>
          <w:szCs w:val="24"/>
        </w:rPr>
        <w:t>Obertura</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Los “nuevos” pobres son aquellos que no vieron venir la cachetada. Aquellos que se creyeron “predestinados” a ser más ricos que sus padres. Aquellos que “hipotecaron” la mitad de los ingresos familiares (o más) para vivir en una casa, muy por encima de sus posibilidades. Aquellos que “confiaron” en el empleo continuo y el ingreso creciente.</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Dicen Alberto Minujin y Gabriel Kessler, en su libro “La nueva pobreza en la Argentina” - Temas de Hoy - 1995) que, “los “nuevos” pobres se parecen a los no pobres en algunos aspectos socioculturales, como el acceso a la enseñanza media y superior, el número de hijos por familia -más reducido que entre los pobres estructurales- etc.; y a los pobres de veja data, en los aspectos asociados a la crisis: el desempleo, la precariedad laboral, la falta de cobertura de salud, entre otros”…</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Hasta no hace muchos años, los ciudadanos de Estados Unidos y los países miembros de la Unión Europea, habían formado una sociedad relativamente integrada, en la que una importante clase media había surgido como resultado de un proceso de movilidad social ascendente cuya continuidad no se ponía en cuestión. Desde 1989 (caída de muro de Berlín) en adelante, y ahora, luego de algo más de seis años de empobrecimiento masivo de la clase media, no hay duda de que estos países ya no son los mismos países. </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El empobrecimiento de una parte importante de las clases medias de estos países (antes considerados “avanzados”)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suma: el empobrecimiento fue (y sigue siendo) un hecho económico, un hecho social y un hecho político. </w:t>
      </w:r>
    </w:p>
    <w:p w:rsidR="002F07D4" w:rsidRDefault="002F07D4" w:rsidP="002F07D4">
      <w:pPr>
        <w:spacing w:line="240" w:lineRule="auto"/>
        <w:jc w:val="both"/>
        <w:rPr>
          <w:rFonts w:ascii="Times New Roman" w:hAnsi="Times New Roman" w:cs="Times New Roman"/>
          <w:b/>
          <w:sz w:val="24"/>
          <w:szCs w:val="24"/>
        </w:rPr>
      </w:pPr>
      <w:r w:rsidRPr="005244D7">
        <w:rPr>
          <w:rFonts w:ascii="Times New Roman" w:hAnsi="Times New Roman" w:cs="Times New Roman"/>
          <w:sz w:val="24"/>
          <w:szCs w:val="24"/>
        </w:rPr>
        <w:t>(Parte I)</w:t>
      </w:r>
      <w:r w:rsidRPr="00315005">
        <w:rPr>
          <w:rFonts w:ascii="Times New Roman" w:hAnsi="Times New Roman" w:cs="Times New Roman"/>
          <w:sz w:val="24"/>
          <w:szCs w:val="24"/>
        </w:rPr>
        <w:t xml:space="preserve">- </w:t>
      </w:r>
      <w:r w:rsidRPr="00315005">
        <w:rPr>
          <w:rFonts w:ascii="Times New Roman" w:hAnsi="Times New Roman" w:cs="Times New Roman"/>
          <w:b/>
          <w:sz w:val="24"/>
          <w:szCs w:val="24"/>
        </w:rPr>
        <w:t>El fin del sueño americano</w:t>
      </w:r>
    </w:p>
    <w:p w:rsidR="002F07D4" w:rsidRPr="00E30ACD" w:rsidRDefault="002F07D4" w:rsidP="002F07D4">
      <w:pPr>
        <w:spacing w:line="240" w:lineRule="auto"/>
        <w:jc w:val="both"/>
        <w:rPr>
          <w:rFonts w:ascii="Times New Roman" w:hAnsi="Times New Roman" w:cs="Times New Roman"/>
          <w:b/>
          <w:sz w:val="24"/>
          <w:szCs w:val="24"/>
        </w:rPr>
      </w:pPr>
      <w:r w:rsidRPr="00807C8F">
        <w:rPr>
          <w:rFonts w:ascii="Times New Roman" w:hAnsi="Times New Roman" w:cs="Times New Roman"/>
          <w:b/>
          <w:sz w:val="24"/>
          <w:szCs w:val="24"/>
        </w:rPr>
        <w:t>¿Un fundamento que se desmorona?</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 xml:space="preserve">El aumento de la diferencia de renta entre la población se ha convertido en una cuestión controvertida en EEUU, a medida que los liberales critican la disminución de la clase </w:t>
      </w:r>
      <w:r w:rsidRPr="00F46979">
        <w:rPr>
          <w:rFonts w:ascii="Times New Roman" w:hAnsi="Times New Roman" w:cs="Times New Roman"/>
          <w:sz w:val="24"/>
          <w:szCs w:val="24"/>
        </w:rPr>
        <w:lastRenderedPageBreak/>
        <w:t>media y los conservadores argumentan que una economía de mercado saludable debe recompensar el esfuerzo, el espíritu emprendedor y la toma de decisiones arriesgadas. Pero en lo que concierne a la cuestión relativa a la movilidad económica, o la capacidad del individuo de ascender en el nivel de renta, la mayor parte de las personas parece estar de acuerdo: la movi</w:t>
      </w:r>
      <w:r>
        <w:rPr>
          <w:rFonts w:ascii="Times New Roman" w:hAnsi="Times New Roman" w:cs="Times New Roman"/>
          <w:sz w:val="24"/>
          <w:szCs w:val="24"/>
        </w:rPr>
        <w:t>lidad ascendente es algo bueno.</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De hecho, los conservadores siempre citan la movilidad económica como razón para no preocuparse por la cada vez mayor desigualdad de los ingresos. Si las personas tienen la posibilidad de subir socialmente, no importa que algunos sean muy ricos y otros estén muchos escalones por debajo en el nivel de renta: con la movilidad económica, las personas no se quedan at</w:t>
      </w:r>
      <w:r>
        <w:rPr>
          <w:rFonts w:ascii="Times New Roman" w:hAnsi="Times New Roman" w:cs="Times New Roman"/>
          <w:sz w:val="24"/>
          <w:szCs w:val="24"/>
        </w:rPr>
        <w:t>rapadas en el punto de partida.</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Sin embargo, un volumen cada vez mayor de datos muestra que la movilidad económica ya no es tan común en EEUU como mucha gente piensa. Además, varios estudios muestran que la movilidad económica disminuye a medida que la desigualdad de renta aumenta, señal de que en los próximos años podría ser más difícil para las personas pasar de la pobreza a la clase media, o de la clase medi</w:t>
      </w:r>
      <w:r>
        <w:rPr>
          <w:rFonts w:ascii="Times New Roman" w:hAnsi="Times New Roman" w:cs="Times New Roman"/>
          <w:sz w:val="24"/>
          <w:szCs w:val="24"/>
        </w:rPr>
        <w:t>a hasta lo alto de la pirámide.</w:t>
      </w:r>
    </w:p>
    <w:p w:rsidR="002F07D4" w:rsidRPr="00F46979"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46979">
        <w:rPr>
          <w:rFonts w:ascii="Times New Roman" w:hAnsi="Times New Roman" w:cs="Times New Roman"/>
          <w:sz w:val="24"/>
          <w:szCs w:val="24"/>
        </w:rPr>
        <w:t>Estudios recientes indican que hay menos movilidad económica en EEUU</w:t>
      </w:r>
      <w:r>
        <w:rPr>
          <w:rFonts w:ascii="Times New Roman" w:hAnsi="Times New Roman" w:cs="Times New Roman"/>
          <w:sz w:val="24"/>
          <w:szCs w:val="24"/>
        </w:rPr>
        <w:t xml:space="preserve"> de lo que siempre se ha creído”</w:t>
      </w:r>
      <w:r w:rsidRPr="00F46979">
        <w:rPr>
          <w:rFonts w:ascii="Times New Roman" w:hAnsi="Times New Roman" w:cs="Times New Roman"/>
          <w:sz w:val="24"/>
          <w:szCs w:val="24"/>
        </w:rPr>
        <w:t>, dice un estudio de The Economic Mobility Project(</w:t>
      </w:r>
      <w:r>
        <w:rPr>
          <w:rFonts w:ascii="Times New Roman" w:hAnsi="Times New Roman" w:cs="Times New Roman"/>
          <w:sz w:val="24"/>
          <w:szCs w:val="24"/>
        </w:rPr>
        <w:t>Proyecto de Movilidad Económica)</w:t>
      </w:r>
      <w:r w:rsidRPr="00F46979">
        <w:rPr>
          <w:rFonts w:ascii="Times New Roman" w:hAnsi="Times New Roman" w:cs="Times New Roman"/>
          <w:sz w:val="24"/>
          <w:szCs w:val="24"/>
        </w:rPr>
        <w:t xml:space="preserve"> elaborado por The Pew Charitable Trusts, The American Enterprise Institute, The Brookings Institution, The Heritage Foundat</w:t>
      </w:r>
      <w:r>
        <w:rPr>
          <w:rFonts w:ascii="Times New Roman" w:hAnsi="Times New Roman" w:cs="Times New Roman"/>
          <w:sz w:val="24"/>
          <w:szCs w:val="24"/>
        </w:rPr>
        <w:t>ion y por The Urban Institute. “</w:t>
      </w:r>
      <w:r w:rsidRPr="00F46979">
        <w:rPr>
          <w:rFonts w:ascii="Times New Roman" w:hAnsi="Times New Roman" w:cs="Times New Roman"/>
          <w:sz w:val="24"/>
          <w:szCs w:val="24"/>
        </w:rPr>
        <w:t>Los últimos 30 años registraron una caída gradual considerable en el crecimiento de la renta de la familia media en comparación con las generaciones anteriores. Según algunas medidas, somos, de hecho, una sociedad menos móvil que la de muchos otros países, entre ellos Canadá, Francia, Alemania y la mayor parte de los países</w:t>
      </w:r>
      <w:r>
        <w:rPr>
          <w:rFonts w:ascii="Times New Roman" w:hAnsi="Times New Roman" w:cs="Times New Roman"/>
          <w:sz w:val="24"/>
          <w:szCs w:val="24"/>
        </w:rPr>
        <w:t xml:space="preserve"> escandinavos. Eso pone en duda</w:t>
      </w:r>
      <w:r w:rsidRPr="00F46979">
        <w:rPr>
          <w:rFonts w:ascii="Times New Roman" w:hAnsi="Times New Roman" w:cs="Times New Roman"/>
          <w:sz w:val="24"/>
          <w:szCs w:val="24"/>
        </w:rPr>
        <w:t xml:space="preserve"> la idea de EEUU como tierra de oportunidades</w:t>
      </w:r>
      <w:r>
        <w:rPr>
          <w:rFonts w:ascii="Times New Roman" w:hAnsi="Times New Roman" w:cs="Times New Roman"/>
          <w:sz w:val="24"/>
          <w:szCs w:val="24"/>
        </w:rPr>
        <w:t>”.</w:t>
      </w:r>
    </w:p>
    <w:p w:rsidR="002F07D4"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 xml:space="preserve">¿Cuál es el motor de la movilidad económica? </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Se utili</w:t>
      </w:r>
      <w:r>
        <w:rPr>
          <w:rFonts w:ascii="Times New Roman" w:hAnsi="Times New Roman" w:cs="Times New Roman"/>
          <w:sz w:val="24"/>
          <w:szCs w:val="24"/>
        </w:rPr>
        <w:t>zan dos tipos de medidas para evaluar</w:t>
      </w:r>
      <w:r w:rsidRPr="00F46979">
        <w:rPr>
          <w:rFonts w:ascii="Times New Roman" w:hAnsi="Times New Roman" w:cs="Times New Roman"/>
          <w:sz w:val="24"/>
          <w:szCs w:val="24"/>
        </w:rPr>
        <w:t xml:space="preserve"> la movilidad económica, observa Nikolai Roussanov, profesor de Finanzas de Wharton. En primer lugar, </w:t>
      </w:r>
      <w:r>
        <w:rPr>
          <w:rFonts w:ascii="Times New Roman" w:hAnsi="Times New Roman" w:cs="Times New Roman"/>
          <w:sz w:val="24"/>
          <w:szCs w:val="24"/>
        </w:rPr>
        <w:t>está lo que se llama movilidad “absoluta”</w:t>
      </w:r>
      <w:r w:rsidRPr="00F46979">
        <w:rPr>
          <w:rFonts w:ascii="Times New Roman" w:hAnsi="Times New Roman" w:cs="Times New Roman"/>
          <w:sz w:val="24"/>
          <w:szCs w:val="24"/>
        </w:rPr>
        <w:t>, que es la riqueza de los hijos comparada con la de los padres. En se</w:t>
      </w:r>
      <w:r>
        <w:rPr>
          <w:rFonts w:ascii="Times New Roman" w:hAnsi="Times New Roman" w:cs="Times New Roman"/>
          <w:sz w:val="24"/>
          <w:szCs w:val="24"/>
        </w:rPr>
        <w:t>gundo lugar, está la movilidad “relativa”</w:t>
      </w:r>
      <w:r w:rsidRPr="00F46979">
        <w:rPr>
          <w:rFonts w:ascii="Times New Roman" w:hAnsi="Times New Roman" w:cs="Times New Roman"/>
          <w:sz w:val="24"/>
          <w:szCs w:val="24"/>
        </w:rPr>
        <w:t xml:space="preserve">, que es la capacidad de los hijos de alcanzar una posición económica superior a la que sus padres tenían, que es lo que sucede cuando los hijos de los pobres </w:t>
      </w:r>
      <w:r>
        <w:rPr>
          <w:rFonts w:ascii="Times New Roman" w:hAnsi="Times New Roman" w:cs="Times New Roman"/>
          <w:sz w:val="24"/>
          <w:szCs w:val="24"/>
        </w:rPr>
        <w:t>se incorporan a la clase media.</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Aunque ambos tipos de movilidad sean importantes, la movilidad relativa es bastante interesante porque revela hasta qué punto las personas se ven limitadas por las circunstancias de nacimiento o son capaces de ascender en comparación con otras. El estudio del Proyecto de Movilidad Económica dice que la movilidad relativa determina si un país tiene una sociedad que premia la meritocracia, en que las personas progresan por el esfuerzo propio, o si su sociedad está basada en factores de suerte, o inclu</w:t>
      </w:r>
      <w:r>
        <w:rPr>
          <w:rFonts w:ascii="Times New Roman" w:hAnsi="Times New Roman" w:cs="Times New Roman"/>
          <w:sz w:val="24"/>
          <w:szCs w:val="24"/>
        </w:rPr>
        <w:t>so si se trata de una sociedad “estratificada en clases”</w:t>
      </w:r>
      <w:r w:rsidRPr="00F46979">
        <w:rPr>
          <w:rFonts w:ascii="Times New Roman" w:hAnsi="Times New Roman" w:cs="Times New Roman"/>
          <w:sz w:val="24"/>
          <w:szCs w:val="24"/>
        </w:rPr>
        <w:t>, en que los hijos tienden a ocupar la</w:t>
      </w:r>
      <w:r>
        <w:rPr>
          <w:rFonts w:ascii="Times New Roman" w:hAnsi="Times New Roman" w:cs="Times New Roman"/>
          <w:sz w:val="24"/>
          <w:szCs w:val="24"/>
        </w:rPr>
        <w:t xml:space="preserve"> misma posición que los padres.</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Los americanos siempre se consideraron una sociedad de meritocracia</w:t>
      </w:r>
      <w:r>
        <w:rPr>
          <w:rFonts w:ascii="Times New Roman" w:hAnsi="Times New Roman" w:cs="Times New Roman"/>
          <w:sz w:val="24"/>
          <w:szCs w:val="24"/>
        </w:rPr>
        <w:t>, sin embargo los datos indican</w:t>
      </w:r>
      <w:r w:rsidRPr="00F46979">
        <w:rPr>
          <w:rFonts w:ascii="Times New Roman" w:hAnsi="Times New Roman" w:cs="Times New Roman"/>
          <w:sz w:val="24"/>
          <w:szCs w:val="24"/>
        </w:rPr>
        <w:t xml:space="preserve"> que ése</w:t>
      </w:r>
      <w:r>
        <w:rPr>
          <w:rFonts w:ascii="Times New Roman" w:hAnsi="Times New Roman" w:cs="Times New Roman"/>
          <w:sz w:val="24"/>
          <w:szCs w:val="24"/>
        </w:rPr>
        <w:t xml:space="preserve"> no es necesariamente el caso. “</w:t>
      </w:r>
      <w:r w:rsidRPr="00F46979">
        <w:rPr>
          <w:rFonts w:ascii="Times New Roman" w:hAnsi="Times New Roman" w:cs="Times New Roman"/>
          <w:sz w:val="24"/>
          <w:szCs w:val="24"/>
        </w:rPr>
        <w:t>La mayor parte de los estudios muestra que, en EEUU, cerca de un 50% de las ventajas derivadas de tener padres de renta elevada son transmitidas a la generación si</w:t>
      </w:r>
      <w:r>
        <w:rPr>
          <w:rFonts w:ascii="Times New Roman" w:hAnsi="Times New Roman" w:cs="Times New Roman"/>
          <w:sz w:val="24"/>
          <w:szCs w:val="24"/>
        </w:rPr>
        <w:t>guiente”</w:t>
      </w:r>
      <w:r w:rsidRPr="00F46979">
        <w:rPr>
          <w:rFonts w:ascii="Times New Roman" w:hAnsi="Times New Roman" w:cs="Times New Roman"/>
          <w:sz w:val="24"/>
          <w:szCs w:val="24"/>
        </w:rPr>
        <w:t>, concluye el estudio del Pr</w:t>
      </w:r>
      <w:r>
        <w:rPr>
          <w:rFonts w:ascii="Times New Roman" w:hAnsi="Times New Roman" w:cs="Times New Roman"/>
          <w:sz w:val="24"/>
          <w:szCs w:val="24"/>
        </w:rPr>
        <w:t>oyecto de Movilidad Económica. “</w:t>
      </w:r>
      <w:r w:rsidRPr="00F46979">
        <w:rPr>
          <w:rFonts w:ascii="Times New Roman" w:hAnsi="Times New Roman" w:cs="Times New Roman"/>
          <w:sz w:val="24"/>
          <w:szCs w:val="24"/>
        </w:rPr>
        <w:t xml:space="preserve">Eso significa que uno de los mayores indicadores </w:t>
      </w:r>
      <w:r w:rsidRPr="00F46979">
        <w:rPr>
          <w:rFonts w:ascii="Times New Roman" w:hAnsi="Times New Roman" w:cs="Times New Roman"/>
          <w:sz w:val="24"/>
          <w:szCs w:val="24"/>
        </w:rPr>
        <w:lastRenderedPageBreak/>
        <w:t>del éxi</w:t>
      </w:r>
      <w:r>
        <w:rPr>
          <w:rFonts w:ascii="Times New Roman" w:hAnsi="Times New Roman" w:cs="Times New Roman"/>
          <w:sz w:val="24"/>
          <w:szCs w:val="24"/>
        </w:rPr>
        <w:t>to económico futuro de un niño -</w:t>
      </w:r>
      <w:r w:rsidRPr="00F46979">
        <w:rPr>
          <w:rFonts w:ascii="Times New Roman" w:hAnsi="Times New Roman" w:cs="Times New Roman"/>
          <w:sz w:val="24"/>
          <w:szCs w:val="24"/>
        </w:rPr>
        <w:t xml:space="preserve">identidad </w:t>
      </w:r>
      <w:r>
        <w:rPr>
          <w:rFonts w:ascii="Times New Roman" w:hAnsi="Times New Roman" w:cs="Times New Roman"/>
          <w:sz w:val="24"/>
          <w:szCs w:val="24"/>
        </w:rPr>
        <w:t>y características de sus padres-</w:t>
      </w:r>
      <w:r w:rsidRPr="00F46979">
        <w:rPr>
          <w:rFonts w:ascii="Times New Roman" w:hAnsi="Times New Roman" w:cs="Times New Roman"/>
          <w:sz w:val="24"/>
          <w:szCs w:val="24"/>
        </w:rPr>
        <w:t xml:space="preserve"> está predeterminado y no se tiene control alguno sobre es</w:t>
      </w:r>
      <w:r>
        <w:rPr>
          <w:rFonts w:ascii="Times New Roman" w:hAnsi="Times New Roman" w:cs="Times New Roman"/>
          <w:sz w:val="24"/>
          <w:szCs w:val="24"/>
        </w:rPr>
        <w:t>o”.</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Evidentemente, padres prósperos pueden dar a sus hijos una buena educación y otras ventajas que, en general, no están disponibles para las personas de baja renta. Aunque los hijos de padres con más dinero puedan fracasar debido a la pereza, falta de ingenio o mala suerte, de media, ellas se benefician de la buena situación inicial. Al medir la movilidad económica entre las generaciones comparando la renta de los hijos con la de los padres, el estudio del Proyecto de Movilidad Económica constató que los americanos tienen un grado un poco mayor de movilidad que la población de Reino Unido, pero menos que la población de Francia, Alemania, Suecia, Canadá, Finlandia, Noruega y Dinamarca. En los cuatro últimos países citados, el grado de movilidad es dos o t</w:t>
      </w:r>
      <w:r>
        <w:rPr>
          <w:rFonts w:ascii="Times New Roman" w:hAnsi="Times New Roman" w:cs="Times New Roman"/>
          <w:sz w:val="24"/>
          <w:szCs w:val="24"/>
        </w:rPr>
        <w:t>res veces mayor que en EEUU.</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Un segundo est</w:t>
      </w:r>
      <w:r>
        <w:rPr>
          <w:rFonts w:ascii="Times New Roman" w:hAnsi="Times New Roman" w:cs="Times New Roman"/>
          <w:sz w:val="24"/>
          <w:szCs w:val="24"/>
        </w:rPr>
        <w:t>udio del Proyecto constató que “</w:t>
      </w:r>
      <w:r w:rsidRPr="00F46979">
        <w:rPr>
          <w:rFonts w:ascii="Times New Roman" w:hAnsi="Times New Roman" w:cs="Times New Roman"/>
          <w:sz w:val="24"/>
          <w:szCs w:val="24"/>
        </w:rPr>
        <w:t>un 42% de los niños nacidos de padres pertenecientes a la quinta parte inferior de la distribución de la renta continúan ahí, mientras que un 39% nacidos de padres de la quinta parte superior continúan en los primeros puestos. Solamente cerca de un tercio de los americanos fuer</w:t>
      </w:r>
      <w:r>
        <w:rPr>
          <w:rFonts w:ascii="Times New Roman" w:hAnsi="Times New Roman" w:cs="Times New Roman"/>
          <w:sz w:val="24"/>
          <w:szCs w:val="24"/>
        </w:rPr>
        <w:t>on clasificados en el grupo de “ascenso social”</w:t>
      </w:r>
      <w:r w:rsidRPr="00F46979">
        <w:rPr>
          <w:rFonts w:ascii="Times New Roman" w:hAnsi="Times New Roman" w:cs="Times New Roman"/>
          <w:sz w:val="24"/>
          <w:szCs w:val="24"/>
        </w:rPr>
        <w:t xml:space="preserve">, o, en otros términos, ganaban más que sus padres y habían alcanzado la quinta parte superior de la escala de </w:t>
      </w:r>
      <w:r>
        <w:rPr>
          <w:rFonts w:ascii="Times New Roman" w:hAnsi="Times New Roman" w:cs="Times New Roman"/>
          <w:sz w:val="24"/>
          <w:szCs w:val="24"/>
        </w:rPr>
        <w:t>la distribución de la renta.</w:t>
      </w:r>
    </w:p>
    <w:p w:rsidR="002F07D4" w:rsidRPr="00F46979"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Además, “</w:t>
      </w:r>
      <w:r w:rsidRPr="00F46979">
        <w:rPr>
          <w:rFonts w:ascii="Times New Roman" w:hAnsi="Times New Roman" w:cs="Times New Roman"/>
          <w:sz w:val="24"/>
          <w:szCs w:val="24"/>
        </w:rPr>
        <w:t>la historia del pobre que se vuelve rico es más común e</w:t>
      </w:r>
      <w:r>
        <w:rPr>
          <w:rFonts w:ascii="Times New Roman" w:hAnsi="Times New Roman" w:cs="Times New Roman"/>
          <w:sz w:val="24"/>
          <w:szCs w:val="24"/>
        </w:rPr>
        <w:t>n Hollywood que en la vida real”</w:t>
      </w:r>
      <w:r w:rsidRPr="00F46979">
        <w:rPr>
          <w:rFonts w:ascii="Times New Roman" w:hAnsi="Times New Roman" w:cs="Times New Roman"/>
          <w:sz w:val="24"/>
          <w:szCs w:val="24"/>
        </w:rPr>
        <w:t>, c</w:t>
      </w:r>
      <w:r>
        <w:rPr>
          <w:rFonts w:ascii="Times New Roman" w:hAnsi="Times New Roman" w:cs="Times New Roman"/>
          <w:sz w:val="24"/>
          <w:szCs w:val="24"/>
        </w:rPr>
        <w:t>oncluyó el Proyecto Movilidad. “</w:t>
      </w:r>
      <w:r w:rsidRPr="00F46979">
        <w:rPr>
          <w:rFonts w:ascii="Times New Roman" w:hAnsi="Times New Roman" w:cs="Times New Roman"/>
          <w:sz w:val="24"/>
          <w:szCs w:val="24"/>
        </w:rPr>
        <w:t xml:space="preserve">Solamente un 6% de los niños nacidos de padres pobres con renta familiar muy </w:t>
      </w:r>
      <w:r>
        <w:rPr>
          <w:rFonts w:ascii="Times New Roman" w:hAnsi="Times New Roman" w:cs="Times New Roman"/>
          <w:sz w:val="24"/>
          <w:szCs w:val="24"/>
        </w:rPr>
        <w:t>baja llegaban al nivel superior”.</w:t>
      </w:r>
    </w:p>
    <w:p w:rsidR="002F07D4"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 xml:space="preserve">¿Qué hace que la movilidad económica aumente o disminuya? </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Un factor fundamental es la desigualdad de los ingresos: cuanto mayor es la desigualdad, menor la movilidad. Roussanov destaca que se necesita menos renta adicional para subir de un quinto al siguiente si la pirámide es más plana, y más renta si es más inclinada. Tal vez eso ayude a explicar la mayor mo</w:t>
      </w:r>
      <w:r>
        <w:rPr>
          <w:rFonts w:ascii="Times New Roman" w:hAnsi="Times New Roman" w:cs="Times New Roman"/>
          <w:sz w:val="24"/>
          <w:szCs w:val="24"/>
        </w:rPr>
        <w:t>vilidad de Europa y de Canadá. “</w:t>
      </w:r>
      <w:r w:rsidRPr="00F46979">
        <w:rPr>
          <w:rFonts w:ascii="Times New Roman" w:hAnsi="Times New Roman" w:cs="Times New Roman"/>
          <w:sz w:val="24"/>
          <w:szCs w:val="24"/>
        </w:rPr>
        <w:t>No está claro si hay más movili</w:t>
      </w:r>
      <w:r>
        <w:rPr>
          <w:rFonts w:ascii="Times New Roman" w:hAnsi="Times New Roman" w:cs="Times New Roman"/>
          <w:sz w:val="24"/>
          <w:szCs w:val="24"/>
        </w:rPr>
        <w:t>dad en las sociedades europeas (...)</w:t>
      </w:r>
      <w:r w:rsidRPr="00F46979">
        <w:rPr>
          <w:rFonts w:ascii="Times New Roman" w:hAnsi="Times New Roman" w:cs="Times New Roman"/>
          <w:sz w:val="24"/>
          <w:szCs w:val="24"/>
        </w:rPr>
        <w:t xml:space="preserve"> esto porque la distribución de la renta allí es má</w:t>
      </w:r>
      <w:r>
        <w:rPr>
          <w:rFonts w:ascii="Times New Roman" w:hAnsi="Times New Roman" w:cs="Times New Roman"/>
          <w:sz w:val="24"/>
          <w:szCs w:val="24"/>
        </w:rPr>
        <w:t>s compacta”, dice Roussanov.</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La mayor parte de los especialistas cree que hay otros factores en juego, pero no hay duda de que la desigualdad de la renta está aumentando de forma clara en EEUU. Durante una charla el día 12 de enero</w:t>
      </w:r>
      <w:r>
        <w:rPr>
          <w:rFonts w:ascii="Times New Roman" w:hAnsi="Times New Roman" w:cs="Times New Roman"/>
          <w:sz w:val="24"/>
          <w:szCs w:val="24"/>
        </w:rPr>
        <w:t xml:space="preserve"> (2012)</w:t>
      </w:r>
      <w:r w:rsidRPr="00F46979">
        <w:rPr>
          <w:rFonts w:ascii="Times New Roman" w:hAnsi="Times New Roman" w:cs="Times New Roman"/>
          <w:sz w:val="24"/>
          <w:szCs w:val="24"/>
        </w:rPr>
        <w:t xml:space="preserve"> en el Center for American Progress, Alan B. Krueger, economista de Princeton y presidente del Consejo de Asesores Económicos del presidente Obama, presentó datos que muestran una fuerte correlación entre desigualdad de renta y ausencia de movilidad económica. De las diez economías desarrolladas analizadas en el estudio, EEUU tenía la mayor desigualdad y la menor movilidad medidas por el éxito de los hijos en alcanzar niveles superiores al de sus padres. Países </w:t>
      </w:r>
      <w:r>
        <w:rPr>
          <w:rFonts w:ascii="Times New Roman" w:hAnsi="Times New Roman" w:cs="Times New Roman"/>
          <w:sz w:val="24"/>
          <w:szCs w:val="24"/>
        </w:rPr>
        <w:t>con nivel de desigualdad menor -</w:t>
      </w:r>
      <w:r w:rsidRPr="00F46979">
        <w:rPr>
          <w:rFonts w:ascii="Times New Roman" w:hAnsi="Times New Roman" w:cs="Times New Roman"/>
          <w:sz w:val="24"/>
          <w:szCs w:val="24"/>
        </w:rPr>
        <w:t>Suecia, Finlandia, Noruega y Dinamarca</w:t>
      </w:r>
      <w:r>
        <w:rPr>
          <w:rFonts w:ascii="Times New Roman" w:hAnsi="Times New Roman" w:cs="Times New Roman"/>
          <w:sz w:val="24"/>
          <w:szCs w:val="24"/>
        </w:rPr>
        <w:t>-</w:t>
      </w:r>
      <w:r w:rsidRPr="00F46979">
        <w:rPr>
          <w:rFonts w:ascii="Times New Roman" w:hAnsi="Times New Roman" w:cs="Times New Roman"/>
          <w:sz w:val="24"/>
          <w:szCs w:val="24"/>
        </w:rPr>
        <w:t xml:space="preserve"> te</w:t>
      </w:r>
      <w:r>
        <w:rPr>
          <w:rFonts w:ascii="Times New Roman" w:hAnsi="Times New Roman" w:cs="Times New Roman"/>
          <w:sz w:val="24"/>
          <w:szCs w:val="24"/>
        </w:rPr>
        <w:t>nían una movilidad más elevada.</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 xml:space="preserve">De 1947 a 1979, la tasa real (ajustada por la inflación) de aumento de los ingresos era casi el mismo en todos los niveles de renta de EEUU, dijo Krueger citando cifras de la Oficina del Censo que señalaban un 2,5% de crecimiento anual en la quinta parte de renta más baja y un 2,2% en la quinta parte superior. Después, de 1979 a 2010, las rentas anuales cayeron un 0,4% en la quinta parte más baja y subieron un 1,2% en la más alta. En 1970, un 50% de las familias americanas pertenecían a la clase media; en 2010, ese porcentaje era del 42,2%. Según La Oficina del Presupuesto del Congreso, de </w:t>
      </w:r>
      <w:r w:rsidRPr="00F46979">
        <w:rPr>
          <w:rFonts w:ascii="Times New Roman" w:hAnsi="Times New Roman" w:cs="Times New Roman"/>
          <w:sz w:val="24"/>
          <w:szCs w:val="24"/>
        </w:rPr>
        <w:lastRenderedPageBreak/>
        <w:t>1979 a 2004, la tasa de renta real después de descontados los impuestos subió un 9% en la quinta parte inferior, un 69% en la superior y un 176% entre el 1</w:t>
      </w:r>
      <w:r>
        <w:rPr>
          <w:rFonts w:ascii="Times New Roman" w:hAnsi="Times New Roman" w:cs="Times New Roman"/>
          <w:sz w:val="24"/>
          <w:szCs w:val="24"/>
        </w:rPr>
        <w:t xml:space="preserve"> % más rico.</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Citando diversos economistas, Krueger dijo que el cambio tecnológico, que reduce la demanda de trabajadores que no dominan el uso del ordenador y no tienen conocimientos de nivel más elevado, fue el principal factor del aumento de la desigualdad de renta. Entre otros factores importantes destacan: comercio internacional, descenso del salario mínimo después de ajustado por la inflación, caída de afiliación a los sindicatos e inmigración creciente. Además, la disminución de la renta en la era Bush, las ganancias de capital y los impuestos sobre propiedades inmobiliarias contribuyeron aún más a enriquecer a los americanos más ricos. La mayor parte de los países europeos, dijo Krueger, tienen sistemas de impuestos más progresivos que el de EEUU, lo que contribuye a a</w:t>
      </w:r>
      <w:r>
        <w:rPr>
          <w:rFonts w:ascii="Times New Roman" w:hAnsi="Times New Roman" w:cs="Times New Roman"/>
          <w:sz w:val="24"/>
          <w:szCs w:val="24"/>
        </w:rPr>
        <w:t>planar la pirámide de la renta.</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 xml:space="preserve">Herring y Roussanov observan que la movilidad de la renta también se vio afectada por el descenso del nivel de la </w:t>
      </w:r>
      <w:r>
        <w:rPr>
          <w:rFonts w:ascii="Times New Roman" w:hAnsi="Times New Roman" w:cs="Times New Roman"/>
          <w:sz w:val="24"/>
          <w:szCs w:val="24"/>
        </w:rPr>
        <w:t>enseñanza. EEUU, dice Herring, “</w:t>
      </w:r>
      <w:r w:rsidRPr="00F46979">
        <w:rPr>
          <w:rFonts w:ascii="Times New Roman" w:hAnsi="Times New Roman" w:cs="Times New Roman"/>
          <w:sz w:val="24"/>
          <w:szCs w:val="24"/>
        </w:rPr>
        <w:t>se ha quedado muy por detrás de otros países en desempeño educativo en p</w:t>
      </w:r>
      <w:r>
        <w:rPr>
          <w:rFonts w:ascii="Times New Roman" w:hAnsi="Times New Roman" w:cs="Times New Roman"/>
          <w:sz w:val="24"/>
          <w:szCs w:val="24"/>
        </w:rPr>
        <w:t>rácticamente todos los niveles (...)</w:t>
      </w:r>
      <w:r w:rsidRPr="00F46979">
        <w:rPr>
          <w:rFonts w:ascii="Times New Roman" w:hAnsi="Times New Roman" w:cs="Times New Roman"/>
          <w:sz w:val="24"/>
          <w:szCs w:val="24"/>
        </w:rPr>
        <w:t xml:space="preserve"> No hay duda de que los estándares han caído. Un menor número de estudiantes termina la facultad, y de los que la terminan, un grupo muy pequeño tiene conocimientos suficientes para hacer una especiali</w:t>
      </w:r>
      <w:r>
        <w:rPr>
          <w:rFonts w:ascii="Times New Roman" w:hAnsi="Times New Roman" w:cs="Times New Roman"/>
          <w:sz w:val="24"/>
          <w:szCs w:val="24"/>
        </w:rPr>
        <w:t>zación en ciencias o ingeniería”.</w:t>
      </w:r>
    </w:p>
    <w:p w:rsidR="002F07D4"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Eso tuvo lugar en una</w:t>
      </w:r>
      <w:r>
        <w:rPr>
          <w:rFonts w:ascii="Times New Roman" w:hAnsi="Times New Roman" w:cs="Times New Roman"/>
          <w:sz w:val="24"/>
          <w:szCs w:val="24"/>
        </w:rPr>
        <w:t xml:space="preserve"> época, dice Roussanov, en que “</w:t>
      </w:r>
      <w:r w:rsidRPr="00F46979">
        <w:rPr>
          <w:rFonts w:ascii="Times New Roman" w:hAnsi="Times New Roman" w:cs="Times New Roman"/>
          <w:sz w:val="24"/>
          <w:szCs w:val="24"/>
        </w:rPr>
        <w:t>la impo</w:t>
      </w:r>
      <w:r>
        <w:rPr>
          <w:rFonts w:ascii="Times New Roman" w:hAnsi="Times New Roman" w:cs="Times New Roman"/>
          <w:sz w:val="24"/>
          <w:szCs w:val="24"/>
        </w:rPr>
        <w:t>rtancia de la educación aumentó”</w:t>
      </w:r>
      <w:r w:rsidRPr="00F46979">
        <w:rPr>
          <w:rFonts w:ascii="Times New Roman" w:hAnsi="Times New Roman" w:cs="Times New Roman"/>
          <w:sz w:val="24"/>
          <w:szCs w:val="24"/>
        </w:rPr>
        <w:t>, es decir, el trabajador con poca formación tiene menos oportunidad de c</w:t>
      </w:r>
      <w:r>
        <w:rPr>
          <w:rFonts w:ascii="Times New Roman" w:hAnsi="Times New Roman" w:cs="Times New Roman"/>
          <w:sz w:val="24"/>
          <w:szCs w:val="24"/>
        </w:rPr>
        <w:t>onseguir empleos bien pagados. “</w:t>
      </w:r>
      <w:r w:rsidRPr="00F46979">
        <w:rPr>
          <w:rFonts w:ascii="Times New Roman" w:hAnsi="Times New Roman" w:cs="Times New Roman"/>
          <w:sz w:val="24"/>
          <w:szCs w:val="24"/>
        </w:rPr>
        <w:t>Es evidente la percepción de que el sistema de enseñanza, en particular el sistema de enseñanza primaria, se ha det</w:t>
      </w:r>
      <w:r>
        <w:rPr>
          <w:rFonts w:ascii="Times New Roman" w:hAnsi="Times New Roman" w:cs="Times New Roman"/>
          <w:sz w:val="24"/>
          <w:szCs w:val="24"/>
        </w:rPr>
        <w:t>eriorado con el paso del tiempo”</w:t>
      </w:r>
      <w:r w:rsidRPr="00F46979">
        <w:rPr>
          <w:rFonts w:ascii="Times New Roman" w:hAnsi="Times New Roman" w:cs="Times New Roman"/>
          <w:sz w:val="24"/>
          <w:szCs w:val="24"/>
        </w:rPr>
        <w:t>. Los últimos años, añade Herring, la crisis financiera y sus consecuencias contribuyeron al declive de la movilidad económica. No hay sólo millones de personas desempleadas, o ganando menos de lo que ganaban antes de la crisis, sino también hay muchas que se encuentran en un verdadero callejón sin salida porque no consiguen vender sus casas.</w:t>
      </w:r>
    </w:p>
    <w:p w:rsidR="002F07D4" w:rsidRPr="00F46979"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46979">
        <w:rPr>
          <w:rFonts w:ascii="Times New Roman" w:hAnsi="Times New Roman" w:cs="Times New Roman"/>
          <w:sz w:val="24"/>
          <w:szCs w:val="24"/>
        </w:rPr>
        <w:t>Una de las razones por la que las recesiones americanas han sido más superficiales y cortas que en la mayor parte de los otros países se debe al hecho de que los trabajadores americanos siempre han demostrado una disposición notable para trasladarse a lugares donde hay trabajo cuand</w:t>
      </w:r>
      <w:r>
        <w:rPr>
          <w:rFonts w:ascii="Times New Roman" w:hAnsi="Times New Roman" w:cs="Times New Roman"/>
          <w:sz w:val="24"/>
          <w:szCs w:val="24"/>
        </w:rPr>
        <w:t>o se quedan sin empleo”, dice Herring. “</w:t>
      </w:r>
      <w:r w:rsidRPr="00F46979">
        <w:rPr>
          <w:rFonts w:ascii="Times New Roman" w:hAnsi="Times New Roman" w:cs="Times New Roman"/>
          <w:sz w:val="24"/>
          <w:szCs w:val="24"/>
        </w:rPr>
        <w:t>Como el mercado inmobiliario está deprimido, muchos trabajadores que, en otras circunstancias, estarían dispuestos a desplazarse a áreas con mejores oportunidades de trabajo están atados a sus casas que no consiguen vender. Es probable que esa situación mejore con el tiem</w:t>
      </w:r>
      <w:r>
        <w:rPr>
          <w:rFonts w:ascii="Times New Roman" w:hAnsi="Times New Roman" w:cs="Times New Roman"/>
          <w:sz w:val="24"/>
          <w:szCs w:val="24"/>
        </w:rPr>
        <w:t>po, pero ya está tardando mucho”.</w:t>
      </w:r>
    </w:p>
    <w:p w:rsidR="002F07D4"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Como la desigualdad está creciendo en EEUU, la movilidad económica caerá en el futu</w:t>
      </w:r>
      <w:r>
        <w:rPr>
          <w:rFonts w:ascii="Times New Roman" w:hAnsi="Times New Roman" w:cs="Times New Roman"/>
          <w:sz w:val="24"/>
          <w:szCs w:val="24"/>
        </w:rPr>
        <w:t>ro, dijo Krueger en su charla. “</w:t>
      </w:r>
      <w:r w:rsidRPr="00F46979">
        <w:rPr>
          <w:rFonts w:ascii="Times New Roman" w:hAnsi="Times New Roman" w:cs="Times New Roman"/>
          <w:sz w:val="24"/>
          <w:szCs w:val="24"/>
        </w:rPr>
        <w:t xml:space="preserve">En otras palabras, la continuidad de las ventajas y desventajas de la renta pasada de padres a hijos debería aumentar cerca de un cuarto en la próxima generación como consecuencia del aumento de la desigualdad experimentada </w:t>
      </w:r>
      <w:r>
        <w:rPr>
          <w:rFonts w:ascii="Times New Roman" w:hAnsi="Times New Roman" w:cs="Times New Roman"/>
          <w:sz w:val="24"/>
          <w:szCs w:val="24"/>
        </w:rPr>
        <w:t>por EEUU en los últimos 25 años”, dijo. “</w:t>
      </w:r>
      <w:r w:rsidRPr="00F46979">
        <w:rPr>
          <w:rFonts w:ascii="Times New Roman" w:hAnsi="Times New Roman" w:cs="Times New Roman"/>
          <w:sz w:val="24"/>
          <w:szCs w:val="24"/>
        </w:rPr>
        <w:t>Es difícil mirar a esas cifras y no sentirse preocupado por el hecho de que el aumento de la desigualdad está poniendo en riesgo nuestra tradición de oportunidad. La suerte de los padres parece un dato cada vez más impo</w:t>
      </w:r>
      <w:r>
        <w:rPr>
          <w:rFonts w:ascii="Times New Roman" w:hAnsi="Times New Roman" w:cs="Times New Roman"/>
          <w:sz w:val="24"/>
          <w:szCs w:val="24"/>
        </w:rPr>
        <w:t>rtante en la sociedad americana”.</w:t>
      </w:r>
    </w:p>
    <w:p w:rsidR="005F0DC2" w:rsidRDefault="005F0DC2" w:rsidP="002F07D4">
      <w:pPr>
        <w:spacing w:line="240" w:lineRule="auto"/>
        <w:jc w:val="both"/>
        <w:rPr>
          <w:rFonts w:ascii="Times New Roman" w:hAnsi="Times New Roman" w:cs="Times New Roman"/>
          <w:sz w:val="24"/>
          <w:szCs w:val="24"/>
        </w:rPr>
      </w:pPr>
    </w:p>
    <w:p w:rsidR="005F0DC2" w:rsidRDefault="005F0DC2" w:rsidP="002F07D4">
      <w:pPr>
        <w:spacing w:line="240" w:lineRule="auto"/>
        <w:jc w:val="both"/>
        <w:rPr>
          <w:rFonts w:ascii="Times New Roman" w:hAnsi="Times New Roman" w:cs="Times New Roman"/>
          <w:sz w:val="24"/>
          <w:szCs w:val="24"/>
        </w:rPr>
      </w:pP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lastRenderedPageBreak/>
        <w:t>¿</w:t>
      </w:r>
      <w:r>
        <w:rPr>
          <w:rFonts w:ascii="Times New Roman" w:hAnsi="Times New Roman" w:cs="Times New Roman"/>
          <w:sz w:val="24"/>
          <w:szCs w:val="24"/>
        </w:rPr>
        <w:t>Un fundamento que se desmorona?</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Para muchos americanos, la movilidad ascendente es un valor fundamental, el fundamento del Sueño Americano. Pero la desigualdad de la renta y la disminución de la movilidad son dos cuestiones que relacionadas también t</w:t>
      </w:r>
      <w:r>
        <w:rPr>
          <w:rFonts w:ascii="Times New Roman" w:hAnsi="Times New Roman" w:cs="Times New Roman"/>
          <w:sz w:val="24"/>
          <w:szCs w:val="24"/>
        </w:rPr>
        <w:t>ienen implicaciones económicas.</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 xml:space="preserve">El Pew Charitable Trusts constató que un número cada vez mayor de americanos se muestran pesimistas respecto al futuro, y dudan de que la próxima generación sea tan próspera como </w:t>
      </w:r>
      <w:r>
        <w:rPr>
          <w:rFonts w:ascii="Times New Roman" w:hAnsi="Times New Roman" w:cs="Times New Roman"/>
          <w:sz w:val="24"/>
          <w:szCs w:val="24"/>
        </w:rPr>
        <w:t>la anterior. Según la entidad, “</w:t>
      </w:r>
      <w:r w:rsidRPr="00F46979">
        <w:rPr>
          <w:rFonts w:ascii="Times New Roman" w:hAnsi="Times New Roman" w:cs="Times New Roman"/>
          <w:sz w:val="24"/>
          <w:szCs w:val="24"/>
        </w:rPr>
        <w:t>en marzo de 2007, un estudio del Pew Research Center mostró q</w:t>
      </w:r>
      <w:r>
        <w:rPr>
          <w:rFonts w:ascii="Times New Roman" w:hAnsi="Times New Roman" w:cs="Times New Roman"/>
          <w:sz w:val="24"/>
          <w:szCs w:val="24"/>
        </w:rPr>
        <w:t>ue un 73% de los entrevistados -un aumento del 8% desde 2002- coincidían con la afirmación ‘</w:t>
      </w:r>
      <w:r w:rsidRPr="00F46979">
        <w:rPr>
          <w:rFonts w:ascii="Times New Roman" w:hAnsi="Times New Roman" w:cs="Times New Roman"/>
          <w:sz w:val="24"/>
          <w:szCs w:val="24"/>
        </w:rPr>
        <w:t xml:space="preserve">Hoy sin duda alguna es verdad que los ricos son cada vez más ricos y </w:t>
      </w:r>
      <w:r>
        <w:rPr>
          <w:rFonts w:ascii="Times New Roman" w:hAnsi="Times New Roman" w:cs="Times New Roman"/>
          <w:sz w:val="24"/>
          <w:szCs w:val="24"/>
        </w:rPr>
        <w:t>los pobres cada vez más pobres’”.</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Si las personas creyeran que no pueden progresar, ¿cómo afectará eso a su dedicación en el trabajo o su búsqueda de otras formas de enriquecimiento como, por ejemplo, cursos de especialización o un curso superior? Las personas atrapadas en los escalones inferiores de la pirámide son talentos que se pierden: innovadores, investigadores, emprendedores, educadores, artistas y líderes políticos y empresariales que no recibieron atención. Algunos investigadores dijeron que la creciente desigualdad y la caída en la movilidad han llevado al consumidor a pedir más préstamos para mantener los niveles deseados de consumo, lo que contribuye a que tengan lugar sucesos como la burbuja inmobiliaria. Otros dicen que la demanda del consumidor, que es crítica para el crecimiento económico, se ve más perjudicada cuando hay menos gente en la clase m</w:t>
      </w:r>
      <w:r>
        <w:rPr>
          <w:rFonts w:ascii="Times New Roman" w:hAnsi="Times New Roman" w:cs="Times New Roman"/>
          <w:sz w:val="24"/>
          <w:szCs w:val="24"/>
        </w:rPr>
        <w:t>edia y hay más personas pobres.</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Krueger recurrió a un cálculo simplificado para mostrar que de 1979 a 2007, un 1% de las personas de renta más elevada tuvieron un aumento de renta del 13,5%, o cerca de US$ 1,1 billones en 2007. Como los ricos ahorran cerca de la mitad de los incrementos de rentas, frente a un 10% del resto de la población, esa renta desviada redujo el consumo anual en US$ 440.000 millones. Aunque admita que esa cifra pueda ser cuestionada,</w:t>
      </w:r>
      <w:r>
        <w:rPr>
          <w:rFonts w:ascii="Times New Roman" w:hAnsi="Times New Roman" w:cs="Times New Roman"/>
          <w:sz w:val="24"/>
          <w:szCs w:val="24"/>
        </w:rPr>
        <w:t xml:space="preserve"> Krueger concluyó diciendo que “</w:t>
      </w:r>
      <w:r w:rsidRPr="00F46979">
        <w:rPr>
          <w:rFonts w:ascii="Times New Roman" w:hAnsi="Times New Roman" w:cs="Times New Roman"/>
          <w:sz w:val="24"/>
          <w:szCs w:val="24"/>
        </w:rPr>
        <w:t>los cálculos dejan claro que la economía estaría en mejor situación, y la demanda agregada sería más robusta, si el tamaño de la clase media no hubiera disminuido como consecuenci</w:t>
      </w:r>
      <w:r>
        <w:rPr>
          <w:rFonts w:ascii="Times New Roman" w:hAnsi="Times New Roman" w:cs="Times New Roman"/>
          <w:sz w:val="24"/>
          <w:szCs w:val="24"/>
        </w:rPr>
        <w:t>a del aumento de la desigualdad”.</w:t>
      </w:r>
    </w:p>
    <w:p w:rsidR="002F07D4" w:rsidRPr="00F46979" w:rsidRDefault="002F07D4" w:rsidP="002F07D4">
      <w:pPr>
        <w:spacing w:line="240" w:lineRule="auto"/>
        <w:jc w:val="both"/>
        <w:rPr>
          <w:rFonts w:ascii="Times New Roman" w:hAnsi="Times New Roman" w:cs="Times New Roman"/>
          <w:sz w:val="24"/>
          <w:szCs w:val="24"/>
        </w:rPr>
      </w:pPr>
      <w:r w:rsidRPr="00F46979">
        <w:rPr>
          <w:rFonts w:ascii="Times New Roman" w:hAnsi="Times New Roman" w:cs="Times New Roman"/>
          <w:sz w:val="24"/>
          <w:szCs w:val="24"/>
        </w:rPr>
        <w:t>Herring y Roussanov observan que EEUU ha</w:t>
      </w:r>
      <w:r>
        <w:rPr>
          <w:rFonts w:ascii="Times New Roman" w:hAnsi="Times New Roman" w:cs="Times New Roman"/>
          <w:sz w:val="24"/>
          <w:szCs w:val="24"/>
        </w:rPr>
        <w:t xml:space="preserve"> de redoblar</w:t>
      </w:r>
      <w:r w:rsidRPr="00F46979">
        <w:rPr>
          <w:rFonts w:ascii="Times New Roman" w:hAnsi="Times New Roman" w:cs="Times New Roman"/>
          <w:sz w:val="24"/>
          <w:szCs w:val="24"/>
        </w:rPr>
        <w:t xml:space="preserve"> su comprom</w:t>
      </w:r>
      <w:r>
        <w:rPr>
          <w:rFonts w:ascii="Times New Roman" w:hAnsi="Times New Roman" w:cs="Times New Roman"/>
          <w:sz w:val="24"/>
          <w:szCs w:val="24"/>
        </w:rPr>
        <w:t>iso con la educación. “</w:t>
      </w:r>
      <w:r w:rsidRPr="00F46979">
        <w:rPr>
          <w:rFonts w:ascii="Times New Roman" w:hAnsi="Times New Roman" w:cs="Times New Roman"/>
          <w:sz w:val="24"/>
          <w:szCs w:val="24"/>
        </w:rPr>
        <w:t xml:space="preserve">Una fuerza laboral menos preparada será sin duda menos móvil porque no tendrá flexibilidad para adaptarse a las condiciones </w:t>
      </w:r>
      <w:r>
        <w:rPr>
          <w:rFonts w:ascii="Times New Roman" w:hAnsi="Times New Roman" w:cs="Times New Roman"/>
          <w:sz w:val="24"/>
          <w:szCs w:val="24"/>
        </w:rPr>
        <w:t>económicas en proceso de cambio”, dice Herring. “</w:t>
      </w:r>
      <w:r w:rsidRPr="00F46979">
        <w:rPr>
          <w:rFonts w:ascii="Times New Roman" w:hAnsi="Times New Roman" w:cs="Times New Roman"/>
          <w:sz w:val="24"/>
          <w:szCs w:val="24"/>
        </w:rPr>
        <w:t>El declive de la movilidad de la fuerza de trabajo lleva al declive de la movilidad social y a una sociedad en que p</w:t>
      </w:r>
      <w:r>
        <w:rPr>
          <w:rFonts w:ascii="Times New Roman" w:hAnsi="Times New Roman" w:cs="Times New Roman"/>
          <w:sz w:val="24"/>
          <w:szCs w:val="24"/>
        </w:rPr>
        <w:t>ocos de nosotros querrían vivir”.</w:t>
      </w:r>
    </w:p>
    <w:p w:rsidR="002F07D4" w:rsidRPr="00F46979"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46979">
        <w:rPr>
          <w:rFonts w:ascii="Times New Roman" w:hAnsi="Times New Roman" w:cs="Times New Roman"/>
          <w:sz w:val="24"/>
          <w:szCs w:val="24"/>
        </w:rPr>
        <w:t>Sea como sea, la idea de que EEUU es la tierra de las oportunidades dotada de una movilidad excepcional continúa vigente en Estados</w:t>
      </w:r>
      <w:r>
        <w:rPr>
          <w:rFonts w:ascii="Times New Roman" w:hAnsi="Times New Roman" w:cs="Times New Roman"/>
          <w:sz w:val="24"/>
          <w:szCs w:val="24"/>
        </w:rPr>
        <w:t xml:space="preserve"> Unidos y en el resto del mundo”, añade Herring. “</w:t>
      </w:r>
      <w:r w:rsidRPr="00F46979">
        <w:rPr>
          <w:rFonts w:ascii="Times New Roman" w:hAnsi="Times New Roman" w:cs="Times New Roman"/>
          <w:sz w:val="24"/>
          <w:szCs w:val="24"/>
        </w:rPr>
        <w:t>Es muy importante, para motivar a las personas, que ellas se esfuercen en sacar lo mejor de sí mismas, pero tal actitud no puede durar mucho si no hay evidencias sólidas de que vale la pena. Eso dependerá de arreglar el sistema de enseñanza, pero n</w:t>
      </w:r>
      <w:r>
        <w:rPr>
          <w:rFonts w:ascii="Times New Roman" w:hAnsi="Times New Roman" w:cs="Times New Roman"/>
          <w:sz w:val="24"/>
          <w:szCs w:val="24"/>
        </w:rPr>
        <w:t>adie parece dispuesto a hacerlo”.</w:t>
      </w:r>
    </w:p>
    <w:p w:rsidR="002F07D4" w:rsidRPr="00F46979"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Roussanov añade: “</w:t>
      </w:r>
      <w:r w:rsidRPr="00F46979">
        <w:rPr>
          <w:rFonts w:ascii="Times New Roman" w:hAnsi="Times New Roman" w:cs="Times New Roman"/>
          <w:sz w:val="24"/>
          <w:szCs w:val="24"/>
        </w:rPr>
        <w:t>No queremos que las personas se queden atrapadas en la pobreza simplemente porque tuvieron</w:t>
      </w:r>
      <w:r>
        <w:rPr>
          <w:rFonts w:ascii="Times New Roman" w:hAnsi="Times New Roman" w:cs="Times New Roman"/>
          <w:sz w:val="24"/>
          <w:szCs w:val="24"/>
        </w:rPr>
        <w:t xml:space="preserve"> la mala suerte de nacer pobres”…</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F46979">
        <w:rPr>
          <w:rFonts w:ascii="Times New Roman" w:hAnsi="Times New Roman" w:cs="Times New Roman"/>
          <w:sz w:val="24"/>
          <w:szCs w:val="24"/>
        </w:rPr>
        <w:t xml:space="preserve">Wharton School de la Universidad de Pennsylvania </w:t>
      </w:r>
      <w:r>
        <w:rPr>
          <w:rFonts w:ascii="Times New Roman" w:hAnsi="Times New Roman" w:cs="Times New Roman"/>
          <w:sz w:val="24"/>
          <w:szCs w:val="24"/>
        </w:rPr>
        <w:t xml:space="preserve"> - </w:t>
      </w:r>
      <w:r w:rsidRPr="00102640">
        <w:rPr>
          <w:rFonts w:ascii="Times New Roman" w:hAnsi="Times New Roman" w:cs="Times New Roman"/>
          <w:b/>
          <w:sz w:val="24"/>
          <w:szCs w:val="24"/>
        </w:rPr>
        <w:t>25/01/12</w:t>
      </w:r>
      <w:r>
        <w:rPr>
          <w:rFonts w:ascii="Times New Roman" w:hAnsi="Times New Roman" w:cs="Times New Roman"/>
          <w:sz w:val="24"/>
          <w:szCs w:val="24"/>
        </w:rPr>
        <w:t>)…</w:t>
      </w:r>
    </w:p>
    <w:p w:rsidR="002F07D4" w:rsidRPr="000F1121" w:rsidRDefault="002F07D4" w:rsidP="002F07D4">
      <w:pPr>
        <w:spacing w:line="240" w:lineRule="auto"/>
        <w:jc w:val="both"/>
        <w:rPr>
          <w:rFonts w:ascii="Times New Roman" w:hAnsi="Times New Roman" w:cs="Times New Roman"/>
          <w:b/>
          <w:sz w:val="24"/>
          <w:szCs w:val="24"/>
        </w:rPr>
      </w:pPr>
      <w:r w:rsidRPr="000F1121">
        <w:rPr>
          <w:rFonts w:ascii="Times New Roman" w:hAnsi="Times New Roman" w:cs="Times New Roman"/>
          <w:b/>
          <w:sz w:val="24"/>
          <w:szCs w:val="24"/>
        </w:rPr>
        <w:lastRenderedPageBreak/>
        <w:t xml:space="preserve">Hacia la “dualización” de las clases medias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 teoría social ha acuñado varias categorías para conceptualizar la sociedad en la época  de  la  globalización: “sociedad  red”  (M.Castells),  “modernidad  tardía”  (Giddens), “sociedad del riesgo” (Beck) o “sociedad mundial” (Lhumann), entre ellas. Más allá de las profundas  diferencias  teóricas  que  encubren  estas  denominaciones,  lo  cierto  es  que  la mayoría de los autores coinciden en señalar no sólo la profundidad de los cambios sino también  las  grandes  diferencias  que  es  posible  establecer  entre  la  más  “temprana” modernidad y la sociedad actual. Para todos, el nuevo tipo societal se caracteriza por la difusión global de nuevas formas de organización social y por la reestructuración de las relaciones sociales; en fin, por un conjunto de cambios de orden económico, tecnológico y social  que  apuntan  al  desencastramiento  de  los  marcos  de  regulación  colectiva desarrollados en la época anterior. Gran parte de los debates actuales sobre la “cuestión social” giran en torno a las consecuencias perversas de este proceso de mutación estructural. A esto hay que añadir que dichas consecuencias han resultado  ser más desestructurantes en la periferia  globalizada que en los países del centro altamente desarrollado, en donde los dispositivos de control público y los  mecanismos  de  regulación  social  suelen ser más sólidos, así como los márgenes de acción política, un tanto más amplios.</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 mediados de la década del noventa, la nueva cartografía social ya revelaba una creciente polarización entre los “ganadores” y los “perdedores” del modelo. Con una virulencia nunca vista, el proceso de dualización se manifestó al interior de las clases medias. La profunda brecha que se instaló entre ganadores y perdedores echó por tierra  la  representación  de  una  clase  media  fuerte  y  culturalmente  homogénea,  cuya expansión  a  lo  largo  del  siglo  XX  confirmaba  su  armonización  con  los  mo</w:t>
      </w:r>
      <w:r>
        <w:rPr>
          <w:rFonts w:ascii="Times New Roman" w:hAnsi="Times New Roman" w:cs="Times New Roman"/>
          <w:sz w:val="24"/>
          <w:szCs w:val="24"/>
        </w:rPr>
        <w:t>delos económicos implementados.</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Los fuertes ajustes de los noventa, terminaron por desmontar el anterior modelo de “integración”, poniendo en tela de juicio las representaciones de progreso y toda pretensión de unidad cultural y social de los sectores medios.  La  dimensión  colectiva  que  tomó  el proceso  movilidad  social descendente arrojó del lado de los “perdedores” a vastos grupos sociales, incluso del sector público, anteriormente “protegidos”, ahora empobrecidos, en gran parte como consecuencia de las nuevas  reformas  encaradas  por  el  estado  neo­liberal  en  el  ámbito  de  la  salud,  de  la educación  y  las  empresas  públicas.  Acompañan  a  éstos,  trabajadores  autónomos  y comerciantes desconectados  de  las  nuevas  estructuras comunicativas  e  informativas que privilegian  el  orden  global.  En el costado de los “ganadores” se sitúan diversos grupos sociales,  compuestos  por  personal  altamente  calificado,  profesionales,  gerentes, empresarios, asociados al ámbito privado; en gran parte vinculados a los nuevos servicios, en fin, caracterizados por un feliz acoplamiento con las nuevas modalidades estructurales. Una franja que engloba, por encima de las asimetrías, tanto a los sectores altos, como a los sectores medios consolidados y en ascenso. </w:t>
      </w:r>
    </w:p>
    <w:p w:rsidR="002F07D4" w:rsidRPr="000C293E"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Clase de servicios</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Entre  aquéllos  que  realizaron  aportes  en  este  terreno  se  destaca  el  sociólogo  inglés Goldthorpe  quien,  a  comienzos  de  los  ochenta,  apoyándose  en  el  fuerte  incremento registrado en el sector servicios, retomó la categoría “clase de servicios”, acuñada por el marxista austriaco Karl Renner. Para Goldthorpe, la clase de servicios se distingue de la clase obrera por realizar un trabajo no productivo, aunque la diferencia más básica se ve reflejada en  la  calidad  del  empleo.  En  efecto,  se  trata  de  un  </w:t>
      </w:r>
      <w:r w:rsidRPr="000C293E">
        <w:rPr>
          <w:rFonts w:ascii="Times New Roman" w:hAnsi="Times New Roman" w:cs="Times New Roman"/>
          <w:sz w:val="24"/>
          <w:szCs w:val="24"/>
        </w:rPr>
        <w:lastRenderedPageBreak/>
        <w:t>trabajo donde se ejerce autoridad (directivos) o bien se controla información privilegiada (expertos, profesionales). Así, este tipo de trabajo otorga cierto margen de discrecionalidad y autonomía al empleado, pero la contrapartida  resultante de esta  situación es  el compromiso  moral  del  trabajador con  la organización,  dentro  de  un  sistema  claramente  estructurado  en  torno</w:t>
      </w:r>
      <w:r>
        <w:rPr>
          <w:rFonts w:ascii="Times New Roman" w:hAnsi="Times New Roman" w:cs="Times New Roman"/>
          <w:sz w:val="24"/>
          <w:szCs w:val="24"/>
        </w:rPr>
        <w:t xml:space="preserve">  a  recompensas  y sanciones.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Al trabajo inicial de Goldthorpe siguió un debate en los que participaron Urry, Giddens, Savage, Esping Andersen, entre otros. Como señala R. Crompton, muchos de estos autores reconocían la deuda que tenían para con “La Distinción” (1979), sin duda el mejor texto de la prolífica obra de P. Bourdieu. Allí, el sociólogo francés no sólo trazaba el mapa de los gustos de las diferentes clases y fracciones de clase, sino que exploraba la asociación (causal) entre ocupaciones emergentes y nuevas pautas de consumo. En efecto, Bourdieu constataba el ascenso de un nuevo grupo social, tanto al interior de la burguesía como de la pequeña burguesía, que se correspondía con una todavía indeterminada franja de nuevas profesiones; básicamente intermediarios culturales (vendedores de bienes y servicios simbólicos, patrones y ejecutivos de turismo, periodistas, agentes de cine, moda, publicidad, decoración, promoción inmobiliaria), cuyo rasgo  distintivo  aparecía  resumido  en  un  nuevo  estilo  de  vida,  más  relajado,  más hedonista, en contraste con la vieja burguesía austera y con la crispada pequeña burguesía consolidada. En fin, la descripción de Bourdieu tenía puntos en común con aquélla ofrecida ese mismo año por dos autores norteamericanos, que denunciaban la emergencia de una “cultura del narcisismo” y la disociación de ésta con la lógica productivista del capitalismo; pero el tono estaba lejos de constituir un llamado al sentido de la historicidad (Christopher Lasch) o a la renovación moral (Daniel Bell).</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Tres ejes mayores articularon los debates en torno a las “clases de servicios”: el primero, de  corte  analítico,  reportaba  a  la  ya  conocida  dificultad  de  conceptualizar  las clases medias, cuyas fronteras sociales siempre han sido, por definición, bastante vagas y fluidas. A esto había que añadir la creciente heterogeneidad ocupacional de las sociedades modernas. Por esta razón, Savage  propuso distinguir tres sectores de acuerdo a diferentes tipos de calificación o capital: la  propiedad  (la clase  media  adquisitiva, empresarial),  la cultural  (empleados  profesionales)  y  la  organizacional  (empleados  jerárquicos  o profesionales con funciones administrativas).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El segundo eje se refiere específicamente a los comportamientos políticos de la nueva clase media. Pese a que el debate reeditaba un clásico sobre  el  tema de  las  clases  intermedias  (la  congénita  vocación de  éstas por  las coaliciones políticas, a raíz de la ambigüedad de su posición en la estructura social), la cuestión adquiría un nuevo sentido a la luz del declive manifiesto de las clases trabajadoras. En  este  contexto,  la  urgencia  por  detectar  las  preferencias políticas de un  actor que  se revelaba como portador de un nuevo estilo de vida, no constituía un dato menor. Lo cierto es que, mientras algunos autores pensaron, con la mirada puesta en las conductas radicales de los pasados 60, en la posibilidad de una “cooperación” entre clase de servicios y clase trabajadora; otros optaron por subrayar la tendencia de aquella por buscar alianzas con los sectores altos de la sociedad. El tercer eje remitía a la fragmentación visible en el sector servicios, en vistas de la aparición de un proletariado de servicios, ligados a tareas poco calificadas, verdaderos servidores de la clase de servicios en cuestión.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Para completar este cuadro, recordemos que la literatura sobre los llamados Nuevos Movimientos Sociales de los años 60 y 70, coincidía en señalar el rol protagónico de las nuevas clases medias (feministas, estudiantes, ecologistas, regionalistas, movimientos </w:t>
      </w:r>
      <w:r w:rsidRPr="000C293E">
        <w:rPr>
          <w:rFonts w:ascii="Times New Roman" w:hAnsi="Times New Roman" w:cs="Times New Roman"/>
          <w:sz w:val="24"/>
          <w:szCs w:val="24"/>
        </w:rPr>
        <w:lastRenderedPageBreak/>
        <w:t xml:space="preserve">por la  paz,  entre  otros),  portadoras  de  los  llamados  valores  posmaterialistas,  referidos  a  la calidad  de  vida.  En  este  período,  analistas  como  Touraine  y  Melucci,  pondrían  de manifiesto la relación entre la creciente reflexividad de estos actores y la producción de nuevas normas e identidades. Más  aún,  Melucci  aconsejaría  centrar  el  análisis  de  las transformaciones, no tanto en las acciones de protesta como en los “marcos sumergidos” de la práctica cotidiana.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Los diagnósticos, en gran parte optimistas, fueron superados por la cruda realidad de los 80, signada por el creciente proceso de desafección de la vida pública, claramente acompañado  por  el  pasaje  de  lo  colectivo  a  lo  individual.  Otra  vez,  las  clases  medias encarnaban el ejemplo más acabado de este nuevo vaivén, a través del deslizamiento de las exigencias de autorrealización desde la esfera pública al ámbito privado. En este ya no tan nuevo contexto, la afinidad de estos grupos sociales con posiciones políticas conservadoras (apelando a una seducción individualista de nuevo cuño, como M. Thatcher, en Inglaterra, o Berlusconi, en Italia) resultaba, pues, un corolario de esta inflexión.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Por otro lado, las imágenes  venían  a  confirmar,  de  manera  definitiva,  la  centralidad  del  ciudadano­consumidor en detrimento de la figura del productor. En este contexto, el proceso de fuerte mercantilización  de  los  valores  posmaterialistas  aparecía  como  inevitable  y,  sus consecuencias,  impredecibles.  Más  aún,  si  tenemos  en  cuenta  que  la  estandarización  y posterior condensación de estos valores en nuevos “estilos de vida rurales” fue realizada en consonancia con las pautas de integración y exclusión del nuevo orden global. La ruralidad idílica (la expresión es de J. Urry) requería, por ello, la elección de un apropiado contexto de seguridad. </w:t>
      </w:r>
    </w:p>
    <w:p w:rsidR="002F07D4"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Este  proceso  de  segmentación  social  termina  de  diluir  la homogeneidad cultural de la antigua clase media. En efecto, en las nuevas comunidades cercadas, la exitosa clase media de servicios ahora sólo se codea con los ricos globalizados. Desde  allí  comienza  a  “interiorizar”  la  distancia  social,  desarrollando  un  creciente sentimiento  de  pertenencia  y  desdibujando  los  márgenes  confusos  de  una  culpa,  como resabio de la antigua sociedad integrada. No olvidemos que sus hijos ahora sólo comparten marcos  de  socialización  con  niños  de  clase  alta.  Así,  mientras  los  colegios  privados facilitan la llave de una reproducción social futura, los espacios comunes de la comunidad cercada contribuyen a “naturalizar” la distancia social. De modo que, aunque la cuestión atente contra cierta tradicional “pasión igualitaria” (J.C. Torre), hay que reconocer que la fractura social desarticuló las formas de sociabilidad que estaban en la base de una cultura igualitaria,  desplegando  en  su  lugar  una  matriz  social  más  jerárquica y rígida.  Las urbanizaciones  privadas  se  encuentran  entre  las  expresiones  más  elocuentes  de  esta fractura, pues asumen una configuración que afirma, de entrada, la segmentación social (a partir  de  un  acceso  diferencial  y  restringido),  reforzada  luego  por  los  efectos multiplicadores de la espacialización de las relaciones sociales (constitución de fronteras sociales cada vez más rígidas). En suma, todo parece indicar que, pese las diferencias en términos de capital (sobre todo, económico y social) y la antigüedad de clase, las clases altas y una franja exitosa de las clases medias de servicios, devienen partícipes comunes de una serie de experiencias respecto de los patrones de consumo, de los estilos residenciales; en algunos casos, de los contextos de trabajo; en otras palabras, de los marcos culturales y sociales que dan cuenta de  un  entramado  relacional,  que  se  halla en la base de nuevas formas de sociabilidad. Consumada la fractura al interior de las clases medias y asegurado el despegue social, </w:t>
      </w:r>
      <w:r w:rsidRPr="000C293E">
        <w:rPr>
          <w:rFonts w:ascii="Times New Roman" w:hAnsi="Times New Roman" w:cs="Times New Roman"/>
          <w:sz w:val="24"/>
          <w:szCs w:val="24"/>
        </w:rPr>
        <w:lastRenderedPageBreak/>
        <w:t>los “ganadores”  mismos  van  descubriendo,  día  a  día,  tras  las  primeras  incongruencias  de estatus, algo más que u</w:t>
      </w:r>
      <w:r>
        <w:rPr>
          <w:rFonts w:ascii="Times New Roman" w:hAnsi="Times New Roman" w:cs="Times New Roman"/>
          <w:sz w:val="24"/>
          <w:szCs w:val="24"/>
        </w:rPr>
        <w:t>na creciente afinidad electiva…</w:t>
      </w:r>
    </w:p>
    <w:p w:rsidR="002F07D4" w:rsidRPr="000F1121" w:rsidRDefault="002F07D4" w:rsidP="002F07D4">
      <w:pPr>
        <w:spacing w:line="240" w:lineRule="auto"/>
        <w:jc w:val="both"/>
        <w:rPr>
          <w:rFonts w:ascii="Times New Roman" w:hAnsi="Times New Roman" w:cs="Times New Roman"/>
          <w:b/>
          <w:sz w:val="24"/>
          <w:szCs w:val="24"/>
        </w:rPr>
      </w:pPr>
      <w:r w:rsidRPr="000F1121">
        <w:rPr>
          <w:rFonts w:ascii="Times New Roman" w:hAnsi="Times New Roman" w:cs="Times New Roman"/>
          <w:b/>
          <w:sz w:val="24"/>
          <w:szCs w:val="24"/>
        </w:rPr>
        <w:t>La desvalorización del “capital humano”</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La crisis económica alcanza ahora, incluso en Occidente, a amplias capas sociales, que hasta entonces se habían librado. Por eso la cuestión social vuelve en el discurso intelectual. Pero las interpretaciones continúan adoleciendo de una notoria ligereza y parecen francamente anacrónicas. La polarización entre pobres y ricos, exacerbada de forma irresistible, no encuentra todavía un nuevo concepto. Si el concepto marxista tradicional de “clase” tiene una súbita coyuntura favorable, eso es ante todo una señal de desamparo. En la comprensión tradicional, la “clase obrera”, que producía la plusvalía, era explotada por la “clase de los capitalistas” por medio de la “propiedad privada de los medios de producción”.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Ninguno de estos conceptos puede explicar con exactitud los problemas actuales. La nueva pobreza no surge por cuenta de la explotación en la producción, sino por la exclusión de la producción. Quien todavía está empleado en la producción capitalista 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terciarización,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w:t>
      </w:r>
      <w:r>
        <w:rPr>
          <w:rFonts w:ascii="Times New Roman" w:hAnsi="Times New Roman" w:cs="Times New Roman"/>
          <w:sz w:val="24"/>
          <w:szCs w:val="24"/>
        </w:rPr>
        <w:t xml:space="preserve">luso, caen por debajo de esto.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Inversamente, tampoco la “clase de los capitalistas” puede aún ser definida en el viejo sentido, según los parámetros de la clásica “propiedad privada de los medios de producción”. En el cuerpo del aparato estatal y de las infraestructuras así como en el cuerpo de las grandes sociedades accionistas (hoy transnacionales) el capital aparece en cierto modo como socializado y anonimizado; se volvió abstracto, dejando la forma personalizable de toda la sociedad. “El capital” ya no es un grupo de propietarios legales, sino el principio común que determina la vida y la acción de todos los miembros de la sociedad, no solo exteriormente sino también en su propia subjetividad.</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En la crisis y a través de la crisis, se efectúa una vez más una mutación estructural de la sociedad capitalista, disolviendo las situaciones sociales antiguas, aparentemente claras. El meollo de la crisis consiste justamente en que las nuevas fuerzas productivas de la microelectrónica funden el trabajo y, con él, la sustancia del propio capital. Dada la reducción cada vez mayor de la clase obrera industrial, se crea cada vez menos plusvalía. El capital monetario huye rumbo a los mercados financieros especulativos, visto que las inversiones en nuevas fábricas se vuelven no-rentables. Mientras partes crecientes de la sociedad fuera de la producción se pauperizan o incluso caen en la miseria, por otro lado se realiza tan sólo una acumulación simuladora del capital por medio de burbujas financieras. Por lógica, eso no es nada nuevo, pues ese desarrollo ya marca al capitalismo global hace dos décadas. Pero lo que es nuevo es que ahora la clase media en los países occidentales también sea atropellada.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lastRenderedPageBreak/>
        <w:t>Barbara Ehrenreich (ensayista norteamericana) había publicado ya en 1989 un libro sobre la “angustia de la clase media ante la quiebra”. Sin embargo el problema fue aplazado enseguida por una década entera, ya que la coyuntura basada en burbujas financieras de los años 90, junto con el impulso de la tecnología de la información y de la comercialización de Internet, despertó una vez más nuevos sueños de florescencia. El colapso de la nueva economía y la explosión de las burbujas financieras en Asia, en Europa y también, en parte, en los Estados Unidos, comienzan ahora, desde el año 2000, a hacer efectiva de manera brutal la quiebra de la clase m</w:t>
      </w:r>
      <w:r>
        <w:rPr>
          <w:rFonts w:ascii="Times New Roman" w:hAnsi="Times New Roman" w:cs="Times New Roman"/>
          <w:sz w:val="24"/>
          <w:szCs w:val="24"/>
        </w:rPr>
        <w:t xml:space="preserve">edia, ya temida anteriormente.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Se propagó el concepto del “Estado antisocial”; las asignaciones para formación y cultura, para el sistema de salud y numerosas otras instituciones públicas fueron cortadas; se iniciaba la demolición del Estado social. También en las grandes empresas sectores enteros de actividad calificada fueron víctimas de la racionalización. Dado el desmoronamiento de la nueva economía, hasta las mismas calificaciones de muchos especialistas “high-tech” se vieron desvalorizadas. Hoy ya no se puede ignorar que la ascensión de la nueva clase media no tenía una base capitalista autónoma; por el contrario, dependía de la redistribución social de la plusvalía proveniente de los sectores industriales. De la misma manera que la producción social real de plusvalía entra en una crisis estructural debido a la tercera revolución industrial, los sectores secundarios de la nueva clase media van siendo sucesivamente privados de su suelo fértil. El resultado no es solamente un desempleo creciente de académicos. </w:t>
      </w:r>
    </w:p>
    <w:p w:rsidR="002F07D4" w:rsidRPr="000C293E"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 privatización y la terciarización desvalorizan el “capital humano” de las calificaciones incluso en el interior de la parcela empleada y degradada en su estatus. Jornaleros intelectuales, trabajadores baratos y empresarios de miseria como los free-lance en los medios de comunicación, universidades privadas, despachos de abogados o clínicas privadas no son ya excepciones, sino la regla. A pesar de esto, a fin de cuentas tampoco Kautsky tuvo razón. Pues la nueva clase media decayó, es verdad, pero no para convertirse en el proletariado industrial clásico de los productores directos, convertidos en una minoría que va desapareciendo pausadamente. De forma paradójica, la “proletarización” de las capas calificadas está ligada a una “desproletarización”</w:t>
      </w:r>
      <w:r>
        <w:rPr>
          <w:rFonts w:ascii="Times New Roman" w:hAnsi="Times New Roman" w:cs="Times New Roman"/>
          <w:sz w:val="24"/>
          <w:szCs w:val="24"/>
        </w:rPr>
        <w:t xml:space="preserve"> de la producción. </w:t>
      </w:r>
    </w:p>
    <w:p w:rsidR="002F07D4" w:rsidRDefault="002F07D4" w:rsidP="002F07D4">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Por otra parte la desvalorización de las calificaciones corre pareja con una expansión objetiva del concepto de “capital humano”. Al revés de la decadencia de la nueva clase media, se realiza en cierto modo un inédito “pequeño-aburguesamiento” general de la sociedad, cuando los recursos industriales e infra-estructurales aparecen más como megaestructuras anónimas. El “medio de producción independiente” se deteriora hasta llegar a la piel de los individuos: todos se convierten en su propio “capital humano”, aunque sea simplemente el cuerpo desnudo. Surge una relación inmediata entre las personas atomizadas y la economía del valor, que se limita a reproducirse de manera simulada, por medio de déficits y burbujas financieras. Cuanto mayor se vuelven las diferencias entre el pobre y el rico, más desaparecen las diferencias estructurales de las clases en la estructuración del capitalismo</w:t>
      </w:r>
      <w:r>
        <w:rPr>
          <w:rFonts w:ascii="Times New Roman" w:hAnsi="Times New Roman" w:cs="Times New Roman"/>
          <w:sz w:val="24"/>
          <w:szCs w:val="24"/>
        </w:rPr>
        <w:t>…</w:t>
      </w:r>
    </w:p>
    <w:p w:rsidR="002F07D4" w:rsidRPr="00DC3F64" w:rsidRDefault="002F07D4" w:rsidP="002F07D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Finale </w:t>
      </w:r>
      <w:r w:rsidRPr="00DC3F64">
        <w:rPr>
          <w:rFonts w:ascii="Times New Roman" w:hAnsi="Times New Roman" w:cs="Times New Roman"/>
          <w:b/>
          <w:sz w:val="24"/>
          <w:szCs w:val="24"/>
        </w:rPr>
        <w:t>(a modo de conclusión)</w:t>
      </w:r>
      <w:r>
        <w:rPr>
          <w:rFonts w:ascii="Times New Roman" w:hAnsi="Times New Roman" w:cs="Times New Roman"/>
          <w:b/>
          <w:sz w:val="24"/>
          <w:szCs w:val="24"/>
        </w:rPr>
        <w:t>:</w:t>
      </w:r>
      <w:r w:rsidRPr="00DC3F64">
        <w:rPr>
          <w:rFonts w:ascii="Times New Roman" w:hAnsi="Times New Roman" w:cs="Times New Roman"/>
          <w:b/>
          <w:sz w:val="24"/>
          <w:szCs w:val="24"/>
        </w:rPr>
        <w:t xml:space="preserve"> La “utopía” de la Europa social</w:t>
      </w:r>
    </w:p>
    <w:p w:rsidR="002F07D4" w:rsidRPr="007B47BE" w:rsidRDefault="002F07D4" w:rsidP="002F07D4">
      <w:pPr>
        <w:spacing w:line="240" w:lineRule="auto"/>
        <w:jc w:val="both"/>
        <w:rPr>
          <w:rFonts w:ascii="Times New Roman" w:hAnsi="Times New Roman" w:cs="Times New Roman"/>
          <w:sz w:val="24"/>
          <w:szCs w:val="24"/>
          <w:u w:val="single"/>
        </w:rPr>
      </w:pPr>
      <w:r w:rsidRPr="007B47BE">
        <w:rPr>
          <w:rFonts w:ascii="Times New Roman" w:hAnsi="Times New Roman" w:cs="Times New Roman"/>
          <w:sz w:val="24"/>
          <w:szCs w:val="24"/>
          <w:u w:val="single"/>
        </w:rPr>
        <w:t>Lo que algunos llaman mito…</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Cuando no se puede negar lo obvio, torcer la realidad, ocultar la evidencia, demostrar lo… indemostrable, no puede hablarse del “fantasma” de los mitos perturbadores que han retornado.</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 xml:space="preserve">Los “pragmáticos” (?)  sostienen que la economía europea está en la encrucijada, que sólo puede salir del actual atolladero “articulando un cuerpo de políticas macroeconómicas coherentes (?) con la promoción del crecimiento, al tiempo que se mantienen  las políticas macroeconómicas de estabilidad y se modernizan las políticas de cohesión -esto es lo que se suele llamar “las políticas sociales”- para adaptarlas al entorno actual más exigente de globalización y fuerte competencia exterior”… Y agregan: Sólo así, “Europa estará labrándose un futuro más próspero y ganando peso en el concierto internacional. </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Pero eso es, cabalmente, lo contrario, de los cinco criterios que predica la “Europa social” : que la tasa de paro esté por debajo del 5%; que la tasa de pobreza -los que viven por debajo del 60% de la media nacional- sea inferior al 5%; que la tasa de analfabetos de más de 10 años sea inferior al 3%; que la tasa de los mal alojados no supere el 3%; finalmente que la ayuda pública a los países en vías de desarrollo sea mayor del 1% del PIB.</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Los “pragmáticos” (?), como sucede siempre, sostienen que creer en un “mito” como éste lleva a la ruina. La Europa social hundiría a la Europa próspera, y no habría Europa social.</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Los “utópicos” (entre los que me incluyo) sostienen que “no se trata de desear lo imposible, sino -tal vez- sólo de continuar lo posible”.</w:t>
      </w:r>
    </w:p>
    <w:p w:rsidR="002F07D4" w:rsidRPr="00B90DAF" w:rsidRDefault="002F07D4" w:rsidP="002F07D4">
      <w:pPr>
        <w:spacing w:line="240" w:lineRule="auto"/>
        <w:rPr>
          <w:rFonts w:ascii="Times New Roman" w:hAnsi="Times New Roman" w:cs="Times New Roman"/>
          <w:sz w:val="24"/>
          <w:szCs w:val="24"/>
        </w:rPr>
      </w:pPr>
      <w:r w:rsidRPr="00B90DAF">
        <w:rPr>
          <w:rFonts w:ascii="Times New Roman" w:hAnsi="Times New Roman" w:cs="Times New Roman"/>
          <w:sz w:val="24"/>
          <w:szCs w:val="24"/>
        </w:rPr>
        <w:t>A menos, que los “pragmáticos” se atrevan a “confesar” y “convencer” de las virtudes competitivas y redistributivas de la “carrera de la pobreza” (pobres contra pobres)…</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Un consuelo para “idiotas”: entre los ganadores estarán también los consumidores, ya que la mayor competencia llevará probablemente a una caída en los precios. Según estimaciones citadas por OXFAM, una familia en Europa paga US$ 350 adicionales en ropa de lo que debería, debido a las actuales barreras. </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Nos quedamos sin trabajo, pero podemos comprar más barato lo que antes producíamos (más caro) en el empleo que hemos perdido. Esto es la “competitividad”; esto es el “librecambio”; esto es lo que se hace pero no se dice; este es el “catecismo” de los pragmáticos. Esta es la flexibilización buscada. Esta es la desregularización pretendida. Este es el cambio de estructuras propugnado. Estas son las “municiones” con las que cargan las armas para “fusilar” al Estado del Bienestar. </w:t>
      </w:r>
    </w:p>
    <w:p w:rsidR="002F07D4" w:rsidRPr="00B90DAF" w:rsidRDefault="002F07D4" w:rsidP="002F07D4">
      <w:pPr>
        <w:spacing w:line="240" w:lineRule="auto"/>
        <w:jc w:val="both"/>
        <w:rPr>
          <w:rFonts w:ascii="Times New Roman" w:hAnsi="Times New Roman" w:cs="Times New Roman"/>
          <w:sz w:val="24"/>
          <w:szCs w:val="24"/>
        </w:rPr>
      </w:pPr>
      <w:r w:rsidRPr="00B90DAF">
        <w:t>(</w:t>
      </w:r>
      <w:r w:rsidRPr="00B90DAF">
        <w:rPr>
          <w:rFonts w:ascii="Times New Roman" w:hAnsi="Times New Roman" w:cs="Times New Roman"/>
          <w:sz w:val="24"/>
          <w:szCs w:val="24"/>
        </w:rPr>
        <w:t xml:space="preserve">El gasto de los consumidores supone aproximadamente dos tercios de la economía americana. Por tanto, una mejora en el sentimiento tiene un considerable impacto tanto en el crecimiento económico como en los ingresos de las compañías. El Economista - </w:t>
      </w:r>
      <w:r w:rsidRPr="00B90DAF">
        <w:rPr>
          <w:rFonts w:ascii="Times New Roman" w:hAnsi="Times New Roman" w:cs="Times New Roman"/>
          <w:b/>
          <w:sz w:val="24"/>
          <w:szCs w:val="24"/>
        </w:rPr>
        <w:t>15/8/13</w:t>
      </w:r>
      <w:r w:rsidRPr="00B90DAF">
        <w:rPr>
          <w:rFonts w:ascii="Times New Roman" w:hAnsi="Times New Roman" w:cs="Times New Roman"/>
          <w:sz w:val="24"/>
          <w:szCs w:val="24"/>
        </w:rPr>
        <w:t>)</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Se ha invertido la estrategia de Henry Ford de pagar lo suficiente a sus trabajadores para que compren coches Ford. Las mezquinas políticas salariales -que van imponiéndose en EEUU y Europa- son parte de una economía en la que los trabajadores sólo pueden permitirse el “lujo” de comprar productos chinos. </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Así y todo .una vez más- debemos soportar la misma hipocresía en el Foro Económico Mundial, en Davos, cuyo tema estrella es: “Seguridad y prosperidad, la misma moneda”. Para finalizar diciendo (ofendiendo a la inteligencia y tomándonos por idiotas): “Lo que se está escribiendo aquí es un nuevo pacto adaptado a los nuevos tiempos del viejo entre el capital y el trabajo”.</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u w:val="single"/>
        </w:rPr>
        <w:lastRenderedPageBreak/>
        <w:t>Por favor, señores pragmáticos (?), no sigan tratándonos como a imbéciles. Y menos, después de impuestos</w:t>
      </w:r>
    </w:p>
    <w:p w:rsidR="002F07D4" w:rsidRPr="00B90DAF"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Permítanme continuar</w:t>
      </w:r>
      <w:r w:rsidRPr="00B90DAF">
        <w:rPr>
          <w:rFonts w:ascii="Times New Roman" w:hAnsi="Times New Roman" w:cs="Times New Roman"/>
          <w:sz w:val="24"/>
          <w:szCs w:val="24"/>
        </w:rPr>
        <w:t xml:space="preserve"> citando a dos grandes Maestros. </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Dijo Camus: “Indudablemente cada generación se cree destinada a rehacer el mundo. La mía sabe, sin embargo, que no podrá hacerlo. Pero su tarea es, quizá, mayor. Consiste en impedir que el mundo se deshaga. Heredera de una historia corrupta en la que se mezclan las revoluciones fracasadas, las técnicas enloquecidas, los dioses muertos y las ideologías extenuadas; en la que poderes mediocres, que pueden hoy destruirlo todo, no saben convencer; en que la inteligencia se humilla hasta ponerse al servicio del odio y la opresión”…</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Dijo Sábato: “Tenemos que absolutamente saber que hay una manera de contribuir a la protección de la humanidad, y es no resignarse.</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Veinte o treinta empresas, como un salvaje animal totalitario, tienen el dominio del planeta en sus garras. Déspotas invisibles, controlan con sus órdenes la dictadura del hambre, la que ya no respeta ideologías ni banderas. Continentes enteros en la miseria junto a altos niveles tecnológicos, posibilidades de vida asombrosa a la par de millones de hombres desocupados, sin hogar, sin asistencia médica. Diariamente es amputada la vida de miles de hombres y mujeres; de innumerable cantidad de adolescentes que no tendrán ocasión de comenzar siquiera a entrever el contenido de sus sueños. Ya la gente tiene temor que por tomar decisiones que hagan más humana su vida, pierdan el trabajo, sean expulsados y pasen a pertenecer a esas multitudes que corren acongojadas en busca de un empleo que les impida caer en la miseria. Son los excluidos, una categoría nueva que habla tanto de la explosión demográfica como de la incapacidad de esta economía en cuyos balances no cuentan la vida de millones de hombres y mujeres que así viven y mueren en la peor miseria. Son los excluidos de las necesidades mínimas de la comida, la salud, la educación y la justicia; de las ciudades como de sus tierras”… </w:t>
      </w:r>
    </w:p>
    <w:p w:rsidR="002F07D4" w:rsidRPr="00B90DAF" w:rsidRDefault="002F07D4" w:rsidP="002F07D4">
      <w:pPr>
        <w:spacing w:line="240" w:lineRule="auto"/>
        <w:jc w:val="both"/>
        <w:rPr>
          <w:rFonts w:ascii="Times New Roman" w:hAnsi="Times New Roman" w:cs="Times New Roman"/>
          <w:sz w:val="24"/>
          <w:szCs w:val="24"/>
          <w:u w:val="single"/>
        </w:rPr>
      </w:pPr>
      <w:r w:rsidRPr="00B90DAF">
        <w:rPr>
          <w:rFonts w:ascii="Times New Roman" w:hAnsi="Times New Roman" w:cs="Times New Roman"/>
          <w:sz w:val="24"/>
          <w:szCs w:val="24"/>
          <w:u w:val="single"/>
        </w:rPr>
        <w:t>Ruegos y preguntas</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Es muy probable que a los “ideólogos” del mercado les convenga más una sociedad “religiosamente” controlada como la india o una sociedad “políticamente” controlada como la china para desarrollar nuevos consumidores que sustituyan a las clases medias de los países desarrollados. Es la creación de una sociedad de consumidores “sin pasado” (sin las conquistas del pasado).</w:t>
      </w:r>
    </w:p>
    <w:p w:rsidR="002F07D4"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Ha llegado el fin del matrimonio perfecto: el consumidor de “última necesidad” y la “estructura industrial” (antigua forma de producción). La “eutanasia” (más o menos lenta) del consumidor burgués. El desmantelamiento de la clase media, columna vertebral de la revolución industrial, custodio de la defensa de los derechos de propiedad, consumidores pasivos y… estúpidos perfectos.  Ya no se los necesita más. </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 quién van a defender los derechos de propiedad?</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¿Habrá llegado la hora final de la ambigüedad pequeño-burguesa?</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 convencerá la clase media (o lo que queda de ella) que debe dejar de ser la clase “contrarrevolucionaria”?</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¿Será capaz de exigir la firma de un nuevo Contrato Social?</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¿Tendrá voluntad y fuerzas para oponerse a la “voladura” del Estado del Bienestar?</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¿Podrá alcanzarse la alianza de la clase media (o lo que queda de ella) con la clase obrera?</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 la traición a la promoción del cambio…</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Del servilismo a la revolución…</w:t>
      </w:r>
    </w:p>
    <w:p w:rsidR="002F07D4" w:rsidRPr="00B90DAF" w:rsidRDefault="002F07D4" w:rsidP="002F07D4">
      <w:pPr>
        <w:spacing w:line="240" w:lineRule="auto"/>
        <w:jc w:val="both"/>
        <w:rPr>
          <w:rFonts w:ascii="Times New Roman" w:hAnsi="Times New Roman" w:cs="Times New Roman"/>
          <w:sz w:val="24"/>
          <w:szCs w:val="24"/>
          <w:u w:val="single"/>
        </w:rPr>
      </w:pPr>
      <w:r w:rsidRPr="00B90DAF">
        <w:rPr>
          <w:rFonts w:ascii="Times New Roman" w:hAnsi="Times New Roman" w:cs="Times New Roman"/>
          <w:sz w:val="24"/>
          <w:szCs w:val="24"/>
          <w:u w:val="single"/>
        </w:rPr>
        <w:t>El “fin” de la historia y el último hombre (de clase media, en los países ricos)</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Los que me “siguen de antes” (gracias y… perdón) saben, también, lo mucho que me gusta hacer una lectura “conspirativa” de la Historia. </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¿Será por qué ya tengo más historia que futuro? ¿Será por el “Cambalache” que nos da la vida? ¿Será por qué siempre ha habido “chorros, maquiavelos y estafaos”? ¿Será por qué vivimos “revolcaos” en un merengue y en el mismo lodo todos manoseaos? ¿Será por qué hoy es lo mismo ser derecho que traidor, ignorante, sabio o chorro, generoso o estafador? ¿Será por qué ¡Todo es igual! ¡Nada es mejor! Lo mismo un burro que un gran profesor</w:t>
      </w:r>
      <w:r>
        <w:rPr>
          <w:rFonts w:ascii="Times New Roman" w:hAnsi="Times New Roman" w:cs="Times New Roman"/>
          <w:sz w:val="24"/>
          <w:szCs w:val="24"/>
        </w:rPr>
        <w:t>. No hay aplazados ni escalafón?</w:t>
      </w:r>
      <w:r w:rsidRPr="00B90DAF">
        <w:rPr>
          <w:rFonts w:ascii="Times New Roman" w:hAnsi="Times New Roman" w:cs="Times New Roman"/>
          <w:sz w:val="24"/>
          <w:szCs w:val="24"/>
        </w:rPr>
        <w:t xml:space="preserve"> ¿Será por qué si uno vive en la impostura y otro roba en su ambición, da lo mismo que sea cura, colchonero, Rey de Bastos, caradura o polizón?... (partes de la letra del tango “Cambalache”, escrito por Enrique Santos Discépolo en 1935).</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En esa lectura “conspirativa” de la Historia, me animo a compartir con ustedes mi versión sobre la </w:t>
      </w:r>
      <w:r w:rsidRPr="00B90DAF">
        <w:rPr>
          <w:rFonts w:ascii="Times New Roman" w:hAnsi="Times New Roman" w:cs="Times New Roman"/>
          <w:sz w:val="24"/>
          <w:szCs w:val="24"/>
          <w:u w:val="single"/>
        </w:rPr>
        <w:t>“Pasión y muerte de la clase media en los países desarrollados”.</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la economía global se ha multiplicado por cuatro la oferta global de mano de obra efectiva.</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ONU proyecta que la población en edad laboral aumente en el mundo un 40% de aquí a 2050.</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las economías de los países desarrollados se ha producido una precarización del empleo, especialmente entre los más jóvenes y también entre los hijos de las clases medias con situaciones más fijas.</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Actualmente asistimos a una proletarización económica de las clases medias. Mientras la conciencia mayoritaria es burguesa, conformista, consumista e individualista; la situación socio-económica es cada vez peor, un futuro nada halagüeño -más bien paupérrimo en todos los sentidos- que conformará, modulará y establecerá las nuevas clases económicas.</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Parece que la modernización basada en las exportaciones es inherentemente un juego de suma cero para la distribución de la renta en los países en desarrollo. Esto es, la mejora de las distribuciones en el empleo en un país conduce a una destrucción que no es especialmente creativa y a un empeoramiento de la desigualdad en el resto de los países, a través de la redistribución de los puestos de trabajo.</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una economía mundial liberalizada y globalizada, sólo una compresión en las estructuras de ingresos puede crear un contexto adecuado para que la igualación se imponga en la escena de desarrollo global.</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nueva pobreza no surge por cuenta de la explotación de la producción, sino por la exclusión de la producción. Quien todavía está empleado en la producción capitalista regular figura ya entre los relativamente privilegiados.</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Se propaga el concepto del “Estado antisocial”; las asignaciones para formación y cultura, para el sistema de salud y numerosas otras instituciones públicas fueron cortadas. Se inicia la demolición del Estado social.</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privatización y la tercerización desvalorizan el “capital humano” de las calificaciones incluso en el interior de la parcela empleada y degradada en su estatus.</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Jornaleros  intelectuales, trabajadores baratos y empresarios de la miseria como los free-lance en los medios de comunicación, universidades privadas, despachos de abogados o clínicas privadas no son ya excepciones, sino la regla.</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pérdida del doble papel moderador que cumplía tanto del comunismo como del capitalismo más brutal y competitivo. Habría que añadir la incapacidad de la clase media para mantener un nivel óptimo de demanda adicional de bienes de consumo capaces de garantizar economías de escala.</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Desaparecida la lucha de clases y globalizado el mercado, los productos se hacen infinitos e interclasistas. De este modo las empresas pueden recuperar en Brasil o China las ventas perdidas en Alemania o Italia.</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muchos países la difusión de productos y servicios de bajo coste, al aumentar el poder adquisitivo de los salarios, empieza a tener más peso que una reforma fiscal o que el “welfare” (bienestar).</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Nos deslizamos, así, casi sin enterarnos, mucho más allá de la lógica -todavía clasista- del estado del bienestar, para dejar sitio a un universo humano flexible, descontractualizado, deseoso de ampliar al máximo las posibilidades de consumo. Un universo infraideologizado, decidido a procurarse bienes y servicios en el proveedor mundial que ofrece las condiciones más ventajosas, que pretende una menor mediación por parte de las instituciones tradicionales, religiosamente abierto, integrado en tiempo real con todos los canales de comunicación o de interacción y cada vez menos centrado en las tradicionales agencias de socialización, empezando precisamente por la familia.</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Resulta muy difícil estar en sintonía con una sociedad que, acabada la historia y la economía de la materia, se libera de las limitaciones de la dimensión “contrarrevolucionaria” y de la elección delegada para hacerse preguntas sin límites, fluidas, apolíticas o geopolíticas, simplificadas y cínicas.</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clase media, aunque sin una razón de ser política -su papel de contención de los empujes revolucionarios de la clase obrera-, probablemente habría sobrevivido al transcurrir del tiempo si la razón que había favorecido su formación no se hubiera desintegrado como la nieve al sol. La sociedad intermedia representaba y representa el tipo ideal de consumidor de última necesidad, preparado para comprar cualquier producto que la oferta sea capaz de proponerle.</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El matrimonio era perfecto: la industria concebía nuevos productos capaces de satisfacer necesidades a veces reales, a veces solamente latentes, y los presentaba a la voracidad de la clase media, preparada para representar el propio papel de consumidor obediente y poco selectivo. Así las empresas crecían y con ellas también la potencialidad de adquisición de la clase media. Una relación aparentemente indisoluble: por una parte, la clase media, al ahorrar, ponía gran parte del capital necesario a disposición de la industria material para poder ampliar la oferta; por otra parte, al consumir a manos llenas todo lo que podía, satisfacía sus deseos y se realizaba en el plano de la identidad de clase.</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Un sistema con su equilibrio, capaz también de contener el empuje revolucionario de la minoría que estaba llamada a hacer funcionar esas </w:t>
      </w:r>
      <w:r w:rsidRPr="00B90DAF">
        <w:rPr>
          <w:rFonts w:ascii="Times New Roman" w:hAnsi="Times New Roman" w:cs="Times New Roman"/>
          <w:sz w:val="24"/>
          <w:szCs w:val="24"/>
        </w:rPr>
        <w:lastRenderedPageBreak/>
        <w:t>máquinas: obreros que veían en cualquier caso crecer también su nivel de bienestar y que empezaban a tener la fundada esperanza de subir algún peldaño en la escala social, pasando de ser obreros a ser empleados.</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Este sistema funciona mientras el escenario de acción e interacción permanece restringido al ámbito nacional o poco más. Cuando algunos aspectos de esta ecuación estallan o se ponen en entredicho en cuanto a su utilidad “superior”, entonces también la clase media está obligada a encarar lo nuevo que avanza. Y en este caso lo nuevo ha avanzado con dos máscaras: la del triunfo de la economía de mercado y la del capitalismo sin fronteras.</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globalización ha provocado trastornos económicos y sociales que producirán “tres mil millones de nuevos capitalistas”, como dice el eficaz eslogan convertido en el título del último libro de Clyde Prestowitz, gurú republicano del libre comercio (fue consejero del presidente Reagan y negociador de los acuerdos comerciales internacionales durante su mandato). Según Prestowitz (2005), las dinámicas actuales son hijas de la coincidencia de tres factores: la derrota del comunismo, que ha empujado a tres mil millones de chinos, rusos e indios al capitalismo (interpretado, además, de manera bastante “agresiva”); la revolución de Internet, que ha “anulado el tiempo”; y la difusión de la mensajería aérea de bajo coste -desde Federal Express a DHL-, que ha “anulado el espacio”. El trabajo de estos enormes grupos de bajo coste se está utilizando en (casi) cualquier parte del mundo porque permite transferir rápidamente mercancías y prestaciones intelectuales con gravámenes insignificantes.</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Es precisamente este progresivo desplazamiento de los equilibrios de la demanda mundial hacia los países llamados emergentes lo que mina en la base los cimientos económicos sobre los que la clase media ha encontrado en los últimos siglos su estabilidad. Si la disminución de la demanda del “milieu” social francés está más que compensada por la capacidad de consumo de los neoacomodados indios, entonces, para quien invierte en el sistema productivo, la necesidad de una clase de consumidores occidentales con la cartera llena se convierte en un aspecto menos vital.</w:t>
      </w:r>
    </w:p>
    <w:p w:rsidR="002F07D4" w:rsidRPr="00B90DAF"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Son precisamente estos grupos de nueva demanda, que se han ido formando a partir de finales de los años setenta y que con el inicio del nuevo siglo han acelerado el paso para ganar papel y peso internacional, los que quitan, cada vez más rápidamente, el oxígeno necesario para alimentar la energía motora de la clase media occidental. No sólo porque contribuyen considerablemente a rediseñar las características de consumo mundial en términos de tipología y costes de los bienes y de los servicios, sino también porque se hace difícil imaginar la supervivencia de una clase media occidental o europea con las características de las últimas décadas cuando asoman al mercado mundial mil quinientos millones de nuevos trabajadores a bajo coste. Sujetos cada vez más escolarizados e indiferentes a las lógicas de quien, en el mundo del bienestar, quiere defender las “conquistas del pasado”.</w:t>
      </w:r>
    </w:p>
    <w:p w:rsidR="002F07D4" w:rsidRDefault="002F07D4" w:rsidP="002F07D4">
      <w:pPr>
        <w:numPr>
          <w:ilvl w:val="0"/>
          <w:numId w:val="11"/>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Así, en los países industrializados, la necesidad económica que hay que satisfacer a través de una clase homogénea de consumidores reconocibles está sujeta a la lógica de los grandes números: para conseguir el mismo resultado es preferible extender lo más rápido posible a cientos de millones de consumidores el umbral del bienestar. La sociedad de masa nace naturalmente con el crecimiento y el desarrollo económico del nuevo mundo. La antigua forma de producción, y con ella las clases que la han alimentado, ha sido arrollada por el nuevo empuje del globo convertido en mercado competitivo y abierto.</w:t>
      </w:r>
    </w:p>
    <w:p w:rsidR="008A6AEF" w:rsidRPr="00B90DAF" w:rsidRDefault="008A6AEF" w:rsidP="008A6AEF">
      <w:pPr>
        <w:spacing w:after="0" w:line="240" w:lineRule="auto"/>
        <w:ind w:left="720"/>
        <w:jc w:val="both"/>
        <w:rPr>
          <w:rFonts w:ascii="Times New Roman" w:hAnsi="Times New Roman" w:cs="Times New Roman"/>
          <w:sz w:val="24"/>
          <w:szCs w:val="24"/>
        </w:rPr>
      </w:pP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Hay que reflexionar sobre la ironía de la historia: una clase que es hija de la revolución burguesa contra la aristocracia latifundista, pero que después, en su madurez, ha asumido un papel “contrarrevolucionario”, es arrollada por una revolución invisible en sus acciones y nunca declarada, sin líderes ni banderas pero despiadada, como cualquier revolución, en conseguir sus propios objetivos.</w:t>
      </w:r>
    </w:p>
    <w:p w:rsidR="002F07D4"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Así, sucumbe el papel económico desarrollado con éxito por la clase media, mientras el consumidor burgués sufre una eutanasia más o menos lenta. El mismo destino le espera a la estructura industrial que ha caracterizado a la economía de mercado de la clase media…</w:t>
      </w:r>
    </w:p>
    <w:p w:rsidR="002F07D4" w:rsidRPr="00B90DAF" w:rsidRDefault="002F07D4" w:rsidP="002F07D4">
      <w:pPr>
        <w:spacing w:line="240" w:lineRule="auto"/>
        <w:jc w:val="both"/>
        <w:rPr>
          <w:rFonts w:ascii="Times New Roman" w:hAnsi="Times New Roman" w:cs="Times New Roman"/>
          <w:sz w:val="24"/>
          <w:szCs w:val="24"/>
        </w:rPr>
      </w:pPr>
      <w:r w:rsidRPr="00B90DAF">
        <w:rPr>
          <w:rFonts w:ascii="Times New Roman" w:hAnsi="Times New Roman" w:cs="Times New Roman"/>
          <w:b/>
          <w:sz w:val="24"/>
          <w:szCs w:val="24"/>
        </w:rPr>
        <w:t>Jodidos por jodidos… ¿por qué no patear el tablero?</w:t>
      </w:r>
    </w:p>
    <w:p w:rsidR="002F07D4" w:rsidRPr="00490FBC" w:rsidRDefault="002F07D4" w:rsidP="002F07D4">
      <w:pPr>
        <w:spacing w:line="240" w:lineRule="auto"/>
        <w:jc w:val="both"/>
        <w:rPr>
          <w:rFonts w:ascii="Times New Roman" w:hAnsi="Times New Roman" w:cs="Times New Roman"/>
          <w:b/>
          <w:sz w:val="24"/>
          <w:szCs w:val="24"/>
        </w:rPr>
      </w:pPr>
      <w:r w:rsidRPr="00490FBC">
        <w:rPr>
          <w:rFonts w:ascii="Times New Roman" w:hAnsi="Times New Roman" w:cs="Times New Roman"/>
          <w:b/>
          <w:sz w:val="24"/>
          <w:szCs w:val="24"/>
        </w:rPr>
        <w:t>(Un final abierto… casi un ruego)</w:t>
      </w:r>
    </w:p>
    <w:p w:rsidR="002F07D4" w:rsidRPr="000919FC" w:rsidRDefault="002F07D4" w:rsidP="002F07D4">
      <w:pPr>
        <w:spacing w:line="240" w:lineRule="auto"/>
        <w:jc w:val="both"/>
        <w:rPr>
          <w:rFonts w:ascii="Times New Roman" w:hAnsi="Times New Roman" w:cs="Times New Roman"/>
          <w:sz w:val="24"/>
          <w:szCs w:val="24"/>
        </w:rPr>
      </w:pPr>
      <w:r w:rsidRPr="000919FC">
        <w:rPr>
          <w:rFonts w:ascii="Times New Roman" w:hAnsi="Times New Roman" w:cs="Times New Roman"/>
          <w:sz w:val="24"/>
          <w:szCs w:val="24"/>
        </w:rPr>
        <w:t xml:space="preserve">Si la clase media está en un franco proceso de movilidad descendente; si se ha llegado al fin de la era de las expectativas crecientes; si ya no hay dudas que gran parte de la clase media (casi toda), en los países desarrollados, forma parte de los “perdedores” del orden global; si ha llegado el fin del “matrimonio perfecto” (el consumidor de “última necesidad” y la estructura industrial); si la pauperización de la clase media es quizás la desmentida más cruda de la promesa originaria de progreso colectivo; si se ha optado por la creación de una sociedad de consumidores “sin pasado”;… por qué seguir tolerando medidas regresivas, por qué no patear el tablero, por qué no revolucionar en vez de contrarrevolucionar. A qué esperar.   </w:t>
      </w:r>
    </w:p>
    <w:p w:rsidR="002F07D4" w:rsidRDefault="002F07D4" w:rsidP="002F07D4">
      <w:pPr>
        <w:spacing w:line="240" w:lineRule="auto"/>
        <w:jc w:val="both"/>
        <w:rPr>
          <w:rFonts w:ascii="Times New Roman" w:hAnsi="Times New Roman" w:cs="Times New Roman"/>
          <w:sz w:val="24"/>
          <w:szCs w:val="24"/>
        </w:rPr>
      </w:pPr>
      <w:r w:rsidRPr="000919FC">
        <w:rPr>
          <w:rFonts w:ascii="Times New Roman" w:hAnsi="Times New Roman" w:cs="Times New Roman"/>
          <w:sz w:val="24"/>
          <w:szCs w:val="24"/>
        </w:rPr>
        <w:t xml:space="preserve">Y si nada cambia, ¿quién se beneficia? </w:t>
      </w:r>
      <w:r w:rsidRPr="000919FC">
        <w:rPr>
          <w:rFonts w:ascii="Times New Roman" w:hAnsi="Times New Roman" w:cs="Times New Roman"/>
          <w:i/>
          <w:sz w:val="24"/>
          <w:szCs w:val="24"/>
        </w:rPr>
        <w:t>Cui prodest is fecit</w:t>
      </w:r>
      <w:r w:rsidRPr="000919FC">
        <w:rPr>
          <w:rFonts w:ascii="Times New Roman" w:hAnsi="Times New Roman" w:cs="Times New Roman"/>
          <w:sz w:val="24"/>
          <w:szCs w:val="24"/>
        </w:rPr>
        <w:t>: quien se beneficia es el culpable</w:t>
      </w:r>
      <w:r>
        <w:rPr>
          <w:rFonts w:ascii="Times New Roman" w:hAnsi="Times New Roman" w:cs="Times New Roman"/>
          <w:sz w:val="24"/>
          <w:szCs w:val="24"/>
        </w:rPr>
        <w:t>…</w:t>
      </w:r>
    </w:p>
    <w:p w:rsidR="002F07D4" w:rsidRPr="00C41607" w:rsidRDefault="002F07D4" w:rsidP="002F07D4">
      <w:pPr>
        <w:spacing w:line="240" w:lineRule="auto"/>
        <w:jc w:val="both"/>
        <w:rPr>
          <w:rFonts w:ascii="Times New Roman" w:hAnsi="Times New Roman" w:cs="Times New Roman"/>
          <w:b/>
          <w:color w:val="FF0000"/>
          <w:sz w:val="24"/>
          <w:szCs w:val="24"/>
        </w:rPr>
      </w:pPr>
      <w:r w:rsidRPr="00C41607">
        <w:rPr>
          <w:rFonts w:ascii="Times New Roman" w:hAnsi="Times New Roman" w:cs="Times New Roman"/>
          <w:b/>
          <w:color w:val="FF0000"/>
          <w:sz w:val="24"/>
          <w:szCs w:val="24"/>
        </w:rPr>
        <w:t>(Año 2015)</w:t>
      </w:r>
    </w:p>
    <w:p w:rsidR="002F07D4" w:rsidRDefault="002F07D4" w:rsidP="002F07D4">
      <w:pPr>
        <w:spacing w:line="240" w:lineRule="auto"/>
        <w:jc w:val="both"/>
        <w:rPr>
          <w:rFonts w:ascii="Times New Roman" w:hAnsi="Times New Roman" w:cs="Times New Roman"/>
          <w:sz w:val="24"/>
          <w:szCs w:val="24"/>
        </w:rPr>
      </w:pPr>
      <w:r w:rsidRPr="00502AE9">
        <w:rPr>
          <w:rFonts w:ascii="Times New Roman" w:hAnsi="Times New Roman" w:cs="Times New Roman"/>
          <w:sz w:val="24"/>
          <w:szCs w:val="24"/>
        </w:rPr>
        <w:t>Del Paper</w:t>
      </w:r>
      <w:r>
        <w:rPr>
          <w:rFonts w:ascii="Times New Roman" w:hAnsi="Times New Roman" w:cs="Times New Roman"/>
          <w:b/>
          <w:sz w:val="24"/>
          <w:szCs w:val="24"/>
        </w:rPr>
        <w:t xml:space="preserve"> - El ‘fracaso’ de los mercados: ‘el liberalismo que no fue’ (un ‘análisis crítico’ de la crisis financiera en el período 2007-2014, realizado en base al estudio de los informes económicos, rectificaciones, actualizaciones… y ‘vuelta a contar la misma historia’, de ‘prestigiosos’ Organismos Internacionales) - (Parte I: 2007/10)</w:t>
      </w:r>
      <w:r>
        <w:rPr>
          <w:rFonts w:ascii="Times New Roman" w:hAnsi="Times New Roman" w:cs="Times New Roman"/>
          <w:sz w:val="24"/>
          <w:szCs w:val="24"/>
        </w:rPr>
        <w:t>, publicado el 15/3/15</w:t>
      </w:r>
    </w:p>
    <w:p w:rsidR="002F07D4" w:rsidRPr="002D45CF" w:rsidRDefault="002F07D4" w:rsidP="002F07D4">
      <w:pPr>
        <w:pStyle w:val="NormalWeb"/>
        <w:jc w:val="both"/>
      </w:pPr>
      <w:r w:rsidRPr="00197650">
        <w:rPr>
          <w:b/>
        </w:rPr>
        <w:t>Introducción</w:t>
      </w:r>
      <w:r>
        <w:rPr>
          <w:b/>
        </w:rPr>
        <w:t xml:space="preserve"> (el </w:t>
      </w:r>
      <w:r>
        <w:rPr>
          <w:rStyle w:val="Textoennegrita"/>
          <w:rFonts w:eastAsiaTheme="majorEastAsia"/>
        </w:rPr>
        <w:t>rescate y enriquecimiento de la superclase)</w:t>
      </w:r>
    </w:p>
    <w:p w:rsidR="002F07D4" w:rsidRPr="00A62A13" w:rsidRDefault="002F07D4" w:rsidP="002F07D4">
      <w:pPr>
        <w:spacing w:line="240" w:lineRule="auto"/>
        <w:jc w:val="both"/>
        <w:rPr>
          <w:rFonts w:ascii="Times New Roman" w:hAnsi="Times New Roman" w:cs="Times New Roman"/>
          <w:b/>
          <w:sz w:val="24"/>
          <w:szCs w:val="24"/>
        </w:rPr>
      </w:pPr>
      <w:r w:rsidRPr="00793001">
        <w:rPr>
          <w:rFonts w:ascii="Times New Roman" w:hAnsi="Times New Roman" w:cs="Times New Roman"/>
          <w:b/>
          <w:sz w:val="24"/>
          <w:szCs w:val="24"/>
        </w:rPr>
        <w:t>Agosto 2014</w:t>
      </w:r>
      <w:r w:rsidRPr="00A62A13">
        <w:rPr>
          <w:rFonts w:ascii="Times New Roman" w:hAnsi="Times New Roman" w:cs="Times New Roman"/>
          <w:sz w:val="24"/>
          <w:szCs w:val="24"/>
        </w:rPr>
        <w:t xml:space="preserve">: en vísperas, tal vez, de la </w:t>
      </w:r>
      <w:r w:rsidRPr="00A62A13">
        <w:rPr>
          <w:rStyle w:val="Textoennegrita"/>
          <w:rFonts w:ascii="Times New Roman" w:hAnsi="Times New Roman" w:cs="Times New Roman"/>
          <w:sz w:val="24"/>
          <w:szCs w:val="24"/>
        </w:rPr>
        <w:t>Segunda Fase de la Gran Recesión(2014-2016)</w:t>
      </w:r>
      <w:r w:rsidRPr="00A62A13">
        <w:rPr>
          <w:rFonts w:ascii="Times New Roman" w:hAnsi="Times New Roman" w:cs="Times New Roman"/>
          <w:sz w:val="24"/>
          <w:szCs w:val="24"/>
        </w:rPr>
        <w:t xml:space="preserve">, puede vislumbrarse con auténtica preocupación (hasta donde la vista alcanza) el </w:t>
      </w:r>
      <w:r w:rsidRPr="00A62A13">
        <w:rPr>
          <w:rStyle w:val="Textoennegrita"/>
          <w:rFonts w:ascii="Times New Roman" w:hAnsi="Times New Roman" w:cs="Times New Roman"/>
          <w:sz w:val="24"/>
          <w:szCs w:val="24"/>
        </w:rPr>
        <w:t>estallido de la actual burbuja financiera</w:t>
      </w:r>
      <w:r w:rsidRPr="00A62A13">
        <w:rPr>
          <w:rFonts w:ascii="Times New Roman" w:hAnsi="Times New Roman" w:cs="Times New Roman"/>
          <w:sz w:val="24"/>
          <w:szCs w:val="24"/>
        </w:rPr>
        <w:t>, que pondrá de nuevo encima de la mesa el origen y causa de la crisis, un brutal volumen de deuda impagable, la insolvencia del sistema bancario occidental, y la concentración de riqueza en unas pocas manos.</w:t>
      </w:r>
    </w:p>
    <w:p w:rsidR="002F07D4" w:rsidRDefault="002F07D4" w:rsidP="002F07D4">
      <w:pPr>
        <w:pStyle w:val="NormalWeb"/>
        <w:jc w:val="both"/>
      </w:pPr>
      <w:r>
        <w:t>La política económica implementada en la mayoría de las democracias occidentales desde el inicio de la actual crisis sistémica se diseñó, y continúa dibujándose, al margen de la defensa de los intereses de la ciudadanía. Se empeña en reconstituir el sistema existente con el objetivo último de favorecer de manera permanente a la clase dominante, los más ricos, los intereses corporativos, mientras que dejan a los ciudadanos, especialmente a los más pobres, con una sensación de impotencia y desesperación política.</w:t>
      </w:r>
    </w:p>
    <w:p w:rsidR="002F07D4" w:rsidRDefault="002F07D4" w:rsidP="002F07D4">
      <w:pPr>
        <w:pStyle w:val="NormalWeb"/>
        <w:jc w:val="both"/>
      </w:pPr>
      <w:r>
        <w:lastRenderedPageBreak/>
        <w:t xml:space="preserve">Para ello el “establishment” propuso dos líneas básicas de política económica que constituyen una cínica perversión de las mismas. Por un lado, una </w:t>
      </w:r>
      <w:r w:rsidRPr="002D45CF">
        <w:rPr>
          <w:rStyle w:val="Textoennegrita"/>
          <w:rFonts w:eastAsiaTheme="majorEastAsia"/>
        </w:rPr>
        <w:t>política monetaria expansiva al servicio exclusivo de las élites</w:t>
      </w:r>
      <w:r>
        <w:t>, especialmente la bancaria. Se trata de una nueva droga de diseño de consecuencias tremendamente dañinas. Da una sensación de tranquilidad y protección cuando en realidad lo único que genera es un estado de nirvana, una mera ilusión óptica, vía inflación de activos. En esas estamos ahora.</w:t>
      </w:r>
    </w:p>
    <w:p w:rsidR="002F07D4" w:rsidRDefault="002F07D4" w:rsidP="002F07D4">
      <w:pPr>
        <w:pStyle w:val="NormalWeb"/>
        <w:jc w:val="both"/>
      </w:pPr>
      <w:r>
        <w:t xml:space="preserve">Por otro lado se está produciendo una </w:t>
      </w:r>
      <w:r w:rsidRPr="002D45CF">
        <w:rPr>
          <w:rStyle w:val="Textoennegrita"/>
          <w:rFonts w:eastAsiaTheme="majorEastAsia"/>
        </w:rPr>
        <w:t>brutal expansión de la deuda pública</w:t>
      </w:r>
      <w:r>
        <w:t xml:space="preserve"> en la práctica totalidad de las democracias occidentales. Detrás de ello no se pretende sostener el empleo, los ingresos, las pensiones, la seguridad de una vivienda, tener unos estándares salariales mínimos, o el derecho a una educación digna como elemento de mejora social. </w:t>
      </w:r>
      <w:r w:rsidRPr="002D45CF">
        <w:rPr>
          <w:rStyle w:val="Textoennegrita"/>
          <w:rFonts w:eastAsiaTheme="majorEastAsia"/>
        </w:rPr>
        <w:t>Sólo se está incrementando la deuda públicapara financiar a terceros</w:t>
      </w:r>
      <w:r>
        <w:t>, sanear sus desaguisados, pero no a todos, sólo a la élite.</w:t>
      </w:r>
    </w:p>
    <w:p w:rsidR="002F07D4" w:rsidRDefault="002F07D4" w:rsidP="002F07D4">
      <w:pPr>
        <w:pStyle w:val="NormalWeb"/>
        <w:jc w:val="both"/>
      </w:pPr>
      <w:r>
        <w:rPr>
          <w:rStyle w:val="Textoennegrita"/>
          <w:rFonts w:eastAsiaTheme="majorEastAsia"/>
        </w:rPr>
        <w:t>L</w:t>
      </w:r>
      <w:r w:rsidRPr="002D45CF">
        <w:rPr>
          <w:rStyle w:val="Textoennegrita"/>
          <w:rFonts w:eastAsiaTheme="majorEastAsia"/>
        </w:rPr>
        <w:t>a actual política monetaria sólo genera burbujas financieras e inmobiliarias sin afectar a la economía real</w:t>
      </w:r>
      <w:r w:rsidRPr="002D45CF">
        <w:rPr>
          <w:b/>
        </w:rPr>
        <w:t>.</w:t>
      </w:r>
      <w:r>
        <w:t>Implícitamente se deduce que detrás de la huida hacia delante de la ruta establecida por las elites bancarias y sus apéndices políticos se encuentran los Bancos Centrales. Continúan inyectado liquidez masiva para que sigan manteniendo el statu quo del sistema bancario actual, en vez de intervenirlos de una vez por todas. Con esa liquidez sólo se originan burbujas e inflaciones de activos, y ya vamos por la tercera.</w:t>
      </w:r>
    </w:p>
    <w:p w:rsidR="002F07D4" w:rsidRDefault="002F07D4" w:rsidP="002F07D4">
      <w:pPr>
        <w:pStyle w:val="NormalWeb"/>
        <w:jc w:val="both"/>
      </w:pPr>
      <w:r>
        <w:t xml:space="preserve">Transcurridos 7 años desde el inicio de la crisis financiera, lo primero que se debería constatar es que </w:t>
      </w:r>
      <w:r w:rsidRPr="00651B8F">
        <w:rPr>
          <w:rStyle w:val="Textoennegrita"/>
          <w:rFonts w:eastAsiaTheme="majorEastAsia"/>
        </w:rPr>
        <w:t>el dinero es endógeno</w:t>
      </w:r>
      <w:r>
        <w:t xml:space="preserve">, es decir, por mucho que se multiplique el tamaño del banco central si no circula el dinero dicha expansión no afectará a la economía real, como así continúa siendo. Segundo, </w:t>
      </w:r>
      <w:r w:rsidRPr="00651B8F">
        <w:rPr>
          <w:rStyle w:val="Textoennegrita"/>
          <w:rFonts w:eastAsiaTheme="majorEastAsia"/>
        </w:rPr>
        <w:t>la actual política monetaria aumenta las desigualdades</w:t>
      </w:r>
      <w:r>
        <w:t xml:space="preserve">. En definitiva, el olor nauseabundo de una </w:t>
      </w:r>
      <w:r w:rsidRPr="00651B8F">
        <w:rPr>
          <w:rStyle w:val="Textoennegrita"/>
          <w:rFonts w:eastAsiaTheme="majorEastAsia"/>
        </w:rPr>
        <w:t>política monetaria que genera burbujas</w:t>
      </w:r>
      <w:r w:rsidRPr="00651B8F">
        <w:rPr>
          <w:b/>
        </w:rPr>
        <w:t xml:space="preserve"> y </w:t>
      </w:r>
      <w:r w:rsidRPr="00651B8F">
        <w:rPr>
          <w:rStyle w:val="Textoennegrita"/>
          <w:rFonts w:eastAsiaTheme="majorEastAsia"/>
        </w:rPr>
        <w:t>aumenta las desigualdades</w:t>
      </w:r>
      <w:r>
        <w:t xml:space="preserve">, representa el caldo de cultivo para el desarrollo de la </w:t>
      </w:r>
      <w:r>
        <w:rPr>
          <w:rStyle w:val="Textoennegrita"/>
          <w:rFonts w:eastAsiaTheme="majorEastAsia"/>
        </w:rPr>
        <w:t>Segunda Fase de la Gran Recesión (2014-2016),</w:t>
      </w:r>
      <w:r>
        <w:t xml:space="preserve"> que puedo atisbar.</w:t>
      </w:r>
    </w:p>
    <w:p w:rsidR="002F07D4" w:rsidRDefault="002F07D4" w:rsidP="002F07D4">
      <w:pPr>
        <w:pStyle w:val="NormalWeb"/>
        <w:jc w:val="both"/>
      </w:pPr>
      <w:r>
        <w:t xml:space="preserve">Los  gobiernos, bancos y grandes empresas han aprovechado la extraordinaria bonanza de los mercados financieros internacionales, en los que la aversión al riesgo está en mínimos por la confianza absurda en la omnipotencia de los bancos centrales, para financiarse a tipos ridículamente bajos. Pero dado que no se ha hecho apenas reforma alguna de calado -y aquí probablemente las opiniones de cuáles habrían de ser esas reformas diverjan entre unos y otros-, lo que se está haciendo para estabilizar la situación económica es lo de siempre, impulsar la demanda a base de deuda para que así el electorado viva la ficción de una recuperación. Hasta que llegue el siguiente crash de los mercados financieros mundiales, que no duden que llegará. Y entonces el pulmón de familias y empresas, casi agotado tras siete años de crisis, hará que ese crash azote con inusitada violencia a los sufridos ciudadanos de los países (antes) avanzados. </w:t>
      </w:r>
    </w:p>
    <w:p w:rsidR="002F07D4" w:rsidRDefault="002F07D4" w:rsidP="002F07D4">
      <w:pPr>
        <w:pStyle w:val="NormalWeb"/>
        <w:shd w:val="clear" w:color="auto" w:fill="FFFFFF"/>
        <w:jc w:val="both"/>
        <w:rPr>
          <w:color w:val="000000"/>
        </w:rPr>
      </w:pPr>
      <w:r>
        <w:rPr>
          <w:color w:val="000000"/>
        </w:rPr>
        <w:t xml:space="preserve">Hace 43 años que el presidente de los EEUU, </w:t>
      </w:r>
      <w:r w:rsidRPr="00A41DC1">
        <w:rPr>
          <w:rStyle w:val="Textoennegrita"/>
          <w:rFonts w:eastAsiaTheme="majorEastAsia"/>
          <w:color w:val="000000"/>
        </w:rPr>
        <w:t>Richard Nixon</w:t>
      </w:r>
      <w:r>
        <w:rPr>
          <w:color w:val="000000"/>
        </w:rPr>
        <w:t xml:space="preserve">, liquidó los acuerdos de Bretton Woods (impulsado por el “padre” del monetarismo, </w:t>
      </w:r>
      <w:r w:rsidRPr="00A41DC1">
        <w:rPr>
          <w:rStyle w:val="Textoennegrita"/>
          <w:rFonts w:eastAsiaTheme="majorEastAsia"/>
          <w:color w:val="000000"/>
        </w:rPr>
        <w:t>Milton Friedman</w:t>
      </w:r>
      <w:r>
        <w:rPr>
          <w:color w:val="000000"/>
        </w:rPr>
        <w:t xml:space="preserve">) y con ello abrió la puerta al período más largo de la historia sin un patrón monetario de reserva de valor. Nunca jamás, en 3.500 años de moneda, se había producido una situación tan larga como esta. Como señala </w:t>
      </w:r>
      <w:r w:rsidRPr="007F219B">
        <w:rPr>
          <w:color w:val="000000"/>
        </w:rPr>
        <w:t>Manuel López Zafra</w:t>
      </w:r>
      <w:r>
        <w:rPr>
          <w:color w:val="000000"/>
        </w:rPr>
        <w:t xml:space="preserve"> en su libro: “</w:t>
      </w:r>
      <w:r w:rsidRPr="007F219B">
        <w:rPr>
          <w:rStyle w:val="Textoennegrita"/>
          <w:rFonts w:eastAsiaTheme="majorEastAsia"/>
          <w:color w:val="000000"/>
        </w:rPr>
        <w:t>Retorno al Patrón Oro</w:t>
      </w:r>
      <w:r>
        <w:rPr>
          <w:rStyle w:val="Textoennegrita"/>
          <w:rFonts w:eastAsiaTheme="majorEastAsia"/>
          <w:color w:val="000000"/>
        </w:rPr>
        <w:t>”</w:t>
      </w:r>
      <w:r>
        <w:rPr>
          <w:color w:val="000000"/>
        </w:rPr>
        <w:t xml:space="preserve"> (Ed. Deusto), el cierre de la ventanilla del oro en 1971 ha producido la mayor expansión del crédito de la historia. Entre 1949 y 1969, por ejemplo, las reservas </w:t>
      </w:r>
      <w:r>
        <w:rPr>
          <w:color w:val="000000"/>
        </w:rPr>
        <w:lastRenderedPageBreak/>
        <w:t>mundiales de divisas (excluido el oro) crecieron un 55%; pero entre ese último año y el año 2000 lo hicieron en un 2.000%. Y si ese año el total de reservas de divisas en el mundo era de dos billones de dólares, en el primer cuatrimestre de 2013 alcanzaron los 11 billones.</w:t>
      </w:r>
    </w:p>
    <w:p w:rsidR="002F07D4" w:rsidRDefault="002F07D4" w:rsidP="002F07D4">
      <w:pPr>
        <w:pStyle w:val="NormalWeb"/>
        <w:shd w:val="clear" w:color="auto" w:fill="FFFFFF"/>
        <w:jc w:val="both"/>
        <w:rPr>
          <w:color w:val="000000"/>
        </w:rPr>
      </w:pPr>
      <w:r>
        <w:rPr>
          <w:color w:val="000000"/>
        </w:rPr>
        <w:t>En el período 2000-2010 la deuda global se duplicó, pasando de los 57 billones de dólares a los 109; pero si para doblarse había necesitado diez años, ahora ya sólo han sido necesarios apenas tres, pues en 2013 se alcanzaron los 233 billones, el 313% del PIB mundial.</w:t>
      </w:r>
    </w:p>
    <w:p w:rsidR="002F07D4" w:rsidRDefault="002F07D4" w:rsidP="002F07D4">
      <w:pPr>
        <w:pStyle w:val="NormalWeb"/>
        <w:jc w:val="both"/>
        <w:rPr>
          <w:color w:val="000000"/>
        </w:rPr>
      </w:pPr>
      <w:r>
        <w:rPr>
          <w:color w:val="000000"/>
        </w:rPr>
        <w:t>L</w:t>
      </w:r>
      <w:r w:rsidRPr="007F219B">
        <w:rPr>
          <w:color w:val="000000"/>
        </w:rPr>
        <w:t>a ausencia de tipos de cambio fijos y la utilización torticera de los flexibles y de los instrumentos de política monetaria (como las expansiones de la oferta basadas en la manida “independencia” monetaria, que no hacen sino desvirtuar el crecimiento real y apalancar la economía</w:t>
      </w:r>
      <w:r>
        <w:rPr>
          <w:color w:val="000000"/>
        </w:rPr>
        <w:t xml:space="preserve"> en unos réditos futuros que, de no alcanzarse, provoca</w:t>
      </w:r>
      <w:r w:rsidRPr="007F219B">
        <w:rPr>
          <w:color w:val="000000"/>
        </w:rPr>
        <w:t>n el colapso definitivo del sistema) son los que nos han traído hasta aquí, acompañados por los deseos de grandeza de unos políticos que no han escatimado nuestro ahorro, el de nuestros hijos y hasta el de nuestros nietos (siempre el ahorro del bolsillo ajeno, nunca del propio) en la aplicación de políticas de</w:t>
      </w:r>
      <w:r>
        <w:rPr>
          <w:color w:val="000000"/>
        </w:rPr>
        <w:t xml:space="preserve"> protección “sistémica” que colapsan cada vez en </w:t>
      </w:r>
      <w:r w:rsidRPr="007F219B">
        <w:rPr>
          <w:color w:val="000000"/>
        </w:rPr>
        <w:t>menos tiempo.</w:t>
      </w:r>
      <w:r>
        <w:rPr>
          <w:color w:val="000000"/>
        </w:rPr>
        <w:t xml:space="preserve"> Es el momento de desterrar definitivamente </w:t>
      </w:r>
      <w:r w:rsidRPr="007F219B">
        <w:rPr>
          <w:rStyle w:val="Textoennegrita"/>
          <w:rFonts w:eastAsiaTheme="majorEastAsia"/>
          <w:color w:val="000000"/>
        </w:rPr>
        <w:t>una forma de hacer economía que sólo ha atacado los síntomas</w:t>
      </w:r>
      <w:r>
        <w:rPr>
          <w:color w:val="000000"/>
        </w:rPr>
        <w:t>, nunca la enfermedad que ella misma ha supuesto.</w:t>
      </w:r>
    </w:p>
    <w:p w:rsidR="002F07D4" w:rsidRDefault="002F07D4" w:rsidP="002F07D4">
      <w:pPr>
        <w:shd w:val="clear" w:color="auto" w:fill="FFFFFF"/>
        <w:spacing w:after="360" w:line="240" w:lineRule="auto"/>
        <w:jc w:val="both"/>
        <w:rPr>
          <w:rFonts w:ascii="Times New Roman" w:hAnsi="Times New Roman"/>
          <w:color w:val="000000"/>
          <w:sz w:val="24"/>
          <w:szCs w:val="24"/>
        </w:rPr>
      </w:pPr>
      <w:r w:rsidRPr="006E168A">
        <w:rPr>
          <w:rFonts w:ascii="Times New Roman" w:hAnsi="Times New Roman"/>
          <w:color w:val="000000"/>
          <w:sz w:val="24"/>
          <w:szCs w:val="24"/>
        </w:rPr>
        <w:t>El éxito de</w:t>
      </w:r>
      <w:r>
        <w:rPr>
          <w:rFonts w:ascii="Times New Roman" w:hAnsi="Times New Roman"/>
          <w:color w:val="000000"/>
          <w:sz w:val="24"/>
          <w:szCs w:val="24"/>
        </w:rPr>
        <w:t xml:space="preserve">l modelo neoliberal era haber </w:t>
      </w:r>
      <w:r w:rsidRPr="006E168A">
        <w:rPr>
          <w:rFonts w:ascii="Times New Roman" w:hAnsi="Times New Roman"/>
          <w:color w:val="000000"/>
          <w:sz w:val="24"/>
          <w:szCs w:val="24"/>
        </w:rPr>
        <w:t xml:space="preserve"> convencido</w:t>
      </w:r>
      <w:r>
        <w:rPr>
          <w:rFonts w:ascii="Times New Roman" w:hAnsi="Times New Roman"/>
          <w:color w:val="000000"/>
          <w:sz w:val="24"/>
          <w:szCs w:val="24"/>
        </w:rPr>
        <w:t xml:space="preserve"> al “contribuyente” </w:t>
      </w:r>
      <w:r w:rsidRPr="006E168A">
        <w:rPr>
          <w:rFonts w:ascii="Times New Roman" w:hAnsi="Times New Roman"/>
          <w:color w:val="000000"/>
          <w:sz w:val="24"/>
          <w:szCs w:val="24"/>
        </w:rPr>
        <w:t xml:space="preserve">que </w:t>
      </w:r>
      <w:r>
        <w:rPr>
          <w:rFonts w:ascii="Times New Roman" w:hAnsi="Times New Roman"/>
          <w:color w:val="000000"/>
          <w:sz w:val="24"/>
          <w:szCs w:val="24"/>
        </w:rPr>
        <w:t xml:space="preserve">no existía otra alternativa (“el fin de la historia”), pero cuando llegó la crisis, los (mismos) “Apóstoles del Mercado”, vienen y le </w:t>
      </w:r>
      <w:r w:rsidRPr="006E168A">
        <w:rPr>
          <w:rFonts w:ascii="Times New Roman" w:hAnsi="Times New Roman"/>
          <w:color w:val="000000"/>
          <w:sz w:val="24"/>
          <w:szCs w:val="24"/>
        </w:rPr>
        <w:t>dice</w:t>
      </w:r>
      <w:r>
        <w:rPr>
          <w:rFonts w:ascii="Times New Roman" w:hAnsi="Times New Roman"/>
          <w:color w:val="000000"/>
          <w:sz w:val="24"/>
          <w:szCs w:val="24"/>
        </w:rPr>
        <w:t>n al (mismo) “contribuyente”, que no le toca porque ha estado viviendo por encima de sus posibilidades (“el fin del cuento”).</w:t>
      </w:r>
    </w:p>
    <w:p w:rsidR="002F07D4" w:rsidRDefault="002F07D4" w:rsidP="002F07D4">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El mayor “fracaso del mercado” demostrado a lo largo de 7 años de crisis es haber necesitado del dinero público para solventar las pérdidas privadas. El mayor “fracaso del mercado” es haberse hecho “adicto” de la expansión monetaria (droga suministrada por los bancos centrales) para mantener cotizaciones bursátiles ficticias (saltando de burbuja en burbuja). El mayor “fracaso del mercado” es haber “abolido” las posibilidades de quiebra de las entidades sistémicas (riesgo moral). Los “auténticos” liberales han (hemos) sido los únicos derrotados en el bando de los vencedores…</w:t>
      </w:r>
    </w:p>
    <w:p w:rsidR="002F07D4" w:rsidRDefault="002F07D4" w:rsidP="002F07D4">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w:t>
      </w:r>
      <w:r w:rsidRPr="00A42F56">
        <w:rPr>
          <w:rFonts w:ascii="Times New Roman" w:hAnsi="Times New Roman"/>
          <w:b/>
          <w:color w:val="000000"/>
          <w:sz w:val="24"/>
          <w:szCs w:val="24"/>
        </w:rPr>
        <w:t>Agosto 2014</w:t>
      </w:r>
      <w:r>
        <w:rPr>
          <w:rFonts w:ascii="Times New Roman" w:hAnsi="Times New Roman"/>
          <w:color w:val="000000"/>
          <w:sz w:val="24"/>
          <w:szCs w:val="24"/>
        </w:rPr>
        <w:t xml:space="preserve">) Han pasado (…) 7 años desde el inició de la crisis financiera (la era de los excesos) y solo puedo volver a constatar algunas de “mis viejas y queridas </w:t>
      </w:r>
      <w:r w:rsidRPr="00203C48">
        <w:rPr>
          <w:rFonts w:ascii="Times New Roman" w:hAnsi="Times New Roman"/>
          <w:color w:val="000000"/>
          <w:sz w:val="24"/>
          <w:szCs w:val="24"/>
        </w:rPr>
        <w:t>causas perdid</w:t>
      </w:r>
      <w:r>
        <w:rPr>
          <w:rFonts w:ascii="Times New Roman" w:hAnsi="Times New Roman"/>
          <w:color w:val="000000"/>
          <w:sz w:val="24"/>
          <w:szCs w:val="24"/>
        </w:rPr>
        <w:t xml:space="preserve">as o la amargura de la victoria”. Los grandes problemas globales y las </w:t>
      </w:r>
      <w:r w:rsidRPr="00203C48">
        <w:rPr>
          <w:rFonts w:ascii="Times New Roman" w:hAnsi="Times New Roman"/>
          <w:color w:val="000000"/>
          <w:sz w:val="24"/>
          <w:szCs w:val="24"/>
        </w:rPr>
        <w:t>soluciones pendientes (dramaturgias y olvidos)</w:t>
      </w:r>
      <w:r>
        <w:rPr>
          <w:rFonts w:ascii="Times New Roman" w:hAnsi="Times New Roman"/>
          <w:color w:val="000000"/>
          <w:sz w:val="24"/>
          <w:szCs w:val="24"/>
        </w:rPr>
        <w:t xml:space="preserve">. </w:t>
      </w:r>
      <w:r w:rsidRPr="00203C48">
        <w:rPr>
          <w:rFonts w:ascii="Times New Roman" w:hAnsi="Times New Roman"/>
          <w:color w:val="000000"/>
          <w:sz w:val="24"/>
          <w:szCs w:val="24"/>
        </w:rPr>
        <w:t>Los d</w:t>
      </w:r>
      <w:r>
        <w:rPr>
          <w:rFonts w:ascii="Times New Roman" w:hAnsi="Times New Roman"/>
          <w:color w:val="000000"/>
          <w:sz w:val="24"/>
          <w:szCs w:val="24"/>
        </w:rPr>
        <w:t>años ocultos del librecambio (l</w:t>
      </w:r>
      <w:r w:rsidRPr="00203C48">
        <w:rPr>
          <w:rFonts w:ascii="Times New Roman" w:hAnsi="Times New Roman"/>
          <w:color w:val="000000"/>
          <w:sz w:val="24"/>
          <w:szCs w:val="24"/>
        </w:rPr>
        <w:t>a doble vida de la economía global</w:t>
      </w:r>
      <w:r>
        <w:rPr>
          <w:rFonts w:ascii="Times New Roman" w:hAnsi="Times New Roman"/>
          <w:color w:val="000000"/>
          <w:sz w:val="24"/>
          <w:szCs w:val="24"/>
        </w:rPr>
        <w:t>).  La economía de los hipócritas (e</w:t>
      </w:r>
      <w:r w:rsidRPr="00203C48">
        <w:rPr>
          <w:rFonts w:ascii="Times New Roman" w:hAnsi="Times New Roman"/>
          <w:color w:val="000000"/>
          <w:sz w:val="24"/>
          <w:szCs w:val="24"/>
        </w:rPr>
        <w:t>l germen de la autodestrucción)</w:t>
      </w:r>
      <w:r>
        <w:rPr>
          <w:rFonts w:ascii="Times New Roman" w:hAnsi="Times New Roman"/>
          <w:color w:val="000000"/>
          <w:sz w:val="24"/>
          <w:szCs w:val="24"/>
        </w:rPr>
        <w:t>. L</w:t>
      </w:r>
      <w:r w:rsidRPr="00203C48">
        <w:rPr>
          <w:rFonts w:ascii="Times New Roman" w:hAnsi="Times New Roman"/>
          <w:color w:val="000000"/>
          <w:sz w:val="24"/>
          <w:szCs w:val="24"/>
        </w:rPr>
        <w:t>a confiscación del poder y la corrupción de la economía)</w:t>
      </w:r>
      <w:r>
        <w:rPr>
          <w:rFonts w:ascii="Times New Roman" w:hAnsi="Times New Roman"/>
          <w:color w:val="000000"/>
          <w:sz w:val="24"/>
          <w:szCs w:val="24"/>
        </w:rPr>
        <w:t xml:space="preserve">. </w:t>
      </w:r>
      <w:r w:rsidRPr="0073002E">
        <w:rPr>
          <w:rFonts w:ascii="Times New Roman" w:hAnsi="Times New Roman"/>
          <w:color w:val="000000"/>
          <w:sz w:val="24"/>
          <w:szCs w:val="24"/>
        </w:rPr>
        <w:t>La codicia de los mercados (</w:t>
      </w:r>
      <w:r>
        <w:rPr>
          <w:rFonts w:ascii="Times New Roman" w:hAnsi="Times New Roman"/>
          <w:color w:val="000000"/>
          <w:sz w:val="24"/>
          <w:szCs w:val="24"/>
        </w:rPr>
        <w:t xml:space="preserve">el virus mutante). </w:t>
      </w:r>
      <w:r w:rsidRPr="0073002E">
        <w:rPr>
          <w:rFonts w:ascii="Times New Roman" w:hAnsi="Times New Roman"/>
          <w:color w:val="000000"/>
          <w:sz w:val="24"/>
          <w:szCs w:val="24"/>
        </w:rPr>
        <w:t>De la crisis de crédito a la crisis del descrédito</w:t>
      </w:r>
      <w:r>
        <w:rPr>
          <w:rFonts w:ascii="Times New Roman" w:hAnsi="Times New Roman"/>
          <w:color w:val="000000"/>
          <w:sz w:val="24"/>
          <w:szCs w:val="24"/>
        </w:rPr>
        <w:t xml:space="preserve"> (l</w:t>
      </w:r>
      <w:r w:rsidRPr="0073002E">
        <w:rPr>
          <w:rFonts w:ascii="Times New Roman" w:hAnsi="Times New Roman"/>
          <w:color w:val="000000"/>
          <w:sz w:val="24"/>
          <w:szCs w:val="24"/>
        </w:rPr>
        <w:t xml:space="preserve">as víctimas son incontables… </w:t>
      </w:r>
      <w:r>
        <w:rPr>
          <w:rFonts w:ascii="Times New Roman" w:hAnsi="Times New Roman"/>
          <w:color w:val="000000"/>
          <w:sz w:val="24"/>
          <w:szCs w:val="24"/>
        </w:rPr>
        <w:t>¿</w:t>
      </w:r>
      <w:r w:rsidRPr="0073002E">
        <w:rPr>
          <w:rFonts w:ascii="Times New Roman" w:hAnsi="Times New Roman"/>
          <w:color w:val="000000"/>
          <w:sz w:val="24"/>
          <w:szCs w:val="24"/>
        </w:rPr>
        <w:t>pero lo</w:t>
      </w:r>
      <w:r>
        <w:rPr>
          <w:rFonts w:ascii="Times New Roman" w:hAnsi="Times New Roman"/>
          <w:color w:val="000000"/>
          <w:sz w:val="24"/>
          <w:szCs w:val="24"/>
        </w:rPr>
        <w:t>s victimarios son inimputables?). Economías Fallidas (variaciones sobre la “danza macabra” entre los “cándidos” adictos al crédito y los “pícaros”</w:t>
      </w:r>
      <w:r w:rsidRPr="0073002E">
        <w:rPr>
          <w:rFonts w:ascii="Times New Roman" w:hAnsi="Times New Roman"/>
          <w:color w:val="000000"/>
          <w:sz w:val="24"/>
          <w:szCs w:val="24"/>
        </w:rPr>
        <w:t xml:space="preserve"> traficantes de dinero)</w:t>
      </w:r>
      <w:r>
        <w:rPr>
          <w:rFonts w:ascii="Times New Roman" w:hAnsi="Times New Roman"/>
          <w:color w:val="000000"/>
          <w:sz w:val="24"/>
          <w:szCs w:val="24"/>
        </w:rPr>
        <w:t>. El “fusilamiento”</w:t>
      </w:r>
      <w:r w:rsidRPr="0073002E">
        <w:rPr>
          <w:rFonts w:ascii="Times New Roman" w:hAnsi="Times New Roman"/>
          <w:color w:val="000000"/>
          <w:sz w:val="24"/>
          <w:szCs w:val="24"/>
        </w:rPr>
        <w:t xml:space="preserve"> del Estado del Bienestar</w:t>
      </w:r>
      <w:r>
        <w:rPr>
          <w:rFonts w:ascii="Times New Roman" w:hAnsi="Times New Roman"/>
          <w:color w:val="000000"/>
          <w:sz w:val="24"/>
          <w:szCs w:val="24"/>
        </w:rPr>
        <w:t xml:space="preserve">. </w:t>
      </w:r>
      <w:r w:rsidRPr="0073002E">
        <w:rPr>
          <w:rFonts w:ascii="Times New Roman" w:hAnsi="Times New Roman"/>
          <w:color w:val="000000"/>
          <w:sz w:val="24"/>
          <w:szCs w:val="24"/>
        </w:rPr>
        <w:t>El imperio de la explotación laboral</w:t>
      </w:r>
      <w:r>
        <w:rPr>
          <w:rFonts w:ascii="Times New Roman" w:hAnsi="Times New Roman"/>
          <w:color w:val="000000"/>
          <w:sz w:val="24"/>
          <w:szCs w:val="24"/>
        </w:rPr>
        <w:t xml:space="preserve">. El </w:t>
      </w:r>
      <w:r w:rsidRPr="0073002E">
        <w:rPr>
          <w:rFonts w:ascii="Times New Roman" w:hAnsi="Times New Roman"/>
          <w:color w:val="000000"/>
          <w:sz w:val="24"/>
          <w:szCs w:val="24"/>
        </w:rPr>
        <w:t>Co</w:t>
      </w:r>
      <w:r>
        <w:rPr>
          <w:rFonts w:ascii="Times New Roman" w:hAnsi="Times New Roman"/>
          <w:color w:val="000000"/>
          <w:sz w:val="24"/>
          <w:szCs w:val="24"/>
        </w:rPr>
        <w:t>ntrato de Precariedad Eterna (la teoría de la “flexiseguridad”</w:t>
      </w:r>
      <w:r w:rsidRPr="0073002E">
        <w:rPr>
          <w:rFonts w:ascii="Times New Roman" w:hAnsi="Times New Roman"/>
          <w:color w:val="000000"/>
          <w:sz w:val="24"/>
          <w:szCs w:val="24"/>
        </w:rPr>
        <w:t>)</w:t>
      </w:r>
      <w:r>
        <w:rPr>
          <w:rFonts w:ascii="Times New Roman" w:hAnsi="Times New Roman"/>
          <w:color w:val="000000"/>
          <w:sz w:val="24"/>
          <w:szCs w:val="24"/>
        </w:rPr>
        <w:t>. El desempleo juvenil (</w:t>
      </w:r>
      <w:r w:rsidRPr="0073002E">
        <w:rPr>
          <w:rFonts w:ascii="Times New Roman" w:hAnsi="Times New Roman"/>
          <w:color w:val="000000"/>
          <w:sz w:val="24"/>
          <w:szCs w:val="24"/>
        </w:rPr>
        <w:t>de la inactividad al desaliento</w:t>
      </w:r>
      <w:r>
        <w:rPr>
          <w:rFonts w:ascii="Times New Roman" w:hAnsi="Times New Roman"/>
          <w:color w:val="000000"/>
          <w:sz w:val="24"/>
          <w:szCs w:val="24"/>
        </w:rPr>
        <w:t xml:space="preserve">). </w:t>
      </w:r>
      <w:r w:rsidRPr="0073002E">
        <w:rPr>
          <w:rFonts w:ascii="Times New Roman" w:hAnsi="Times New Roman"/>
          <w:color w:val="000000"/>
          <w:sz w:val="24"/>
          <w:szCs w:val="24"/>
        </w:rPr>
        <w:t xml:space="preserve">La clase media y su proceso </w:t>
      </w:r>
      <w:r>
        <w:rPr>
          <w:rFonts w:ascii="Times New Roman" w:hAnsi="Times New Roman"/>
          <w:color w:val="000000"/>
          <w:sz w:val="24"/>
          <w:szCs w:val="24"/>
        </w:rPr>
        <w:t>de movilidad social descendente: de “clase media” a “nuevos pobres” (e</w:t>
      </w:r>
      <w:r w:rsidRPr="00F808CB">
        <w:rPr>
          <w:rFonts w:ascii="Times New Roman" w:hAnsi="Times New Roman"/>
          <w:color w:val="000000"/>
          <w:sz w:val="24"/>
          <w:szCs w:val="24"/>
        </w:rPr>
        <w:t>l fin de la era de las expectativas crecientes</w:t>
      </w:r>
      <w:r>
        <w:rPr>
          <w:rFonts w:ascii="Times New Roman" w:hAnsi="Times New Roman"/>
          <w:color w:val="000000"/>
          <w:sz w:val="24"/>
          <w:szCs w:val="24"/>
        </w:rPr>
        <w:t>). Víctimas del futuro: d</w:t>
      </w:r>
      <w:r w:rsidRPr="00F808CB">
        <w:rPr>
          <w:rFonts w:ascii="Times New Roman" w:hAnsi="Times New Roman"/>
          <w:color w:val="000000"/>
          <w:sz w:val="24"/>
          <w:szCs w:val="24"/>
        </w:rPr>
        <w:t>e plan de rescate en plan del rescate hacia la derrota final o</w:t>
      </w:r>
      <w:r>
        <w:rPr>
          <w:rFonts w:ascii="Times New Roman" w:hAnsi="Times New Roman"/>
          <w:color w:val="000000"/>
          <w:sz w:val="24"/>
          <w:szCs w:val="24"/>
        </w:rPr>
        <w:t xml:space="preserve"> el regreso del proteccionismo  (</w:t>
      </w:r>
      <w:r w:rsidRPr="00F808CB">
        <w:rPr>
          <w:rFonts w:ascii="Times New Roman" w:hAnsi="Times New Roman"/>
          <w:color w:val="000000"/>
          <w:sz w:val="24"/>
          <w:szCs w:val="24"/>
        </w:rPr>
        <w:t xml:space="preserve">en busca de la </w:t>
      </w:r>
      <w:r w:rsidRPr="00F808CB">
        <w:rPr>
          <w:rFonts w:ascii="Times New Roman" w:hAnsi="Times New Roman"/>
          <w:color w:val="000000"/>
          <w:sz w:val="24"/>
          <w:szCs w:val="24"/>
        </w:rPr>
        <w:lastRenderedPageBreak/>
        <w:t>confianza perdida</w:t>
      </w:r>
      <w:r>
        <w:rPr>
          <w:rFonts w:ascii="Times New Roman" w:hAnsi="Times New Roman"/>
          <w:color w:val="000000"/>
          <w:sz w:val="24"/>
          <w:szCs w:val="24"/>
        </w:rPr>
        <w:t>). La casta de los banqueros: ¿l</w:t>
      </w:r>
      <w:r w:rsidRPr="00F808CB">
        <w:rPr>
          <w:rFonts w:ascii="Times New Roman" w:hAnsi="Times New Roman"/>
          <w:color w:val="000000"/>
          <w:sz w:val="24"/>
          <w:szCs w:val="24"/>
        </w:rPr>
        <w:t>os mejores ta</w:t>
      </w:r>
      <w:r>
        <w:rPr>
          <w:rFonts w:ascii="Times New Roman" w:hAnsi="Times New Roman"/>
          <w:color w:val="000000"/>
          <w:sz w:val="24"/>
          <w:szCs w:val="24"/>
        </w:rPr>
        <w:t>lentos? (h</w:t>
      </w:r>
      <w:r w:rsidRPr="00F808CB">
        <w:rPr>
          <w:rFonts w:ascii="Times New Roman" w:hAnsi="Times New Roman"/>
          <w:color w:val="000000"/>
          <w:sz w:val="24"/>
          <w:szCs w:val="24"/>
        </w:rPr>
        <w:t>istorias de los “cienmanos”)</w:t>
      </w:r>
      <w:r>
        <w:rPr>
          <w:rFonts w:ascii="Times New Roman" w:hAnsi="Times New Roman"/>
          <w:color w:val="000000"/>
          <w:sz w:val="24"/>
          <w:szCs w:val="24"/>
        </w:rPr>
        <w:t>. El “rostro inaceptable” del capitalismo (de la “relajación cuantitativa” a la “relajación cualitativa”</w:t>
      </w:r>
      <w:r w:rsidRPr="00F808CB">
        <w:rPr>
          <w:rFonts w:ascii="Times New Roman" w:hAnsi="Times New Roman"/>
          <w:color w:val="000000"/>
          <w:sz w:val="24"/>
          <w:szCs w:val="24"/>
        </w:rPr>
        <w:t>)</w:t>
      </w:r>
      <w:r>
        <w:rPr>
          <w:rFonts w:ascii="Times New Roman" w:hAnsi="Times New Roman"/>
          <w:color w:val="000000"/>
          <w:sz w:val="24"/>
          <w:szCs w:val="24"/>
        </w:rPr>
        <w:t>. El descubrimiento de la inflación “buena” (</w:t>
      </w:r>
      <w:r w:rsidRPr="00F808CB">
        <w:rPr>
          <w:rFonts w:ascii="Times New Roman" w:hAnsi="Times New Roman"/>
          <w:color w:val="000000"/>
          <w:sz w:val="24"/>
          <w:szCs w:val="24"/>
        </w:rPr>
        <w:t>la teorí</w:t>
      </w:r>
      <w:r>
        <w:rPr>
          <w:rFonts w:ascii="Times New Roman" w:hAnsi="Times New Roman"/>
          <w:color w:val="000000"/>
          <w:sz w:val="24"/>
          <w:szCs w:val="24"/>
        </w:rPr>
        <w:t>a de la “deaudaflación”). La “solución final”</w:t>
      </w:r>
      <w:r w:rsidRPr="00A42F56">
        <w:rPr>
          <w:rFonts w:ascii="Times New Roman" w:hAnsi="Times New Roman"/>
          <w:color w:val="000000"/>
          <w:sz w:val="24"/>
          <w:szCs w:val="24"/>
        </w:rPr>
        <w:t xml:space="preserve"> (de la Fed) al proble</w:t>
      </w:r>
      <w:r>
        <w:rPr>
          <w:rFonts w:ascii="Times New Roman" w:hAnsi="Times New Roman"/>
          <w:color w:val="000000"/>
          <w:sz w:val="24"/>
          <w:szCs w:val="24"/>
        </w:rPr>
        <w:t>ma de la deuda: crear inflación (e</w:t>
      </w:r>
      <w:r w:rsidRPr="00A42F56">
        <w:rPr>
          <w:rFonts w:ascii="Times New Roman" w:hAnsi="Times New Roman"/>
          <w:color w:val="000000"/>
          <w:sz w:val="24"/>
          <w:szCs w:val="24"/>
        </w:rPr>
        <w:t>l modelo argentino tantas veces fracasado: peligro de una inflación descomunal)</w:t>
      </w:r>
      <w:r>
        <w:rPr>
          <w:rFonts w:ascii="Times New Roman" w:hAnsi="Times New Roman"/>
          <w:color w:val="000000"/>
          <w:sz w:val="24"/>
          <w:szCs w:val="24"/>
        </w:rPr>
        <w:t>.</w:t>
      </w:r>
    </w:p>
    <w:p w:rsidR="002F07D4" w:rsidRDefault="002F07D4" w:rsidP="002F07D4">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“Tiempos modernos” (“realidades cercanas”</w:t>
      </w:r>
      <w:r w:rsidRPr="00A42F56">
        <w:rPr>
          <w:rFonts w:ascii="Times New Roman" w:hAnsi="Times New Roman"/>
          <w:color w:val="000000"/>
          <w:sz w:val="24"/>
          <w:szCs w:val="24"/>
        </w:rPr>
        <w:t xml:space="preserve"> de un capitalismo sin control)</w:t>
      </w:r>
      <w:r>
        <w:rPr>
          <w:rFonts w:ascii="Times New Roman" w:hAnsi="Times New Roman"/>
          <w:color w:val="000000"/>
          <w:sz w:val="24"/>
          <w:szCs w:val="24"/>
        </w:rPr>
        <w:t>. Las lecciones de la crisis: ¿y</w:t>
      </w:r>
      <w:r w:rsidRPr="00F808CB">
        <w:rPr>
          <w:rFonts w:ascii="Times New Roman" w:hAnsi="Times New Roman"/>
          <w:color w:val="000000"/>
          <w:sz w:val="24"/>
          <w:szCs w:val="24"/>
        </w:rPr>
        <w:t xml:space="preserve"> ahora, qué hacemos con Wall Street?</w:t>
      </w:r>
      <w:r w:rsidRPr="00A42F56">
        <w:rPr>
          <w:rFonts w:ascii="Times New Roman" w:hAnsi="Times New Roman"/>
          <w:color w:val="000000"/>
          <w:sz w:val="24"/>
          <w:szCs w:val="24"/>
        </w:rPr>
        <w:t xml:space="preserve">Vivimos un tiempo </w:t>
      </w:r>
      <w:r>
        <w:rPr>
          <w:rFonts w:ascii="Times New Roman" w:hAnsi="Times New Roman"/>
          <w:color w:val="000000"/>
          <w:sz w:val="24"/>
          <w:szCs w:val="24"/>
        </w:rPr>
        <w:t>de requiebros, mitos y mentiras: ¿a</w:t>
      </w:r>
      <w:r w:rsidRPr="00A42F56">
        <w:rPr>
          <w:rFonts w:ascii="Times New Roman" w:hAnsi="Times New Roman"/>
          <w:color w:val="000000"/>
          <w:sz w:val="24"/>
          <w:szCs w:val="24"/>
        </w:rPr>
        <w:t xml:space="preserve"> quién le interesa conocer la realidad?</w:t>
      </w:r>
      <w:r>
        <w:rPr>
          <w:rFonts w:ascii="Times New Roman" w:hAnsi="Times New Roman"/>
          <w:color w:val="000000"/>
          <w:sz w:val="24"/>
          <w:szCs w:val="24"/>
        </w:rPr>
        <w:t>...</w:t>
      </w:r>
    </w:p>
    <w:p w:rsidR="002F07D4" w:rsidRPr="00240494" w:rsidRDefault="002F07D4" w:rsidP="002F07D4">
      <w:pPr>
        <w:spacing w:line="240" w:lineRule="auto"/>
        <w:jc w:val="both"/>
        <w:rPr>
          <w:rFonts w:ascii="Times New Roman" w:hAnsi="Times New Roman"/>
          <w:b/>
          <w:sz w:val="24"/>
          <w:szCs w:val="24"/>
        </w:rPr>
      </w:pPr>
      <w:r w:rsidRPr="00CA250D">
        <w:rPr>
          <w:rFonts w:ascii="Times New Roman" w:hAnsi="Times New Roman"/>
          <w:sz w:val="24"/>
          <w:szCs w:val="24"/>
        </w:rPr>
        <w:t>(Agosto 2014)</w:t>
      </w:r>
      <w:r>
        <w:rPr>
          <w:rFonts w:ascii="Times New Roman" w:hAnsi="Times New Roman"/>
          <w:b/>
          <w:sz w:val="24"/>
          <w:szCs w:val="24"/>
        </w:rPr>
        <w:t xml:space="preserve"> Actualización: a confesión de parte, relevo de pruebas </w:t>
      </w:r>
    </w:p>
    <w:p w:rsidR="002F07D4" w:rsidRDefault="002F07D4" w:rsidP="002F07D4">
      <w:pPr>
        <w:spacing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olor w:val="000000"/>
          <w:sz w:val="24"/>
          <w:szCs w:val="24"/>
          <w:u w:val="single"/>
        </w:rPr>
        <w:t>El hombre que inventó los “stress test”</w:t>
      </w:r>
      <w:r>
        <w:rPr>
          <w:rFonts w:ascii="Times New Roman" w:hAnsi="Times New Roman"/>
          <w:color w:val="000000"/>
          <w:sz w:val="24"/>
          <w:szCs w:val="24"/>
        </w:rPr>
        <w:t xml:space="preserve"> (Expansión - </w:t>
      </w:r>
      <w:r w:rsidRPr="00D54625">
        <w:rPr>
          <w:rFonts w:ascii="Times New Roman" w:hAnsi="Times New Roman"/>
          <w:b/>
          <w:color w:val="000000"/>
          <w:sz w:val="24"/>
          <w:szCs w:val="24"/>
        </w:rPr>
        <w:t>5/8/14</w:t>
      </w:r>
      <w:r>
        <w:rPr>
          <w:rFonts w:ascii="Times New Roman" w:hAnsi="Times New Roman"/>
          <w:color w:val="000000"/>
          <w:sz w:val="24"/>
          <w:szCs w:val="24"/>
        </w:rPr>
        <w:t>)</w:t>
      </w:r>
    </w:p>
    <w:p w:rsidR="002F07D4" w:rsidRPr="00E21D58" w:rsidRDefault="002F07D4" w:rsidP="002F07D4">
      <w:pPr>
        <w:spacing w:line="240" w:lineRule="auto"/>
        <w:jc w:val="both"/>
        <w:rPr>
          <w:rFonts w:ascii="Times New Roman" w:hAnsi="Times New Roman"/>
          <w:color w:val="000000"/>
          <w:sz w:val="24"/>
          <w:szCs w:val="24"/>
        </w:rPr>
      </w:pPr>
      <w:r w:rsidRPr="00E21D58">
        <w:rPr>
          <w:rFonts w:ascii="Times New Roman" w:hAnsi="Times New Roman"/>
          <w:color w:val="000000"/>
          <w:sz w:val="24"/>
          <w:szCs w:val="24"/>
        </w:rPr>
        <w:t>Geithner, exsecretario del Tesoro, desvela su lucha contra el colapso bancario de EEUU.</w:t>
      </w:r>
    </w:p>
    <w:p w:rsidR="002F07D4" w:rsidRPr="0058628B" w:rsidRDefault="002F07D4" w:rsidP="002F07D4">
      <w:pPr>
        <w:spacing w:line="240" w:lineRule="auto"/>
        <w:jc w:val="both"/>
        <w:rPr>
          <w:rFonts w:ascii="Times New Roman" w:hAnsi="Times New Roman"/>
          <w:color w:val="FF0000"/>
          <w:sz w:val="24"/>
          <w:szCs w:val="24"/>
        </w:rPr>
      </w:pPr>
      <w:r>
        <w:rPr>
          <w:rFonts w:ascii="Times New Roman" w:hAnsi="Times New Roman"/>
          <w:color w:val="FF0000"/>
          <w:sz w:val="24"/>
          <w:szCs w:val="24"/>
        </w:rPr>
        <w:t>El hombre que inventó los “stress test”</w:t>
      </w:r>
    </w:p>
    <w:p w:rsidR="002F07D4" w:rsidRPr="007A065A" w:rsidRDefault="002F07D4" w:rsidP="002F07D4">
      <w:pPr>
        <w:spacing w:line="240" w:lineRule="auto"/>
        <w:jc w:val="both"/>
        <w:rPr>
          <w:rFonts w:ascii="Times New Roman" w:hAnsi="Times New Roman"/>
          <w:color w:val="FF0000"/>
          <w:sz w:val="24"/>
          <w:szCs w:val="24"/>
          <w:u w:val="single"/>
        </w:rPr>
      </w:pPr>
      <w:r w:rsidRPr="00D54625">
        <w:rPr>
          <w:rFonts w:ascii="Times New Roman" w:hAnsi="Times New Roman"/>
          <w:color w:val="000000"/>
          <w:sz w:val="24"/>
          <w:szCs w:val="24"/>
        </w:rPr>
        <w:t xml:space="preserve">Ningún país en el mundo ha dejado de caer en el agujero alguna vez e incluso muchas. Las crisis están ahí, acechando en los momentos de bonanza, cuando se sientan las bases del calibre que va a tener la tormenta que se desencadenará después. Pero no todos los golpes económicos son iguales. </w:t>
      </w:r>
      <w:r>
        <w:rPr>
          <w:rFonts w:ascii="Times New Roman" w:hAnsi="Times New Roman"/>
          <w:color w:val="FF0000"/>
          <w:sz w:val="24"/>
          <w:szCs w:val="24"/>
          <w:u w:val="single"/>
        </w:rPr>
        <w:t>“</w:t>
      </w:r>
      <w:r w:rsidRPr="007A065A">
        <w:rPr>
          <w:rFonts w:ascii="Times New Roman" w:hAnsi="Times New Roman"/>
          <w:color w:val="FF0000"/>
          <w:sz w:val="24"/>
          <w:szCs w:val="24"/>
          <w:u w:val="single"/>
        </w:rPr>
        <w:t xml:space="preserve">Fuimos incapaces de prevenir la peor crisis financiera y la recesión más profunda en muchas generaciones. Tengo el dudoso honor de haber estado a cargo de la Reserva Federal (Fed) de Nueva </w:t>
      </w:r>
      <w:r>
        <w:rPr>
          <w:rFonts w:ascii="Times New Roman" w:hAnsi="Times New Roman"/>
          <w:color w:val="FF0000"/>
          <w:sz w:val="24"/>
          <w:szCs w:val="24"/>
          <w:u w:val="single"/>
        </w:rPr>
        <w:t>York cuando Wall Street explotó”</w:t>
      </w:r>
      <w:r w:rsidRPr="007A065A">
        <w:rPr>
          <w:rFonts w:ascii="Times New Roman" w:hAnsi="Times New Roman"/>
          <w:color w:val="FF0000"/>
          <w:sz w:val="24"/>
          <w:szCs w:val="24"/>
          <w:u w:val="single"/>
        </w:rPr>
        <w:t>.</w:t>
      </w:r>
    </w:p>
    <w:p w:rsidR="002F07D4" w:rsidRPr="007A065A" w:rsidRDefault="002F07D4" w:rsidP="002F07D4">
      <w:pPr>
        <w:spacing w:line="240" w:lineRule="auto"/>
        <w:jc w:val="both"/>
        <w:rPr>
          <w:rFonts w:ascii="Times New Roman" w:hAnsi="Times New Roman"/>
          <w:color w:val="000000"/>
          <w:sz w:val="24"/>
          <w:szCs w:val="24"/>
          <w:u w:val="single"/>
        </w:rPr>
      </w:pPr>
      <w:r w:rsidRPr="007A065A">
        <w:rPr>
          <w:rFonts w:ascii="Times New Roman" w:hAnsi="Times New Roman"/>
          <w:color w:val="000000"/>
          <w:sz w:val="24"/>
          <w:szCs w:val="24"/>
          <w:u w:val="single"/>
        </w:rPr>
        <w:t>La admisión de culpa procede de Timothy Geithner y del repaso a una vida dedicada a apagar los fuegos de la inestabilidad financiera, en la que se centra su libro Stress Test.</w:t>
      </w:r>
    </w:p>
    <w:p w:rsidR="002F07D4" w:rsidRPr="007A065A" w:rsidRDefault="002F07D4" w:rsidP="002F07D4">
      <w:pPr>
        <w:spacing w:line="240" w:lineRule="auto"/>
        <w:jc w:val="both"/>
        <w:rPr>
          <w:rFonts w:ascii="Times New Roman" w:hAnsi="Times New Roman"/>
          <w:color w:val="000000"/>
          <w:sz w:val="24"/>
          <w:szCs w:val="24"/>
          <w:u w:val="single"/>
        </w:rPr>
      </w:pPr>
      <w:r w:rsidRPr="00D54625">
        <w:rPr>
          <w:rFonts w:ascii="Times New Roman" w:hAnsi="Times New Roman"/>
          <w:color w:val="000000"/>
          <w:sz w:val="24"/>
          <w:szCs w:val="24"/>
        </w:rPr>
        <w:t xml:space="preserve">Desde los peldaños más bajos hasta lo más alto de la Secretaría del Tesoro de Estados Unidos, pasando por el Fondo Monetario Internacional (FMI) y la presidencia de la Fed de Nueva York, </w:t>
      </w:r>
      <w:r w:rsidRPr="007A065A">
        <w:rPr>
          <w:rFonts w:ascii="Times New Roman" w:hAnsi="Times New Roman"/>
          <w:color w:val="000000"/>
          <w:sz w:val="24"/>
          <w:szCs w:val="24"/>
          <w:u w:val="single"/>
        </w:rPr>
        <w:t>Geithner no sólo ha sido testigo de las principales crisis de las últimas décadas, sino que las ha perseguido como un cazador de tornados que está donde revienta la furia de la naturaleza.</w:t>
      </w:r>
    </w:p>
    <w:p w:rsidR="002F07D4" w:rsidRPr="007A065A" w:rsidRDefault="002F07D4" w:rsidP="002F07D4">
      <w:pPr>
        <w:spacing w:line="240" w:lineRule="auto"/>
        <w:jc w:val="both"/>
        <w:rPr>
          <w:rFonts w:ascii="Times New Roman" w:hAnsi="Times New Roman"/>
          <w:color w:val="000000"/>
          <w:sz w:val="24"/>
          <w:szCs w:val="24"/>
        </w:rPr>
      </w:pPr>
      <w:r w:rsidRPr="007A065A">
        <w:rPr>
          <w:rFonts w:ascii="Times New Roman" w:hAnsi="Times New Roman"/>
          <w:color w:val="000000"/>
          <w:sz w:val="24"/>
          <w:szCs w:val="24"/>
        </w:rPr>
        <w:t>El estallido de la burbuja bursátil e inmobiliaria de Japón a finales del siglo pasado fue su estreno, recién llegado al departamento de Asuntos Internacionales de la Secretaría del Tesoro y sin haber cumplido los 30 años.</w:t>
      </w:r>
    </w:p>
    <w:p w:rsidR="002F07D4" w:rsidRDefault="002F07D4" w:rsidP="002F07D4">
      <w:pPr>
        <w:spacing w:line="240" w:lineRule="auto"/>
        <w:jc w:val="both"/>
        <w:rPr>
          <w:rFonts w:ascii="Times New Roman" w:hAnsi="Times New Roman"/>
          <w:color w:val="FF0000"/>
          <w:sz w:val="24"/>
          <w:szCs w:val="24"/>
          <w:u w:val="single"/>
        </w:rPr>
      </w:pPr>
      <w:r w:rsidRPr="007A065A">
        <w:rPr>
          <w:rFonts w:ascii="Times New Roman" w:hAnsi="Times New Roman"/>
          <w:color w:val="000000"/>
          <w:sz w:val="24"/>
          <w:szCs w:val="24"/>
          <w:u w:val="single"/>
        </w:rPr>
        <w:t>Las turbulencias de México, Tailandia, Indonesia, Corea del Sur, Rusia, Ucrania, Turquía y Brasil fueron su particular universidad, pero nada de eso le preparó para la crisis de todas las crisis: el colapso del sistema financiero de Estados Unidos y su contagio a medio mundo en la peor debacle desde la Gran Depresión</w:t>
      </w:r>
      <w:r w:rsidRPr="00D54625">
        <w:rPr>
          <w:rFonts w:ascii="Times New Roman" w:hAnsi="Times New Roman"/>
          <w:color w:val="000000"/>
          <w:sz w:val="24"/>
          <w:szCs w:val="24"/>
        </w:rPr>
        <w:t xml:space="preserve">. </w:t>
      </w:r>
      <w:r w:rsidRPr="007A065A">
        <w:rPr>
          <w:rFonts w:ascii="Times New Roman" w:hAnsi="Times New Roman"/>
          <w:color w:val="FF0000"/>
          <w:sz w:val="24"/>
          <w:szCs w:val="24"/>
          <w:u w:val="single"/>
        </w:rPr>
        <w:t>Ya desde la atalaya de la presidencia de la Fed de Nueva York, Geithner reconoce que vio señales de alerta. La banca en la sombra y la acumulación de riesgos de los bancos de i</w:t>
      </w:r>
      <w:r>
        <w:rPr>
          <w:rFonts w:ascii="Times New Roman" w:hAnsi="Times New Roman"/>
          <w:color w:val="FF0000"/>
          <w:sz w:val="24"/>
          <w:szCs w:val="24"/>
          <w:u w:val="single"/>
        </w:rPr>
        <w:t>nversión siempre le asustaron. “</w:t>
      </w:r>
      <w:r w:rsidRPr="007A065A">
        <w:rPr>
          <w:rFonts w:ascii="Times New Roman" w:hAnsi="Times New Roman"/>
          <w:color w:val="FF0000"/>
          <w:sz w:val="24"/>
          <w:szCs w:val="24"/>
          <w:u w:val="single"/>
        </w:rPr>
        <w:t>No hay nada inherentemente peligroso en el riesgo fuera del sistema bancario, a menos que esté concentrado en grandes entidades con estructuras idénticas a los bancos, con un fuerte apalancamiento y financiación a corto plazo, pero que no tienen la misma regul</w:t>
      </w:r>
      <w:r>
        <w:rPr>
          <w:rFonts w:ascii="Times New Roman" w:hAnsi="Times New Roman"/>
          <w:color w:val="FF0000"/>
          <w:sz w:val="24"/>
          <w:szCs w:val="24"/>
          <w:u w:val="single"/>
        </w:rPr>
        <w:t>ación que los bancos”</w:t>
      </w:r>
      <w:r w:rsidRPr="007A065A">
        <w:rPr>
          <w:rFonts w:ascii="Times New Roman" w:hAnsi="Times New Roman"/>
          <w:color w:val="FF0000"/>
          <w:sz w:val="24"/>
          <w:szCs w:val="24"/>
          <w:u w:val="single"/>
        </w:rPr>
        <w:t>, asegura.</w:t>
      </w:r>
    </w:p>
    <w:p w:rsidR="005F0DC2" w:rsidRPr="007A065A" w:rsidRDefault="005F0DC2" w:rsidP="002F07D4">
      <w:pPr>
        <w:spacing w:line="240" w:lineRule="auto"/>
        <w:jc w:val="both"/>
        <w:rPr>
          <w:rFonts w:ascii="Times New Roman" w:hAnsi="Times New Roman"/>
          <w:color w:val="FF0000"/>
          <w:sz w:val="24"/>
          <w:szCs w:val="24"/>
          <w:u w:val="single"/>
        </w:rPr>
      </w:pPr>
    </w:p>
    <w:p w:rsidR="002F07D4" w:rsidRPr="00D54625" w:rsidRDefault="002F07D4" w:rsidP="002F07D4">
      <w:pPr>
        <w:spacing w:line="240" w:lineRule="auto"/>
        <w:jc w:val="both"/>
        <w:rPr>
          <w:rFonts w:ascii="Times New Roman" w:hAnsi="Times New Roman"/>
          <w:color w:val="000000"/>
          <w:sz w:val="24"/>
          <w:szCs w:val="24"/>
        </w:rPr>
      </w:pPr>
      <w:r>
        <w:rPr>
          <w:rFonts w:ascii="Times New Roman" w:hAnsi="Times New Roman"/>
          <w:color w:val="000000"/>
          <w:sz w:val="24"/>
          <w:szCs w:val="24"/>
        </w:rPr>
        <w:lastRenderedPageBreak/>
        <w:t>Estallan las “subprime”</w:t>
      </w:r>
    </w:p>
    <w:p w:rsidR="002F07D4" w:rsidRPr="007A065A" w:rsidRDefault="002F07D4" w:rsidP="002F07D4">
      <w:pPr>
        <w:spacing w:line="240" w:lineRule="auto"/>
        <w:jc w:val="both"/>
        <w:rPr>
          <w:rFonts w:ascii="Times New Roman" w:hAnsi="Times New Roman"/>
          <w:b/>
          <w:color w:val="FF0000"/>
          <w:sz w:val="24"/>
          <w:szCs w:val="24"/>
          <w:u w:val="single"/>
        </w:rPr>
      </w:pPr>
      <w:r w:rsidRPr="007A065A">
        <w:rPr>
          <w:rFonts w:ascii="Times New Roman" w:hAnsi="Times New Roman"/>
          <w:b/>
          <w:color w:val="FF0000"/>
          <w:sz w:val="24"/>
          <w:szCs w:val="24"/>
          <w:u w:val="single"/>
        </w:rPr>
        <w:t>En marzo de 2007, la Fed de Nueva York publicó un documento en el que minimizaba los pelig</w:t>
      </w:r>
      <w:r>
        <w:rPr>
          <w:rFonts w:ascii="Times New Roman" w:hAnsi="Times New Roman"/>
          <w:b/>
          <w:color w:val="FF0000"/>
          <w:sz w:val="24"/>
          <w:szCs w:val="24"/>
          <w:u w:val="single"/>
        </w:rPr>
        <w:t>ros de las hipotecas subprime. “</w:t>
      </w:r>
      <w:r w:rsidRPr="007A065A">
        <w:rPr>
          <w:rFonts w:ascii="Times New Roman" w:hAnsi="Times New Roman"/>
          <w:b/>
          <w:color w:val="FF0000"/>
          <w:sz w:val="24"/>
          <w:szCs w:val="24"/>
          <w:u w:val="single"/>
        </w:rPr>
        <w:t xml:space="preserve">Eran sólo cerca de una séptima parte del mercado hipotecario, escasamente un billón de dólares sobre un total nacional de 55 </w:t>
      </w:r>
      <w:r>
        <w:rPr>
          <w:rFonts w:ascii="Times New Roman" w:hAnsi="Times New Roman"/>
          <w:b/>
          <w:color w:val="FF0000"/>
          <w:sz w:val="24"/>
          <w:szCs w:val="24"/>
          <w:u w:val="single"/>
        </w:rPr>
        <w:t>billones en activos financieros”</w:t>
      </w:r>
      <w:r w:rsidRPr="007A065A">
        <w:rPr>
          <w:rFonts w:ascii="Times New Roman" w:hAnsi="Times New Roman"/>
          <w:b/>
          <w:color w:val="FF0000"/>
          <w:sz w:val="24"/>
          <w:szCs w:val="24"/>
          <w:u w:val="single"/>
        </w:rPr>
        <w:t>, recuerda su entonces presidente.</w:t>
      </w:r>
    </w:p>
    <w:p w:rsidR="002F07D4" w:rsidRPr="00D54625" w:rsidRDefault="002F07D4" w:rsidP="002F07D4">
      <w:pPr>
        <w:spacing w:line="240" w:lineRule="auto"/>
        <w:jc w:val="both"/>
        <w:rPr>
          <w:rFonts w:ascii="Times New Roman" w:hAnsi="Times New Roman"/>
          <w:color w:val="000000"/>
          <w:sz w:val="24"/>
          <w:szCs w:val="24"/>
        </w:rPr>
      </w:pPr>
      <w:r w:rsidRPr="007A065A">
        <w:rPr>
          <w:rFonts w:ascii="Times New Roman" w:hAnsi="Times New Roman"/>
          <w:b/>
          <w:color w:val="FF0000"/>
          <w:sz w:val="24"/>
          <w:szCs w:val="24"/>
          <w:u w:val="single"/>
        </w:rPr>
        <w:t>Ese documento fue redactado tres meses antes de que el mercado subprime se viniera abajo</w:t>
      </w:r>
      <w:r w:rsidRPr="00D54625">
        <w:rPr>
          <w:rFonts w:ascii="Times New Roman" w:hAnsi="Times New Roman"/>
          <w:color w:val="000000"/>
          <w:sz w:val="24"/>
          <w:szCs w:val="24"/>
        </w:rPr>
        <w:t>. Entre julio y agosto se produce la quiebra de varios fondos de Bear Stearns. El 8 de agosto, BNP anunció la suspensión de los reembolsos de tres de sus fondos con una fuerte exposición a las hipotecas basura de Estados Unidos. Solo unos días después, el Banco Central Europeo (BCE) aprobó la primera de muchas inyecciones de liquidez. La Fed tuvo que reaccionar y lo hizo, aunque no sin que aparecieran ya las primeras críticas a que un banco central saliera al rescate e impidiera que los inversores arriesgados aprendieran la lección. No sabían que sólo era el principio</w:t>
      </w:r>
      <w:r>
        <w:rPr>
          <w:rFonts w:ascii="Times New Roman" w:hAnsi="Times New Roman"/>
          <w:color w:val="000000"/>
          <w:sz w:val="24"/>
          <w:szCs w:val="24"/>
        </w:rPr>
        <w:t>. La pesadilla había comenzado.</w:t>
      </w:r>
    </w:p>
    <w:p w:rsidR="002F07D4" w:rsidRPr="007A065A" w:rsidRDefault="002F07D4" w:rsidP="002F07D4">
      <w:pPr>
        <w:spacing w:line="240" w:lineRule="auto"/>
        <w:jc w:val="both"/>
        <w:rPr>
          <w:rFonts w:ascii="Times New Roman" w:hAnsi="Times New Roman"/>
          <w:color w:val="FF0000"/>
          <w:sz w:val="24"/>
          <w:szCs w:val="24"/>
          <w:u w:val="single"/>
        </w:rPr>
      </w:pPr>
      <w:r w:rsidRPr="007A065A">
        <w:rPr>
          <w:rFonts w:ascii="Times New Roman" w:hAnsi="Times New Roman"/>
          <w:color w:val="FF0000"/>
          <w:sz w:val="24"/>
          <w:szCs w:val="24"/>
          <w:u w:val="single"/>
        </w:rPr>
        <w:t>Las subprime marcaron el inicio de una espiral descendente en el precio de determinados activos que llenaban los balances de los bancos y, sobre todo, de los bancos de inversión. Incapaces de hacer frente a las pérdidas multimillonarias y con una capitalización que se demostró escasa para combatir escenarios negativos, el sistema financiero estadounidense comenzó a tambalearse.</w:t>
      </w:r>
    </w:p>
    <w:p w:rsidR="002F07D4" w:rsidRPr="007A065A" w:rsidRDefault="002F07D4" w:rsidP="002F07D4">
      <w:pPr>
        <w:spacing w:line="240" w:lineRule="auto"/>
        <w:jc w:val="both"/>
        <w:rPr>
          <w:rFonts w:ascii="Times New Roman" w:hAnsi="Times New Roman"/>
          <w:color w:val="000000"/>
          <w:sz w:val="24"/>
          <w:szCs w:val="24"/>
          <w:u w:val="single"/>
        </w:rPr>
      </w:pPr>
      <w:r w:rsidRPr="007A065A">
        <w:rPr>
          <w:rFonts w:ascii="Times New Roman" w:hAnsi="Times New Roman"/>
          <w:color w:val="FF0000"/>
          <w:sz w:val="24"/>
          <w:szCs w:val="24"/>
        </w:rPr>
        <w:t>Ya en 2008, Bear Stearns fue el primer aviso</w:t>
      </w:r>
      <w:r w:rsidRPr="00D54625">
        <w:rPr>
          <w:rFonts w:ascii="Times New Roman" w:hAnsi="Times New Roman"/>
          <w:color w:val="000000"/>
          <w:sz w:val="24"/>
          <w:szCs w:val="24"/>
        </w:rPr>
        <w:t xml:space="preserve">. Luego llegó Lehman. Geithner recuerda el crítico fin de semana de septiembre en el que se hizo todo lo posible para que el banco de inversión no quebrara, pero no se consiguió. </w:t>
      </w:r>
      <w:r>
        <w:rPr>
          <w:rFonts w:ascii="Times New Roman" w:hAnsi="Times New Roman"/>
          <w:color w:val="000000"/>
          <w:sz w:val="24"/>
          <w:szCs w:val="24"/>
          <w:u w:val="single"/>
        </w:rPr>
        <w:t>“</w:t>
      </w:r>
      <w:r w:rsidRPr="007A065A">
        <w:rPr>
          <w:rFonts w:ascii="Times New Roman" w:hAnsi="Times New Roman"/>
          <w:color w:val="000000"/>
          <w:sz w:val="24"/>
          <w:szCs w:val="24"/>
          <w:u w:val="single"/>
        </w:rPr>
        <w:t>Mi lunes (</w:t>
      </w:r>
      <w:r w:rsidRPr="007A065A">
        <w:rPr>
          <w:rFonts w:ascii="Times New Roman" w:hAnsi="Times New Roman"/>
          <w:color w:val="FF0000"/>
          <w:sz w:val="24"/>
          <w:szCs w:val="24"/>
          <w:u w:val="single"/>
        </w:rPr>
        <w:t>el 15 de septiembre de 2008, el día en que Lehman quebró</w:t>
      </w:r>
      <w:r w:rsidRPr="007A065A">
        <w:rPr>
          <w:rFonts w:ascii="Times New Roman" w:hAnsi="Times New Roman"/>
          <w:color w:val="000000"/>
          <w:sz w:val="24"/>
          <w:szCs w:val="24"/>
          <w:u w:val="single"/>
        </w:rPr>
        <w:t>) comenzó con una llamada del BCE de Jean-Claude Trichet. Quería saber si habíamos perdido la cabeza. ¿Cómo habíamos dejado caer a Lehman? ¿Por qué qu</w:t>
      </w:r>
      <w:r>
        <w:rPr>
          <w:rFonts w:ascii="Times New Roman" w:hAnsi="Times New Roman"/>
          <w:color w:val="000000"/>
          <w:sz w:val="24"/>
          <w:szCs w:val="24"/>
          <w:u w:val="single"/>
        </w:rPr>
        <w:t>eríamos crear un pánico global?”</w:t>
      </w:r>
      <w:r w:rsidRPr="007A065A">
        <w:rPr>
          <w:rFonts w:ascii="Times New Roman" w:hAnsi="Times New Roman"/>
          <w:color w:val="000000"/>
          <w:sz w:val="24"/>
          <w:szCs w:val="24"/>
          <w:u w:val="single"/>
        </w:rPr>
        <w:t>, escribe. No se dejó caer a Lehman, simplemente su agujero era demasiado grande: ningún banco, ningún consorcio y ningún regulador pudo asumirlo, confiesa el autor, que también considera que la crisis hubiera sido igual de todas maneras.</w:t>
      </w:r>
    </w:p>
    <w:p w:rsidR="002F07D4" w:rsidRDefault="002F07D4" w:rsidP="002F07D4">
      <w:pPr>
        <w:spacing w:line="240" w:lineRule="auto"/>
        <w:jc w:val="both"/>
        <w:rPr>
          <w:rFonts w:ascii="Times New Roman" w:hAnsi="Times New Roman"/>
          <w:color w:val="FF0000"/>
          <w:sz w:val="24"/>
          <w:szCs w:val="24"/>
          <w:u w:val="single"/>
        </w:rPr>
      </w:pPr>
      <w:r w:rsidRPr="007A065A">
        <w:rPr>
          <w:rFonts w:ascii="Times New Roman" w:hAnsi="Times New Roman"/>
          <w:color w:val="FF0000"/>
          <w:sz w:val="24"/>
          <w:szCs w:val="24"/>
          <w:u w:val="single"/>
        </w:rPr>
        <w:t>Los salvamentos de Merrill Lynch y de AIG no tardaron en llegar, en un efecto dominó que amenazaba todo el sistema. Las autoridades lograron los fondos para el primer plan de recapitalización, pero no fue suficiente.</w:t>
      </w:r>
    </w:p>
    <w:p w:rsidR="002F07D4" w:rsidRPr="00D54625" w:rsidRDefault="002F07D4" w:rsidP="002F07D4">
      <w:pPr>
        <w:spacing w:line="240" w:lineRule="auto"/>
        <w:jc w:val="both"/>
        <w:rPr>
          <w:rFonts w:ascii="Times New Roman" w:hAnsi="Times New Roman"/>
          <w:color w:val="000000"/>
          <w:sz w:val="24"/>
          <w:szCs w:val="24"/>
        </w:rPr>
      </w:pPr>
      <w:r>
        <w:rPr>
          <w:rFonts w:ascii="Times New Roman" w:hAnsi="Times New Roman"/>
          <w:color w:val="000000"/>
          <w:sz w:val="24"/>
          <w:szCs w:val="24"/>
        </w:rPr>
        <w:t>Las cinco bombas</w:t>
      </w:r>
    </w:p>
    <w:p w:rsidR="002F07D4" w:rsidRPr="007A065A" w:rsidRDefault="002F07D4" w:rsidP="002F07D4">
      <w:pPr>
        <w:spacing w:line="240" w:lineRule="auto"/>
        <w:jc w:val="both"/>
        <w:rPr>
          <w:rFonts w:ascii="Times New Roman" w:hAnsi="Times New Roman"/>
          <w:color w:val="FF0000"/>
          <w:sz w:val="24"/>
          <w:szCs w:val="24"/>
          <w:u w:val="single"/>
        </w:rPr>
      </w:pPr>
      <w:r w:rsidRPr="00D54625">
        <w:rPr>
          <w:rFonts w:ascii="Times New Roman" w:hAnsi="Times New Roman"/>
          <w:color w:val="000000"/>
          <w:sz w:val="24"/>
          <w:szCs w:val="24"/>
        </w:rPr>
        <w:t xml:space="preserve">Problemas con la declaración de Hacienda de cuando trabajaba para el FMI casi impiden que Geithner entre a formar parte del gabinete del flamante presidente Barack Obama. Una vez superado el trance y la paradoja de un responsable del Tesoro con cuentas pendientes con el fisco, Geithner tiene que explicarle al presidente por qué antes de embarcarse en ambiciosos proyectos de tinte social hay varios fuegos que apagar. </w:t>
      </w:r>
      <w:r>
        <w:rPr>
          <w:rFonts w:ascii="Times New Roman" w:hAnsi="Times New Roman"/>
          <w:color w:val="000000"/>
          <w:sz w:val="24"/>
          <w:szCs w:val="24"/>
          <w:u w:val="single"/>
        </w:rPr>
        <w:t>“</w:t>
      </w:r>
      <w:r w:rsidRPr="007A065A">
        <w:rPr>
          <w:rFonts w:ascii="Times New Roman" w:hAnsi="Times New Roman"/>
          <w:color w:val="000000"/>
          <w:sz w:val="24"/>
          <w:szCs w:val="24"/>
          <w:u w:val="single"/>
        </w:rPr>
        <w:t>Sin evitar una segunda r</w:t>
      </w:r>
      <w:r>
        <w:rPr>
          <w:rFonts w:ascii="Times New Roman" w:hAnsi="Times New Roman"/>
          <w:color w:val="000000"/>
          <w:sz w:val="24"/>
          <w:szCs w:val="24"/>
          <w:u w:val="single"/>
        </w:rPr>
        <w:t>ecesión no hay dinero para nada”</w:t>
      </w:r>
      <w:r w:rsidRPr="007A065A">
        <w:rPr>
          <w:rFonts w:ascii="Times New Roman" w:hAnsi="Times New Roman"/>
          <w:color w:val="000000"/>
          <w:sz w:val="24"/>
          <w:szCs w:val="24"/>
          <w:u w:val="single"/>
        </w:rPr>
        <w:t>, le llegará a advertir Geithner a Obama en el despacho oval</w:t>
      </w:r>
      <w:r w:rsidRPr="00D54625">
        <w:rPr>
          <w:rFonts w:ascii="Times New Roman" w:hAnsi="Times New Roman"/>
          <w:color w:val="000000"/>
          <w:sz w:val="24"/>
          <w:szCs w:val="24"/>
        </w:rPr>
        <w:t>. En su primer encuentro tras asumir el cargo</w:t>
      </w:r>
      <w:r>
        <w:rPr>
          <w:rFonts w:ascii="Times New Roman" w:hAnsi="Times New Roman"/>
          <w:color w:val="000000"/>
          <w:sz w:val="24"/>
          <w:szCs w:val="24"/>
        </w:rPr>
        <w:t xml:space="preserve"> se ve obligado a ir más allá. “</w:t>
      </w:r>
      <w:r w:rsidRPr="007A065A">
        <w:rPr>
          <w:rFonts w:ascii="Times New Roman" w:hAnsi="Times New Roman"/>
          <w:color w:val="000000"/>
          <w:sz w:val="24"/>
          <w:szCs w:val="24"/>
          <w:u w:val="single"/>
        </w:rPr>
        <w:t>Hay cinco bombas que desactivar</w:t>
      </w:r>
      <w:r>
        <w:rPr>
          <w:rFonts w:ascii="Times New Roman" w:hAnsi="Times New Roman"/>
          <w:color w:val="000000"/>
          <w:sz w:val="24"/>
          <w:szCs w:val="24"/>
        </w:rPr>
        <w:t>”</w:t>
      </w:r>
      <w:r w:rsidRPr="00D54625">
        <w:rPr>
          <w:rFonts w:ascii="Times New Roman" w:hAnsi="Times New Roman"/>
          <w:color w:val="000000"/>
          <w:sz w:val="24"/>
          <w:szCs w:val="24"/>
        </w:rPr>
        <w:t xml:space="preserve">, avisa. </w:t>
      </w:r>
      <w:r w:rsidRPr="007A065A">
        <w:rPr>
          <w:rFonts w:ascii="Times New Roman" w:hAnsi="Times New Roman"/>
          <w:color w:val="000000"/>
          <w:sz w:val="24"/>
          <w:szCs w:val="24"/>
          <w:u w:val="single"/>
        </w:rPr>
        <w:t>Se llaman Fannie Mae, Freddie Mac, AIG, Citigroup y Bank of America.Ysu poder destructor es mucho mayor que el de Lehman.</w:t>
      </w:r>
      <w:r w:rsidRPr="007A065A">
        <w:rPr>
          <w:rFonts w:ascii="Times New Roman" w:hAnsi="Times New Roman"/>
          <w:color w:val="FF0000"/>
          <w:sz w:val="24"/>
          <w:szCs w:val="24"/>
          <w:u w:val="single"/>
        </w:rPr>
        <w:t>Geithner tiene muy claro en este punto que la crisis ya está aquí, que se ha convertido en la mayor tormenta en cien años, peor que la de 1929, y que él está llamado a resolverla desde el ojo del huracán.</w:t>
      </w:r>
    </w:p>
    <w:p w:rsidR="002F07D4" w:rsidRDefault="002F07D4" w:rsidP="002F07D4">
      <w:pPr>
        <w:spacing w:line="240" w:lineRule="auto"/>
        <w:jc w:val="both"/>
        <w:rPr>
          <w:rFonts w:ascii="Times New Roman" w:hAnsi="Times New Roman"/>
          <w:color w:val="000000"/>
          <w:sz w:val="24"/>
          <w:szCs w:val="24"/>
        </w:rPr>
      </w:pPr>
      <w:r>
        <w:rPr>
          <w:rFonts w:ascii="Times New Roman" w:hAnsi="Times New Roman"/>
          <w:color w:val="000000"/>
          <w:sz w:val="24"/>
          <w:szCs w:val="24"/>
        </w:rPr>
        <w:lastRenderedPageBreak/>
        <w:t>“</w:t>
      </w:r>
      <w:r w:rsidRPr="00D54625">
        <w:rPr>
          <w:rFonts w:ascii="Times New Roman" w:hAnsi="Times New Roman"/>
          <w:color w:val="000000"/>
          <w:sz w:val="24"/>
          <w:szCs w:val="24"/>
        </w:rPr>
        <w:t>Los bancos son la san</w:t>
      </w:r>
      <w:r>
        <w:rPr>
          <w:rFonts w:ascii="Times New Roman" w:hAnsi="Times New Roman"/>
          <w:color w:val="000000"/>
          <w:sz w:val="24"/>
          <w:szCs w:val="24"/>
        </w:rPr>
        <w:t>gre de la economía, son vitales”</w:t>
      </w:r>
      <w:r w:rsidRPr="00D54625">
        <w:rPr>
          <w:rFonts w:ascii="Times New Roman" w:hAnsi="Times New Roman"/>
          <w:color w:val="000000"/>
          <w:sz w:val="24"/>
          <w:szCs w:val="24"/>
        </w:rPr>
        <w:t>, dice en su libro para justificar la segunda oleada de ayudas masivas a la banca. Puede que su libro tome el relevo del Crash de 1929 de John Kenneth Galbraith como lectura de cabecera sobre tormentas financieras. El tiempo y los lectores, dirán.</w:t>
      </w:r>
    </w:p>
    <w:p w:rsidR="002F07D4" w:rsidRDefault="002F07D4" w:rsidP="002F07D4">
      <w:pPr>
        <w:spacing w:line="240" w:lineRule="auto"/>
        <w:jc w:val="both"/>
        <w:rPr>
          <w:rFonts w:ascii="Times New Roman" w:hAnsi="Times New Roman"/>
          <w:color w:val="000000"/>
          <w:sz w:val="24"/>
          <w:szCs w:val="24"/>
        </w:rPr>
      </w:pPr>
      <w:r>
        <w:rPr>
          <w:rFonts w:ascii="Times New Roman" w:hAnsi="Times New Roman"/>
          <w:color w:val="000000"/>
          <w:sz w:val="24"/>
          <w:szCs w:val="24"/>
        </w:rPr>
        <w:t xml:space="preserve">(De vuelta al Ensayo: El “factor” Bernanke: otro “Maestro” que se cae del tabernáculo) </w:t>
      </w:r>
    </w:p>
    <w:p w:rsidR="002F07D4" w:rsidRDefault="002F07D4" w:rsidP="002F07D4">
      <w:pPr>
        <w:spacing w:line="240" w:lineRule="auto"/>
        <w:jc w:val="both"/>
        <w:rPr>
          <w:rFonts w:ascii="Times New Roman" w:hAnsi="Times New Roman"/>
          <w:b/>
          <w:sz w:val="24"/>
          <w:szCs w:val="24"/>
        </w:rPr>
      </w:pPr>
      <w:r>
        <w:rPr>
          <w:rFonts w:ascii="Times New Roman" w:hAnsi="Times New Roman"/>
          <w:b/>
          <w:sz w:val="24"/>
          <w:szCs w:val="24"/>
        </w:rPr>
        <w:t>La crisis podría haberse evitado (según el Congreso de los Estados Unidos)</w:t>
      </w:r>
    </w:p>
    <w:p w:rsidR="002F07D4" w:rsidRPr="00AA7245" w:rsidRDefault="002F07D4" w:rsidP="002F07D4">
      <w:pPr>
        <w:spacing w:before="100" w:beforeAutospacing="1" w:after="100" w:afterAutospacing="1" w:line="240" w:lineRule="auto"/>
        <w:jc w:val="both"/>
        <w:rPr>
          <w:rFonts w:ascii="Times New Roman" w:eastAsia="Times New Roman" w:hAnsi="Times New Roman"/>
          <w:b/>
          <w:sz w:val="24"/>
          <w:szCs w:val="24"/>
          <w:lang w:eastAsia="es-ES"/>
        </w:rPr>
      </w:pPr>
      <w:r w:rsidRPr="00AA7245">
        <w:rPr>
          <w:rFonts w:ascii="Times New Roman" w:eastAsia="Times New Roman" w:hAnsi="Times New Roman"/>
          <w:b/>
          <w:sz w:val="24"/>
          <w:szCs w:val="24"/>
          <w:lang w:eastAsia="es-ES"/>
        </w:rPr>
        <w:t>La mayor tragedia sería aceptar la letanía de que nadie podía haber previsto lo ocurrido</w:t>
      </w:r>
    </w:p>
    <w:p w:rsidR="002F07D4" w:rsidRDefault="002F07D4" w:rsidP="002F07D4">
      <w:pPr>
        <w:shd w:val="clear" w:color="auto" w:fill="FFFFFF"/>
        <w:spacing w:after="225" w:line="240" w:lineRule="auto"/>
        <w:jc w:val="both"/>
        <w:rPr>
          <w:rFonts w:ascii="Times New Roman" w:eastAsia="Times New Roman" w:hAnsi="Times New Roman"/>
          <w:color w:val="000000"/>
          <w:sz w:val="24"/>
          <w:szCs w:val="24"/>
          <w:lang w:eastAsia="es-ES"/>
        </w:rPr>
      </w:pPr>
      <w:r>
        <w:rPr>
          <w:rFonts w:ascii="Times New Roman" w:eastAsia="Times New Roman" w:hAnsi="Times New Roman"/>
          <w:i/>
          <w:sz w:val="24"/>
          <w:szCs w:val="24"/>
          <w:lang w:eastAsia="es-ES"/>
        </w:rPr>
        <w:t>“</w:t>
      </w:r>
      <w:r w:rsidRPr="00C80D0F">
        <w:rPr>
          <w:rFonts w:ascii="Times New Roman" w:eastAsia="Times New Roman" w:hAnsi="Times New Roman"/>
          <w:i/>
          <w:sz w:val="24"/>
          <w:szCs w:val="24"/>
          <w:lang w:eastAsia="es-ES"/>
        </w:rPr>
        <w:t>La crisis financiera</w:t>
      </w:r>
      <w:r>
        <w:rPr>
          <w:rFonts w:ascii="Times New Roman" w:eastAsia="Times New Roman" w:hAnsi="Times New Roman"/>
          <w:i/>
          <w:sz w:val="24"/>
          <w:szCs w:val="24"/>
          <w:lang w:eastAsia="es-ES"/>
        </w:rPr>
        <w:t xml:space="preserve"> que asoló la economía en 2008 “podría haberse evitado”</w:t>
      </w:r>
      <w:r w:rsidRPr="00C80D0F">
        <w:rPr>
          <w:rFonts w:ascii="Times New Roman" w:eastAsia="Times New Roman" w:hAnsi="Times New Roman"/>
          <w:i/>
          <w:sz w:val="24"/>
          <w:szCs w:val="24"/>
          <w:lang w:eastAsia="es-ES"/>
        </w:rPr>
        <w:t xml:space="preserve"> si no se hubieran producido fallos generalizados en los reguladores, así como una mala gestión en las empresas y la irresponsable toma de riesgos de Wall Street, según reflejan las conclusiones de un informe elaborado por la Comisión Investigadora de la Crisis Financiera, formada por el Congreso de EEUU en 2009</w:t>
      </w:r>
      <w:r>
        <w:rPr>
          <w:rFonts w:ascii="Times New Roman" w:eastAsia="Times New Roman" w:hAnsi="Times New Roman"/>
          <w:i/>
          <w:sz w:val="24"/>
          <w:szCs w:val="24"/>
          <w:lang w:eastAsia="es-ES"/>
        </w:rPr>
        <w:t>”..</w:t>
      </w:r>
      <w:r w:rsidRPr="00C80D0F">
        <w:rPr>
          <w:rFonts w:ascii="Times New Roman" w:eastAsia="Times New Roman" w:hAnsi="Times New Roman"/>
          <w:i/>
          <w:sz w:val="24"/>
          <w:szCs w:val="24"/>
          <w:lang w:eastAsia="es-ES"/>
        </w:rPr>
        <w:t>.</w:t>
      </w:r>
      <w:r>
        <w:rPr>
          <w:rFonts w:ascii="Times New Roman" w:eastAsia="Times New Roman" w:hAnsi="Times New Roman"/>
          <w:color w:val="000000"/>
          <w:sz w:val="24"/>
          <w:szCs w:val="24"/>
          <w:u w:val="single"/>
          <w:lang w:eastAsia="es-ES"/>
        </w:rPr>
        <w:t>La crisis financiera “</w:t>
      </w:r>
      <w:r w:rsidRPr="00CD2B83">
        <w:rPr>
          <w:rFonts w:ascii="Times New Roman" w:eastAsia="Times New Roman" w:hAnsi="Times New Roman"/>
          <w:color w:val="000000"/>
          <w:sz w:val="24"/>
          <w:szCs w:val="24"/>
          <w:u w:val="single"/>
          <w:lang w:eastAsia="es-ES"/>
        </w:rPr>
        <w:t>podría haberse evi</w:t>
      </w:r>
      <w:r>
        <w:rPr>
          <w:rFonts w:ascii="Times New Roman" w:eastAsia="Times New Roman" w:hAnsi="Times New Roman"/>
          <w:color w:val="000000"/>
          <w:sz w:val="24"/>
          <w:szCs w:val="24"/>
          <w:u w:val="single"/>
          <w:lang w:eastAsia="es-ES"/>
        </w:rPr>
        <w:t>tado”, según el Congreso de EE</w:t>
      </w:r>
      <w:r w:rsidRPr="00CD2B83">
        <w:rPr>
          <w:rFonts w:ascii="Times New Roman" w:eastAsia="Times New Roman" w:hAnsi="Times New Roman"/>
          <w:color w:val="000000"/>
          <w:sz w:val="24"/>
          <w:szCs w:val="24"/>
          <w:u w:val="single"/>
          <w:lang w:eastAsia="es-ES"/>
        </w:rPr>
        <w:t>UU</w:t>
      </w:r>
      <w:r>
        <w:rPr>
          <w:rFonts w:ascii="Times New Roman" w:eastAsia="Times New Roman" w:hAnsi="Times New Roman"/>
          <w:color w:val="000000"/>
          <w:sz w:val="24"/>
          <w:szCs w:val="24"/>
          <w:lang w:eastAsia="es-ES"/>
        </w:rPr>
        <w:t xml:space="preserve"> (Negocios.com - </w:t>
      </w:r>
      <w:r w:rsidRPr="00CD2B83">
        <w:rPr>
          <w:rFonts w:ascii="Times New Roman" w:eastAsia="Times New Roman" w:hAnsi="Times New Roman"/>
          <w:b/>
          <w:color w:val="000000"/>
          <w:sz w:val="24"/>
          <w:szCs w:val="24"/>
          <w:lang w:eastAsia="es-ES"/>
        </w:rPr>
        <w:t>26/1/11</w:t>
      </w:r>
      <w:r>
        <w:rPr>
          <w:rFonts w:ascii="Times New Roman" w:eastAsia="Times New Roman" w:hAnsi="Times New Roman"/>
          <w:color w:val="000000"/>
          <w:sz w:val="24"/>
          <w:szCs w:val="24"/>
          <w:lang w:eastAsia="es-ES"/>
        </w:rPr>
        <w:t>)</w:t>
      </w:r>
    </w:p>
    <w:p w:rsidR="002F07D4" w:rsidRPr="00C523A9" w:rsidRDefault="002F07D4" w:rsidP="002F07D4">
      <w:pPr>
        <w:shd w:val="clear" w:color="auto" w:fill="FFFFFF"/>
        <w:spacing w:after="225" w:line="240" w:lineRule="auto"/>
        <w:jc w:val="both"/>
        <w:rPr>
          <w:rFonts w:ascii="Times New Roman" w:eastAsia="Times New Roman" w:hAnsi="Times New Roman"/>
          <w:sz w:val="24"/>
          <w:szCs w:val="24"/>
          <w:lang w:eastAsia="es-ES"/>
        </w:rPr>
      </w:pPr>
      <w:r w:rsidRPr="00C523A9">
        <w:rPr>
          <w:rFonts w:ascii="Times New Roman" w:eastAsia="Times New Roman" w:hAnsi="Times New Roman"/>
          <w:sz w:val="24"/>
          <w:szCs w:val="24"/>
          <w:lang w:eastAsia="es-ES"/>
        </w:rPr>
        <w:t>“La mayor tragedia sería aceptar la letanía de que nadie podía haber previsto lo ocurrido y por lo tanto nada se podría haber hecho para evitarlo”, señalan los miembros de la Comisión en un informe al que tuvo acceso “The New York Times”. “Si aceptamos esta idea, volverá a repetirse”, advierten.</w:t>
      </w:r>
    </w:p>
    <w:p w:rsidR="002F07D4" w:rsidRPr="00CD2B83" w:rsidRDefault="002F07D4" w:rsidP="002F07D4">
      <w:pPr>
        <w:shd w:val="clear" w:color="auto" w:fill="FFFFFF"/>
        <w:spacing w:after="225" w:line="240" w:lineRule="auto"/>
        <w:jc w:val="both"/>
        <w:rPr>
          <w:rFonts w:ascii="Times New Roman" w:eastAsia="Times New Roman" w:hAnsi="Times New Roman"/>
          <w:color w:val="000000"/>
          <w:sz w:val="24"/>
          <w:szCs w:val="24"/>
          <w:lang w:eastAsia="es-ES"/>
        </w:rPr>
      </w:pPr>
      <w:r w:rsidRPr="00CD2B83">
        <w:rPr>
          <w:rFonts w:ascii="Times New Roman" w:eastAsia="Times New Roman" w:hAnsi="Times New Roman"/>
          <w:color w:val="000000"/>
          <w:sz w:val="24"/>
          <w:szCs w:val="24"/>
          <w:lang w:eastAsia="es-ES"/>
        </w:rPr>
        <w:t>El informe de 576 página</w:t>
      </w:r>
      <w:r>
        <w:rPr>
          <w:rFonts w:ascii="Times New Roman" w:eastAsia="Times New Roman" w:hAnsi="Times New Roman"/>
          <w:color w:val="000000"/>
          <w:sz w:val="24"/>
          <w:szCs w:val="24"/>
          <w:lang w:eastAsia="es-ES"/>
        </w:rPr>
        <w:t>s que será publicado el 27/1/11</w:t>
      </w:r>
      <w:r w:rsidRPr="00CD2B83">
        <w:rPr>
          <w:rFonts w:ascii="Times New Roman" w:eastAsia="Times New Roman" w:hAnsi="Times New Roman"/>
          <w:color w:val="000000"/>
          <w:sz w:val="24"/>
          <w:szCs w:val="24"/>
          <w:lang w:eastAsia="es-ES"/>
        </w:rPr>
        <w:t>, ha sido elaborado tras meses de investigaciones en los que los miembros de la Comisión dedicaron 19 días a entrevistar a 700 testigos de los acontecimientos que colocaron al borde del colapso a la economía de EEUU y el resto del mundo.</w:t>
      </w:r>
    </w:p>
    <w:p w:rsidR="002F07D4" w:rsidRPr="00C80D0F" w:rsidRDefault="002F07D4" w:rsidP="002F07D4">
      <w:pPr>
        <w:shd w:val="clear" w:color="auto" w:fill="FFFFFF"/>
        <w:spacing w:after="225" w:line="240" w:lineRule="auto"/>
        <w:jc w:val="both"/>
        <w:rPr>
          <w:rFonts w:ascii="Times New Roman" w:eastAsia="Times New Roman" w:hAnsi="Times New Roman"/>
          <w:sz w:val="24"/>
          <w:szCs w:val="24"/>
          <w:lang w:eastAsia="es-ES"/>
        </w:rPr>
      </w:pPr>
      <w:r w:rsidRPr="00C80D0F">
        <w:rPr>
          <w:rFonts w:ascii="Times New Roman" w:eastAsia="Times New Roman" w:hAnsi="Times New Roman"/>
          <w:sz w:val="24"/>
          <w:szCs w:val="24"/>
          <w:lang w:eastAsia="es-ES"/>
        </w:rPr>
        <w:t>Respecto a las conclusiones más destacadas de la investigación, los comisionados señalan entre los responsables de la crisis a los dos últimos presidentes de la Reserva Federal, Alan Greenspan, quien permitió la expansión de la burbuja inmobiliaria, y a su sucesor Ben Bernanke, quien no supo prever la crisis, au</w:t>
      </w:r>
      <w:r>
        <w:rPr>
          <w:rFonts w:ascii="Times New Roman" w:eastAsia="Times New Roman" w:hAnsi="Times New Roman"/>
          <w:sz w:val="24"/>
          <w:szCs w:val="24"/>
          <w:lang w:eastAsia="es-ES"/>
        </w:rPr>
        <w:t>nque haya desempeñado un papel “crucial”</w:t>
      </w:r>
      <w:r w:rsidRPr="00C80D0F">
        <w:rPr>
          <w:rFonts w:ascii="Times New Roman" w:eastAsia="Times New Roman" w:hAnsi="Times New Roman"/>
          <w:sz w:val="24"/>
          <w:szCs w:val="24"/>
          <w:lang w:eastAsia="es-ES"/>
        </w:rPr>
        <w:t xml:space="preserve"> en la lucha contra ella.</w:t>
      </w:r>
    </w:p>
    <w:p w:rsidR="002F07D4" w:rsidRPr="00C80D0F" w:rsidRDefault="002F07D4" w:rsidP="002F07D4">
      <w:pPr>
        <w:shd w:val="clear" w:color="auto" w:fill="FFFFFF"/>
        <w:spacing w:after="225" w:line="240" w:lineRule="auto"/>
        <w:jc w:val="both"/>
        <w:rPr>
          <w:rFonts w:ascii="Times New Roman" w:eastAsia="Times New Roman" w:hAnsi="Times New Roman"/>
          <w:color w:val="000000"/>
          <w:sz w:val="24"/>
          <w:szCs w:val="24"/>
          <w:lang w:eastAsia="es-ES"/>
        </w:rPr>
      </w:pPr>
      <w:r w:rsidRPr="00C80D0F">
        <w:rPr>
          <w:rFonts w:ascii="Times New Roman" w:eastAsia="Times New Roman" w:hAnsi="Times New Roman"/>
          <w:color w:val="000000"/>
          <w:sz w:val="24"/>
          <w:szCs w:val="24"/>
          <w:lang w:eastAsia="es-ES"/>
        </w:rPr>
        <w:t xml:space="preserve">Así, el informe resulta especialmente duro con la labor de Alan Greenspan, quien antes de la crisis era reverenciado por los mercados </w:t>
      </w:r>
      <w:r>
        <w:rPr>
          <w:rFonts w:ascii="Times New Roman" w:eastAsia="Times New Roman" w:hAnsi="Times New Roman"/>
          <w:color w:val="000000"/>
          <w:sz w:val="24"/>
          <w:szCs w:val="24"/>
          <w:lang w:eastAsia="es-ES"/>
        </w:rPr>
        <w:t>y conocido por el apelativo de “El Maestro”</w:t>
      </w:r>
      <w:r w:rsidRPr="00C80D0F">
        <w:rPr>
          <w:rFonts w:ascii="Times New Roman" w:eastAsia="Times New Roman" w:hAnsi="Times New Roman"/>
          <w:color w:val="000000"/>
          <w:sz w:val="24"/>
          <w:szCs w:val="24"/>
          <w:lang w:eastAsia="es-ES"/>
        </w:rPr>
        <w:t>, pero al que los autores de la investigación señalan como el responsable del proceso de desregulación que no impidió el flujo de hipotecas tóxicas, en un claro ejemplo de negligencia.</w:t>
      </w:r>
    </w:p>
    <w:p w:rsidR="002F07D4" w:rsidRPr="00C80D0F" w:rsidRDefault="002F07D4" w:rsidP="002F07D4">
      <w:pPr>
        <w:shd w:val="clear" w:color="auto" w:fill="FFFFFF"/>
        <w:spacing w:after="225" w:line="240" w:lineRule="auto"/>
        <w:jc w:val="both"/>
        <w:rPr>
          <w:rFonts w:ascii="Times New Roman" w:eastAsia="Times New Roman" w:hAnsi="Times New Roman"/>
          <w:sz w:val="24"/>
          <w:szCs w:val="24"/>
          <w:lang w:eastAsia="es-ES"/>
        </w:rPr>
      </w:pPr>
      <w:r w:rsidRPr="00C80D0F">
        <w:rPr>
          <w:rFonts w:ascii="Times New Roman" w:eastAsia="Times New Roman" w:hAnsi="Times New Roman"/>
          <w:sz w:val="24"/>
          <w:szCs w:val="24"/>
          <w:lang w:eastAsia="es-ES"/>
        </w:rPr>
        <w:t>Por otro lado, los congresistas también reservan buena parte de sus críticas para</w:t>
      </w:r>
      <w:r>
        <w:rPr>
          <w:rFonts w:ascii="Times New Roman" w:eastAsia="Times New Roman" w:hAnsi="Times New Roman"/>
          <w:sz w:val="24"/>
          <w:szCs w:val="24"/>
          <w:lang w:eastAsia="es-ES"/>
        </w:rPr>
        <w:t xml:space="preserve"> la Administración Bush por su “respuesta inconsistente”</w:t>
      </w:r>
      <w:r w:rsidRPr="00C80D0F">
        <w:rPr>
          <w:rFonts w:ascii="Times New Roman" w:eastAsia="Times New Roman" w:hAnsi="Times New Roman"/>
          <w:sz w:val="24"/>
          <w:szCs w:val="24"/>
          <w:lang w:eastAsia="es-ES"/>
        </w:rPr>
        <w:t xml:space="preserve"> a la crisis, que permitió el colapso de Lehman B</w:t>
      </w:r>
      <w:r>
        <w:rPr>
          <w:rFonts w:ascii="Times New Roman" w:eastAsia="Times New Roman" w:hAnsi="Times New Roman"/>
          <w:sz w:val="24"/>
          <w:szCs w:val="24"/>
          <w:lang w:eastAsia="es-ES"/>
        </w:rPr>
        <w:t>rothers en septiembre de 2008, “</w:t>
      </w:r>
      <w:r w:rsidRPr="00C80D0F">
        <w:rPr>
          <w:rFonts w:ascii="Times New Roman" w:eastAsia="Times New Roman" w:hAnsi="Times New Roman"/>
          <w:sz w:val="24"/>
          <w:szCs w:val="24"/>
          <w:lang w:eastAsia="es-ES"/>
        </w:rPr>
        <w:t>añadiendo incertidumbre y pánico a los merca</w:t>
      </w:r>
      <w:r>
        <w:rPr>
          <w:rFonts w:ascii="Times New Roman" w:eastAsia="Times New Roman" w:hAnsi="Times New Roman"/>
          <w:sz w:val="24"/>
          <w:szCs w:val="24"/>
          <w:lang w:eastAsia="es-ES"/>
        </w:rPr>
        <w:t>dos”</w:t>
      </w:r>
      <w:r w:rsidRPr="00C80D0F">
        <w:rPr>
          <w:rFonts w:ascii="Times New Roman" w:eastAsia="Times New Roman" w:hAnsi="Times New Roman"/>
          <w:sz w:val="24"/>
          <w:szCs w:val="24"/>
          <w:lang w:eastAsia="es-ES"/>
        </w:rPr>
        <w:t>.</w:t>
      </w:r>
    </w:p>
    <w:p w:rsidR="002F07D4" w:rsidRPr="00C80D0F" w:rsidRDefault="002F07D4" w:rsidP="002F07D4">
      <w:pPr>
        <w:shd w:val="clear" w:color="auto" w:fill="FFFFFF"/>
        <w:spacing w:after="225" w:line="240" w:lineRule="auto"/>
        <w:jc w:val="both"/>
        <w:rPr>
          <w:rFonts w:ascii="Times New Roman" w:eastAsia="Times New Roman" w:hAnsi="Times New Roman"/>
          <w:sz w:val="24"/>
          <w:szCs w:val="24"/>
          <w:lang w:eastAsia="es-ES"/>
        </w:rPr>
      </w:pPr>
      <w:r w:rsidRPr="00C80D0F">
        <w:rPr>
          <w:rFonts w:ascii="Times New Roman" w:eastAsia="Times New Roman" w:hAnsi="Times New Roman"/>
          <w:sz w:val="24"/>
          <w:szCs w:val="24"/>
          <w:lang w:eastAsia="es-ES"/>
        </w:rPr>
        <w:t>Asimismo, el informe también reparte culpas entre el par</w:t>
      </w:r>
      <w:r>
        <w:rPr>
          <w:rFonts w:ascii="Times New Roman" w:eastAsia="Times New Roman" w:hAnsi="Times New Roman"/>
          <w:sz w:val="24"/>
          <w:szCs w:val="24"/>
          <w:lang w:eastAsia="es-ES"/>
        </w:rPr>
        <w:t>tido Demócrata al señalar como “</w:t>
      </w:r>
      <w:r w:rsidRPr="00C80D0F">
        <w:rPr>
          <w:rFonts w:ascii="Times New Roman" w:eastAsia="Times New Roman" w:hAnsi="Times New Roman"/>
          <w:sz w:val="24"/>
          <w:szCs w:val="24"/>
          <w:lang w:eastAsia="es-ES"/>
        </w:rPr>
        <w:t xml:space="preserve">un momento clave </w:t>
      </w:r>
      <w:r>
        <w:rPr>
          <w:rFonts w:ascii="Times New Roman" w:eastAsia="Times New Roman" w:hAnsi="Times New Roman"/>
          <w:sz w:val="24"/>
          <w:szCs w:val="24"/>
          <w:lang w:eastAsia="es-ES"/>
        </w:rPr>
        <w:t>en la evolución hacia la crisis”</w:t>
      </w:r>
      <w:r w:rsidRPr="00C80D0F">
        <w:rPr>
          <w:rFonts w:ascii="Times New Roman" w:eastAsia="Times New Roman" w:hAnsi="Times New Roman"/>
          <w:sz w:val="24"/>
          <w:szCs w:val="24"/>
          <w:lang w:eastAsia="es-ES"/>
        </w:rPr>
        <w:t xml:space="preserve"> la decisión del presidente Clinton de blindar del control público a los derivados financieros.</w:t>
      </w:r>
    </w:p>
    <w:p w:rsidR="002F07D4" w:rsidRPr="00C80D0F" w:rsidRDefault="002F07D4" w:rsidP="002F07D4">
      <w:pPr>
        <w:shd w:val="clear" w:color="auto" w:fill="FFFFFF"/>
        <w:spacing w:after="225" w:line="240" w:lineRule="auto"/>
        <w:jc w:val="both"/>
        <w:rPr>
          <w:rFonts w:ascii="Times New Roman" w:eastAsia="Times New Roman" w:hAnsi="Times New Roman"/>
          <w:sz w:val="24"/>
          <w:szCs w:val="24"/>
          <w:lang w:eastAsia="es-ES"/>
        </w:rPr>
      </w:pPr>
      <w:r w:rsidRPr="00C80D0F">
        <w:rPr>
          <w:rFonts w:ascii="Times New Roman" w:eastAsia="Times New Roman" w:hAnsi="Times New Roman"/>
          <w:sz w:val="24"/>
          <w:szCs w:val="24"/>
          <w:lang w:eastAsia="es-ES"/>
        </w:rPr>
        <w:t xml:space="preserve">Por su parte, el actual secretario del Tesoro, Timothy F. Geithner, quien entonces presidía la Reserva Federal de Nueva York, tampoco sale indemne, ya que no se percató </w:t>
      </w:r>
      <w:r w:rsidRPr="00C80D0F">
        <w:rPr>
          <w:rFonts w:ascii="Times New Roman" w:eastAsia="Times New Roman" w:hAnsi="Times New Roman"/>
          <w:sz w:val="24"/>
          <w:szCs w:val="24"/>
          <w:lang w:eastAsia="es-ES"/>
        </w:rPr>
        <w:lastRenderedPageBreak/>
        <w:t>de las dificultades en Citigroup y Lehman, aunque apunta que tampoco era él el principal responsable de su supervisión.</w:t>
      </w:r>
    </w:p>
    <w:p w:rsidR="002F07D4" w:rsidRPr="00D83529" w:rsidRDefault="002F07D4" w:rsidP="002F07D4">
      <w:pPr>
        <w:shd w:val="clear" w:color="auto" w:fill="FFFFFF"/>
        <w:spacing w:after="225" w:line="240" w:lineRule="auto"/>
        <w:jc w:val="both"/>
        <w:rPr>
          <w:rFonts w:ascii="Times New Roman" w:eastAsia="Times New Roman" w:hAnsi="Times New Roman"/>
          <w:sz w:val="24"/>
          <w:szCs w:val="24"/>
          <w:lang w:eastAsia="es-ES"/>
        </w:rPr>
      </w:pPr>
      <w:r w:rsidRPr="00D83529">
        <w:rPr>
          <w:rFonts w:ascii="Times New Roman" w:eastAsia="Times New Roman" w:hAnsi="Times New Roman"/>
          <w:sz w:val="24"/>
          <w:szCs w:val="24"/>
          <w:lang w:eastAsia="es-ES"/>
        </w:rPr>
        <w:t>“La crisis fue el resultado de la acción y la inacción de las personas, no fue producto de la Madre Naturaleza ni de un error en los ordenadores”, señala el informe.</w:t>
      </w:r>
    </w:p>
    <w:p w:rsidR="002F07D4" w:rsidRDefault="002F07D4" w:rsidP="002F07D4">
      <w:pPr>
        <w:shd w:val="clear" w:color="auto" w:fill="FFFFFF"/>
        <w:spacing w:after="225" w:line="240" w:lineRule="auto"/>
        <w:jc w:val="both"/>
        <w:rPr>
          <w:rFonts w:ascii="Times New Roman" w:eastAsia="Times New Roman" w:hAnsi="Times New Roman"/>
          <w:color w:val="000000"/>
          <w:sz w:val="24"/>
          <w:szCs w:val="24"/>
          <w:lang w:eastAsia="es-ES"/>
        </w:rPr>
      </w:pPr>
      <w:r w:rsidRPr="00CD2B83">
        <w:rPr>
          <w:rFonts w:ascii="Times New Roman" w:eastAsia="Times New Roman" w:hAnsi="Times New Roman"/>
          <w:color w:val="000000"/>
          <w:sz w:val="24"/>
          <w:szCs w:val="24"/>
          <w:lang w:eastAsia="es-ES"/>
        </w:rPr>
        <w:t>No obstante, el informe refleja también en sí mismo las divisiones existentes en la política estadounidense, ya que los seis miembros designados por los demócratas han respaldado el documento, mientras tres republicanos han incorporado observaciones alinforme, y el también republicano, Peter J. Wallison, expresó sus propias salvedades de carácter personal.</w:t>
      </w:r>
    </w:p>
    <w:p w:rsidR="002F07D4" w:rsidRPr="00D83529" w:rsidRDefault="002F07D4" w:rsidP="002F07D4">
      <w:pPr>
        <w:shd w:val="clear" w:color="auto" w:fill="FFFFFF"/>
        <w:spacing w:after="225" w:line="240" w:lineRule="auto"/>
        <w:jc w:val="both"/>
        <w:rPr>
          <w:rFonts w:ascii="Times New Roman" w:eastAsia="Times New Roman" w:hAnsi="Times New Roman"/>
          <w:b/>
          <w:sz w:val="24"/>
          <w:szCs w:val="24"/>
          <w:lang w:eastAsia="es-ES"/>
        </w:rPr>
      </w:pPr>
      <w:r w:rsidRPr="00D83529">
        <w:rPr>
          <w:rFonts w:ascii="Times New Roman" w:eastAsia="Times New Roman" w:hAnsi="Times New Roman"/>
          <w:b/>
          <w:sz w:val="24"/>
          <w:szCs w:val="24"/>
          <w:lang w:eastAsia="es-ES"/>
        </w:rPr>
        <w:t>La autopsia está hecha (la crisis… fue el resultado de la acción y de la inacción humana)</w:t>
      </w:r>
    </w:p>
    <w:p w:rsidR="002F07D4" w:rsidRPr="00ED0176" w:rsidRDefault="002F07D4" w:rsidP="002F07D4">
      <w:pPr>
        <w:shd w:val="clear" w:color="auto" w:fill="FFFFFF"/>
        <w:spacing w:after="225" w:line="240" w:lineRule="auto"/>
        <w:jc w:val="both"/>
        <w:rPr>
          <w:rFonts w:ascii="Times New Roman" w:eastAsia="Times New Roman" w:hAnsi="Times New Roman"/>
          <w:sz w:val="24"/>
          <w:szCs w:val="24"/>
          <w:lang w:eastAsia="es-ES"/>
        </w:rPr>
      </w:pPr>
      <w:r w:rsidRPr="00ED0176">
        <w:rPr>
          <w:rFonts w:ascii="Times New Roman" w:eastAsia="Times New Roman" w:hAnsi="Times New Roman"/>
          <w:sz w:val="24"/>
          <w:szCs w:val="24"/>
          <w:lang w:eastAsia="es-ES"/>
        </w:rPr>
        <w:t xml:space="preserve">La autopsia de la mayor crisis financiera desde la Gran Depresión está hecha. La conclusión de la comisión del Congreso que investigó las causas que provocaron el colapso del sistema bancario en Estados Unidos, y que puso a la economía del país y luego del resto del mundo al borde del precipicio, es que </w:t>
      </w:r>
      <w:r w:rsidRPr="00ED0176">
        <w:rPr>
          <w:rFonts w:ascii="Times New Roman" w:eastAsia="Times New Roman" w:hAnsi="Times New Roman"/>
          <w:color w:val="FF0000"/>
          <w:sz w:val="24"/>
          <w:szCs w:val="24"/>
          <w:lang w:eastAsia="es-ES"/>
        </w:rPr>
        <w:t>“pudo evitarse”</w:t>
      </w:r>
      <w:r w:rsidRPr="00ED0176">
        <w:rPr>
          <w:rFonts w:ascii="Times New Roman" w:eastAsia="Times New Roman" w:hAnsi="Times New Roman"/>
          <w:sz w:val="24"/>
          <w:szCs w:val="24"/>
          <w:lang w:eastAsia="es-ES"/>
        </w:rPr>
        <w:t xml:space="preserve">. Decir lo contrario sería, dice, </w:t>
      </w:r>
      <w:r w:rsidRPr="00ED0176">
        <w:rPr>
          <w:rFonts w:ascii="Times New Roman" w:eastAsia="Times New Roman" w:hAnsi="Times New Roman"/>
          <w:color w:val="FF0000"/>
          <w:sz w:val="24"/>
          <w:szCs w:val="24"/>
          <w:lang w:eastAsia="es-ES"/>
        </w:rPr>
        <w:t>“admitir que se repetirá”.</w:t>
      </w:r>
    </w:p>
    <w:p w:rsidR="002F07D4" w:rsidRPr="000B69A0" w:rsidRDefault="002F07D4" w:rsidP="002F07D4">
      <w:pPr>
        <w:shd w:val="clear" w:color="auto" w:fill="FFFFFF"/>
        <w:spacing w:after="225" w:line="240" w:lineRule="auto"/>
        <w:jc w:val="both"/>
        <w:rPr>
          <w:rFonts w:ascii="Times New Roman" w:eastAsia="Times New Roman" w:hAnsi="Times New Roman"/>
          <w:color w:val="FF0000"/>
          <w:sz w:val="24"/>
          <w:szCs w:val="24"/>
          <w:u w:val="single"/>
          <w:lang w:eastAsia="es-ES"/>
        </w:rPr>
      </w:pPr>
      <w:r w:rsidRPr="000B69A0">
        <w:rPr>
          <w:rFonts w:ascii="Times New Roman" w:eastAsia="Times New Roman" w:hAnsi="Times New Roman"/>
          <w:color w:val="FF0000"/>
          <w:sz w:val="24"/>
          <w:szCs w:val="24"/>
          <w:u w:val="single"/>
          <w:lang w:eastAsia="es-ES"/>
        </w:rPr>
        <w:t>La comisión atribuye la crisis al apetito desmesurado de los bancos por el riesgo y la ineptitud de las agencias de calificación, a los agujeros en la regulación y la actuación laxa de los supervisores, como la Reserva Federal, y a la falta de iniciativa política para exigir responsabilidades a Wall Street.</w:t>
      </w:r>
    </w:p>
    <w:p w:rsidR="002F07D4" w:rsidRPr="008A6AEF" w:rsidRDefault="002F07D4" w:rsidP="002F07D4">
      <w:pPr>
        <w:shd w:val="clear" w:color="auto" w:fill="FFFFFF"/>
        <w:spacing w:after="225" w:line="240" w:lineRule="auto"/>
        <w:jc w:val="both"/>
        <w:rPr>
          <w:rFonts w:ascii="Times New Roman" w:eastAsia="Times New Roman" w:hAnsi="Times New Roman"/>
          <w:sz w:val="24"/>
          <w:szCs w:val="24"/>
          <w:u w:val="single"/>
          <w:lang w:eastAsia="es-ES"/>
        </w:rPr>
      </w:pPr>
      <w:r w:rsidRPr="000B0674">
        <w:rPr>
          <w:rFonts w:ascii="Times New Roman" w:eastAsia="Times New Roman" w:hAnsi="Times New Roman"/>
          <w:color w:val="FF0000"/>
          <w:sz w:val="24"/>
          <w:szCs w:val="24"/>
          <w:u w:val="single"/>
          <w:lang w:eastAsia="es-ES"/>
        </w:rPr>
        <w:t>“Fue resultado de la acción y de la inacción humana, no de la madre naturaleza o de un modelo informático que se volvió loco</w:t>
      </w:r>
      <w:r w:rsidRPr="00ED0176">
        <w:rPr>
          <w:rFonts w:ascii="Times New Roman" w:eastAsia="Times New Roman" w:hAnsi="Times New Roman"/>
          <w:color w:val="FF0000"/>
          <w:sz w:val="24"/>
          <w:szCs w:val="24"/>
          <w:lang w:eastAsia="es-ES"/>
        </w:rPr>
        <w:t>”</w:t>
      </w:r>
      <w:r w:rsidRPr="00ED0176">
        <w:rPr>
          <w:rFonts w:ascii="Times New Roman" w:eastAsia="Times New Roman" w:hAnsi="Times New Roman"/>
          <w:sz w:val="24"/>
          <w:szCs w:val="24"/>
          <w:lang w:eastAsia="es-ES"/>
        </w:rPr>
        <w:t>, reza el informe</w:t>
      </w:r>
      <w:r>
        <w:rPr>
          <w:rFonts w:ascii="Times New Roman" w:eastAsia="Times New Roman" w:hAnsi="Times New Roman"/>
          <w:sz w:val="24"/>
          <w:szCs w:val="24"/>
          <w:lang w:eastAsia="es-ES"/>
        </w:rPr>
        <w:t>, que se publica el 27/1/11</w:t>
      </w:r>
      <w:r w:rsidRPr="00ED0176">
        <w:rPr>
          <w:rFonts w:ascii="Times New Roman" w:eastAsia="Times New Roman" w:hAnsi="Times New Roman"/>
          <w:sz w:val="24"/>
          <w:szCs w:val="24"/>
          <w:lang w:eastAsia="es-ES"/>
        </w:rPr>
        <w:t xml:space="preserve"> con un mes de retraso por la fricción entre demócratas y republicanos. No solo se ignoraron las alertas, explica el informe, sino que se erró al preguntarse, entender y gestionar el riesgo excesivo que dominó la cultura financiera del momento. </w:t>
      </w:r>
      <w:r w:rsidRPr="008A6AEF">
        <w:rPr>
          <w:rFonts w:ascii="Times New Roman" w:eastAsia="Times New Roman" w:hAnsi="Times New Roman"/>
          <w:sz w:val="24"/>
          <w:szCs w:val="24"/>
          <w:u w:val="single"/>
          <w:lang w:eastAsia="es-ES"/>
        </w:rPr>
        <w:t xml:space="preserve">La palabra </w:t>
      </w:r>
      <w:r w:rsidRPr="008A6AEF">
        <w:rPr>
          <w:rFonts w:ascii="Times New Roman" w:eastAsia="Times New Roman" w:hAnsi="Times New Roman"/>
          <w:color w:val="FF0000"/>
          <w:sz w:val="24"/>
          <w:szCs w:val="24"/>
          <w:u w:val="single"/>
          <w:lang w:eastAsia="es-ES"/>
        </w:rPr>
        <w:t>“avaricia”</w:t>
      </w:r>
      <w:r w:rsidRPr="008A6AEF">
        <w:rPr>
          <w:rFonts w:ascii="Times New Roman" w:eastAsia="Times New Roman" w:hAnsi="Times New Roman"/>
          <w:sz w:val="24"/>
          <w:szCs w:val="24"/>
          <w:u w:val="single"/>
          <w:lang w:eastAsia="es-ES"/>
        </w:rPr>
        <w:t xml:space="preserve"> emerge al referirse a la conducta de entidades como Goldman Sachs, Merrill Lynch, Lehman Brothers o Citigroup, de las que dice que no contaban con el colchón de capital necesario para asumir tal riesgo.Y mete el dedo en la llaga al cuestionar la labor de Alan Greenspan al frente del banco central, por su férrea defensa de la desregulación.</w:t>
      </w:r>
      <w:r w:rsidRPr="00ED0176">
        <w:rPr>
          <w:rFonts w:ascii="Times New Roman" w:eastAsia="Times New Roman" w:hAnsi="Times New Roman"/>
          <w:sz w:val="24"/>
          <w:szCs w:val="24"/>
          <w:lang w:eastAsia="es-ES"/>
        </w:rPr>
        <w:t xml:space="preserve"> Alan Greenspan ya admitió que pecó al confiar en el autocontrol de los bancos. Para el comité, los abusos en el mercado hipotecar</w:t>
      </w:r>
      <w:r>
        <w:rPr>
          <w:rFonts w:ascii="Times New Roman" w:eastAsia="Times New Roman" w:hAnsi="Times New Roman"/>
          <w:sz w:val="24"/>
          <w:szCs w:val="24"/>
          <w:lang w:eastAsia="es-ES"/>
        </w:rPr>
        <w:t>io son ejemplo de un liderazgo “negligente”</w:t>
      </w:r>
      <w:r w:rsidRPr="00ED0176">
        <w:rPr>
          <w:rFonts w:ascii="Times New Roman" w:eastAsia="Times New Roman" w:hAnsi="Times New Roman"/>
          <w:sz w:val="24"/>
          <w:szCs w:val="24"/>
          <w:lang w:eastAsia="es-ES"/>
        </w:rPr>
        <w:t xml:space="preserve"> por su parte. </w:t>
      </w:r>
      <w:r w:rsidRPr="008A6AEF">
        <w:rPr>
          <w:rFonts w:ascii="Times New Roman" w:eastAsia="Times New Roman" w:hAnsi="Times New Roman"/>
          <w:sz w:val="24"/>
          <w:szCs w:val="24"/>
          <w:u w:val="single"/>
          <w:lang w:eastAsia="es-ES"/>
        </w:rPr>
        <w:t>También carga contra su sucesor, Ben Bernanke, al reiterar públicamente que las crisis de las hipotecas basura estaba contenida, aunque le reconoce su respuesta cuando las cosas se pusieron mal.</w:t>
      </w:r>
    </w:p>
    <w:p w:rsidR="002F07D4" w:rsidRPr="008A6AEF" w:rsidRDefault="002F07D4" w:rsidP="002F07D4">
      <w:pPr>
        <w:shd w:val="clear" w:color="auto" w:fill="FFFFFF"/>
        <w:spacing w:after="225" w:line="240" w:lineRule="auto"/>
        <w:jc w:val="both"/>
        <w:rPr>
          <w:rFonts w:ascii="Times New Roman" w:eastAsia="Times New Roman" w:hAnsi="Times New Roman"/>
          <w:sz w:val="24"/>
          <w:szCs w:val="24"/>
          <w:u w:val="single"/>
          <w:lang w:eastAsia="es-ES"/>
        </w:rPr>
      </w:pPr>
      <w:r w:rsidRPr="008A6AEF">
        <w:rPr>
          <w:rFonts w:ascii="Times New Roman" w:eastAsia="Times New Roman" w:hAnsi="Times New Roman"/>
          <w:sz w:val="24"/>
          <w:szCs w:val="24"/>
          <w:u w:val="single"/>
          <w:lang w:eastAsia="es-ES"/>
        </w:rPr>
        <w:t>El comité no es tan agradecido con la primera reacción del equipo del ex presidente George Bush, porque, dice, fue inconsistente y alimentó la incertidumbre en los mercados. Pero la crisis se gestaba de lejos. Y ahí arremete contra la decisión ocho años antes del ex presidente Bill Clinton de dejar al margen de la supervisión instrumentos exóticos, como los derivados. Aunque ese pudo ser el origen, el informe reitera que la responsabilidad es compartida.</w:t>
      </w:r>
    </w:p>
    <w:p w:rsidR="002F07D4" w:rsidRPr="00ED0176" w:rsidRDefault="002F07D4" w:rsidP="002F07D4">
      <w:pPr>
        <w:shd w:val="clear" w:color="auto" w:fill="FFFFFF"/>
        <w:spacing w:after="225"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 xml:space="preserve">Otros párrafos </w:t>
      </w:r>
      <w:r w:rsidRPr="00ED0176">
        <w:rPr>
          <w:rFonts w:ascii="Times New Roman" w:eastAsia="Times New Roman" w:hAnsi="Times New Roman"/>
          <w:sz w:val="24"/>
          <w:szCs w:val="24"/>
          <w:u w:val="single"/>
          <w:lang w:eastAsia="es-ES"/>
        </w:rPr>
        <w:t>del informe (para que no se olvide lo inolvidable)</w:t>
      </w:r>
    </w:p>
    <w:p w:rsidR="002F07D4" w:rsidRPr="003B0E32" w:rsidRDefault="002F07D4" w:rsidP="002F07D4">
      <w:pPr>
        <w:pStyle w:val="NormalWeb"/>
        <w:jc w:val="both"/>
        <w:rPr>
          <w:color w:val="FF0000"/>
          <w:u w:val="single"/>
        </w:rPr>
      </w:pPr>
      <w:r>
        <w:rPr>
          <w:color w:val="FF0000"/>
          <w:u w:val="single"/>
        </w:rPr>
        <w:t>“</w:t>
      </w:r>
      <w:r w:rsidRPr="003B0E32">
        <w:rPr>
          <w:color w:val="FF0000"/>
          <w:u w:val="single"/>
        </w:rPr>
        <w:t xml:space="preserve">Los capitanes de las finanzas y los administradores públicos de nuestro sistema financiero ignoraron las advertencias y fallaron en cuestionar, entender y gestionar los </w:t>
      </w:r>
      <w:r w:rsidRPr="003B0E32">
        <w:rPr>
          <w:color w:val="FF0000"/>
          <w:u w:val="single"/>
        </w:rPr>
        <w:lastRenderedPageBreak/>
        <w:t>cambiantes riesgos dentro de un sistema esencial para el biene</w:t>
      </w:r>
      <w:r>
        <w:rPr>
          <w:color w:val="FF0000"/>
          <w:u w:val="single"/>
        </w:rPr>
        <w:t>star del público estadounidense”..</w:t>
      </w:r>
      <w:r w:rsidRPr="003B0E32">
        <w:rPr>
          <w:color w:val="FF0000"/>
          <w:u w:val="single"/>
        </w:rPr>
        <w:t>.</w:t>
      </w:r>
    </w:p>
    <w:p w:rsidR="002F07D4" w:rsidRDefault="002F07D4" w:rsidP="002F07D4">
      <w:pPr>
        <w:pStyle w:val="NormalWeb"/>
        <w:jc w:val="both"/>
        <w:rPr>
          <w:color w:val="FF0000"/>
          <w:u w:val="single"/>
        </w:rPr>
      </w:pPr>
      <w:r>
        <w:rPr>
          <w:color w:val="FF0000"/>
          <w:u w:val="single"/>
        </w:rPr>
        <w:t>“</w:t>
      </w:r>
      <w:r w:rsidRPr="003B0E32">
        <w:rPr>
          <w:color w:val="FF0000"/>
          <w:u w:val="single"/>
        </w:rPr>
        <w:t xml:space="preserve">La suya fue </w:t>
      </w:r>
      <w:r>
        <w:rPr>
          <w:color w:val="FF0000"/>
          <w:u w:val="single"/>
        </w:rPr>
        <w:t>una gran falla, no un tropiezo”...</w:t>
      </w:r>
    </w:p>
    <w:p w:rsidR="002F07D4" w:rsidRDefault="002F07D4" w:rsidP="002F07D4">
      <w:pPr>
        <w:pStyle w:val="NormalWeb"/>
        <w:jc w:val="both"/>
        <w:rPr>
          <w:color w:val="FF0000"/>
          <w:u w:val="single"/>
        </w:rPr>
      </w:pPr>
      <w:r>
        <w:rPr>
          <w:color w:val="FF0000"/>
          <w:u w:val="single"/>
        </w:rPr>
        <w:t>El informe l</w:t>
      </w:r>
      <w:r w:rsidRPr="00AE1DD4">
        <w:rPr>
          <w:color w:val="FF0000"/>
          <w:u w:val="single"/>
        </w:rPr>
        <w:t>legó a la conclusión de que la crisis fue causada por una serie de factores, incluyendo fallas en la regulación financiera y la gestión empresarial, así como la falta de entendimiento del sistema financiero por parte de los diseñadores de políticas.</w:t>
      </w:r>
    </w:p>
    <w:p w:rsidR="002F07D4" w:rsidRPr="00AE1DD4" w:rsidRDefault="002F07D4" w:rsidP="002F07D4">
      <w:pPr>
        <w:pStyle w:val="NormalWeb"/>
        <w:jc w:val="both"/>
        <w:rPr>
          <w:color w:val="FF0000"/>
          <w:u w:val="single"/>
        </w:rPr>
      </w:pPr>
      <w:r w:rsidRPr="00AE1DD4">
        <w:rPr>
          <w:color w:val="FF0000"/>
          <w:u w:val="single"/>
        </w:rPr>
        <w:t xml:space="preserve">Igualmente se quejó del empaquetamiento de la deuda relacionada con hipotecas en </w:t>
      </w:r>
      <w:r>
        <w:rPr>
          <w:color w:val="FF0000"/>
          <w:u w:val="single"/>
        </w:rPr>
        <w:t>instrumentos de inversión, que “</w:t>
      </w:r>
      <w:r w:rsidRPr="00AE1DD4">
        <w:rPr>
          <w:color w:val="FF0000"/>
          <w:u w:val="single"/>
        </w:rPr>
        <w:t>encendió y pro</w:t>
      </w:r>
      <w:r>
        <w:rPr>
          <w:color w:val="FF0000"/>
          <w:u w:val="single"/>
        </w:rPr>
        <w:t>pagó la llama del contagio”</w:t>
      </w:r>
      <w:r w:rsidRPr="00AE1DD4">
        <w:rPr>
          <w:color w:val="FF0000"/>
          <w:u w:val="single"/>
        </w:rPr>
        <w:t>.</w:t>
      </w:r>
    </w:p>
    <w:p w:rsidR="002F07D4" w:rsidRPr="00AE1DD4" w:rsidRDefault="002F07D4" w:rsidP="002F07D4">
      <w:pPr>
        <w:pStyle w:val="NormalWeb"/>
        <w:jc w:val="both"/>
        <w:rPr>
          <w:color w:val="FF0000"/>
          <w:u w:val="single"/>
        </w:rPr>
      </w:pPr>
      <w:r w:rsidRPr="00AE1DD4">
        <w:rPr>
          <w:color w:val="FF0000"/>
          <w:u w:val="single"/>
        </w:rPr>
        <w:t>Estos instrumentos financieros complejos, que se comercializaron en grandes volú</w:t>
      </w:r>
      <w:r>
        <w:rPr>
          <w:color w:val="FF0000"/>
          <w:u w:val="single"/>
        </w:rPr>
        <w:t>menes por bancos de inversión, “</w:t>
      </w:r>
      <w:r w:rsidRPr="00AE1DD4">
        <w:rPr>
          <w:color w:val="FF0000"/>
          <w:u w:val="single"/>
        </w:rPr>
        <w:t>contribuyeron</w:t>
      </w:r>
      <w:r>
        <w:rPr>
          <w:color w:val="FF0000"/>
          <w:u w:val="single"/>
        </w:rPr>
        <w:t xml:space="preserve"> significativamente a la crisis”</w:t>
      </w:r>
      <w:r w:rsidRPr="00AE1DD4">
        <w:rPr>
          <w:color w:val="FF0000"/>
          <w:u w:val="single"/>
        </w:rPr>
        <w:t>, cuando las hipotecas en las que se basaban cesaron sus pagos.</w:t>
      </w:r>
    </w:p>
    <w:p w:rsidR="002F07D4" w:rsidRPr="00AE1DD4" w:rsidRDefault="002F07D4" w:rsidP="002F07D4">
      <w:pPr>
        <w:pStyle w:val="NormalWeb"/>
        <w:jc w:val="both"/>
        <w:rPr>
          <w:color w:val="FF0000"/>
          <w:u w:val="single"/>
        </w:rPr>
      </w:pPr>
      <w:r w:rsidRPr="00AE1DD4">
        <w:rPr>
          <w:color w:val="FF0000"/>
          <w:u w:val="single"/>
        </w:rPr>
        <w:t>El info</w:t>
      </w:r>
      <w:r>
        <w:rPr>
          <w:color w:val="FF0000"/>
          <w:u w:val="single"/>
        </w:rPr>
        <w:t>rme también destacó las fallas “abismales”</w:t>
      </w:r>
      <w:r w:rsidRPr="00AE1DD4">
        <w:rPr>
          <w:color w:val="FF0000"/>
          <w:u w:val="single"/>
        </w:rPr>
        <w:t xml:space="preserve"> en las agencias de calificación crediticia para reconocer los riesgos involucrados en estos y otros productos.</w:t>
      </w:r>
    </w:p>
    <w:p w:rsidR="002F07D4" w:rsidRPr="00AE1DD4" w:rsidRDefault="002F07D4" w:rsidP="002F07D4">
      <w:pPr>
        <w:pStyle w:val="NormalWeb"/>
        <w:jc w:val="both"/>
        <w:rPr>
          <w:color w:val="FF0000"/>
          <w:u w:val="single"/>
        </w:rPr>
      </w:pPr>
      <w:r w:rsidRPr="00AE1DD4">
        <w:rPr>
          <w:color w:val="FF0000"/>
          <w:u w:val="single"/>
        </w:rPr>
        <w:t xml:space="preserve">Del mismo modo, </w:t>
      </w:r>
      <w:r>
        <w:rPr>
          <w:color w:val="FF0000"/>
          <w:u w:val="single"/>
        </w:rPr>
        <w:t>advirtió de violaciones éticas “a todos los niveles”</w:t>
      </w:r>
      <w:r w:rsidRPr="00AE1DD4">
        <w:rPr>
          <w:color w:val="FF0000"/>
          <w:u w:val="single"/>
        </w:rPr>
        <w:t>.</w:t>
      </w:r>
    </w:p>
    <w:p w:rsidR="002F07D4" w:rsidRPr="00AE1DD4" w:rsidRDefault="002F07D4" w:rsidP="002F07D4">
      <w:pPr>
        <w:pStyle w:val="NormalWeb"/>
        <w:jc w:val="both"/>
        <w:rPr>
          <w:color w:val="FF0000"/>
          <w:u w:val="single"/>
        </w:rPr>
      </w:pPr>
      <w:r w:rsidRPr="00AE1DD4">
        <w:rPr>
          <w:color w:val="FF0000"/>
          <w:u w:val="single"/>
        </w:rPr>
        <w:t>Establecer culpas era esencial en la prevención de futuras crisis, según el informe.</w:t>
      </w:r>
    </w:p>
    <w:p w:rsidR="002F07D4" w:rsidRPr="00AE1DD4" w:rsidRDefault="002F07D4" w:rsidP="002F07D4">
      <w:pPr>
        <w:pStyle w:val="NormalWeb"/>
        <w:jc w:val="both"/>
        <w:rPr>
          <w:color w:val="FF0000"/>
          <w:u w:val="single"/>
        </w:rPr>
      </w:pPr>
      <w:r>
        <w:rPr>
          <w:color w:val="FF0000"/>
          <w:u w:val="single"/>
        </w:rPr>
        <w:t>“</w:t>
      </w:r>
      <w:r w:rsidRPr="00AE1DD4">
        <w:rPr>
          <w:color w:val="FF0000"/>
          <w:u w:val="single"/>
        </w:rPr>
        <w:t>A pesar de la opinión de muchos en Wall Street y en Washington de que la crisis no podía haber sido prevista o evitad</w:t>
      </w:r>
      <w:r>
        <w:rPr>
          <w:color w:val="FF0000"/>
          <w:u w:val="single"/>
        </w:rPr>
        <w:t>a, había señales de advertencia”</w:t>
      </w:r>
      <w:r w:rsidRPr="00AE1DD4">
        <w:rPr>
          <w:color w:val="FF0000"/>
          <w:u w:val="single"/>
        </w:rPr>
        <w:t>, dijo Phil Angelides, presidente de la comisión.</w:t>
      </w:r>
    </w:p>
    <w:p w:rsidR="002F07D4" w:rsidRPr="00AE1DD4" w:rsidRDefault="002F07D4" w:rsidP="002F07D4">
      <w:pPr>
        <w:pStyle w:val="NormalWeb"/>
        <w:jc w:val="both"/>
        <w:rPr>
          <w:color w:val="FF0000"/>
          <w:u w:val="single"/>
        </w:rPr>
      </w:pPr>
      <w:r>
        <w:rPr>
          <w:color w:val="FF0000"/>
          <w:u w:val="single"/>
        </w:rPr>
        <w:t>“</w:t>
      </w:r>
      <w:r w:rsidRPr="00AE1DD4">
        <w:rPr>
          <w:color w:val="FF0000"/>
          <w:u w:val="single"/>
        </w:rPr>
        <w:t>La mayor tragedia sería aceptar que nadie vio que esto se avecinaba y por consiguie</w:t>
      </w:r>
      <w:r>
        <w:rPr>
          <w:color w:val="FF0000"/>
          <w:u w:val="single"/>
        </w:rPr>
        <w:t>nte, que no se podía hacer nada”</w:t>
      </w:r>
      <w:r w:rsidRPr="00AE1DD4">
        <w:rPr>
          <w:color w:val="FF0000"/>
          <w:u w:val="single"/>
        </w:rPr>
        <w:t>, señaló el panel en las conclusiones del informe de 576 páginas.</w:t>
      </w:r>
    </w:p>
    <w:p w:rsidR="002F07D4" w:rsidRDefault="002F07D4" w:rsidP="002F07D4">
      <w:pPr>
        <w:pStyle w:val="NormalWeb"/>
        <w:jc w:val="both"/>
        <w:rPr>
          <w:color w:val="FF0000"/>
          <w:u w:val="single"/>
        </w:rPr>
      </w:pPr>
      <w:r>
        <w:rPr>
          <w:color w:val="FF0000"/>
          <w:u w:val="single"/>
        </w:rPr>
        <w:t>“</w:t>
      </w:r>
      <w:r w:rsidRPr="00AE1DD4">
        <w:rPr>
          <w:color w:val="FF0000"/>
          <w:u w:val="single"/>
        </w:rPr>
        <w:t>Si aceptamo</w:t>
      </w:r>
      <w:r>
        <w:rPr>
          <w:color w:val="FF0000"/>
          <w:u w:val="single"/>
        </w:rPr>
        <w:t>s esta idea, volverá a suceder”.</w:t>
      </w:r>
    </w:p>
    <w:p w:rsidR="002F07D4" w:rsidRPr="00D83529" w:rsidRDefault="002F07D4" w:rsidP="002F07D4">
      <w:pPr>
        <w:pStyle w:val="NormalWeb"/>
        <w:jc w:val="both"/>
        <w:rPr>
          <w:b/>
        </w:rPr>
      </w:pPr>
      <w:r w:rsidRPr="00D83529">
        <w:rPr>
          <w:b/>
        </w:rPr>
        <w:t>El Congreso de EEUU “tampoco” se muestra conforme con el “rescate” (TARP)</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6D046D">
        <w:rPr>
          <w:rFonts w:ascii="Times New Roman" w:eastAsia="Times New Roman" w:hAnsi="Times New Roman"/>
          <w:i/>
          <w:sz w:val="24"/>
          <w:szCs w:val="24"/>
          <w:lang w:eastAsia="es-ES"/>
        </w:rPr>
        <w:t xml:space="preserve">El programa TARP (Troubled Asset Relief Program, también conocido como Plan Paulson, por el ex secretario del Tesoro Henry Paulson) para aliviar la crisis financiera </w:t>
      </w:r>
      <w:r>
        <w:rPr>
          <w:rFonts w:ascii="Times New Roman" w:eastAsia="Times New Roman" w:hAnsi="Times New Roman"/>
          <w:i/>
          <w:sz w:val="24"/>
          <w:szCs w:val="24"/>
          <w:lang w:eastAsia="es-ES"/>
        </w:rPr>
        <w:t>norteamericana ha tenido éxito “en parte”</w:t>
      </w:r>
      <w:r w:rsidRPr="006D046D">
        <w:rPr>
          <w:rFonts w:ascii="Times New Roman" w:eastAsia="Times New Roman" w:hAnsi="Times New Roman"/>
          <w:i/>
          <w:sz w:val="24"/>
          <w:szCs w:val="24"/>
          <w:lang w:eastAsia="es-ES"/>
        </w:rPr>
        <w:t>, según el trigésimo y definitivo informe oficial publicado el miércoles por el Panel del Congreso para la superv</w:t>
      </w:r>
      <w:r>
        <w:rPr>
          <w:rFonts w:ascii="Times New Roman" w:eastAsia="Times New Roman" w:hAnsi="Times New Roman"/>
          <w:i/>
          <w:sz w:val="24"/>
          <w:szCs w:val="24"/>
          <w:lang w:eastAsia="es-ES"/>
        </w:rPr>
        <w:t>isión del propio programa para “activos problemáticos”</w:t>
      </w:r>
      <w:r w:rsidRPr="006D046D">
        <w:rPr>
          <w:rFonts w:ascii="Times New Roman" w:eastAsia="Times New Roman" w:hAnsi="Times New Roman"/>
          <w:i/>
          <w:sz w:val="24"/>
          <w:szCs w:val="24"/>
          <w:lang w:eastAsia="es-ES"/>
        </w:rPr>
        <w:t xml:space="preserve">. Sin embargo, </w:t>
      </w:r>
      <w:r>
        <w:rPr>
          <w:rFonts w:ascii="Times New Roman" w:eastAsia="Times New Roman" w:hAnsi="Times New Roman"/>
          <w:i/>
          <w:sz w:val="24"/>
          <w:szCs w:val="24"/>
          <w:lang w:eastAsia="es-ES"/>
        </w:rPr>
        <w:t>la lista de “peros”</w:t>
      </w:r>
      <w:r w:rsidRPr="006D046D">
        <w:rPr>
          <w:rFonts w:ascii="Times New Roman" w:eastAsia="Times New Roman" w:hAnsi="Times New Roman"/>
          <w:i/>
          <w:sz w:val="24"/>
          <w:szCs w:val="24"/>
          <w:lang w:eastAsia="es-ES"/>
        </w:rPr>
        <w:t xml:space="preserve"> con los que el informe matiza ese éxito es larga y de mucha enjundia. Y lo que no menciona es todavía más ilustrativo y menos favorable</w:t>
      </w:r>
      <w:r>
        <w:rPr>
          <w:rFonts w:ascii="Times New Roman" w:eastAsia="Times New Roman" w:hAnsi="Times New Roman"/>
          <w:i/>
          <w:sz w:val="24"/>
          <w:szCs w:val="24"/>
          <w:lang w:eastAsia="es-ES"/>
        </w:rPr>
        <w:t>”..</w:t>
      </w:r>
      <w:r w:rsidRPr="006D046D">
        <w:rPr>
          <w:rFonts w:ascii="Times New Roman" w:eastAsia="Times New Roman" w:hAnsi="Times New Roman"/>
          <w:i/>
          <w:sz w:val="24"/>
          <w:szCs w:val="24"/>
          <w:lang w:eastAsia="es-ES"/>
        </w:rPr>
        <w:t>.</w:t>
      </w:r>
      <w:r w:rsidRPr="002114F6">
        <w:rPr>
          <w:rFonts w:ascii="Times New Roman" w:eastAsia="Times New Roman" w:hAnsi="Times New Roman"/>
          <w:sz w:val="24"/>
          <w:szCs w:val="24"/>
          <w:u w:val="single"/>
          <w:lang w:eastAsia="es-ES"/>
        </w:rPr>
        <w:t>El Congreso de EEUU admite que el rescate bancario fue un fracaso</w:t>
      </w:r>
      <w:r>
        <w:rPr>
          <w:rFonts w:ascii="Times New Roman" w:eastAsia="Times New Roman" w:hAnsi="Times New Roman"/>
          <w:sz w:val="24"/>
          <w:szCs w:val="24"/>
          <w:lang w:eastAsia="es-ES"/>
        </w:rPr>
        <w:t xml:space="preserve"> (Libertad Digital - </w:t>
      </w:r>
      <w:r w:rsidRPr="002114F6">
        <w:rPr>
          <w:rFonts w:ascii="Times New Roman" w:eastAsia="Times New Roman" w:hAnsi="Times New Roman"/>
          <w:b/>
          <w:sz w:val="24"/>
          <w:szCs w:val="24"/>
          <w:lang w:eastAsia="es-ES"/>
        </w:rPr>
        <w:t>19/3/11</w:t>
      </w:r>
      <w:r>
        <w:rPr>
          <w:rFonts w:ascii="Times New Roman" w:eastAsia="Times New Roman" w:hAnsi="Times New Roman"/>
          <w:sz w:val="24"/>
          <w:szCs w:val="24"/>
          <w:lang w:eastAsia="es-ES"/>
        </w:rPr>
        <w:t>)</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114F6">
        <w:rPr>
          <w:rFonts w:ascii="Times New Roman" w:eastAsia="Times New Roman" w:hAnsi="Times New Roman"/>
          <w:sz w:val="24"/>
          <w:szCs w:val="24"/>
          <w:lang w:eastAsia="es-ES"/>
        </w:rPr>
        <w:t>El programa fue creado el 3 de octubre de 2008 para cerrarse, según lo previsto, el 3 de octubre de 201</w:t>
      </w:r>
      <w:r>
        <w:rPr>
          <w:rFonts w:ascii="Times New Roman" w:eastAsia="Times New Roman" w:hAnsi="Times New Roman"/>
          <w:sz w:val="24"/>
          <w:szCs w:val="24"/>
          <w:lang w:eastAsia="es-ES"/>
        </w:rPr>
        <w:t xml:space="preserve">0. </w:t>
      </w:r>
    </w:p>
    <w:p w:rsidR="005F0DC2" w:rsidRDefault="005F0DC2" w:rsidP="002F07D4">
      <w:pPr>
        <w:spacing w:before="100" w:beforeAutospacing="1" w:after="100" w:afterAutospacing="1" w:line="240" w:lineRule="auto"/>
        <w:jc w:val="both"/>
        <w:rPr>
          <w:rFonts w:ascii="Times New Roman" w:eastAsia="Times New Roman" w:hAnsi="Times New Roman"/>
          <w:sz w:val="24"/>
          <w:szCs w:val="24"/>
          <w:lang w:eastAsia="es-ES"/>
        </w:rPr>
      </w:pPr>
    </w:p>
    <w:p w:rsidR="005F0DC2" w:rsidRDefault="005F0DC2" w:rsidP="002F07D4">
      <w:pPr>
        <w:spacing w:before="100" w:beforeAutospacing="1" w:after="100" w:afterAutospacing="1" w:line="240" w:lineRule="auto"/>
        <w:jc w:val="both"/>
        <w:rPr>
          <w:rFonts w:ascii="Times New Roman" w:eastAsia="Times New Roman" w:hAnsi="Times New Roman"/>
          <w:sz w:val="24"/>
          <w:szCs w:val="24"/>
          <w:lang w:eastAsia="es-ES"/>
        </w:rPr>
      </w:pPr>
    </w:p>
    <w:p w:rsidR="002F07D4" w:rsidRPr="002114F6"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114F6">
        <w:rPr>
          <w:rFonts w:ascii="Times New Roman" w:eastAsia="Times New Roman" w:hAnsi="Times New Roman"/>
          <w:sz w:val="24"/>
          <w:szCs w:val="24"/>
          <w:lang w:eastAsia="es-ES"/>
        </w:rPr>
        <w:lastRenderedPageBreak/>
        <w:t>Costes y beneficios del programa</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 mediados de marzo de 2011</w:t>
      </w:r>
      <w:r w:rsidRPr="006D046D">
        <w:rPr>
          <w:rFonts w:ascii="Times New Roman" w:eastAsia="Times New Roman" w:hAnsi="Times New Roman"/>
          <w:sz w:val="24"/>
          <w:szCs w:val="24"/>
          <w:lang w:eastAsia="es-ES"/>
        </w:rPr>
        <w:t>, el TARP ha recuperado 243.000 millones de dólares de los 245.000 millones que había distribuido entre los bancos. Cuando este proceso haya concluido definitivamente -calcula el Tesoro- los contribuyentes americanos habrán recibido unos beneficios de 20.000 millones de dólares a medida que los bancos devuelvan con intereses las ayudas prestadas por el TARP. Estos intereses se fijaron al 5% para los cinco primeros años y al 9% para los siguientes.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Algunos bancos han reconocido que planean devolver lo pendiente con cargo a los nuevos programas de ayuda que el Gobierno de EEUU ya ha anunciado una vez concluido el TARP. Pero no todo lo distribuido va a devolverse y, por ello, el TARP, en su conjunto, se saldará con pérdidas para los contribuyentes.</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noProof/>
          <w:lang w:val="en-GB" w:eastAsia="en-GB"/>
        </w:rPr>
        <w:drawing>
          <wp:inline distT="0" distB="0" distL="0" distR="0">
            <wp:extent cx="5334000" cy="3136900"/>
            <wp:effectExtent l="0" t="0" r="0" b="6350"/>
            <wp:docPr id="355" name="Imagen 355" descr="tarp001">
              <a:hlinkClick xmlns:a="http://schemas.openxmlformats.org/drawingml/2006/main" r:id="rId2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arp001"/>
                    <pic:cNvPicPr>
                      <a:picLocks noChangeAspect="1" noChangeArrowheads="1"/>
                    </pic:cNvPicPr>
                  </pic:nvPicPr>
                  <pic:blipFill>
                    <a:blip r:embed="rId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3136900"/>
                    </a:xfrm>
                    <a:prstGeom prst="rect">
                      <a:avLst/>
                    </a:prstGeom>
                    <a:noFill/>
                    <a:ln>
                      <a:noFill/>
                    </a:ln>
                  </pic:spPr>
                </pic:pic>
              </a:graphicData>
            </a:graphic>
          </wp:inline>
        </w:drawing>
      </w:r>
    </w:p>
    <w:p w:rsidR="002F07D4" w:rsidRPr="006D046D"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046D">
        <w:rPr>
          <w:rFonts w:ascii="Times New Roman" w:eastAsia="Times New Roman" w:hAnsi="Times New Roman"/>
          <w:sz w:val="24"/>
          <w:szCs w:val="24"/>
          <w:lang w:eastAsia="es-ES"/>
        </w:rPr>
        <w:t>El Panel reconoce que, según los cálculos de la Oficina Presupuestaria del Congreso, el coste final del programa TARP será de 25.000 millones de dólares, una cifra enorme pero muy inferior a los 356.000 millones estimados inicialmente por la propia Oficina</w:t>
      </w:r>
      <w:r>
        <w:rPr>
          <w:rFonts w:ascii="Times New Roman" w:eastAsia="Times New Roman" w:hAnsi="Times New Roman"/>
          <w:sz w:val="24"/>
          <w:szCs w:val="24"/>
          <w:lang w:eastAsia="es-ES"/>
        </w:rPr>
        <w:t xml:space="preserve">. Sin embargo, según el Panel, </w:t>
      </w:r>
      <w:r w:rsidRPr="006D046D">
        <w:rPr>
          <w:rFonts w:ascii="Times New Roman" w:eastAsia="Times New Roman" w:hAnsi="Times New Roman"/>
          <w:color w:val="FF0000"/>
          <w:sz w:val="24"/>
          <w:szCs w:val="24"/>
          <w:u w:val="single"/>
          <w:lang w:eastAsia="es-ES"/>
        </w:rPr>
        <w:t>“a pesar de que esta estimación de coste tan reducida sea esperanzadora, no necesariamente valida la administración que el Tesoro ha realizado del TARP”.</w:t>
      </w:r>
    </w:p>
    <w:p w:rsidR="002F07D4"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046D">
        <w:rPr>
          <w:rFonts w:ascii="Times New Roman" w:eastAsia="Times New Roman" w:hAnsi="Times New Roman"/>
          <w:sz w:val="24"/>
          <w:szCs w:val="24"/>
          <w:lang w:eastAsia="es-ES"/>
        </w:rPr>
        <w:t>Eso se debe, en gran medida, a que los programas para la prevención de ejecuciones inmobiliarias podrían haber costado unos 50.000 millones de dólares a cargo del TARP, pero no han llegado a implementarse. Por</w:t>
      </w:r>
      <w:r>
        <w:rPr>
          <w:rFonts w:ascii="Times New Roman" w:eastAsia="Times New Roman" w:hAnsi="Times New Roman"/>
          <w:sz w:val="24"/>
          <w:szCs w:val="24"/>
          <w:lang w:eastAsia="es-ES"/>
        </w:rPr>
        <w:t xml:space="preserve"> ello, el informe concluye que </w:t>
      </w:r>
      <w:r w:rsidRPr="006D046D">
        <w:rPr>
          <w:rFonts w:ascii="Times New Roman" w:eastAsia="Times New Roman" w:hAnsi="Times New Roman"/>
          <w:color w:val="FF0000"/>
          <w:sz w:val="24"/>
          <w:szCs w:val="24"/>
          <w:u w:val="single"/>
          <w:lang w:eastAsia="es-ES"/>
        </w:rPr>
        <w:t>“el TARP costará menos de lo esperado porque conseguirá mucho menos de lo imaginado por los propietarios de viviendas americanos”.</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Riesgo moral</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 xml:space="preserve">Pero es en las consecuencias de difícil cuantificación donde el Panel advierte, no ya de las carencias del TARP, sino de los daños que ha causado. Así, en el punto álgido de la </w:t>
      </w:r>
      <w:r w:rsidRPr="006D046D">
        <w:rPr>
          <w:rFonts w:ascii="Times New Roman" w:eastAsia="Times New Roman" w:hAnsi="Times New Roman"/>
          <w:sz w:val="24"/>
          <w:szCs w:val="24"/>
          <w:lang w:eastAsia="es-ES"/>
        </w:rPr>
        <w:lastRenderedPageBreak/>
        <w:t>crisis bancaria, 18 grandes instituciones financieras recibieron 208.600 millones de dólares prácticamente de la noche a la mañana sin tener que demostrar su capacidad para devolver esos importes ni cumplir muchos requisitos. Mientras tanto, otras instituciones financieras menores no recibieron esas ayudas.</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El informe detalla hasta tres implicaciones:</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1. La primera consecuencia fue que las empresas de rating, lógicamente, tuvieron en cuenta este trato desigual al valorar a unos y a otros y, en consecuencia, a las pequeñas instituciones les sale ahora todavía más caro recurrir al crédito.</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Esta distorsión en el mercado, como reconoce el propio Panel, es de muy difícil cuantificación, pero nada deseable para el buen funcionamiento del mercado. Como señalan los críticos, contribuye a que haya menos competencia, más concentración en el sector y, en definitiva, unos precios más elevados para el consumidor. Y, ciertamente, tampoco contribuye a la buena imagen del TARP.</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 xml:space="preserve">2. La segunda consecuencia consiste en la creación de riesgo moral por parte del TARP: </w:t>
      </w:r>
      <w:r>
        <w:rPr>
          <w:rFonts w:ascii="Times New Roman" w:eastAsia="Times New Roman" w:hAnsi="Times New Roman"/>
          <w:color w:val="FF0000"/>
          <w:sz w:val="24"/>
          <w:szCs w:val="24"/>
          <w:u w:val="single"/>
          <w:lang w:eastAsia="es-ES"/>
        </w:rPr>
        <w:t>“</w:t>
      </w:r>
      <w:r w:rsidRPr="006D046D">
        <w:rPr>
          <w:rFonts w:ascii="Times New Roman" w:eastAsia="Times New Roman" w:hAnsi="Times New Roman"/>
          <w:color w:val="FF0000"/>
          <w:sz w:val="24"/>
          <w:szCs w:val="24"/>
          <w:u w:val="single"/>
          <w:lang w:eastAsia="es-ES"/>
        </w:rPr>
        <w:t>Al proteger a los bancos muy grandes de la insolvencia y el colapso (...) ahora pueden decidir racionalmente tomar riesgos inflados porque esperan que, si su apuesta falla, los contribuyentes cargarán con la pérdida. Irónicamente -concluye el panel- estos riesgos inflados pueden crear un riesgo sistémico todavía mayor e incrementar la probabilidad de futuras crisis y rescates financieros”.</w:t>
      </w:r>
      <w:r w:rsidRPr="006D046D">
        <w:rPr>
          <w:rFonts w:ascii="Times New Roman" w:eastAsia="Times New Roman" w:hAnsi="Times New Roman"/>
          <w:sz w:val="24"/>
          <w:szCs w:val="24"/>
          <w:lang w:eastAsia="es-ES"/>
        </w:rPr>
        <w:t xml:space="preserve"> Es decir, una de las consecuencias más destacables del TARP ha sido, precisamente, agravar el riesgo financiero que pretendía aliviar. </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3. La tercera consecuencia tiene que ver con los rescates a empresas no financieras, en concreto las automovilísticas. Estas ayudas han extendido el riesgo moral más allá del sector financiero. O sea, no sólo no alivia adecuadamente el riesgo en el sector financiero sino que lo propaga artificialmente al sector industrial estadounidense.</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El estigma del TARP</w:t>
      </w:r>
    </w:p>
    <w:p w:rsidR="002F07D4" w:rsidRPr="00817177"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046D">
        <w:rPr>
          <w:rFonts w:ascii="Times New Roman" w:eastAsia="Times New Roman" w:hAnsi="Times New Roman"/>
          <w:sz w:val="24"/>
          <w:szCs w:val="24"/>
          <w:lang w:eastAsia="es-ES"/>
        </w:rPr>
        <w:t>Todo ello lleva al Panel a considerar que el TARP, a los ojos del público americ</w:t>
      </w:r>
      <w:r>
        <w:rPr>
          <w:rFonts w:ascii="Times New Roman" w:eastAsia="Times New Roman" w:hAnsi="Times New Roman"/>
          <w:sz w:val="24"/>
          <w:szCs w:val="24"/>
          <w:lang w:eastAsia="es-ES"/>
        </w:rPr>
        <w:t xml:space="preserve">ano, ha quedado estigmatizado: </w:t>
      </w:r>
      <w:r w:rsidRPr="00817177">
        <w:rPr>
          <w:rFonts w:ascii="Times New Roman" w:eastAsia="Times New Roman" w:hAnsi="Times New Roman"/>
          <w:color w:val="FF0000"/>
          <w:sz w:val="24"/>
          <w:szCs w:val="24"/>
          <w:u w:val="single"/>
          <w:lang w:eastAsia="es-ES"/>
        </w:rPr>
        <w:t>“La percepción general es que el TARP ha restablecido la estabilidad al sector financiero mediante las rescates a los bancos de Wall Street y a los fabricantes nacionales de automóviles, mientras hacía poco por los 13,9 millones de trabajadores en paro, los 2,4 millones de propietarios de viviendas que están en riesgo inminente de ejecución hipotecaria o las innumerables familias que, de algún modo, se esfuerzan por llegar a final de mes”.</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 xml:space="preserve">El propio presidente del Panel, </w:t>
      </w:r>
      <w:r>
        <w:rPr>
          <w:rFonts w:ascii="Times New Roman" w:eastAsia="Times New Roman" w:hAnsi="Times New Roman"/>
          <w:sz w:val="24"/>
          <w:szCs w:val="24"/>
          <w:lang w:eastAsia="es-ES"/>
        </w:rPr>
        <w:t xml:space="preserve">Ted Kaufman, ha reconocido que </w:t>
      </w:r>
      <w:r w:rsidRPr="00817177">
        <w:rPr>
          <w:rFonts w:ascii="Times New Roman" w:eastAsia="Times New Roman" w:hAnsi="Times New Roman"/>
          <w:color w:val="FF0000"/>
          <w:sz w:val="24"/>
          <w:szCs w:val="24"/>
          <w:u w:val="single"/>
          <w:lang w:eastAsia="es-ES"/>
        </w:rPr>
        <w:t>“claramente aquí debería</w:t>
      </w:r>
      <w:r w:rsidR="008A6AEF">
        <w:rPr>
          <w:rFonts w:ascii="Times New Roman" w:eastAsia="Times New Roman" w:hAnsi="Times New Roman"/>
          <w:color w:val="FF0000"/>
          <w:sz w:val="24"/>
          <w:szCs w:val="24"/>
          <w:u w:val="single"/>
          <w:lang w:eastAsia="es-ES"/>
        </w:rPr>
        <w:t xml:space="preserve"> haber habido mucho más para </w:t>
      </w:r>
      <w:r w:rsidRPr="00817177">
        <w:rPr>
          <w:rFonts w:ascii="Times New Roman" w:eastAsia="Times New Roman" w:hAnsi="Times New Roman"/>
          <w:color w:val="FF0000"/>
          <w:sz w:val="24"/>
          <w:szCs w:val="24"/>
          <w:u w:val="single"/>
          <w:lang w:eastAsia="es-ES"/>
        </w:rPr>
        <w:t>Main Street”</w:t>
      </w:r>
      <w:r w:rsidRPr="006D046D">
        <w:rPr>
          <w:rFonts w:ascii="Times New Roman" w:eastAsia="Times New Roman" w:hAnsi="Times New Roman"/>
          <w:sz w:val="24"/>
          <w:szCs w:val="24"/>
          <w:lang w:eastAsia="es-ES"/>
        </w:rPr>
        <w:t>, expresión que se traduciría como Calle Mayor, con la que comúnmente se suele referir a la economía real y al ciudadano medio en contraposición a las grandes instituciones financieras de Wall Street.</w:t>
      </w:r>
    </w:p>
    <w:p w:rsidR="002F07D4" w:rsidRPr="006D046D" w:rsidRDefault="002F07D4" w:rsidP="002F07D4">
      <w:pPr>
        <w:pStyle w:val="NormalWeb"/>
        <w:jc w:val="both"/>
      </w:pPr>
      <w:r>
        <w:rPr>
          <w:noProof/>
          <w:lang w:val="en-GB" w:eastAsia="en-GB"/>
        </w:rPr>
        <w:lastRenderedPageBreak/>
        <w:drawing>
          <wp:inline distT="0" distB="0" distL="0" distR="0">
            <wp:extent cx="5334000" cy="2654300"/>
            <wp:effectExtent l="0" t="0" r="0" b="0"/>
            <wp:docPr id="356" name="Imagen 356" descr="tarp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tarp002"/>
                    <pic:cNvPicPr>
                      <a:picLocks noChangeAspect="1" noChangeArrowheads="1"/>
                    </pic:cNvPicPr>
                  </pic:nvPicPr>
                  <pic:blipFill>
                    <a:blip r:embed="rId2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2654300"/>
                    </a:xfrm>
                    <a:prstGeom prst="rect">
                      <a:avLst/>
                    </a:prstGeom>
                    <a:noFill/>
                    <a:ln>
                      <a:noFill/>
                    </a:ln>
                  </pic:spPr>
                </pic:pic>
              </a:graphicData>
            </a:graphic>
          </wp:inline>
        </w:drawing>
      </w:r>
    </w:p>
    <w:p w:rsidR="002F07D4" w:rsidRPr="00817177"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046D">
        <w:rPr>
          <w:rFonts w:ascii="Times New Roman" w:eastAsia="Times New Roman" w:hAnsi="Times New Roman"/>
          <w:sz w:val="24"/>
          <w:szCs w:val="24"/>
          <w:lang w:eastAsia="es-ES"/>
        </w:rPr>
        <w:t>Otro de los puntos oscuros del TARP es la falta de transparencia, según ha denunciado el Panel desde su primer informe. No es que el Tesoro se haya negado a facilitar información sobre lo que hacía, sino que en muchos casos no ha recopilado ninguna información relevante. Es el caso de las ayudas millonarias concedidas con tanta generosidad a las grandes instituciones financieras; el Tesoro jamás se preocupó por enterarse de a qué se desti</w:t>
      </w:r>
      <w:r>
        <w:rPr>
          <w:rFonts w:ascii="Times New Roman" w:eastAsia="Times New Roman" w:hAnsi="Times New Roman"/>
          <w:sz w:val="24"/>
          <w:szCs w:val="24"/>
          <w:lang w:eastAsia="es-ES"/>
        </w:rPr>
        <w:t xml:space="preserve">naba ese dinero. Por lo tanto, </w:t>
      </w:r>
      <w:r w:rsidRPr="00817177">
        <w:rPr>
          <w:rFonts w:ascii="Times New Roman" w:eastAsia="Times New Roman" w:hAnsi="Times New Roman"/>
          <w:color w:val="FF0000"/>
          <w:sz w:val="24"/>
          <w:szCs w:val="24"/>
          <w:u w:val="single"/>
          <w:lang w:eastAsia="es-ES"/>
        </w:rPr>
        <w:t>“el público jamás sabrá qué propósito se le dio a su dinero”</w:t>
      </w:r>
      <w:r w:rsidRPr="00817177">
        <w:rPr>
          <w:rFonts w:ascii="Times New Roman" w:eastAsia="Times New Roman" w:hAnsi="Times New Roman"/>
          <w:color w:val="FF0000"/>
          <w:sz w:val="24"/>
          <w:szCs w:val="24"/>
          <w:lang w:eastAsia="es-ES"/>
        </w:rPr>
        <w:t>.</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Finalmente, el informe llama la atención sobre otro aspecto de la falta de transparencia: la incapacidad del Tesoro a la hora de articular objetivos claros para muchos de los programas TARP o modificarlos a medida que evolucionaban.</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Así, a principios de 2009 el presidente anunció que el Programa Modificado de Hogares Asequibles (HAMP) evitaría unos tres o cuatro millones de ejecuciones hipotecarias. Pero en estos momentos el programa tiene su objetivo máximo fijado en 800.000 y el Tesoro jam</w:t>
      </w:r>
      <w:r>
        <w:rPr>
          <w:rFonts w:ascii="Times New Roman" w:eastAsia="Times New Roman" w:hAnsi="Times New Roman"/>
          <w:sz w:val="24"/>
          <w:szCs w:val="24"/>
          <w:lang w:eastAsia="es-ES"/>
        </w:rPr>
        <w:t xml:space="preserve">ás ha modificado ese objetivo. </w:t>
      </w:r>
      <w:r w:rsidRPr="00817177">
        <w:rPr>
          <w:rFonts w:ascii="Times New Roman" w:eastAsia="Times New Roman" w:hAnsi="Times New Roman"/>
          <w:color w:val="FF0000"/>
          <w:sz w:val="24"/>
          <w:szCs w:val="24"/>
          <w:u w:val="single"/>
          <w:lang w:eastAsia="es-ES"/>
        </w:rPr>
        <w:t>“En ausencia de objetivos significativos -dice el informe- el público no tiene manera de responsabilizar al Tesoro y el Tesoro no tiene ningún objetivo claro al que dirigirse en sus propias deliberaciones”</w:t>
      </w:r>
      <w:r w:rsidRPr="006D046D">
        <w:rPr>
          <w:rFonts w:ascii="Times New Roman" w:eastAsia="Times New Roman" w:hAnsi="Times New Roman"/>
          <w:sz w:val="24"/>
          <w:szCs w:val="24"/>
          <w:lang w:eastAsia="es-ES"/>
        </w:rPr>
        <w:t xml:space="preserve">.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El Partido Republicano, por su parte, ya tiene el ojo puesto en estos fallidos programas contra las ejecuciones para cerrarlos, pero la Casa Blanca replica con amenaza de veto presidencial.</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Además del TARP...</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A pesar de todo esto, cabe tener en cuenta que el TARP no ha representado el grueso de las ayudas públicas concedidas al sector financiero norteamericano. Recuérdese que la burbuja inmobiliaria en Estados Unidos la gestaron, aparte de la Reserva Federal (FED), las dos grandes entidades patrocinadas por el Gobierno, las grandes agencias hipotecarias Fannie Mae y Freddie Mac.</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Y la cuestión es que la Reserva Federal ha comprado nada menos que 1</w:t>
      </w:r>
      <w:r>
        <w:rPr>
          <w:rFonts w:ascii="Times New Roman" w:eastAsia="Times New Roman" w:hAnsi="Times New Roman"/>
          <w:sz w:val="24"/>
          <w:szCs w:val="24"/>
          <w:lang w:eastAsia="es-ES"/>
        </w:rPr>
        <w:t>,1 billones de dólares de esos “activos problemáticos”</w:t>
      </w:r>
      <w:r w:rsidRPr="006D046D">
        <w:rPr>
          <w:rFonts w:ascii="Times New Roman" w:eastAsia="Times New Roman" w:hAnsi="Times New Roman"/>
          <w:sz w:val="24"/>
          <w:szCs w:val="24"/>
          <w:lang w:eastAsia="es-ES"/>
        </w:rPr>
        <w:t xml:space="preserve"> de Fannie Y Freddie, al margen de los </w:t>
      </w:r>
      <w:r w:rsidRPr="006D046D">
        <w:rPr>
          <w:rFonts w:ascii="Times New Roman" w:eastAsia="Times New Roman" w:hAnsi="Times New Roman"/>
          <w:sz w:val="24"/>
          <w:szCs w:val="24"/>
          <w:lang w:eastAsia="es-ES"/>
        </w:rPr>
        <w:lastRenderedPageBreak/>
        <w:t>programas TARP, cuyo coste neto para el contribuyente -recordemos- no asciende a más de 25.000 millones, según el Panel.</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Es más, según la Oficina Presupuestaria del Congreso, el rescate financiero de Fannie y Freddie costará a los contribuyentes unos 380.000 millones de dólares hasta el ejercicio 2021, factura que tampoco se ha incluido en el coste del TARP.</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Y, además de esos 1,1 billones inyectados a Fannie y Freddie, la FED y otros programas del FDIC (Fondo de Garantía de Depósitos en EEUU) se han gastado otros 2 billones de dólares de los contribuyentes que tampoco computan en el TARP.</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De este modo, es evidente que esos más de 3 billones de dólares en ayudas al sector financiero no incluidos en el TARP adolecen más si cabe de esas deficiencias de transparencia y falta de claridad en los objetivos que denuncia el Panel. Distorsionan también el funcionamiento del mercado financiero y, por supuesto, crean y amplifican el riesgo moral.</w:t>
      </w:r>
    </w:p>
    <w:p w:rsidR="002F07D4" w:rsidRPr="006D046D"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6D046D">
        <w:rPr>
          <w:rFonts w:ascii="Times New Roman" w:eastAsia="Times New Roman" w:hAnsi="Times New Roman"/>
          <w:sz w:val="24"/>
          <w:szCs w:val="24"/>
          <w:lang w:eastAsia="es-ES"/>
        </w:rPr>
        <w:t>Además, al tratarse en su mayoría de adquisiciones realizadas por la Reserva Federal y no de ayudas públicas</w:t>
      </w:r>
      <w:r>
        <w:rPr>
          <w:rFonts w:ascii="Times New Roman" w:eastAsia="Times New Roman" w:hAnsi="Times New Roman"/>
          <w:sz w:val="24"/>
          <w:szCs w:val="24"/>
          <w:lang w:eastAsia="es-ES"/>
        </w:rPr>
        <w:t xml:space="preserve"> puntuales, tampoco procede la “</w:t>
      </w:r>
      <w:r w:rsidRPr="006D046D">
        <w:rPr>
          <w:rFonts w:ascii="Times New Roman" w:eastAsia="Times New Roman" w:hAnsi="Times New Roman"/>
          <w:sz w:val="24"/>
          <w:szCs w:val="24"/>
          <w:lang w:eastAsia="es-ES"/>
        </w:rPr>
        <w:t>devolu</w:t>
      </w:r>
      <w:r>
        <w:rPr>
          <w:rFonts w:ascii="Times New Roman" w:eastAsia="Times New Roman" w:hAnsi="Times New Roman"/>
          <w:sz w:val="24"/>
          <w:szCs w:val="24"/>
          <w:lang w:eastAsia="es-ES"/>
        </w:rPr>
        <w:t>ción”</w:t>
      </w:r>
      <w:r w:rsidRPr="006D046D">
        <w:rPr>
          <w:rFonts w:ascii="Times New Roman" w:eastAsia="Times New Roman" w:hAnsi="Times New Roman"/>
          <w:sz w:val="24"/>
          <w:szCs w:val="24"/>
          <w:lang w:eastAsia="es-ES"/>
        </w:rPr>
        <w:t xml:space="preserve"> a los contribuyentes. Y todo ello en una magnitud que supera en 120 veces los 25.000 millones de precio final de</w:t>
      </w:r>
      <w:r>
        <w:rPr>
          <w:rFonts w:ascii="Times New Roman" w:eastAsia="Times New Roman" w:hAnsi="Times New Roman"/>
          <w:sz w:val="24"/>
          <w:szCs w:val="24"/>
          <w:lang w:eastAsia="es-ES"/>
        </w:rPr>
        <w:t>l TARP para los contribuyentes.</w:t>
      </w:r>
    </w:p>
    <w:p w:rsidR="002F07D4" w:rsidRPr="006D046D" w:rsidRDefault="002F07D4" w:rsidP="002F07D4">
      <w:pPr>
        <w:pStyle w:val="NormalWeb"/>
        <w:jc w:val="both"/>
      </w:pPr>
      <w:r>
        <w:rPr>
          <w:noProof/>
          <w:lang w:val="en-GB" w:eastAsia="en-GB"/>
        </w:rPr>
        <w:drawing>
          <wp:inline distT="0" distB="0" distL="0" distR="0">
            <wp:extent cx="5378450" cy="2260600"/>
            <wp:effectExtent l="0" t="0" r="0" b="6350"/>
            <wp:docPr id="357" name="Imagen 357" descr="tarp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tarp003"/>
                    <pic:cNvPicPr>
                      <a:picLocks noChangeAspect="1" noChangeArrowheads="1"/>
                    </pic:cNvPicPr>
                  </pic:nvPicPr>
                  <pic:blipFill>
                    <a:blip r:embed="rId2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8450" cy="2260600"/>
                    </a:xfrm>
                    <a:prstGeom prst="rect">
                      <a:avLst/>
                    </a:prstGeom>
                    <a:noFill/>
                    <a:ln>
                      <a:noFill/>
                    </a:ln>
                  </pic:spPr>
                </pic:pic>
              </a:graphicData>
            </a:graphic>
          </wp:inline>
        </w:drawing>
      </w:r>
    </w:p>
    <w:p w:rsidR="002F07D4" w:rsidRDefault="002F07D4" w:rsidP="002F07D4">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046D">
        <w:rPr>
          <w:rFonts w:ascii="Times New Roman" w:eastAsia="Times New Roman" w:hAnsi="Times New Roman"/>
          <w:sz w:val="24"/>
          <w:szCs w:val="24"/>
          <w:lang w:eastAsia="es-ES"/>
        </w:rPr>
        <w:t>Varios miembros del P</w:t>
      </w:r>
      <w:r>
        <w:rPr>
          <w:rFonts w:ascii="Times New Roman" w:eastAsia="Times New Roman" w:hAnsi="Times New Roman"/>
          <w:sz w:val="24"/>
          <w:szCs w:val="24"/>
          <w:lang w:eastAsia="es-ES"/>
        </w:rPr>
        <w:t xml:space="preserve">anel han llegado a afirmar que </w:t>
      </w:r>
      <w:r w:rsidRPr="00817177">
        <w:rPr>
          <w:rFonts w:ascii="Times New Roman" w:eastAsia="Times New Roman" w:hAnsi="Times New Roman"/>
          <w:color w:val="FF0000"/>
          <w:sz w:val="24"/>
          <w:szCs w:val="24"/>
          <w:u w:val="single"/>
          <w:lang w:eastAsia="es-ES"/>
        </w:rPr>
        <w:t>“los esfuerzos del Gobierno dentro y fuera del TARP han sembrado las semillas para la próxima crisis”.</w:t>
      </w:r>
    </w:p>
    <w:p w:rsidR="002F07D4" w:rsidRPr="006760CB" w:rsidRDefault="002F07D4" w:rsidP="002F07D4">
      <w:pPr>
        <w:pStyle w:val="NormalWeb"/>
        <w:jc w:val="both"/>
        <w:rPr>
          <w:bCs/>
        </w:rPr>
      </w:pPr>
      <w:r w:rsidRPr="00887E14">
        <w:rPr>
          <w:b/>
          <w:bCs/>
        </w:rPr>
        <w:t>Informe de la Comisión de Investigación de la Crisis Financiera</w:t>
      </w:r>
    </w:p>
    <w:p w:rsidR="002F07D4" w:rsidRPr="006760CB" w:rsidRDefault="002F07D4" w:rsidP="002F07D4">
      <w:pPr>
        <w:pStyle w:val="NormalWeb"/>
        <w:jc w:val="both"/>
        <w:rPr>
          <w:bCs/>
        </w:rPr>
      </w:pPr>
      <w:r w:rsidRPr="006760CB">
        <w:rPr>
          <w:bCs/>
        </w:rPr>
        <w:t xml:space="preserve">Los siguientes son </w:t>
      </w:r>
      <w:r w:rsidRPr="00CF029C">
        <w:rPr>
          <w:b/>
          <w:bCs/>
        </w:rPr>
        <w:t>extractos del informe final de la Comisión de Investigación de la Crisis Financiera (FCIC, por sus siglas en inglés) que presidió Phil Angelides</w:t>
      </w:r>
      <w:r w:rsidRPr="006760CB">
        <w:rPr>
          <w:bCs/>
        </w:rPr>
        <w:t xml:space="preserve">, </w:t>
      </w:r>
      <w:r w:rsidRPr="00CF029C">
        <w:rPr>
          <w:b/>
          <w:bCs/>
        </w:rPr>
        <w:t>firmado por los miembros designados por el Congreso para integrarla en mayo de 2009</w:t>
      </w:r>
      <w:r w:rsidRPr="006760CB">
        <w:rPr>
          <w:bCs/>
        </w:rPr>
        <w:t xml:space="preserve"> y que está a disposición del público, en inglés, en su página de Internet (fcic.law.standford.edu); la comisión como tal terminó en sus funciones el </w:t>
      </w:r>
      <w:r w:rsidRPr="006760CB">
        <w:rPr>
          <w:b/>
          <w:bCs/>
        </w:rPr>
        <w:t>13 de febrero de 2011</w:t>
      </w:r>
      <w:r w:rsidRPr="006760CB">
        <w:rPr>
          <w:bCs/>
        </w:rPr>
        <w:t>, fecha en la que presentó sus conclusiones oficialmente. Esta traducción se basó en la versión pública que está en el referido portal electrónico de la FCIC (fcic.law.standford.edu).</w:t>
      </w:r>
    </w:p>
    <w:p w:rsidR="002F07D4" w:rsidRPr="006760CB" w:rsidRDefault="002F07D4" w:rsidP="002F07D4">
      <w:pPr>
        <w:pStyle w:val="NormalWeb"/>
        <w:jc w:val="both"/>
        <w:rPr>
          <w:bCs/>
        </w:rPr>
      </w:pPr>
      <w:r>
        <w:rPr>
          <w:b/>
          <w:bCs/>
        </w:rPr>
        <w:lastRenderedPageBreak/>
        <w:t>Prefacio</w:t>
      </w:r>
    </w:p>
    <w:p w:rsidR="002F07D4" w:rsidRPr="006760CB" w:rsidRDefault="002F07D4" w:rsidP="002F07D4">
      <w:pPr>
        <w:pStyle w:val="NormalWeb"/>
        <w:jc w:val="both"/>
        <w:rPr>
          <w:bCs/>
        </w:rPr>
      </w:pPr>
      <w:r w:rsidRPr="006760CB">
        <w:rPr>
          <w:bCs/>
        </w:rPr>
        <w:t xml:space="preserve">La Comisión de Investigación de la Crisis Financiera fue creada para “examinar las causas de la actual crisis financiera y económica de Estados Unidos”. En este informe, la Comisión presenta al Presidente, al Congreso y al pueblo estadounidense los resultados de su investigación y sus conclusiones sobre las causas de la crisis. </w:t>
      </w:r>
    </w:p>
    <w:p w:rsidR="002F07D4" w:rsidRPr="006760CB" w:rsidRDefault="002F07D4" w:rsidP="002F07D4">
      <w:pPr>
        <w:pStyle w:val="NormalWeb"/>
        <w:jc w:val="both"/>
        <w:rPr>
          <w:bCs/>
        </w:rPr>
      </w:pPr>
      <w:r w:rsidRPr="006760CB">
        <w:rPr>
          <w:bCs/>
        </w:rPr>
        <w:t xml:space="preserve">Más de dos años después de la peor crisis financiera, nuestra economía, así como las familias y comunidades en todo el país, siguen sufriendo las secuelas. Millones de estadounidenses han perdido sus trabajos y sus hogares, y la economía aún está luchando por recuperarse. Este informe pretende proporcionar una explicación histórica de lo que llevó a nuestro sistema financiero y nuestra economía a un precipicio, y ayudar a los encargados de formular las políticas y al público a entender mejor cómo </w:t>
      </w:r>
      <w:r>
        <w:rPr>
          <w:bCs/>
        </w:rPr>
        <w:t>llegó a suceder esta calamidad.</w:t>
      </w:r>
    </w:p>
    <w:p w:rsidR="002F07D4" w:rsidRPr="006760CB" w:rsidRDefault="002F07D4" w:rsidP="002F07D4">
      <w:pPr>
        <w:pStyle w:val="NormalWeb"/>
        <w:jc w:val="both"/>
        <w:rPr>
          <w:bCs/>
        </w:rPr>
      </w:pPr>
      <w:r w:rsidRPr="006760CB">
        <w:rPr>
          <w:bCs/>
        </w:rPr>
        <w:t xml:space="preserve">La Comisión fue creada como parte de la Ley para la Recuperación y Contra el Fraude (Ley Pública 111-21) aprobada por el Congreso y promulgada por el Presidente en mayo del 2009. Este panel independiente compuesto por 10 miembros se integra por ciudadanos con experiencia en áreas tales como vivienda, economía, finanzas, regulación de los mercados, banca y protección a los consumidores. Seis miembros de la Comisión fueron nombrados por la dirigencia Demócrata del Congreso y cuatro miembros por la dirigencia Republicana.  </w:t>
      </w:r>
    </w:p>
    <w:p w:rsidR="002F07D4" w:rsidRPr="006760CB" w:rsidRDefault="002F07D4" w:rsidP="002F07D4">
      <w:pPr>
        <w:pStyle w:val="NormalWeb"/>
        <w:jc w:val="both"/>
        <w:rPr>
          <w:bCs/>
        </w:rPr>
      </w:pPr>
      <w:r w:rsidRPr="006760CB">
        <w:rPr>
          <w:bCs/>
        </w:rPr>
        <w:t>Las instrucciones reglamentarias de la Comisión establecieron 22 temas específicos para la investigación, y exigieron el examen del colapso de grandes instituciones financieras que quebraron o habrían quebrado de no ser por la ayuda excepcional del gobierno. Este informe cumple con estas disposiciones. Además, se ordenó a la Comisión remitir al Procurador General de los Estados Unidos así como a cualquier procurador general estatal, a cualquier persona que la Comisión considerase que podría haber violado las leyes de los Estados Unidos con relación a la crisis. Donde la Comisión encontró tales posibles violaciones, remitió estos asuntos a las autoridades competentes. La Comisión usó la autoridad que se le dio para emitir citatorios judiciales para requerir testimonios y  producir documentos, pero en la gran mayoría de los casos, compañías e individuos cooperaron voluntar</w:t>
      </w:r>
      <w:r>
        <w:rPr>
          <w:bCs/>
        </w:rPr>
        <w:t>iamente con esta investigación.</w:t>
      </w:r>
    </w:p>
    <w:p w:rsidR="002F07D4" w:rsidRPr="006760CB" w:rsidRDefault="002F07D4" w:rsidP="002F07D4">
      <w:pPr>
        <w:pStyle w:val="NormalWeb"/>
        <w:jc w:val="both"/>
        <w:rPr>
          <w:bCs/>
        </w:rPr>
      </w:pPr>
      <w:r w:rsidRPr="006760CB">
        <w:rPr>
          <w:bCs/>
        </w:rPr>
        <w:t xml:space="preserve">En el curso de su investigación, la Comisión revisó millones de páginas de documentos, entrevistó a más de 700 testigos, y sostuvo 19 días de audiencias públicas en New York, Washington D.C., y comunidades de todo el país que fueron golpeadas fuertemente por la crisis. La Comisión también recurrió a un gran conjunto de trabajo existente sobre la crisis, desarrollado por comités del Congreso, organismos gubernamentales, académicos, periodistas, investigadores jurídicos, y muchos otros. </w:t>
      </w:r>
    </w:p>
    <w:p w:rsidR="002F07D4" w:rsidRPr="006760CB" w:rsidRDefault="002F07D4" w:rsidP="002F07D4">
      <w:pPr>
        <w:pStyle w:val="NormalWeb"/>
        <w:jc w:val="both"/>
        <w:rPr>
          <w:bCs/>
        </w:rPr>
      </w:pPr>
      <w:r w:rsidRPr="006760CB">
        <w:rPr>
          <w:bCs/>
        </w:rPr>
        <w:t xml:space="preserve">En este informe, hemos tratado de explicar en términos claros y entendibles cómo ha funcionado nuestro complejo sistema financiero, como encajaron las piezas, y cómo ocurrió la crisis. Hacer esto requirió investigación sobre temas amplios y a veces herméticos, tales como los préstamos hipotecarios y la bursatilización, los derivados, la gestión empresarial, y la minimización de riesgos. Para sacar estos asuntos del dominio de lo abstracto, realizamos investigaciones de </w:t>
      </w:r>
      <w:r>
        <w:rPr>
          <w:bCs/>
        </w:rPr>
        <w:t xml:space="preserve">casos de compañías específicas </w:t>
      </w:r>
      <w:r w:rsidRPr="006760CB">
        <w:rPr>
          <w:bCs/>
        </w:rPr>
        <w:t>-y</w:t>
      </w:r>
      <w:r>
        <w:rPr>
          <w:bCs/>
        </w:rPr>
        <w:t xml:space="preserve"> en muchos casos, facetas especí</w:t>
      </w:r>
      <w:r w:rsidRPr="006760CB">
        <w:rPr>
          <w:bCs/>
        </w:rPr>
        <w:t>ficas de estas institu</w:t>
      </w:r>
      <w:r>
        <w:rPr>
          <w:bCs/>
        </w:rPr>
        <w:t>ciones-</w:t>
      </w:r>
      <w:r w:rsidRPr="006760CB">
        <w:rPr>
          <w:bCs/>
        </w:rPr>
        <w:t xml:space="preserve"> que jugaron un papel fundamental. </w:t>
      </w:r>
      <w:r>
        <w:rPr>
          <w:bCs/>
          <w:lang w:val="en-US"/>
        </w:rPr>
        <w:t>Esas instituciones incluyen al</w:t>
      </w:r>
      <w:r w:rsidRPr="006760CB">
        <w:rPr>
          <w:bCs/>
          <w:lang w:val="en-US"/>
        </w:rPr>
        <w:t xml:space="preserve"> American International Group (AIG), Bear </w:t>
      </w:r>
      <w:r w:rsidRPr="006760CB">
        <w:rPr>
          <w:bCs/>
          <w:lang w:val="en-US"/>
        </w:rPr>
        <w:lastRenderedPageBreak/>
        <w:t xml:space="preserve">Stearns, Citigroup, Countrywide Financial, Fannie Mae, Goldman Sachs, Lehman Brothers, Merrill Lynch, Moody’s y Wachovia. </w:t>
      </w:r>
      <w:r w:rsidRPr="006760CB">
        <w:rPr>
          <w:bCs/>
        </w:rPr>
        <w:t>Consideramos de manera más general las funciones y acci</w:t>
      </w:r>
      <w:r>
        <w:rPr>
          <w:bCs/>
        </w:rPr>
        <w:t>ones de muchas otras compañías.</w:t>
      </w:r>
    </w:p>
    <w:p w:rsidR="002F07D4" w:rsidRPr="006760CB" w:rsidRDefault="002F07D4" w:rsidP="002F07D4">
      <w:pPr>
        <w:pStyle w:val="NormalWeb"/>
        <w:jc w:val="both"/>
        <w:rPr>
          <w:bCs/>
        </w:rPr>
      </w:pPr>
      <w:r w:rsidRPr="006760CB">
        <w:rPr>
          <w:bCs/>
        </w:rPr>
        <w:t xml:space="preserve">También estudiamos las políticas pertinentes implementadas por congresos y gobiernos sucesivos. Y de manera importante, examinamos el papel de los encargados de formular políticas y de los reguladores, como la Corporación Federal de Seguro de Depósitos (Federal Deposit Insurance Corporation, FDIC), la Junta de Gobernadores del Sistema de la Reserva Federal, el Banco de la Reserva Federal de Nueva York, el Departamento de Vivienda y Desarrollo Urbano, la Contraloría de la Moneda, la Dirección Federal de Supervisión de Empresas de Vivienda (OFHEO) (y su sucesor, la Agencia Federal de Financiamiento de Vivienda, en inglés, Federal Housing Finance Agency, FHFA), la Dirección de Supervisión de Entidades de Ahorro (OTS), la Comisión del Mercado de Valores (Securities and Exchange Commission) y el Departamento del Tesoro. </w:t>
      </w:r>
    </w:p>
    <w:p w:rsidR="002F07D4" w:rsidRPr="006760CB" w:rsidRDefault="002F07D4" w:rsidP="002F07D4">
      <w:pPr>
        <w:pStyle w:val="NormalWeb"/>
        <w:jc w:val="both"/>
        <w:rPr>
          <w:bCs/>
        </w:rPr>
      </w:pPr>
      <w:r w:rsidRPr="006760CB">
        <w:rPr>
          <w:bCs/>
        </w:rPr>
        <w:t>Por supuesto, hay mucho trabajo que la Comisión no llevó a cabo. El Congreso no pidió a la Comisión ofrecer recomendaciones de política, sino que le pidió profundizar en lo que causó la crisis. (...) Tampoco se le encomendó evaluar la ley federal (el</w:t>
      </w:r>
      <w:r>
        <w:rPr>
          <w:bCs/>
        </w:rPr>
        <w:t xml:space="preserve"> Troubled Asset Relief Program </w:t>
      </w:r>
      <w:r w:rsidRPr="006760CB">
        <w:rPr>
          <w:bCs/>
        </w:rPr>
        <w:t>-Programa de A</w:t>
      </w:r>
      <w:r>
        <w:rPr>
          <w:bCs/>
        </w:rPr>
        <w:t>livio por Activos en Problemas-</w:t>
      </w:r>
      <w:r w:rsidRPr="006760CB">
        <w:rPr>
          <w:bCs/>
        </w:rPr>
        <w:t xml:space="preserve"> conocido como TARP) que proporcionó ayuda financiera a las grandes instituciones financieras. Ese deber fue asignado al Panel de Supervisión del Congreso (Congressional Oversight Panel) y al Inspe</w:t>
      </w:r>
      <w:r>
        <w:rPr>
          <w:bCs/>
        </w:rPr>
        <w:t>ctor General Especial del TARP.</w:t>
      </w:r>
    </w:p>
    <w:p w:rsidR="002F07D4" w:rsidRPr="006760CB" w:rsidRDefault="002F07D4" w:rsidP="002F07D4">
      <w:pPr>
        <w:pStyle w:val="NormalWeb"/>
        <w:jc w:val="both"/>
        <w:rPr>
          <w:bCs/>
        </w:rPr>
      </w:pPr>
      <w:r w:rsidRPr="006760CB">
        <w:rPr>
          <w:bCs/>
        </w:rPr>
        <w:t>Este informe no es el único repositorio de lo que e</w:t>
      </w:r>
      <w:r>
        <w:rPr>
          <w:bCs/>
        </w:rPr>
        <w:t>ncontró el panel. Un sitio web -www.fcic.gov-</w:t>
      </w:r>
      <w:r w:rsidRPr="006760CB">
        <w:rPr>
          <w:bCs/>
        </w:rPr>
        <w:t xml:space="preserve"> contendrá una gran cantidad de información, más allá de lo que se podría presentar aquí. Conte</w:t>
      </w:r>
      <w:r>
        <w:rPr>
          <w:bCs/>
        </w:rPr>
        <w:t xml:space="preserve">ndrá una reserva de materiales </w:t>
      </w:r>
      <w:r w:rsidRPr="006760CB">
        <w:rPr>
          <w:bCs/>
        </w:rPr>
        <w:t>-como documentos y correos electrónicos, videos de las audiencias públicas de la Comisión, declaraciones e investig</w:t>
      </w:r>
      <w:r>
        <w:rPr>
          <w:bCs/>
        </w:rPr>
        <w:t>ación de apoyo-</w:t>
      </w:r>
      <w:r w:rsidRPr="006760CB">
        <w:rPr>
          <w:bCs/>
        </w:rPr>
        <w:t xml:space="preserve"> que pueden estudiarse por muchos años. Gran parte de lo que se encuentra en las notas al pie de este informe se puede encontrar en el sitio web. Además, otros materiales que no se pueden publicar aún, por diversos motivos, en su momento serán dados a conocer al público a través de los Archivos Nacionales y Administración de Documentos de los Estados Unidos (National Archives and Records Administration, NARA)</w:t>
      </w:r>
      <w:r>
        <w:rPr>
          <w:bCs/>
        </w:rPr>
        <w:t>…</w:t>
      </w:r>
    </w:p>
    <w:p w:rsidR="002F07D4" w:rsidRDefault="002F07D4" w:rsidP="002F07D4">
      <w:pPr>
        <w:pStyle w:val="NormalWeb"/>
        <w:jc w:val="both"/>
        <w:rPr>
          <w:bCs/>
        </w:rPr>
      </w:pPr>
      <w:r w:rsidRPr="006760CB">
        <w:rPr>
          <w:bCs/>
        </w:rPr>
        <w:t xml:space="preserve">Con este informe y nuestro sitio web, la labor de la Comisión llega a su fin. Presentamos lo que hemos encontrado, con la esperanza de que los lectores puedan utilizar este informe para llegar a sus propias conclusiones, aun cuando el registro histórico completo de esta crisis se sigue escribiendo.  </w:t>
      </w:r>
    </w:p>
    <w:p w:rsidR="002F07D4" w:rsidRPr="006110AA" w:rsidRDefault="002F07D4" w:rsidP="002F07D4">
      <w:pPr>
        <w:pStyle w:val="NormalWeb"/>
        <w:jc w:val="both"/>
        <w:rPr>
          <w:bCs/>
        </w:rPr>
      </w:pPr>
      <w:r w:rsidRPr="00887E14">
        <w:rPr>
          <w:b/>
          <w:bCs/>
        </w:rPr>
        <w:t>Conclusiones de la</w:t>
      </w:r>
      <w:r>
        <w:rPr>
          <w:b/>
          <w:bCs/>
        </w:rPr>
        <w:t xml:space="preserve"> Comisión de Investigación de</w:t>
      </w:r>
      <w:r w:rsidRPr="00887E14">
        <w:rPr>
          <w:b/>
          <w:bCs/>
        </w:rPr>
        <w:t xml:space="preserve"> la Crisis Financiera</w:t>
      </w:r>
    </w:p>
    <w:p w:rsidR="002F07D4" w:rsidRPr="006760CB" w:rsidRDefault="002F07D4" w:rsidP="002F07D4">
      <w:pPr>
        <w:pStyle w:val="NormalWeb"/>
        <w:jc w:val="both"/>
        <w:rPr>
          <w:bCs/>
        </w:rPr>
      </w:pPr>
      <w:r w:rsidRPr="006760CB">
        <w:rPr>
          <w:bCs/>
        </w:rPr>
        <w:t>La Comis</w:t>
      </w:r>
      <w:r>
        <w:rPr>
          <w:bCs/>
        </w:rPr>
        <w:t>ión de Investigación de l</w:t>
      </w:r>
      <w:r w:rsidRPr="006760CB">
        <w:rPr>
          <w:bCs/>
        </w:rPr>
        <w:t xml:space="preserve">a Crisis Financiera ha sido convocada para examinar la crisis económica y financiera que ha asolado a nuestro país, y para explicar sus causas al pueblo estadounidense. Estamos totalmente conscientes de la importancia de nuestro cometido, dado el daño económico que los Estados Unidos han sufrido en las secuelas de la mayor crisis financiera desde la Gran Depresión. </w:t>
      </w:r>
    </w:p>
    <w:p w:rsidR="002F07D4" w:rsidRPr="006760CB" w:rsidRDefault="002F07D4" w:rsidP="002F07D4">
      <w:pPr>
        <w:pStyle w:val="NormalWeb"/>
        <w:jc w:val="both"/>
        <w:rPr>
          <w:bCs/>
        </w:rPr>
      </w:pPr>
      <w:r w:rsidRPr="006760CB">
        <w:rPr>
          <w:bCs/>
        </w:rPr>
        <w:t xml:space="preserve">Nuestra tarea fue primero determinar qué pasó y cómo pasó, de modo que podamos entender por qué pasó. Presentamos aquí nuestras conclusiones. Animamos al pueblo estadounidense a unírsenos haciendo sus propias evaluaciones basadas en la evidencia </w:t>
      </w:r>
      <w:r w:rsidRPr="006760CB">
        <w:rPr>
          <w:bCs/>
        </w:rPr>
        <w:lastRenderedPageBreak/>
        <w:t>reunida por nuestra investigación. Si no aprendemos de la historia, es improbable que nos recuperemos del todo de ella. Algunos en Wall Street y en Washington con intereses en el statu quo pueden sentirse tentados a borrar de la memoria los acontecimientos de esta crisis, o a sugerir que nadie podía haberla previsto o evitado. Este informe se esfuerza por exponer los hechos, identificar responsabilidades, aclarar mitos, y ayudarnos a entender cómo la crisis se pudo haber evitado. Es un intento de documentar la historia, no de reinventarla, ni d</w:t>
      </w:r>
      <w:r>
        <w:rPr>
          <w:bCs/>
        </w:rPr>
        <w:t>e permitir que sea reinventada.</w:t>
      </w:r>
    </w:p>
    <w:p w:rsidR="002F07D4" w:rsidRPr="006760CB" w:rsidRDefault="002F07D4" w:rsidP="002F07D4">
      <w:pPr>
        <w:pStyle w:val="NormalWeb"/>
        <w:jc w:val="both"/>
        <w:rPr>
          <w:bCs/>
        </w:rPr>
      </w:pPr>
      <w:r w:rsidRPr="006760CB">
        <w:rPr>
          <w:bCs/>
        </w:rPr>
        <w:t>Para ayudar a nuestros conciudadanos a entender mejor esta crisis y sus causas, también presentamos conclusiones específicas al final de algunos capítulos en las Partes III, IV y V de este informe.</w:t>
      </w:r>
    </w:p>
    <w:p w:rsidR="002F07D4" w:rsidRPr="006760CB" w:rsidRDefault="002F07D4" w:rsidP="002F07D4">
      <w:pPr>
        <w:pStyle w:val="NormalWeb"/>
        <w:jc w:val="both"/>
        <w:rPr>
          <w:bCs/>
        </w:rPr>
      </w:pPr>
      <w:r w:rsidRPr="006760CB">
        <w:rPr>
          <w:bCs/>
        </w:rPr>
        <w:t>El tema de este informe es de grandes consecuencias para esta nación. Los acontecimientos profundos de 2007 y 2008 no fueron ni baches en el camino ni un descenso acentuado en los ciclos financieros que son de esperarse en un sistema económico de libre mercado. Est</w:t>
      </w:r>
      <w:r>
        <w:rPr>
          <w:bCs/>
        </w:rPr>
        <w:t>e fue un trastorno fundamental -</w:t>
      </w:r>
      <w:r w:rsidRPr="006760CB">
        <w:rPr>
          <w:bCs/>
        </w:rPr>
        <w:t>una convulsión financiera</w:t>
      </w:r>
      <w:r>
        <w:rPr>
          <w:bCs/>
        </w:rPr>
        <w:t>, si se quiere-</w:t>
      </w:r>
      <w:r w:rsidRPr="006760CB">
        <w:rPr>
          <w:bCs/>
        </w:rPr>
        <w:t xml:space="preserve"> que causó estragos en comunidades y</w:t>
      </w:r>
      <w:r>
        <w:rPr>
          <w:bCs/>
        </w:rPr>
        <w:t xml:space="preserve"> vecindarios por todo el país. </w:t>
      </w:r>
    </w:p>
    <w:p w:rsidR="002F07D4" w:rsidRPr="006760CB" w:rsidRDefault="002F07D4" w:rsidP="002F07D4">
      <w:pPr>
        <w:pStyle w:val="NormalWeb"/>
        <w:jc w:val="both"/>
        <w:rPr>
          <w:bCs/>
        </w:rPr>
      </w:pPr>
      <w:r w:rsidRPr="006760CB">
        <w:rPr>
          <w:bCs/>
        </w:rPr>
        <w:t xml:space="preserve">En el momento en que este informe va a la imprenta, hay más de 26 millones de estadounidenses que están sin trabajo, no pueden encontrar empleo de tiempo completo, o han desistido de buscar trabajo. Unas cuatro millones de familias han perdido sus casas por ejecución hipotecaria, y otras cuatro y medio millones han caído en el proceso de ejecución hipotecaria, o están seriamente retrasados en sus pagos. Cerca de $11 billones en riqueza familiar se han esfumado con los planes de pensiones y los ahorros de toda la vida. Empresas grandes y pequeñas han sentido el aguijón de una profunda recesión. Hay mucho enojo sobre lo que ha ocurrido, y justificadamente. Mucha gente que se atuvo a las reglas ahora se encuentra sin trabajo y con incertidumbre sobre sus perspectivas de futuro. Los daños colaterales de esta crisis han sido gente real y comunidades reales. Es probable que el impacto de esta crisis se sienta por toda una generación. Y la nación no enfrenta un camino fácil hacia una fortaleza económica renovada. </w:t>
      </w:r>
    </w:p>
    <w:p w:rsidR="002F07D4" w:rsidRPr="006760CB" w:rsidRDefault="002F07D4" w:rsidP="002F07D4">
      <w:pPr>
        <w:pStyle w:val="NormalWeb"/>
        <w:jc w:val="both"/>
        <w:rPr>
          <w:bCs/>
        </w:rPr>
      </w:pPr>
      <w:r w:rsidRPr="006760CB">
        <w:rPr>
          <w:bCs/>
        </w:rPr>
        <w:t>Como muchos estadounidenses, iniciamos nuestra exploración con nuestros propios puntos de vista y algunos conocimientos preliminares sobre cómo el sistema financiero más fuerte del mundo llegó a estar al borde del derrumbe. Incluso en el momento de nuestro nombramiento a esta comisión independiente, ya se había escrito y comentado mucho sobre esta crisis. Sin embargo todos nosotros hemos sido afectados profundamente por lo que hemos aprendido en el curso de nuestra investigación. En diversos momentos hemos estado fascinados, sorprendidos, e incluso conmocionados por lo que hemos visto, escuchado y leído. Ha sido un v</w:t>
      </w:r>
      <w:r>
        <w:rPr>
          <w:bCs/>
        </w:rPr>
        <w:t xml:space="preserve">iaje de revelación el nuestro. </w:t>
      </w:r>
    </w:p>
    <w:p w:rsidR="002F07D4" w:rsidRPr="006760CB" w:rsidRDefault="002F07D4" w:rsidP="002F07D4">
      <w:pPr>
        <w:pStyle w:val="NormalWeb"/>
        <w:jc w:val="both"/>
        <w:rPr>
          <w:bCs/>
        </w:rPr>
      </w:pPr>
      <w:r w:rsidRPr="006760CB">
        <w:rPr>
          <w:bCs/>
        </w:rPr>
        <w:t>Durante los últimos dos años, gran parte de la atención se ha centrado en las decisiones adoptadas por el gobierno federal para proporcionar una enorme asistencia financiera para estabilizar el sistema financiero y rescatar a grandes instituciones financieras que fueron consideradas demasiado importantes sistémicamente como</w:t>
      </w:r>
      <w:r>
        <w:rPr>
          <w:bCs/>
        </w:rPr>
        <w:t xml:space="preserve"> para quebrar. Esas decisiones </w:t>
      </w:r>
      <w:r w:rsidRPr="006760CB">
        <w:rPr>
          <w:bCs/>
        </w:rPr>
        <w:t>-y las emoc</w:t>
      </w:r>
      <w:r>
        <w:rPr>
          <w:bCs/>
        </w:rPr>
        <w:t>iones profundas que las rodean-</w:t>
      </w:r>
      <w:r w:rsidRPr="006760CB">
        <w:rPr>
          <w:bCs/>
        </w:rPr>
        <w:t xml:space="preserve"> serán debatidas por muchos años por venir. Pero nuestra misión fue formular y responder la pregunta central: ¿Cómo llegó a suceder que en 2008 nuestra nación fuera forzada a elegir entre dos alternativas crudas y dolorosas: Correr el riesgo del derrumbe total de nuestro sistema financiero y </w:t>
      </w:r>
      <w:r w:rsidRPr="006760CB">
        <w:rPr>
          <w:bCs/>
        </w:rPr>
        <w:lastRenderedPageBreak/>
        <w:t>nuestra economía, o inyec</w:t>
      </w:r>
      <w:r>
        <w:rPr>
          <w:bCs/>
        </w:rPr>
        <w:t xml:space="preserve">tar billones de dólares de los </w:t>
      </w:r>
      <w:r w:rsidRPr="006760CB">
        <w:rPr>
          <w:bCs/>
        </w:rPr>
        <w:t>contribuyentes al sistema financiero y a una serie de compañías, en tanto que millones de estadounidenses seguían perdiendo sus empleos, sus ahorros y sus hogares?</w:t>
      </w:r>
    </w:p>
    <w:p w:rsidR="002F07D4" w:rsidRPr="006760CB" w:rsidRDefault="002F07D4" w:rsidP="002F07D4">
      <w:pPr>
        <w:pStyle w:val="NormalWeb"/>
        <w:jc w:val="both"/>
        <w:rPr>
          <w:bCs/>
        </w:rPr>
      </w:pPr>
      <w:r w:rsidRPr="006760CB">
        <w:rPr>
          <w:bCs/>
        </w:rPr>
        <w:t>En este informe detallamos los acontecimientos de la crisis. Pero un resume</w:t>
      </w:r>
      <w:r>
        <w:rPr>
          <w:bCs/>
        </w:rPr>
        <w:t>n sencillo, de có</w:t>
      </w:r>
      <w:r w:rsidRPr="006760CB">
        <w:rPr>
          <w:bCs/>
        </w:rPr>
        <w:t>mo lo vemos nosotros, es útil al principio. Si bien las vulnerabilidades que crearon el potencial para la crisis se desarrollaron a través de años, el despl</w:t>
      </w:r>
      <w:r>
        <w:rPr>
          <w:bCs/>
        </w:rPr>
        <w:t>ome de la burbuja inmobiliaria -</w:t>
      </w:r>
      <w:r w:rsidRPr="006760CB">
        <w:rPr>
          <w:bCs/>
        </w:rPr>
        <w:t xml:space="preserve">alimentada por las bajas tasas de interés, créditos fáciles disponibles, escasa </w:t>
      </w:r>
      <w:r>
        <w:rPr>
          <w:bCs/>
        </w:rPr>
        <w:t>regulación e hipotecas toxicas-</w:t>
      </w:r>
      <w:r w:rsidRPr="006760CB">
        <w:rPr>
          <w:bCs/>
        </w:rPr>
        <w:t xml:space="preserve"> fue la chispa que disparó una cadena de acontecimientos, que llevaron a un crisis en toda su extensión en el otoño de 2008. Billones de dólares en hipotecas de riesgo se habían incrustado en todo el sistema financiero, en tanto que se hacían paquetes con los valores relacionados con hipotecas, se reempaquetaban y vendían a inversionistas en todo el mundo. Cuando la burbuja estalló, cientos de miles de millones de dólares de pérdidas en hipotecas y valores relacionados con hipotecas sacudieron a los mercados, así como a las instituciones financieras que tenían exposiciones importantes a esas hipotecas y se habían endeudado fuertemente respaldándose en ellas. Esto no sólo pasó en Estados Unidos, sino en todo el mundo. Las pérdidas fueron magnificadas por derivados tal</w:t>
      </w:r>
      <w:r>
        <w:rPr>
          <w:bCs/>
        </w:rPr>
        <w:t>es como los valores sintéticos.</w:t>
      </w:r>
    </w:p>
    <w:p w:rsidR="002F07D4" w:rsidRPr="006760CB" w:rsidRDefault="002F07D4" w:rsidP="002F07D4">
      <w:pPr>
        <w:pStyle w:val="NormalWeb"/>
        <w:jc w:val="both"/>
        <w:rPr>
          <w:bCs/>
        </w:rPr>
      </w:pPr>
      <w:r w:rsidRPr="006760CB">
        <w:rPr>
          <w:bCs/>
        </w:rPr>
        <w:t>La crisis alcanzó proporciones sísmicas en septiembre de 2008 con la quiebra de Lehman Brothers y el derrumbe inminente del gigante de seguros American International Group (AIG). El pánico avivado por la falta de transparencia de los balances de las principales instituciones financieras, junto con una maraña de interconexiones entre las</w:t>
      </w:r>
      <w:r>
        <w:rPr>
          <w:bCs/>
        </w:rPr>
        <w:t xml:space="preserve"> instituciones percibidas como “demasiado grandes para quebrar”</w:t>
      </w:r>
      <w:r w:rsidRPr="006760CB">
        <w:rPr>
          <w:bCs/>
        </w:rPr>
        <w:t>, causó que los mercados de crédito se paralizaran. El comercio se estancó. El mercado de valores se desplomó. La economía se hundió en una profunda recesión.</w:t>
      </w:r>
    </w:p>
    <w:p w:rsidR="002F07D4" w:rsidRPr="006760CB" w:rsidRDefault="002F07D4" w:rsidP="002F07D4">
      <w:pPr>
        <w:pStyle w:val="NormalWeb"/>
        <w:jc w:val="both"/>
        <w:rPr>
          <w:bCs/>
        </w:rPr>
      </w:pPr>
      <w:r w:rsidRPr="006760CB">
        <w:rPr>
          <w:bCs/>
        </w:rPr>
        <w:t>El sistema financiero que examinamos tiene poco parecido con el de la generación de nuestros padres. Los cambios tan sólo en las últimas tres décadas han sido notables. Los mercados financieros se han vuelto cada vez más globalizados. La tecnología ha transformado la eficiencia, velocidad y complejidad de los instrumentos financieros y las transacciones. Hay un acceso más amplio y costos más bajos en las finanzas que nunca antes. Y el sector financiero mismo se ha convertido en una fuerza mucho más</w:t>
      </w:r>
      <w:r>
        <w:rPr>
          <w:bCs/>
        </w:rPr>
        <w:t xml:space="preserve"> dominante en nuestra economía.</w:t>
      </w:r>
    </w:p>
    <w:p w:rsidR="002F07D4" w:rsidRPr="006760CB" w:rsidRDefault="002F07D4" w:rsidP="002F07D4">
      <w:pPr>
        <w:pStyle w:val="NormalWeb"/>
        <w:jc w:val="both"/>
        <w:rPr>
          <w:bCs/>
        </w:rPr>
      </w:pPr>
      <w:r w:rsidRPr="006760CB">
        <w:rPr>
          <w:bCs/>
        </w:rPr>
        <w:t xml:space="preserve">De 1978 a 2007, el importe de la deuda en poder del sector financiero se disparó de $3 billones de dólares a $36 billones de dólares, más del doble como porcentaje del producto interno bruto. La naturaleza misma de muchas firmas de Wall Street cambió, de asociaciones privadas relativamente serias, a empresas que cotizaban en la bolsa tomando mayores y más diversos tipos de riesgos. Para 2005, los 10 bancos comerciales más grandes de Estados Unidos poseían el 55% de los activos de la industria, más del doble del nivel que tenían en 1990. En vísperas de la crisis, en 2006, las ganancias del sector financiero constituían el 27% de todas las ganancias de las empresas en Estados Unidos, muy por encima del 15% de 1980. La comprensión de esta transformación ha sido fundamental para el análisis de la Comisión. </w:t>
      </w:r>
    </w:p>
    <w:p w:rsidR="002F07D4" w:rsidRPr="006760CB" w:rsidRDefault="002F07D4" w:rsidP="002F07D4">
      <w:pPr>
        <w:pStyle w:val="NormalWeb"/>
        <w:jc w:val="both"/>
        <w:rPr>
          <w:bCs/>
        </w:rPr>
      </w:pPr>
      <w:r w:rsidRPr="006760CB">
        <w:rPr>
          <w:bCs/>
        </w:rPr>
        <w:t xml:space="preserve">Vayamos ahora a nuestros principales hallazgos y conclusiones, que se basan en los datos contenidos en este informe: se ofrecen con la esperanza de que se puedan aprender lecciones para ayudar </w:t>
      </w:r>
      <w:r>
        <w:rPr>
          <w:bCs/>
        </w:rPr>
        <w:t xml:space="preserve">a evitar futuras catástrofes.  </w:t>
      </w:r>
    </w:p>
    <w:p w:rsidR="002F07D4" w:rsidRPr="006760CB" w:rsidRDefault="002F07D4" w:rsidP="002F07D4">
      <w:pPr>
        <w:pStyle w:val="NormalWeb"/>
        <w:jc w:val="both"/>
        <w:rPr>
          <w:bCs/>
        </w:rPr>
      </w:pPr>
      <w:r w:rsidRPr="006760CB">
        <w:rPr>
          <w:b/>
          <w:bCs/>
        </w:rPr>
        <w:lastRenderedPageBreak/>
        <w:t>·</w:t>
      </w:r>
      <w:r w:rsidRPr="006760CB">
        <w:rPr>
          <w:bCs/>
        </w:rPr>
        <w:t xml:space="preserve">         Llegamos a la conclusión de que esta crisis financiera era evitable.La crisis fue el resultado de la acción y la omisión humanas, no de la Madre Naturaleza ni de los modelos computarizados que se volvieron locos. Los capitanes de las finanzas y los administradores públicos de nuestro sistema financiero ignoraron las advertencias y dejaron de cuestionar, entender, y manejar los riesgos crecientes dentro de un sistema esencial para el bienestar del público estadounidense. El suyo fue un gran error, no un tropiezo. Si bien los ciclos económicos no se pueden eliminar, una crisis de esta magnitud no tenía por qué haber ocurrido. Parafraseando a Shakespeare, la culpa no está en las estrellas, sino en nosotros mismos.</w:t>
      </w:r>
    </w:p>
    <w:p w:rsidR="002F07D4" w:rsidRPr="006760CB" w:rsidRDefault="002F07D4" w:rsidP="002F07D4">
      <w:pPr>
        <w:pStyle w:val="NormalWeb"/>
        <w:jc w:val="both"/>
        <w:rPr>
          <w:bCs/>
        </w:rPr>
      </w:pPr>
      <w:r w:rsidRPr="006760CB">
        <w:rPr>
          <w:bCs/>
        </w:rPr>
        <w:t>A pesar de la opinión de muchos en Wall Street y en Washington de que la crisis no se podía haber previsto o evitado, hubo señales de alarma. La tragedia es que fueron ignoradas o descartadas. Hubo una explosión en préstamos de alto riesgo y de bursatilización, un aumento insostenible en los precios de la vivienda, informes generalizados sobre graves prácticas crediticias depredadoras, aumentos impresionantes en el endeudamiento hipotecario familiar, y un crecimiento exponencial en las transacciones de las firmas financieras, los derivados no regulados</w:t>
      </w:r>
      <w:r>
        <w:rPr>
          <w:bCs/>
        </w:rPr>
        <w:t>, y de los mercados de crédito “repo”</w:t>
      </w:r>
      <w:r w:rsidRPr="006760CB">
        <w:rPr>
          <w:bCs/>
        </w:rPr>
        <w:t xml:space="preserve"> de corto plazo, entre muchas otras luces rojas. Sin embargo hubo una permisividad sistemática; se tomaron pocas acciones significativas para sofocar las amenazas de manera oportuna.</w:t>
      </w:r>
    </w:p>
    <w:p w:rsidR="002F07D4" w:rsidRPr="006760CB" w:rsidRDefault="002F07D4" w:rsidP="002F07D4">
      <w:pPr>
        <w:pStyle w:val="NormalWeb"/>
        <w:jc w:val="both"/>
        <w:rPr>
          <w:bCs/>
        </w:rPr>
      </w:pPr>
      <w:r w:rsidRPr="006760CB">
        <w:rPr>
          <w:bCs/>
        </w:rPr>
        <w:t xml:space="preserve">El principal ejemplo es la falla fundamental de la Reserva Federal para contener el flujo de hipotecas tóxicas, que se podría haber hecho mediante el establecimiento de normas prudentes de préstamos hipotecarios. La Reserva Federal era la entidad facultada para hacerlo, y no lo hizo. El registro de nuestra inspección está repleto de evidencias de otras fallas: las instituciones financieras crearon, compraron y vendieron títulos hipotecarios que nunca examinaron, no les importó examinar, o sabían que eran deficientes; las empresas dependían de decenas de miles de millones de dólares de préstamos que se tenían que renovar cada noche, respaldados en títulos hipotecarios de alto riesgo; y grandes compañías e inversionistas confiaron ciegamente en las agencias calificadoras como sus árbitros de riesgo. ¿Qué más se podría esperar en una autopista donde no había ni límites de velocidad </w:t>
      </w:r>
      <w:r>
        <w:rPr>
          <w:bCs/>
        </w:rPr>
        <w:t xml:space="preserve">ni líneas claramente pintadas? </w:t>
      </w:r>
    </w:p>
    <w:p w:rsidR="002F07D4" w:rsidRPr="006760CB" w:rsidRDefault="002F07D4" w:rsidP="002F07D4">
      <w:pPr>
        <w:pStyle w:val="NormalWeb"/>
        <w:jc w:val="both"/>
        <w:rPr>
          <w:bCs/>
        </w:rPr>
      </w:pPr>
      <w:r w:rsidRPr="006760CB">
        <w:rPr>
          <w:b/>
          <w:bCs/>
        </w:rPr>
        <w:t>·</w:t>
      </w:r>
      <w:r w:rsidRPr="006760CB">
        <w:rPr>
          <w:bCs/>
        </w:rPr>
        <w:t xml:space="preserve">         Llegamos a la conclusión de que las fallas generalizadas en la regulación financiera y la supervisión resultaron ser devastadoras para la estabilidad de los mercados financieros de la nación. Los centinelas no estaban en sus puestos, en no poca medida debido a la fe ampliamente aceptada en la naturaleza autocorrectora de los mercados y la capacidad de las instituciones financieras de vigilarse a sí mismas de modo efectivo. Más de 30 años de desregulación y confianza en la autoregulación de las instituciones financieras, defendida por el ex presidente de la Reserva Federal, Alan Greenspan y otros; apoyada por sucesivos gobiernos y Congresos, y activamente impulsada por la poderosa industria financiera en cada oportunidad, habían eliminado las medidas preventivas fundamentales que podían haber ayudado a evitar la catástrofe. Este enfoque había abierto huecos en la supervisión de áreas de importancia fundamental, con billones de dólares en riesgo, tales como el sistema bancario fantasma y el mercado extrabursátil (OTC) de derivados. Además, el gobierno permitió a las firmas financieras escoger a sus reguladores preferidos, en lo que llegó a ser una carrera por conseguir al supervisor más débil.  </w:t>
      </w:r>
    </w:p>
    <w:p w:rsidR="002F07D4" w:rsidRPr="006760CB" w:rsidRDefault="002F07D4" w:rsidP="002F07D4">
      <w:pPr>
        <w:pStyle w:val="NormalWeb"/>
        <w:jc w:val="both"/>
        <w:rPr>
          <w:bCs/>
        </w:rPr>
      </w:pPr>
      <w:r w:rsidRPr="006760CB">
        <w:rPr>
          <w:bCs/>
        </w:rPr>
        <w:lastRenderedPageBreak/>
        <w:t xml:space="preserve">Sin embargo, no aceptamos la opinión de que los reguladores no estaban facultados para proteger al sistema financiero. Tenían suficiente poder en muchas plazas y optaron por no utilizarlo. Daremos sólo tres ejemplos: la Comisión de Valores y Bolsas (SEC, siglas en inglés) pudo haber solicitado más capital y detenido las prácticas riesgosas en los grandes bancos de inversión. No lo hizo. El Banco de la Reserva Federal de Nueva York y otros reguladores pudieron haber tomado medidas drásticas contra los excesos de Citigroup en el período previo a la crisis. No lo hicieron. Los encargados de formular políticas y los reguladores pudieron haber detenido el tren desbocado de la bursatilización de hipotecas. No lo hicieron. En todos y cada uno de los casos, los reguladores continuaron calificando de sanas y sólidas a las instituciones a las que supervisaban, incluso frente a crecientes problemas, a menudo descalificándolas justo antes de su derrumbe. Y cuando los reguladores carecían de autoridad, la podrían haber procurado. Muy a menudo, </w:t>
      </w:r>
      <w:r>
        <w:rPr>
          <w:bCs/>
        </w:rPr>
        <w:t xml:space="preserve">les faltó la voluntad política </w:t>
      </w:r>
      <w:r w:rsidRPr="006760CB">
        <w:rPr>
          <w:bCs/>
        </w:rPr>
        <w:t>-en un ambiente polític</w:t>
      </w:r>
      <w:r>
        <w:rPr>
          <w:bCs/>
        </w:rPr>
        <w:t>o e ideológico que la limitaba-</w:t>
      </w:r>
      <w:r w:rsidRPr="006760CB">
        <w:rPr>
          <w:bCs/>
        </w:rPr>
        <w:t xml:space="preserve"> y de la fortaleza para desafiar críticamente a las instituciones y al sistema entero q</w:t>
      </w:r>
      <w:r>
        <w:rPr>
          <w:bCs/>
        </w:rPr>
        <w:t>ue se les encomendó supervisar.</w:t>
      </w:r>
    </w:p>
    <w:p w:rsidR="002F07D4" w:rsidRPr="006760CB" w:rsidRDefault="002F07D4" w:rsidP="002F07D4">
      <w:pPr>
        <w:pStyle w:val="NormalWeb"/>
        <w:jc w:val="both"/>
        <w:rPr>
          <w:bCs/>
        </w:rPr>
      </w:pPr>
      <w:r w:rsidRPr="006760CB">
        <w:rPr>
          <w:bCs/>
        </w:rPr>
        <w:t>En muchos casos se produjeron cambios en el sistema regulador mientras los mercados financieros evolucionaban. Pero como el informe mostrará, la propia industria financiera desempeñó un papel clave en el debilitamiento de las restricciones regulatorias sobre instituciones, mercados y productos. No sorprendió a la Comisión el que una industria de tal riqueza y poder ejerciera presión sobre los encargados de formular las políticas y los reguladores. De 1999 a 2000, el sector financiero gastó $</w:t>
      </w:r>
      <w:r>
        <w:rPr>
          <w:bCs/>
        </w:rPr>
        <w:t xml:space="preserve"> 2.</w:t>
      </w:r>
      <w:r w:rsidRPr="006760CB">
        <w:rPr>
          <w:bCs/>
        </w:rPr>
        <w:t>700 millones de dólares en gastos reportados de cabildeo federal; individuos y comités de acción política del sector sacaron más de $1</w:t>
      </w:r>
      <w:r>
        <w:rPr>
          <w:bCs/>
        </w:rPr>
        <w:t>.</w:t>
      </w:r>
      <w:r w:rsidRPr="006760CB">
        <w:rPr>
          <w:bCs/>
        </w:rPr>
        <w:t>000 millones de dólares en contribuciones de campaña. Lo que nos preocupó fue la medida en que la nación se vio privada de la fuerza y la independencia necesarias en la supervisión necesaria para garantizar la estabilidad financiera.</w:t>
      </w:r>
    </w:p>
    <w:p w:rsidR="002F07D4" w:rsidRPr="006760CB" w:rsidRDefault="002F07D4" w:rsidP="002F07D4">
      <w:pPr>
        <w:pStyle w:val="NormalWeb"/>
        <w:jc w:val="both"/>
        <w:rPr>
          <w:bCs/>
        </w:rPr>
      </w:pPr>
      <w:r w:rsidRPr="006760CB">
        <w:rPr>
          <w:b/>
          <w:bCs/>
        </w:rPr>
        <w:t xml:space="preserve">· </w:t>
      </w:r>
      <w:r w:rsidRPr="006760CB">
        <w:rPr>
          <w:bCs/>
        </w:rPr>
        <w:t xml:space="preserve">        Llegamos a la conclusión de que fallas impresionantes en la gestión empresarial y de minimización de riesgos en muchas instituciones financieras sistémicamente importantes fueron una causa decisiva de esta crisis. Existía la opinión de que los instintos de autoconservación al interior de las grandes firmas financieras las protegerían de tomar riesgos fatales, sin la necesidad de una mano reguladora firme, la cual, las empresas sostenían, podía reprimir la innovación. Muchas de estas instituciones actuaron temerariamente, asumiendo un riesgo muy elevado, con muy poco capital, y con una dependencia excesiva del financiamiento a corto plazo. En muchos aspectos, esto reflejaba un cambio fundamental en estas instituciones, en particular en los grandes bancos de inversión y en las compañías tenedoras bancarias, que centraron sus actividades cada vez más en transacciones riesgosas que producían enormes beneficios. Se expusieron enormemente al adquirir y suscribir a instituciones que hacían préstamos de alto riesgo, y al crear, empaquetar, reempaquetar y vender billones de dólares en títulos relacionados con hipotecas, incluidos productos financieros sintéticos. Como Ícaro, nunca temieron volar cada vez más cerca del Sol.</w:t>
      </w:r>
    </w:p>
    <w:p w:rsidR="002F07D4" w:rsidRPr="006760CB" w:rsidRDefault="002F07D4" w:rsidP="002F07D4">
      <w:pPr>
        <w:pStyle w:val="NormalWeb"/>
        <w:jc w:val="both"/>
        <w:rPr>
          <w:bCs/>
        </w:rPr>
      </w:pPr>
      <w:r w:rsidRPr="006760CB">
        <w:rPr>
          <w:bCs/>
        </w:rPr>
        <w:t>Muchas de estas instituciones crecieron agresivamente a través de estrategias de adquisición e integración mal ejecutadas que hicieron que la gestión eficaz resultara en un reto mayor. El director ejecutivo de Citigroup informó a l</w:t>
      </w:r>
      <w:r>
        <w:rPr>
          <w:bCs/>
        </w:rPr>
        <w:t>a Comisión que una posición $ 40.</w:t>
      </w:r>
      <w:r w:rsidRPr="006760CB">
        <w:rPr>
          <w:bCs/>
        </w:rPr>
        <w:t xml:space="preserve">000 millones de dólares en títulos hipotecarios de alta calificación “de ningún llamó mi atención”, y el codirector del banco de inversiones de Citigroup dijo </w:t>
      </w:r>
      <w:r w:rsidRPr="006760CB">
        <w:rPr>
          <w:bCs/>
        </w:rPr>
        <w:lastRenderedPageBreak/>
        <w:t>que dedicó “una pequeña fracción de 1%” de su tiempo a dichos valores. En este caso, demasiado grande para quebrar significaba demasiado g</w:t>
      </w:r>
      <w:r>
        <w:rPr>
          <w:bCs/>
        </w:rPr>
        <w:t>rande para manejarlo.</w:t>
      </w:r>
    </w:p>
    <w:p w:rsidR="002F07D4" w:rsidRPr="006760CB" w:rsidRDefault="002F07D4" w:rsidP="002F07D4">
      <w:pPr>
        <w:pStyle w:val="NormalWeb"/>
        <w:jc w:val="both"/>
        <w:rPr>
          <w:bCs/>
        </w:rPr>
      </w:pPr>
      <w:r w:rsidRPr="006760CB">
        <w:rPr>
          <w:bCs/>
        </w:rPr>
        <w:t>Las instituciones financieras y las agencias de calificación crediticia adoptaron modelos matemáticos como predictores confiables de riesgo, reemplazando el criterio en demasiados casos. Muy a menudo, la gestión de minimización del riesgo se convirtió en justificación del riesgo.</w:t>
      </w:r>
    </w:p>
    <w:p w:rsidR="002F07D4" w:rsidRPr="006760CB" w:rsidRDefault="002F07D4" w:rsidP="002F07D4">
      <w:pPr>
        <w:pStyle w:val="NormalWeb"/>
        <w:jc w:val="both"/>
        <w:rPr>
          <w:bCs/>
        </w:rPr>
      </w:pPr>
      <w:r>
        <w:rPr>
          <w:bCs/>
        </w:rPr>
        <w:t xml:space="preserve">Los sistemas de compensación </w:t>
      </w:r>
      <w:r w:rsidRPr="006760CB">
        <w:rPr>
          <w:bCs/>
        </w:rPr>
        <w:t>-diseñados en un entorno de dinero barato, intensa</w:t>
      </w:r>
      <w:r>
        <w:rPr>
          <w:bCs/>
        </w:rPr>
        <w:t xml:space="preserve"> competencia y regulación leve-</w:t>
      </w:r>
      <w:r w:rsidRPr="006760CB">
        <w:rPr>
          <w:bCs/>
        </w:rPr>
        <w:t xml:space="preserve"> con demasiada frecuencia recompensaron la transacción rápida, la ganancia a corto plazo, sin la debida consideración de las consecuencias a largo plazo. A menu</w:t>
      </w:r>
      <w:r>
        <w:rPr>
          <w:bCs/>
        </w:rPr>
        <w:t>do, esos sistemas alentaron la “gran apuesta”</w:t>
      </w:r>
      <w:r w:rsidRPr="006760CB">
        <w:rPr>
          <w:bCs/>
        </w:rPr>
        <w:t>, donde el beneficio podría ser enorme y el inconveniente limitado. Este fue el caso a todos los niveles, desde las salas de consejo corporativas hasta los corred</w:t>
      </w:r>
      <w:r>
        <w:rPr>
          <w:bCs/>
        </w:rPr>
        <w:t xml:space="preserve">ores hipotecarios en la calle. </w:t>
      </w:r>
    </w:p>
    <w:p w:rsidR="002F07D4" w:rsidRPr="006760CB" w:rsidRDefault="002F07D4" w:rsidP="002F07D4">
      <w:pPr>
        <w:pStyle w:val="NormalWeb"/>
        <w:jc w:val="both"/>
        <w:rPr>
          <w:bCs/>
        </w:rPr>
      </w:pPr>
      <w:r w:rsidRPr="006760CB">
        <w:rPr>
          <w:bCs/>
        </w:rPr>
        <w:t>Nuestra inspección reveló casos impresionantes de anomalías en la gestión e irresponsabilidad. Se podrá leer, entre otras cosas, sobre la ignorancia de los directivos de AIG sobre los términos y riesgos de la exposición de la compañía por $7</w:t>
      </w:r>
      <w:r>
        <w:rPr>
          <w:bCs/>
        </w:rPr>
        <w:t>9.</w:t>
      </w:r>
      <w:r w:rsidRPr="006760CB">
        <w:rPr>
          <w:bCs/>
        </w:rPr>
        <w:t>000 millones de dólares en derivados con títulos relacionados con hipotecas; la búsqueda de Fannie Mae de mayor participación en el mercado, ganancias y bonificaciones, que la llevaron a intensificar su exposición a préstamos y títulos riesgosos cuando el mercado inmobiliario estaba en su apogeo; y la costosa sorpresa cuando la alta gerencia de Merrill Lynch se dio cuenta de que la compañía poseía $</w:t>
      </w:r>
      <w:r>
        <w:rPr>
          <w:bCs/>
        </w:rPr>
        <w:t xml:space="preserve"> 55.</w:t>
      </w:r>
      <w:r w:rsidRPr="006760CB">
        <w:rPr>
          <w:bCs/>
        </w:rPr>
        <w:t>000 millones en títulos relacionados con hipotecas “súper-senior”, supuestamente “súper seguras”, que resultaron en miles de millones de dólares en pérdidas.</w:t>
      </w:r>
    </w:p>
    <w:p w:rsidR="002F07D4" w:rsidRPr="006760CB" w:rsidRDefault="002F07D4" w:rsidP="002F07D4">
      <w:pPr>
        <w:pStyle w:val="NormalWeb"/>
        <w:jc w:val="both"/>
        <w:rPr>
          <w:bCs/>
        </w:rPr>
      </w:pPr>
      <w:r w:rsidRPr="006760CB">
        <w:rPr>
          <w:b/>
          <w:bCs/>
        </w:rPr>
        <w:t>·</w:t>
      </w:r>
      <w:r w:rsidRPr="006760CB">
        <w:rPr>
          <w:bCs/>
        </w:rPr>
        <w:t xml:space="preserve">         Llegamos a la conclusión de que la combinación de un excesivo endeudamiento, inversiones arriesgadas y falta de transparencia puso al sistema financiero en rumbo a un encontronazo con la crisis. Es patente que esta vulnerabilidad se relaciona con deficiencias en la gestión empresarial y en la regulación, pero es en sí mismo suficientemente significativo para ju</w:t>
      </w:r>
      <w:r>
        <w:rPr>
          <w:bCs/>
        </w:rPr>
        <w:t>stificar nuestra atención aquí.</w:t>
      </w:r>
    </w:p>
    <w:p w:rsidR="002F07D4" w:rsidRPr="006760CB" w:rsidRDefault="002F07D4" w:rsidP="002F07D4">
      <w:pPr>
        <w:pStyle w:val="NormalWeb"/>
        <w:jc w:val="both"/>
        <w:rPr>
          <w:bCs/>
        </w:rPr>
      </w:pPr>
      <w:r w:rsidRPr="006760CB">
        <w:rPr>
          <w:bCs/>
        </w:rPr>
        <w:t>En los años previos a la crisis, muchas instituciones financieras, así como también muchos hogares, se endeudaron hasta el cuello, dejándolos vulnerables a las dificultades financieras o la ruina, si el valor de sus inversiones disminuía incluso ligeramente. Por ejemplo, a partir del 2007, los cinco p</w:t>
      </w:r>
      <w:r>
        <w:rPr>
          <w:bCs/>
        </w:rPr>
        <w:t>rincipales bancos de inversión -</w:t>
      </w:r>
      <w:r w:rsidRPr="006760CB">
        <w:rPr>
          <w:bCs/>
        </w:rPr>
        <w:t xml:space="preserve">Bear Stearns, Goldman Sachs, Lehman Brothers, </w:t>
      </w:r>
      <w:r>
        <w:rPr>
          <w:bCs/>
        </w:rPr>
        <w:t>Merrill Lynch y Morgan Stanley-</w:t>
      </w:r>
      <w:r w:rsidRPr="006760CB">
        <w:rPr>
          <w:bCs/>
        </w:rPr>
        <w:t xml:space="preserve"> operaban con un capital extraordinariamente escaso. De acuerdo a una medición, su proporción de apalancamiento llegó a 40 a 1, lo que significa que por cada $40 en activos, sólo había $1 en capital para cubrir las pérdidas. Una caída de menos de 3% en el valor de los activos podría hacer desaparecer una empresa. Para empeorar las cosas, gran parte de su endeudamiento era a corto plazo, en el mercado de 24 horas, es decir, el endeudamiento tenía que renovarse todos los días. Por ejemplo, a  finales del 2007, Bear Stearns tenía $</w:t>
      </w:r>
      <w:r>
        <w:rPr>
          <w:bCs/>
        </w:rPr>
        <w:t xml:space="preserve"> 11.</w:t>
      </w:r>
      <w:r w:rsidRPr="006760CB">
        <w:rPr>
          <w:bCs/>
        </w:rPr>
        <w:t xml:space="preserve">800 millones de </w:t>
      </w:r>
      <w:r w:rsidR="008A6AEF">
        <w:rPr>
          <w:bCs/>
        </w:rPr>
        <w:t xml:space="preserve">dólares en capital acumulado y </w:t>
      </w:r>
      <w:r w:rsidRPr="006760CB">
        <w:rPr>
          <w:bCs/>
        </w:rPr>
        <w:t>$</w:t>
      </w:r>
      <w:r>
        <w:rPr>
          <w:bCs/>
        </w:rPr>
        <w:t xml:space="preserve"> 383.</w:t>
      </w:r>
      <w:r w:rsidRPr="006760CB">
        <w:rPr>
          <w:bCs/>
        </w:rPr>
        <w:t>600 millones en pasivos, y estaba con</w:t>
      </w:r>
      <w:r>
        <w:rPr>
          <w:bCs/>
        </w:rPr>
        <w:t>trayendo préstamos de hasta $ 70.</w:t>
      </w:r>
      <w:r w:rsidRPr="006760CB">
        <w:rPr>
          <w:bCs/>
        </w:rPr>
        <w:t>000 millones en el mercado de un día para otro. Era el equivalente a un pequeño negocio con $</w:t>
      </w:r>
      <w:r>
        <w:rPr>
          <w:bCs/>
        </w:rPr>
        <w:t xml:space="preserve"> 50.</w:t>
      </w:r>
      <w:r w:rsidRPr="006760CB">
        <w:rPr>
          <w:bCs/>
        </w:rPr>
        <w:t>000 en capital, tomando préstamos de $</w:t>
      </w:r>
      <w:r>
        <w:rPr>
          <w:bCs/>
        </w:rPr>
        <w:t xml:space="preserve"> 1,</w:t>
      </w:r>
      <w:r w:rsidRPr="006760CB">
        <w:rPr>
          <w:bCs/>
        </w:rPr>
        <w:t>6 millones, con $</w:t>
      </w:r>
      <w:r>
        <w:rPr>
          <w:bCs/>
        </w:rPr>
        <w:t xml:space="preserve"> 296.</w:t>
      </w:r>
      <w:r w:rsidRPr="006760CB">
        <w:rPr>
          <w:bCs/>
        </w:rPr>
        <w:t>750 pagaderos cada día. Uno no se puede preguntar realm</w:t>
      </w:r>
      <w:r>
        <w:rPr>
          <w:bCs/>
        </w:rPr>
        <w:t>ente “¿en qué estaban pensando?”</w:t>
      </w:r>
      <w:r w:rsidRPr="006760CB">
        <w:rPr>
          <w:bCs/>
        </w:rPr>
        <w:t>, cuando al parecer demasiados de ellos estaban pensando en lo mismo.</w:t>
      </w:r>
    </w:p>
    <w:p w:rsidR="002F07D4" w:rsidRPr="006760CB" w:rsidRDefault="002F07D4" w:rsidP="002F07D4">
      <w:pPr>
        <w:pStyle w:val="NormalWeb"/>
        <w:jc w:val="both"/>
        <w:rPr>
          <w:bCs/>
        </w:rPr>
      </w:pPr>
      <w:r w:rsidRPr="006760CB">
        <w:rPr>
          <w:bCs/>
        </w:rPr>
        <w:lastRenderedPageBreak/>
        <w:t xml:space="preserve">Y a menudo se ocultaba el apalancamiento, en instrumentos derivados, financiamiento no contabilizado </w:t>
      </w:r>
      <w:r>
        <w:rPr>
          <w:bCs/>
        </w:rPr>
        <w:t>en los balances, y a través de “retocar”</w:t>
      </w:r>
      <w:r w:rsidRPr="006760CB">
        <w:rPr>
          <w:bCs/>
        </w:rPr>
        <w:t xml:space="preserve"> los informes financieros a disposic</w:t>
      </w:r>
      <w:r>
        <w:rPr>
          <w:bCs/>
        </w:rPr>
        <w:t xml:space="preserve">ión del público inversionista. </w:t>
      </w:r>
    </w:p>
    <w:p w:rsidR="002F07D4" w:rsidRPr="006760CB" w:rsidRDefault="002F07D4" w:rsidP="002F07D4">
      <w:pPr>
        <w:pStyle w:val="NormalWeb"/>
        <w:jc w:val="both"/>
        <w:rPr>
          <w:bCs/>
        </w:rPr>
      </w:pPr>
      <w:r w:rsidRPr="006760CB">
        <w:rPr>
          <w:bCs/>
        </w:rPr>
        <w:t>Los reyes del apalancamiento fueron Fannie Mae y Freddie Mac, las dos gigantes empresas patrocinadas por el gobierno (GSE, por siglas en inglés). Por ejemplo, a finales de 2007, la tasa de apalancamiento combinada de Fannie y Freddie, incluidos los préstamos que estas poseían y garantizaban, se situó en 75 a 1.</w:t>
      </w:r>
    </w:p>
    <w:p w:rsidR="002F07D4" w:rsidRPr="006760CB" w:rsidRDefault="002F07D4" w:rsidP="002F07D4">
      <w:pPr>
        <w:pStyle w:val="NormalWeb"/>
        <w:jc w:val="both"/>
        <w:rPr>
          <w:bCs/>
        </w:rPr>
      </w:pPr>
      <w:r w:rsidRPr="006760CB">
        <w:rPr>
          <w:bCs/>
        </w:rPr>
        <w:t>Pero las firmas financieras no estaban solas en la ola de endeudamiento: del 2001 al 2007, la deuda hipotecaria nacional casi se duplicó, y el importe de la deuda hipotecaria por hogar se incrementó más de 63%,  de $</w:t>
      </w:r>
      <w:r>
        <w:rPr>
          <w:bCs/>
        </w:rPr>
        <w:t xml:space="preserve"> 91.</w:t>
      </w:r>
      <w:r w:rsidRPr="006760CB">
        <w:rPr>
          <w:bCs/>
        </w:rPr>
        <w:t>500 a $</w:t>
      </w:r>
      <w:r>
        <w:rPr>
          <w:bCs/>
        </w:rPr>
        <w:t xml:space="preserve"> 149.</w:t>
      </w:r>
      <w:r w:rsidRPr="006760CB">
        <w:rPr>
          <w:bCs/>
        </w:rPr>
        <w:t>500 dólares, mientras que los salarios permanecían estancados. Cuando golpeó la recesión inmobiliaria, el golpe contundente lo recibieron por igual las familias y las compañí</w:t>
      </w:r>
      <w:r>
        <w:rPr>
          <w:bCs/>
        </w:rPr>
        <w:t xml:space="preserve">as financieras muy endeudadas. </w:t>
      </w:r>
    </w:p>
    <w:p w:rsidR="002F07D4" w:rsidRPr="006760CB" w:rsidRDefault="002F07D4" w:rsidP="002F07D4">
      <w:pPr>
        <w:pStyle w:val="NormalWeb"/>
        <w:jc w:val="both"/>
        <w:rPr>
          <w:bCs/>
        </w:rPr>
      </w:pPr>
      <w:r w:rsidRPr="006760CB">
        <w:rPr>
          <w:bCs/>
        </w:rPr>
        <w:t>La pesada deuda asumida por algunas instituciones financieras se vio agravada por los activos de riesgo que habían estado adquiriendo con esa deuda. Mientras que los mercados hipotecarios y de bienes raíces producían en masa títulos y préstamos más y más riesgosos, muchas instituciones financieras se cargaron de ellos. Para finales del 2007, Lehman había amasado $</w:t>
      </w:r>
      <w:r>
        <w:rPr>
          <w:bCs/>
        </w:rPr>
        <w:t xml:space="preserve"> 111.</w:t>
      </w:r>
      <w:r w:rsidRPr="006760CB">
        <w:rPr>
          <w:bCs/>
        </w:rPr>
        <w:t>000 millones en títulos y propiedades de inmuebles comerciales y residenciales, lo cual es casi el doble de lo que poseía tan sólo dos años antes, y más de cuatro veces su capital total. Y de nuevo, el riesgo no lo tomaban sólo las grandes firmas financieras, sino también las familias. Cerca de uno de cada 10 deudores de hipotecas en 2005 y 2006, tomaron préstamos de</w:t>
      </w:r>
      <w:r>
        <w:rPr>
          <w:bCs/>
        </w:rPr>
        <w:t xml:space="preserve"> mensualidad variable (llamada “opción ARM”</w:t>
      </w:r>
      <w:r w:rsidRPr="006760CB">
        <w:rPr>
          <w:bCs/>
        </w:rPr>
        <w:t xml:space="preserve"> en inglés) que significaba que podían optar por hacer pagos tan bajos que su saldo hipotecario se incrementaba cada mes.</w:t>
      </w:r>
    </w:p>
    <w:p w:rsidR="002F07D4" w:rsidRPr="006760CB" w:rsidRDefault="002F07D4" w:rsidP="002F07D4">
      <w:pPr>
        <w:pStyle w:val="NormalWeb"/>
        <w:jc w:val="both"/>
        <w:rPr>
          <w:bCs/>
        </w:rPr>
      </w:pPr>
      <w:r w:rsidRPr="006760CB">
        <w:rPr>
          <w:bCs/>
        </w:rPr>
        <w:t>Dentro del sistema financiero, los peligros de esta deuda se magnificaron debido a que no se requería transparencia ni se deseaba. El enorme endeudamiento de corto plazo, junto con las obligaciones no vistas por otros en el mercado, aumentaron las posibilidades de que el sistema se desbaratara rápidamente. En la primera parte del siglo 20 constru</w:t>
      </w:r>
      <w:r>
        <w:rPr>
          <w:bCs/>
        </w:rPr>
        <w:t xml:space="preserve">imos una serie de protecciones </w:t>
      </w:r>
      <w:r w:rsidRPr="006760CB">
        <w:rPr>
          <w:bCs/>
        </w:rPr>
        <w:t>-la Reserva Federal como prestamista de último recurso, el seguro federal de d</w:t>
      </w:r>
      <w:r>
        <w:rPr>
          <w:bCs/>
        </w:rPr>
        <w:t>epósitos, regulaciones amplias-</w:t>
      </w:r>
      <w:r w:rsidRPr="006760CB">
        <w:rPr>
          <w:bCs/>
        </w:rPr>
        <w:t xml:space="preserve"> para tener un bastión contra los pánicos que habían asolado regularmente al sistema bancario norteamericano en el siglo 19. Sin embargo, en los últimos 30 años y pico, hemos permitido el crecimiento d</w:t>
      </w:r>
      <w:r>
        <w:rPr>
          <w:bCs/>
        </w:rPr>
        <w:t xml:space="preserve">e un sistema bancario fantasma </w:t>
      </w:r>
      <w:r w:rsidRPr="006760CB">
        <w:rPr>
          <w:bCs/>
        </w:rPr>
        <w:t xml:space="preserve">-turbio y </w:t>
      </w:r>
      <w:r>
        <w:rPr>
          <w:bCs/>
        </w:rPr>
        <w:t>cargado de deuda a corto plazo-</w:t>
      </w:r>
      <w:r w:rsidRPr="006760CB">
        <w:rPr>
          <w:bCs/>
        </w:rPr>
        <w:t xml:space="preserve"> que rivaliza en tamaño con el sistema bancario tradicional. Los componentes clav</w:t>
      </w:r>
      <w:r>
        <w:rPr>
          <w:bCs/>
        </w:rPr>
        <w:t xml:space="preserve">e del mercado </w:t>
      </w:r>
      <w:r w:rsidRPr="006760CB">
        <w:rPr>
          <w:bCs/>
        </w:rPr>
        <w:t>-por ejemplo, el multib</w:t>
      </w:r>
      <w:r>
        <w:rPr>
          <w:bCs/>
        </w:rPr>
        <w:t>illonario mercado de préstamos “repo”</w:t>
      </w:r>
      <w:r w:rsidRPr="006760CB">
        <w:rPr>
          <w:bCs/>
        </w:rPr>
        <w:t>, entidades que no presentan balances públicos, y el uso de d</w:t>
      </w:r>
      <w:r>
        <w:rPr>
          <w:bCs/>
        </w:rPr>
        <w:t>erivados extrabursátiles (OTC)-</w:t>
      </w:r>
      <w:r w:rsidRPr="006760CB">
        <w:rPr>
          <w:bCs/>
        </w:rPr>
        <w:t xml:space="preserve"> se ocultaron a la vista, sin las protecciones que habíamos construido para evitar debacles financieras. Teníamos un sistema financiero del siglo 21 con salvaguardas del siglo 19.</w:t>
      </w:r>
    </w:p>
    <w:p w:rsidR="002F07D4" w:rsidRPr="006760CB" w:rsidRDefault="002F07D4" w:rsidP="002F07D4">
      <w:pPr>
        <w:pStyle w:val="NormalWeb"/>
        <w:jc w:val="both"/>
        <w:rPr>
          <w:bCs/>
        </w:rPr>
      </w:pPr>
      <w:r w:rsidRPr="006760CB">
        <w:rPr>
          <w:bCs/>
        </w:rPr>
        <w:t>Cuando los mercados inmobiliario e hipotecario cayeron en picada, la falta de transparencia, las cargas extraordinarias de deuda, los préstamos a corto plazo y los activos de riesgo pasaron factura. El resultado fue el pánico. Habíamos cose</w:t>
      </w:r>
      <w:r>
        <w:rPr>
          <w:bCs/>
        </w:rPr>
        <w:t>chado lo que habíamos sembrado.</w:t>
      </w:r>
    </w:p>
    <w:p w:rsidR="002F07D4" w:rsidRPr="006760CB" w:rsidRDefault="002F07D4" w:rsidP="002F07D4">
      <w:pPr>
        <w:pStyle w:val="NormalWeb"/>
        <w:jc w:val="both"/>
        <w:rPr>
          <w:bCs/>
        </w:rPr>
      </w:pPr>
      <w:r w:rsidRPr="006760CB">
        <w:rPr>
          <w:b/>
          <w:bCs/>
        </w:rPr>
        <w:lastRenderedPageBreak/>
        <w:t xml:space="preserve">· </w:t>
      </w:r>
      <w:r w:rsidRPr="006760CB">
        <w:rPr>
          <w:bCs/>
        </w:rPr>
        <w:t xml:space="preserve">        Llegamos a la conclusión de que el gobierno estaba mal preparado para la crisis, y su respuesta inconsistente contribuyó a la incertidumbre y al pánico en los mercados financieros. Como parte de nuestras obligaciones, resultó apropiado examinar las medidas adoptadas por el gobierno en respuesta a la crisis en pleno desarrollo, y no sólo a las medidas o acciones que la precedieron, para determinar si alguna de esas respuestas contribuyó a la crisis o la agravó.</w:t>
      </w:r>
    </w:p>
    <w:p w:rsidR="002F07D4" w:rsidRPr="006760CB" w:rsidRDefault="002F07D4" w:rsidP="002F07D4">
      <w:pPr>
        <w:pStyle w:val="NormalWeb"/>
        <w:jc w:val="both"/>
        <w:rPr>
          <w:bCs/>
        </w:rPr>
      </w:pPr>
      <w:r w:rsidRPr="006760CB">
        <w:rPr>
          <w:bCs/>
        </w:rPr>
        <w:t>Como muestra nuestro informe, los principales en</w:t>
      </w:r>
      <w:r>
        <w:rPr>
          <w:bCs/>
        </w:rPr>
        <w:t>cargados de formular políticas -</w:t>
      </w:r>
      <w:r w:rsidRPr="006760CB">
        <w:rPr>
          <w:bCs/>
        </w:rPr>
        <w:t>el Departamento del Tesoro, la Junta de Gobernadores de la Reserva Federal, y el Banco de la Reserva Fede</w:t>
      </w:r>
      <w:r>
        <w:rPr>
          <w:bCs/>
        </w:rPr>
        <w:t>ral de Nueva York-</w:t>
      </w:r>
      <w:r w:rsidRPr="006760CB">
        <w:rPr>
          <w:bCs/>
        </w:rPr>
        <w:t xml:space="preserve"> que estaban mejor colocados para vigilar nuestros mercados, no estaban preparados para los acontecimientos del 2007 y 2008. Otros organismos también estaban en desventaja. Estos se vieron obstaculizados debido a que no tenían una idea clara del sistema financiero que se les encargó supervisar, especialmente en lo que este se había convertido en los años previos a la crisis. Esto se debió en gran medida a la falta de transparencia en los mercados principales. Pensaban que el riesgo se había diversificado, cuando en realidad, se había concentrado. Una y otra vez, desde la primavera de 2007 en adelante, los encargados de formular políticas y los reguladores fueron tomados por sorpresa cuando el contagio se extendió, respondiendo sobre la marcha con programas específicos para tapar la fractura del dique con los dedos. No hubo un plan integral y estratégico para la contención, debido a que no tenían una comprensión cabal de los riesgos y las interconexiones de los mercados financieros. Algunos reguladores han reconocido este error. Permitimos que el sistema corriera más rápido que nue</w:t>
      </w:r>
      <w:r>
        <w:rPr>
          <w:bCs/>
        </w:rPr>
        <w:t>stra capacidad para protegerlo.</w:t>
      </w:r>
    </w:p>
    <w:p w:rsidR="002F07D4" w:rsidRDefault="002F07D4" w:rsidP="002F07D4">
      <w:pPr>
        <w:pStyle w:val="NormalWeb"/>
        <w:jc w:val="both"/>
        <w:rPr>
          <w:bCs/>
        </w:rPr>
      </w:pPr>
      <w:r w:rsidRPr="006760CB">
        <w:rPr>
          <w:bCs/>
        </w:rPr>
        <w:t>Si bien hubo cierta conciencia, o por lo menos debate acerca de la burbuja inmobiliaria, del expediente se desprende que los altos funcionarios públicos no reconocieron que un estallido de la burbuja podría poner en peligro a todo el sistema financiero. En el transcurso del verano de 2007, tanto el jefe de la Reserva Federal, Ben Bernanke, como el secretario del Tesoro, Henry Paulson, garantizaron públicamente que las turbulencias en los mercados de hipotecas de alto riesgo se podrían contener. Cuando los fondos de cobertura de Bear Stearns, que se habían invertido enormemente en valores relacionados con hipotecas, implosionaron en junio del 2007, la Reserva Federal analizó las implicaciones del derrumbe. A pesar de que otros muchos fondos estaban expuestos a los mismos riesgos que los fondos de cobertura, se pensó que los fondos de Bear Stearns eran “relativamente únicos”. Días antes del colapso de Bear Stearns en marzo del 2008, el presidente de la SEC, Christopher Cox, expresó su “alivio respecto a las reservas de capital” en los grandes bancos de inversión. No fue sino hasta agosto del 2008, pocas semanas antes de la adquisición de Fannie Mae y Freddie Mac por parte del gobierno, que el Departamento del Tesoro entendió la extensión plena de las graves condiciones financieras de estas dos instituciones. Y justo un mes antes del derrumbe de Lehman, el Banco de la Reserva Federal de Nueva York todavía estaba buscando información sobre la expos</w:t>
      </w:r>
      <w:r>
        <w:rPr>
          <w:bCs/>
        </w:rPr>
        <w:t>ición creada por los más de 900.</w:t>
      </w:r>
      <w:r w:rsidRPr="006760CB">
        <w:rPr>
          <w:bCs/>
        </w:rPr>
        <w:t>000 contratos de derivados de Lehman.</w:t>
      </w:r>
    </w:p>
    <w:p w:rsidR="002F07D4" w:rsidRPr="006760CB" w:rsidRDefault="002F07D4" w:rsidP="002F07D4">
      <w:pPr>
        <w:pStyle w:val="NormalWeb"/>
        <w:jc w:val="both"/>
        <w:rPr>
          <w:bCs/>
        </w:rPr>
      </w:pPr>
      <w:r w:rsidRPr="006760CB">
        <w:rPr>
          <w:bCs/>
        </w:rPr>
        <w:t>Además, el manejo inconsistente de las principales instituciones financieras durante la</w:t>
      </w:r>
      <w:r>
        <w:rPr>
          <w:bCs/>
        </w:rPr>
        <w:t xml:space="preserve"> crisis por parte del gobierno </w:t>
      </w:r>
      <w:r w:rsidRPr="006760CB">
        <w:rPr>
          <w:bCs/>
        </w:rPr>
        <w:t>-la decisión de rescatar a Bear Stearns y después de colocar a Fannie Mae y  Freddie Mac bajo tutela, seguido de su decisión de no salvar a Lehman B</w:t>
      </w:r>
      <w:r>
        <w:rPr>
          <w:bCs/>
        </w:rPr>
        <w:t>rothers y después salvar a AIG-</w:t>
      </w:r>
      <w:r w:rsidRPr="006760CB">
        <w:rPr>
          <w:bCs/>
        </w:rPr>
        <w:t xml:space="preserve"> aumentó la incertidum</w:t>
      </w:r>
      <w:r>
        <w:rPr>
          <w:bCs/>
        </w:rPr>
        <w:t xml:space="preserve">bre y el pánico en el mercado. </w:t>
      </w:r>
    </w:p>
    <w:p w:rsidR="002F07D4" w:rsidRPr="006760CB" w:rsidRDefault="002F07D4" w:rsidP="002F07D4">
      <w:pPr>
        <w:pStyle w:val="NormalWeb"/>
        <w:jc w:val="both"/>
        <w:rPr>
          <w:bCs/>
        </w:rPr>
      </w:pPr>
      <w:r w:rsidRPr="006760CB">
        <w:rPr>
          <w:bCs/>
        </w:rPr>
        <w:lastRenderedPageBreak/>
        <w:t>Al hacer estas observaciones, respetamos y apreciamos profundamente los esfuerzos realizados por el secretario Paulson, el presidente de la Fed Bernanke, y Timothy Geithner, entonces presidente del Banco de la Reserva Federal de Nueva York y ahora secretario del Tesoro, y de muchos otros que trabajaron para estabilizar nuestro sistema financiero y nuestra economía en la más caótica y difícil de las circunstancias.</w:t>
      </w:r>
    </w:p>
    <w:p w:rsidR="002F07D4" w:rsidRPr="006760CB" w:rsidRDefault="002F07D4" w:rsidP="002F07D4">
      <w:pPr>
        <w:pStyle w:val="NormalWeb"/>
        <w:jc w:val="both"/>
        <w:rPr>
          <w:bCs/>
        </w:rPr>
      </w:pPr>
      <w:r w:rsidRPr="006760CB">
        <w:rPr>
          <w:b/>
          <w:bCs/>
        </w:rPr>
        <w:t xml:space="preserve">·  </w:t>
      </w:r>
      <w:r w:rsidRPr="006760CB">
        <w:rPr>
          <w:bCs/>
        </w:rPr>
        <w:t xml:space="preserve">       Llegamos a la conclusión de que hubo un colapso sistémico en la obligación de dar cuentas y en la ética. La integridad de nuestros mercados financieros y la confianza del público en esos mercados son esenciales para el bienestar económico de nuestra nación. La solidez y la prosperidad sostenida del sistema financiero y nuestra economía se basan en los conceptos de trato justo, responsabilidad y transparencia. En nuestra economía, se espera que las empresas y los individuos obtengan ganancias, al mismo tiempo que producen productos y servicios de calidad</w:t>
      </w:r>
      <w:r>
        <w:rPr>
          <w:bCs/>
        </w:rPr>
        <w:t>, y se comporten correctamente.</w:t>
      </w:r>
    </w:p>
    <w:p w:rsidR="002F07D4" w:rsidRPr="006760CB" w:rsidRDefault="002F07D4" w:rsidP="002F07D4">
      <w:pPr>
        <w:pStyle w:val="NormalWeb"/>
        <w:jc w:val="both"/>
        <w:rPr>
          <w:bCs/>
        </w:rPr>
      </w:pPr>
      <w:r>
        <w:rPr>
          <w:bCs/>
        </w:rPr>
        <w:t xml:space="preserve">Desafortunadamente </w:t>
      </w:r>
      <w:r w:rsidRPr="006760CB">
        <w:rPr>
          <w:bCs/>
        </w:rPr>
        <w:t>-como ha ocurrido en los auges y des</w:t>
      </w:r>
      <w:r>
        <w:rPr>
          <w:bCs/>
        </w:rPr>
        <w:t>calabros especulativos pasados-</w:t>
      </w:r>
      <w:r w:rsidRPr="006760CB">
        <w:rPr>
          <w:bCs/>
        </w:rPr>
        <w:t xml:space="preserve"> hemos sido testigos de una erosión de las normas de responsabilidad y ética que ha exacerbado la crisis financiera. Esto no fue generalizado, pero estas infracciones se extendían desde la base hasta las salas ejecutivas. Estas infracciones no sólo produjeron importantes consecuencias financieras, sino también el daño en la confianza de los inversionistas, las empresas y el público en el sistema financiero.</w:t>
      </w:r>
    </w:p>
    <w:p w:rsidR="002F07D4" w:rsidRPr="006760CB" w:rsidRDefault="002F07D4" w:rsidP="002F07D4">
      <w:pPr>
        <w:pStyle w:val="NormalWeb"/>
        <w:jc w:val="both"/>
        <w:rPr>
          <w:bCs/>
        </w:rPr>
      </w:pPr>
      <w:r w:rsidRPr="006760CB">
        <w:rPr>
          <w:bCs/>
        </w:rPr>
        <w:t>Por ejemplo, nuestra investigación encontró que, según una estimación, el porcentaje de deudores que cayeron en incumplimiento de sus hipotecas en sólo cuestión de meses después de tomar un préstamo, casi se duplicó desde el verano del 2006 hasta finales de 2007. Estos datos indican que ellos probablemente sacaron hipotecas que nunca tuvieron la capacidad o la intención de pagar. Se podrá leer acerca de los corredores hipotecarios a los que los prestamistas pagaban “primas de margen de rendimiento” por colocar a los prestatarios en préstamos de más altos costos, de modo que los prestamistas pudieran obtener mayores ganancias, a menudo nunca revelado a los prestatarios. El informe cataloga la creciente incidencia de fraudes hipotecarios, que florecieron en un ambiente de hundimiento de las normas de crédito y regulación laxa. El número de in</w:t>
      </w:r>
      <w:r>
        <w:rPr>
          <w:bCs/>
        </w:rPr>
        <w:t xml:space="preserve">formes de actividad sospechosa </w:t>
      </w:r>
      <w:r w:rsidRPr="006760CB">
        <w:rPr>
          <w:bCs/>
        </w:rPr>
        <w:t>-informes de posibles delitos financieros presentados por los ban</w:t>
      </w:r>
      <w:r>
        <w:rPr>
          <w:bCs/>
        </w:rPr>
        <w:t xml:space="preserve">cos de depósito y sus filiales- </w:t>
      </w:r>
      <w:r w:rsidRPr="006760CB">
        <w:rPr>
          <w:bCs/>
        </w:rPr>
        <w:t>relacionados con fraudes hipotecarios creció 20 veces entre 1996 y 2005 y luego en más del doble entre 2005 y 2009. Un estudio coloca las pérdidas por fraude en préstamos hipotecarios entre 2005 y 2007 en $</w:t>
      </w:r>
      <w:r>
        <w:rPr>
          <w:bCs/>
        </w:rPr>
        <w:t xml:space="preserve"> 112.</w:t>
      </w:r>
      <w:r w:rsidRPr="006760CB">
        <w:rPr>
          <w:bCs/>
        </w:rPr>
        <w:t>000 millone</w:t>
      </w:r>
      <w:r>
        <w:rPr>
          <w:bCs/>
        </w:rPr>
        <w:t>s de dólares.</w:t>
      </w:r>
    </w:p>
    <w:p w:rsidR="002F07D4" w:rsidRPr="006760CB" w:rsidRDefault="002F07D4" w:rsidP="002F07D4">
      <w:pPr>
        <w:pStyle w:val="NormalWeb"/>
        <w:jc w:val="both"/>
        <w:rPr>
          <w:bCs/>
        </w:rPr>
      </w:pPr>
      <w:r w:rsidRPr="006760CB">
        <w:rPr>
          <w:bCs/>
        </w:rPr>
        <w:t>Los prestamistas hicieron préstamos que sabían que los deudores no podían pagar y que podrían causar enormes pérdidas a los inversionistas en títulos hipotecarios. Ya en septiembre del 2004, ejecutivos de Countrywide reconocieron que muchos de los préstamos que ellos estaban</w:t>
      </w:r>
      <w:r>
        <w:rPr>
          <w:bCs/>
        </w:rPr>
        <w:t xml:space="preserve"> generando podrían dar lugar a “consecuencias catastróficas”</w:t>
      </w:r>
      <w:r w:rsidRPr="006760CB">
        <w:rPr>
          <w:bCs/>
        </w:rPr>
        <w:t>. Menos de un año más tarde, observaron que ciertos préstamos de alto riesgo que estaban haciendo podrían resultar no sólo en embargos</w:t>
      </w:r>
      <w:r>
        <w:rPr>
          <w:bCs/>
        </w:rPr>
        <w:t xml:space="preserve"> hipotecarias, sino también en “</w:t>
      </w:r>
      <w:r w:rsidRPr="006760CB">
        <w:rPr>
          <w:bCs/>
        </w:rPr>
        <w:t>catást</w:t>
      </w:r>
      <w:r>
        <w:rPr>
          <w:bCs/>
        </w:rPr>
        <w:t>rofe financiera y de reputación”</w:t>
      </w:r>
      <w:r w:rsidRPr="006760CB">
        <w:rPr>
          <w:bCs/>
        </w:rPr>
        <w:t xml:space="preserve"> para la empresa. Pero no se detuvieron. </w:t>
      </w:r>
    </w:p>
    <w:p w:rsidR="002F07D4" w:rsidRPr="006760CB" w:rsidRDefault="002F07D4" w:rsidP="002F07D4">
      <w:pPr>
        <w:pStyle w:val="NormalWeb"/>
        <w:jc w:val="both"/>
        <w:rPr>
          <w:bCs/>
        </w:rPr>
      </w:pPr>
      <w:r w:rsidRPr="006760CB">
        <w:rPr>
          <w:bCs/>
        </w:rPr>
        <w:t xml:space="preserve">Y el informe documenta que las principales instituciones financieras hicieron muestras ineficientes de los préstamos que compraban para empaquetarlos y vender a los inversionistas. Ellos sabían que un porcentaje significativo de los préstamos muestreados no cumplía con sus propios criterios de evaluación de riesgos ni de los que </w:t>
      </w:r>
      <w:r w:rsidRPr="006760CB">
        <w:rPr>
          <w:bCs/>
        </w:rPr>
        <w:lastRenderedPageBreak/>
        <w:t>originaron los préstamos. Sin embargo, vendieron esos títulos a los inversionistas. La revisión de la Comisión de muchos folletos proporcionados a los  inversionistas encontró que e</w:t>
      </w:r>
      <w:r>
        <w:rPr>
          <w:bCs/>
        </w:rPr>
        <w:t>sta información no era pública.</w:t>
      </w:r>
    </w:p>
    <w:p w:rsidR="002F07D4" w:rsidRPr="006760CB" w:rsidRDefault="002F07D4" w:rsidP="002F07D4">
      <w:pPr>
        <w:pStyle w:val="NormalWeb"/>
        <w:jc w:val="both"/>
        <w:rPr>
          <w:bCs/>
        </w:rPr>
      </w:pPr>
      <w:r w:rsidRPr="00887E14">
        <w:rPr>
          <w:b/>
          <w:bCs/>
        </w:rPr>
        <w:t>Estas Conclusiones</w:t>
      </w:r>
      <w:r w:rsidRPr="006760CB">
        <w:rPr>
          <w:bCs/>
        </w:rPr>
        <w:t>se deben considerar en el contexto de la naturaleza humana y la responsabilidad individual y social. Primero, achacar esta crisis a defectos mortales como la codicia y la arrogancia sería simplista. Lo pertinente en esta crisis fue no haber tomado en cuenta la debilidad humana.</w:t>
      </w:r>
    </w:p>
    <w:p w:rsidR="002F07D4" w:rsidRPr="006760CB" w:rsidRDefault="002F07D4" w:rsidP="002F07D4">
      <w:pPr>
        <w:pStyle w:val="NormalWeb"/>
        <w:jc w:val="both"/>
        <w:rPr>
          <w:bCs/>
        </w:rPr>
      </w:pPr>
      <w:r w:rsidRPr="006760CB">
        <w:rPr>
          <w:bCs/>
        </w:rPr>
        <w:t>Segundo, consideramos contundentemente que la crisis fue el resultado de errores humanos, errores de juicio, y transgresiones que dieron lugar a fallas sistémicas por las que nuestra nación ha pagado muy caro. Al leer este informe, se verá que empresas específicas e individuos actuaron de modo irresponsable. Sin embargo, una crisis de esta magnitud no puede ser obra de unos cuantos malhechores, y ese no fue el caso. Al mismo tiempo, la amplitud d</w:t>
      </w:r>
      <w:r>
        <w:rPr>
          <w:bCs/>
        </w:rPr>
        <w:t>e esta crisis no significa que “todo el mundo tiene la culpa”</w:t>
      </w:r>
      <w:r w:rsidRPr="006760CB">
        <w:rPr>
          <w:bCs/>
        </w:rPr>
        <w:t>; muchas empresas e individuos no participaron en los exceso</w:t>
      </w:r>
      <w:r>
        <w:rPr>
          <w:bCs/>
        </w:rPr>
        <w:t xml:space="preserve">s que engendraron el desastre. </w:t>
      </w:r>
    </w:p>
    <w:p w:rsidR="002F07D4" w:rsidRPr="006760CB" w:rsidRDefault="002F07D4" w:rsidP="002F07D4">
      <w:pPr>
        <w:pStyle w:val="NormalWeb"/>
        <w:jc w:val="both"/>
        <w:rPr>
          <w:bCs/>
        </w:rPr>
      </w:pPr>
      <w:r w:rsidRPr="006760CB">
        <w:rPr>
          <w:bCs/>
        </w:rPr>
        <w:t>Sí fincamos especial responsabilidad en los dirigentes públicos encargados de la protección de nuestro sistema financiero, los encargados de dirigir nuestros organismos reguladores, y los directores ejecutivos de las empresas cuyas bancarrotas nos llevaron a la crisis. Estos individuos procuraron y aceptaron puestos de gran responsabilidad y compromiso. La actitud de los altos mandos sí importa, y en este caso,</w:t>
      </w:r>
      <w:r>
        <w:rPr>
          <w:bCs/>
        </w:rPr>
        <w:t xml:space="preserve"> nos defraudaron. Ninguno dijo “no”</w:t>
      </w:r>
      <w:r w:rsidRPr="006760CB">
        <w:rPr>
          <w:bCs/>
        </w:rPr>
        <w:t>.</w:t>
      </w:r>
    </w:p>
    <w:p w:rsidR="002F07D4" w:rsidRPr="006760CB" w:rsidRDefault="002F07D4" w:rsidP="002F07D4">
      <w:pPr>
        <w:pStyle w:val="NormalWeb"/>
        <w:jc w:val="both"/>
        <w:rPr>
          <w:bCs/>
        </w:rPr>
      </w:pPr>
      <w:r w:rsidRPr="006760CB">
        <w:rPr>
          <w:bCs/>
        </w:rPr>
        <w:t>Pero como nación, también debemos aceptar la responsabilidad por lo que permitimos que sucediera. Colectivamente, pero ciertamente no de forma unánime, consentimos o adoptamos un sistema, un conjunto de directrices y acciones, que dieron ori</w:t>
      </w:r>
      <w:r>
        <w:rPr>
          <w:bCs/>
        </w:rPr>
        <w:t>gen a nuestra situación actual.</w:t>
      </w:r>
    </w:p>
    <w:p w:rsidR="002F07D4" w:rsidRPr="006760CB" w:rsidRDefault="002F07D4" w:rsidP="002F07D4">
      <w:pPr>
        <w:pStyle w:val="NormalWeb"/>
        <w:jc w:val="both"/>
        <w:rPr>
          <w:bCs/>
        </w:rPr>
      </w:pPr>
      <w:r w:rsidRPr="006760CB">
        <w:rPr>
          <w:bCs/>
        </w:rPr>
        <w:t>*  *  *</w:t>
      </w:r>
    </w:p>
    <w:p w:rsidR="002F07D4" w:rsidRPr="006760CB" w:rsidRDefault="002F07D4" w:rsidP="002F07D4">
      <w:pPr>
        <w:pStyle w:val="NormalWeb"/>
        <w:jc w:val="both"/>
        <w:rPr>
          <w:bCs/>
        </w:rPr>
      </w:pPr>
      <w:r w:rsidRPr="00887E14">
        <w:rPr>
          <w:b/>
          <w:bCs/>
        </w:rPr>
        <w:t>Este Informe describe los acontecimientos</w:t>
      </w:r>
      <w:r w:rsidRPr="006760CB">
        <w:rPr>
          <w:bCs/>
        </w:rPr>
        <w:t xml:space="preserve"> y el sistema que propulsó a nuestra nación hacia la crisis. La compleja maquinaria de nuestros mercados financieros tiene muchos engranajes esenciales, algunos de los cuales jugaron un papel fundamental cuando se desenvolvió la crisis y se profundizó. Aquí presentamos nuestras conclusiones sobre componentes específicos del sistema que creemos que han contribuido significativamente al desplome financiero.</w:t>
      </w:r>
    </w:p>
    <w:p w:rsidR="002F07D4" w:rsidRPr="006760CB" w:rsidRDefault="002F07D4" w:rsidP="002F07D4">
      <w:pPr>
        <w:pStyle w:val="NormalWeb"/>
        <w:jc w:val="both"/>
        <w:rPr>
          <w:bCs/>
        </w:rPr>
      </w:pPr>
      <w:r w:rsidRPr="006760CB">
        <w:rPr>
          <w:b/>
          <w:bCs/>
        </w:rPr>
        <w:t>·</w:t>
      </w:r>
      <w:r w:rsidRPr="006760CB">
        <w:rPr>
          <w:bCs/>
        </w:rPr>
        <w:t xml:space="preserve">         Llegamos a la conclusión de que el derrumbe de las normas para préstamo hipotecario y los conductos de la bursatilización de las hipotecas encendieron y esparcieron la llama del contagio de la crisis. Cuando cayeron los precios de las viviendas y los deudores de las hipotecas entraron en incumplimiento, las luces empezaron a debilitarse en Wall Street. Este informe cataloga la corrosión de las normas para préstamos hipotecario</w:t>
      </w:r>
      <w:r>
        <w:rPr>
          <w:bCs/>
        </w:rPr>
        <w:t>s</w:t>
      </w:r>
      <w:r w:rsidRPr="006760CB">
        <w:rPr>
          <w:bCs/>
        </w:rPr>
        <w:t xml:space="preserve"> y los conductos de la bursatilización que transportó hipotecas tóxicas de los vecindarios de un extremo a otro de los Estados Unidos a los inversionistas de todo el mun</w:t>
      </w:r>
      <w:r>
        <w:rPr>
          <w:bCs/>
        </w:rPr>
        <w:t xml:space="preserve">do. </w:t>
      </w:r>
    </w:p>
    <w:p w:rsidR="002F07D4" w:rsidRPr="006760CB" w:rsidRDefault="002F07D4" w:rsidP="002F07D4">
      <w:pPr>
        <w:pStyle w:val="NormalWeb"/>
        <w:jc w:val="both"/>
        <w:rPr>
          <w:bCs/>
        </w:rPr>
      </w:pPr>
      <w:r w:rsidRPr="006760CB">
        <w:rPr>
          <w:bCs/>
        </w:rPr>
        <w:t xml:space="preserve">Muchos prestamistas hipotecarios fijaron el tope tan bajo que simplemente basaron las calificaciones de ansiosos aspirantes a crédito en la fe, a menudo sin tomar en cuenta </w:t>
      </w:r>
      <w:r w:rsidRPr="006760CB">
        <w:rPr>
          <w:bCs/>
        </w:rPr>
        <w:lastRenderedPageBreak/>
        <w:t xml:space="preserve">para nada la capacidad de pago de los aspirantes. Cerca de un cuarto de todas las hipotecas creadas en la primera mitad de 2005 fueron préstamos que abonaban sólo intereses. Durante el mismo año, 68% de los préstamos de abono variable (“opción ARM”) originados por Countrywide y Washington Mutual tenían como requisitos poca o ninguna documentación. </w:t>
      </w:r>
    </w:p>
    <w:p w:rsidR="002F07D4" w:rsidRPr="006760CB" w:rsidRDefault="002F07D4" w:rsidP="002F07D4">
      <w:pPr>
        <w:pStyle w:val="NormalWeb"/>
        <w:jc w:val="both"/>
        <w:rPr>
          <w:bCs/>
        </w:rPr>
      </w:pPr>
      <w:r w:rsidRPr="006760CB">
        <w:rPr>
          <w:bCs/>
        </w:rPr>
        <w:t xml:space="preserve">Estas pautas no eran secretas. En tanto que se volvía más común la práctica de otorgar créditos irresponsablemente, incluyendo prácticas depredadoras y fraudulentas, la Reserva Federal y otros organismos reguladores y autoridades escucharon advertencias provenientes de muchos círculos. Sin embargo la Reserva Federal descuidó su misión de “asegurar la seguridad y solidez del sistema bancario y financiero de la nación, y proteger los derechos crediticios de los consumidores”. No construyó el muro de contención antes de que fuera demasiado tarde. Y la Contraloría de la Moneda y la Dirección de Supervisión de Entidades de Ahorro y Préstamo (Office of Thrift Supervision, OTS), al verse envueltas en luchas internas por el control, obstaculizaron a los reguladores estatales el refrenar los abusos. </w:t>
      </w:r>
    </w:p>
    <w:p w:rsidR="002F07D4" w:rsidRPr="006760CB" w:rsidRDefault="002F07D4" w:rsidP="002F07D4">
      <w:pPr>
        <w:pStyle w:val="NormalWeb"/>
        <w:jc w:val="both"/>
        <w:rPr>
          <w:bCs/>
        </w:rPr>
      </w:pPr>
      <w:r w:rsidRPr="006760CB">
        <w:rPr>
          <w:bCs/>
        </w:rPr>
        <w:t>Aunque muchas de estas hipotecas se mantuvieron en los libros de los bancos, la mayor parte del dinero vino de inversionistas de todo el mundo que pedían a gritos meter su dinero en los recién creados títulos relacionados con hipotecas. A las instituciones financieras, los inversionistas y a los reguladores por igual les parecía que se había conquistado el riesgo: los inversionistas poseían títulos con altas calificaciones que pensaban que era seguro que iban a dar rendimientos; los bancos pensaban que habían sacado de sus libros los créditos más riesgosos; y los reguladores veían que las compañías obtenían ganancias y que los costos de los créditos se habían reducido. Pero cada paso en el conducto de la bursatilización de las hipotecas dependía del siguiente paso para permitir que continuara la demanda. De los especuladores que aventaban casas a los corredores hipotecarios que exploraban los créditos, a los prestamistas que emitían las hipotecas, a las compañías financieras que creaban los títulos relacionados con hipotecas, las obligaciones con colateral (CDO, por sus siglas en inglés), los CDO al cuadrado y los CDO sintéticos: nadie en este conducto de hipotecas tóxicas tenía suficiente que perder. Todos ellos creían que le podían descargar los riesgos al instante a la siguiente persona en la línea. Se equivocaban. Cuando los deudores dejaron de hacer sus pa</w:t>
      </w:r>
      <w:r>
        <w:rPr>
          <w:bCs/>
        </w:rPr>
        <w:t>gos hipotecarios, las pérdidas -</w:t>
      </w:r>
      <w:r w:rsidRPr="006760CB">
        <w:rPr>
          <w:bCs/>
        </w:rPr>
        <w:t>amplificadas por los derivados- se diseminaron rápidamente por todo el conducto. Al final, resultó que esas pérdidas se concentraron en un conjunto de instituciones financieras sistémicamente importantes.</w:t>
      </w:r>
    </w:p>
    <w:p w:rsidR="002F07D4" w:rsidRDefault="002F07D4" w:rsidP="002F07D4">
      <w:pPr>
        <w:pStyle w:val="NormalWeb"/>
        <w:jc w:val="both"/>
        <w:rPr>
          <w:bCs/>
        </w:rPr>
      </w:pPr>
      <w:r w:rsidRPr="006760CB">
        <w:rPr>
          <w:bCs/>
        </w:rPr>
        <w:t>Al final, el sistema que creó tan eficientemente millones de hipotecas, ha resultado ser muy difícil de desenrollar. Su complejidad ha creado barreras para modificar las hipotecas de modo que las familias puedan permanecer en sus  hogares, y ha creado más incertidumbre sobre la fortaleza del mercado inmobiliario y las instituciones financieras.</w:t>
      </w:r>
    </w:p>
    <w:p w:rsidR="002F07D4" w:rsidRPr="006760CB" w:rsidRDefault="002F07D4" w:rsidP="002F07D4">
      <w:pPr>
        <w:pStyle w:val="NormalWeb"/>
        <w:jc w:val="both"/>
        <w:rPr>
          <w:bCs/>
        </w:rPr>
      </w:pPr>
      <w:r w:rsidRPr="006760CB">
        <w:rPr>
          <w:b/>
          <w:bCs/>
        </w:rPr>
        <w:t>·</w:t>
      </w:r>
      <w:r w:rsidRPr="006760CB">
        <w:rPr>
          <w:bCs/>
        </w:rPr>
        <w:t xml:space="preserve">         Llegamos a la conclusión de que los derivados extrabursátiles (OTC) contribuyeron significativamente a esta crisis. La promulgación en el año 2000 de la legislación para prohibir la regulación de los derivados fuera del ámbito bursátil (OTC) tanto por el gobierno federal como por los gobiernos estatales, fue un momento crucial en el ru</w:t>
      </w:r>
      <w:r>
        <w:rPr>
          <w:bCs/>
        </w:rPr>
        <w:t>mbo hacia la crisis financiera.</w:t>
      </w:r>
    </w:p>
    <w:p w:rsidR="002F07D4" w:rsidRPr="006760CB" w:rsidRDefault="002F07D4" w:rsidP="002F07D4">
      <w:pPr>
        <w:pStyle w:val="NormalWeb"/>
        <w:jc w:val="both"/>
        <w:rPr>
          <w:bCs/>
        </w:rPr>
      </w:pPr>
      <w:r w:rsidRPr="006760CB">
        <w:rPr>
          <w:bCs/>
        </w:rPr>
        <w:t xml:space="preserve">Desde las compañías financieras hasta las empresas, los agricultores y los inversionistas, han empleado los derivados para compensar, o para especular, con los </w:t>
      </w:r>
      <w:r w:rsidRPr="006760CB">
        <w:rPr>
          <w:bCs/>
        </w:rPr>
        <w:lastRenderedPageBreak/>
        <w:t>cambios en los precios, tasas o índices, o incluso acontecimientos tales como incumplimientos potenciales de las deudas. Sin embargo, sin ninguna supervisión, los derivados OTC se dispararon fuera de control y fuera de visibilidad, creciendo hasta los $673 billones de dólares a nivel nacional. Este informe explica el apalancamiento sin control; la falta de transparencia, de requerimientos de capital y de garantías; especulación; interconexiones entre compañías; y concentraciones de riesgo en este mercado.</w:t>
      </w:r>
    </w:p>
    <w:p w:rsidR="002F07D4" w:rsidRPr="006760CB" w:rsidRDefault="002F07D4" w:rsidP="002F07D4">
      <w:pPr>
        <w:pStyle w:val="NormalWeb"/>
        <w:jc w:val="both"/>
        <w:rPr>
          <w:bCs/>
        </w:rPr>
      </w:pPr>
      <w:r w:rsidRPr="006760CB">
        <w:rPr>
          <w:bCs/>
        </w:rPr>
        <w:t>Los derivados OTC contribuyeron a la crisis en tres formas importantes</w:t>
      </w:r>
      <w:r>
        <w:rPr>
          <w:bCs/>
        </w:rPr>
        <w:t>. Primero, un tipo de derivado -</w:t>
      </w:r>
      <w:r w:rsidRPr="006760CB">
        <w:rPr>
          <w:bCs/>
        </w:rPr>
        <w:t xml:space="preserve">la permuta de incumplimiento crediticio </w:t>
      </w:r>
      <w:r>
        <w:rPr>
          <w:bCs/>
        </w:rPr>
        <w:t>(CDS)-</w:t>
      </w:r>
      <w:r w:rsidRPr="006760CB">
        <w:rPr>
          <w:bCs/>
        </w:rPr>
        <w:t xml:space="preserve"> alimentó el conducto de la bursatilización de las hipotecas. Se vendieron CDS a los inversionistas para protegerse en contra del incumplimiento o la baja en el valor de los títulos relacionados con hipotecas respaldados en créditos riesgosos. Las c</w:t>
      </w:r>
      <w:r>
        <w:rPr>
          <w:bCs/>
        </w:rPr>
        <w:t>ompañías vendieron protección -</w:t>
      </w:r>
      <w:r w:rsidRPr="006760CB">
        <w:rPr>
          <w:bCs/>
        </w:rPr>
        <w:t>de alrededor de $</w:t>
      </w:r>
      <w:r>
        <w:rPr>
          <w:bCs/>
        </w:rPr>
        <w:t xml:space="preserve"> 79.</w:t>
      </w:r>
      <w:r w:rsidRPr="006760CB">
        <w:rPr>
          <w:bCs/>
        </w:rPr>
        <w:t>0</w:t>
      </w:r>
      <w:r>
        <w:rPr>
          <w:bCs/>
        </w:rPr>
        <w:t>00 millones, en el caso de AIG-</w:t>
      </w:r>
      <w:r w:rsidRPr="006760CB">
        <w:rPr>
          <w:bCs/>
        </w:rPr>
        <w:t xml:space="preserve"> a los que invertían en estos modernos títulos hipotecarios, ayudando a lanzar y expandir el mercado, y, a su vez, a aliment</w:t>
      </w:r>
      <w:r>
        <w:rPr>
          <w:bCs/>
        </w:rPr>
        <w:t>ar más la burbuja inmobiliaria.</w:t>
      </w:r>
    </w:p>
    <w:p w:rsidR="002F07D4" w:rsidRPr="006760CB" w:rsidRDefault="002F07D4" w:rsidP="002F07D4">
      <w:pPr>
        <w:pStyle w:val="NormalWeb"/>
        <w:jc w:val="both"/>
        <w:rPr>
          <w:bCs/>
        </w:rPr>
      </w:pPr>
      <w:r w:rsidRPr="006760CB">
        <w:rPr>
          <w:bCs/>
        </w:rPr>
        <w:t>Segundo, los CDS fueron esenciales para la creación de los CDO sintéticos. Estos CDO sintéticos eran simples apuestas sobre el rendimiento de los títulos relacionados con hipotecas reales. Los CDO amplificaron las pérdidas del desplome de la burbuja inmobiliaria al permitir múltiples apuestas sobre los mismos títulos, y ayudaron a esparcirlos por todo el sistema financiero. Tan sólo Goldman Sachs empaquetó y vendió $</w:t>
      </w:r>
      <w:r>
        <w:rPr>
          <w:bCs/>
        </w:rPr>
        <w:t xml:space="preserve"> 73.</w:t>
      </w:r>
      <w:r w:rsidRPr="006760CB">
        <w:rPr>
          <w:bCs/>
        </w:rPr>
        <w:t>000 millones de dólares en CDO sintéticos del 1° de julio del 2004 al 31 de mayo del 2007. CDO sintéticos creados por</w:t>
      </w:r>
      <w:r>
        <w:rPr>
          <w:bCs/>
        </w:rPr>
        <w:t xml:space="preserve"> Goldman se referían a más de 3.</w:t>
      </w:r>
      <w:r w:rsidRPr="006760CB">
        <w:rPr>
          <w:bCs/>
        </w:rPr>
        <w:t xml:space="preserve">400 títulos hipotecarios, y 610 de ellos eran referidos por lo menos dos veces, sin contar cuántas veces se podía haber hecho referencia a esos títulos en CDO sintéticos creados por otras compañías. </w:t>
      </w:r>
    </w:p>
    <w:p w:rsidR="002F07D4" w:rsidRPr="006760CB" w:rsidRDefault="002F07D4" w:rsidP="002F07D4">
      <w:pPr>
        <w:pStyle w:val="NormalWeb"/>
        <w:jc w:val="both"/>
        <w:rPr>
          <w:bCs/>
        </w:rPr>
      </w:pPr>
      <w:r w:rsidRPr="006760CB">
        <w:rPr>
          <w:bCs/>
        </w:rPr>
        <w:t>Finalmente, cuando la burbuja inmobiliaria reventó y a esto siguió la crisis, los derivados estaban en el centro de la tormenta. AIG, a la que no se le había pedido que apartara reservas de capital como un colchón para proteger lo que estaba vendiendo, fue rescatada cuando no pudo cumplir con sus obligaciones. Finalmente, el gobierno asignó más de $</w:t>
      </w:r>
      <w:r>
        <w:rPr>
          <w:bCs/>
        </w:rPr>
        <w:t xml:space="preserve"> 180.</w:t>
      </w:r>
      <w:r w:rsidRPr="006760CB">
        <w:rPr>
          <w:bCs/>
        </w:rPr>
        <w:t>000 millones de dólares debido a preocupaciones de que el derrumbe de AIG dispararía pérdidas en cascada por todo el sistema financiero mundial. Además, la existencia de millones de contratos de derivados de todos tipos entre instituciones financie</w:t>
      </w:r>
      <w:r>
        <w:rPr>
          <w:bCs/>
        </w:rPr>
        <w:t>ras sistémicamente importantes -</w:t>
      </w:r>
      <w:r w:rsidRPr="006760CB">
        <w:rPr>
          <w:bCs/>
        </w:rPr>
        <w:t xml:space="preserve">no vistos ni conocidos en este mercado no </w:t>
      </w:r>
      <w:r>
        <w:rPr>
          <w:bCs/>
        </w:rPr>
        <w:t>regulado-</w:t>
      </w:r>
      <w:r w:rsidRPr="006760CB">
        <w:rPr>
          <w:bCs/>
        </w:rPr>
        <w:t xml:space="preserve"> contribuyó a la incertidumbre e intensificó el pánico, ayudando a precipitar la ayuda del </w:t>
      </w:r>
      <w:r>
        <w:rPr>
          <w:bCs/>
        </w:rPr>
        <w:t xml:space="preserve">gobierno a esas instituciones. </w:t>
      </w:r>
    </w:p>
    <w:p w:rsidR="002F07D4" w:rsidRPr="006760CB" w:rsidRDefault="002F07D4" w:rsidP="002F07D4">
      <w:pPr>
        <w:pStyle w:val="NormalWeb"/>
        <w:jc w:val="both"/>
        <w:rPr>
          <w:bCs/>
        </w:rPr>
      </w:pPr>
      <w:r w:rsidRPr="006760CB">
        <w:rPr>
          <w:b/>
          <w:bCs/>
        </w:rPr>
        <w:t>·</w:t>
      </w:r>
      <w:r w:rsidRPr="006760CB">
        <w:rPr>
          <w:bCs/>
        </w:rPr>
        <w:t xml:space="preserve">         Llegamos a la conclusión de que las fallas de las agencias calificadoras de crédito fueron piezas esenciales en el engranaje de la destrucción financiera. Las tres agencias calificadoras de crédito fueron habilitadoras decisivas de la desintegración financiera. Los títulos relacionados con hipotecas que estaban en el centro de la crisis, no se podrían haber comercializados ni vendidos sin su sello de aprobación. Los inversionistas confiaban en ellas, a menudo ciegamente. En algunos casos, se les obligó a emplearlas, o las normas de regulación de capital dependían de ellas. La crisis no podría haber sucedido sin las agencias calificadoras. Sus calificaciones ayudaron a que el mercado creciera vertiginosamente, y sus descalificaciones durante el 2007 y el 2008 hicieron estragos en todos los mercados y compañías. En nuestro informe se leerá sobre los desgloses de Moody’s, examinados por la Comisión como un estudio ejemplar. Del </w:t>
      </w:r>
      <w:r w:rsidRPr="006760CB">
        <w:rPr>
          <w:bCs/>
        </w:rPr>
        <w:lastRenderedPageBreak/>
        <w:t>2000 al 2007, Moody’s cal</w:t>
      </w:r>
      <w:r>
        <w:rPr>
          <w:bCs/>
        </w:rPr>
        <w:t>ificó como triple A cerca de 45.</w:t>
      </w:r>
      <w:r w:rsidRPr="006760CB">
        <w:rPr>
          <w:bCs/>
        </w:rPr>
        <w:t>000 títulos relacionados con hipotecas. Esto se compara con seis compañías del sector privado en Estados Unidos que lograron esta codiciada calificación a principios del 2010. Tan solo en el 2006, Moody’s puso su sello de aprobación triple A en 30 títulos relacionados con hipotecas cada día hábil. Los resultados fueron desastrosos: 83% de los títulos hipotecarios calificados como triple A ese año, al final fueron descalificados.</w:t>
      </w:r>
    </w:p>
    <w:p w:rsidR="002F07D4" w:rsidRPr="006760CB" w:rsidRDefault="002F07D4" w:rsidP="002F07D4">
      <w:pPr>
        <w:pStyle w:val="NormalWeb"/>
        <w:jc w:val="both"/>
        <w:rPr>
          <w:bCs/>
        </w:rPr>
      </w:pPr>
      <w:r w:rsidRPr="006760CB">
        <w:rPr>
          <w:bCs/>
        </w:rPr>
        <w:t>También se leerá sobre las fuerzas que operaban detrás de los desgloses en Moody’s, como los modelos de computadora viciados, la presión de las compañías financieras que pagaban por las calificaciones, la incesante búsqueda de la participación en el mercado, la falta de recursos para hacer el trabajo a pesar de las ganancias récord, y la ausencia de una supervisión pública significativa. Y se verá que sin la participación activa de las agencias calificadoras, el mercado de los títulos relacionados con hipotecas no podría haber sido lo que llegó a ser.</w:t>
      </w:r>
    </w:p>
    <w:p w:rsidR="002F07D4" w:rsidRPr="006760CB" w:rsidRDefault="002F07D4" w:rsidP="002F07D4">
      <w:pPr>
        <w:pStyle w:val="NormalWeb"/>
        <w:jc w:val="both"/>
        <w:rPr>
          <w:bCs/>
        </w:rPr>
      </w:pPr>
      <w:r>
        <w:rPr>
          <w:bCs/>
        </w:rPr>
        <w:t>* * *</w:t>
      </w:r>
    </w:p>
    <w:p w:rsidR="002F07D4" w:rsidRPr="006760CB" w:rsidRDefault="002F07D4" w:rsidP="002F07D4">
      <w:pPr>
        <w:pStyle w:val="NormalWeb"/>
        <w:jc w:val="both"/>
        <w:rPr>
          <w:bCs/>
        </w:rPr>
      </w:pPr>
      <w:r w:rsidRPr="00887E14">
        <w:rPr>
          <w:b/>
          <w:bCs/>
        </w:rPr>
        <w:t>Hay muchas versiones contradictorias</w:t>
      </w:r>
      <w:r w:rsidRPr="006760CB">
        <w:rPr>
          <w:bCs/>
        </w:rPr>
        <w:t>sobre las causas de esta crisis. A este respecto, la Comisión se ha esforzado por abordar las preguntas clave que se nos plantearon. Aquí discutimos tres: disponibilidad de capital y liquidez excedente, el papel de Fannie Mae y Freddie Mac (las empresas patrocinadas por el gobierno), y la política de vivienda del gobierno.</w:t>
      </w:r>
    </w:p>
    <w:p w:rsidR="002F07D4" w:rsidRPr="006760CB" w:rsidRDefault="002F07D4" w:rsidP="002F07D4">
      <w:pPr>
        <w:pStyle w:val="NormalWeb"/>
        <w:jc w:val="both"/>
        <w:rPr>
          <w:bCs/>
        </w:rPr>
      </w:pPr>
      <w:r w:rsidRPr="006760CB">
        <w:rPr>
          <w:bCs/>
        </w:rPr>
        <w:t>Primero, sobre el asunto de liquidez excedente: En nuestro informe, esbozamos las políticas monetarias y los flujos de capital durante los años que antecedieron a la crisis. Bajas tasas de interés, capital disponible ampliamente e inversionistas internacionales en busca de poner su dinero en activos de bienes raíces en Estados Unidos, fueron prerrequisitos para la creación de una burbuja crediticia. Esas condiciones crearon mayores riesgos, que los participantes en el mercado debieron haber reconocido, así como los formuladores de políticas y los reguladores. Sin embargo, la conclusión de la Comisión es que la liquidez excedente no es necesario que cause una crisis. Fuer</w:t>
      </w:r>
      <w:r>
        <w:rPr>
          <w:bCs/>
        </w:rPr>
        <w:t>on las fallas esbozadas arriba -</w:t>
      </w:r>
      <w:r w:rsidRPr="006760CB">
        <w:rPr>
          <w:bCs/>
        </w:rPr>
        <w:t>incluyendo el no refrenar de forma efectiva los excesos en los merca</w:t>
      </w:r>
      <w:r>
        <w:rPr>
          <w:bCs/>
        </w:rPr>
        <w:t>dos hipotecarios y financieros-</w:t>
      </w:r>
      <w:r w:rsidRPr="006760CB">
        <w:rPr>
          <w:bCs/>
        </w:rPr>
        <w:t xml:space="preserve"> las causas principales de esta crisis. De hecho, la disponibi</w:t>
      </w:r>
      <w:r>
        <w:rPr>
          <w:bCs/>
        </w:rPr>
        <w:t>lidad de capital a buen precio -tanto exterior como interno-</w:t>
      </w:r>
      <w:r w:rsidRPr="006760CB">
        <w:rPr>
          <w:bCs/>
        </w:rPr>
        <w:t xml:space="preserve"> es una oportunidad para la expansión económica y el crecimiento si se estimula que flu</w:t>
      </w:r>
      <w:r>
        <w:rPr>
          <w:bCs/>
        </w:rPr>
        <w:t xml:space="preserve">ya en direcciones productivas. </w:t>
      </w:r>
    </w:p>
    <w:p w:rsidR="002F07D4" w:rsidRPr="006760CB" w:rsidRDefault="002F07D4" w:rsidP="002F07D4">
      <w:pPr>
        <w:pStyle w:val="NormalWeb"/>
        <w:jc w:val="both"/>
        <w:rPr>
          <w:bCs/>
        </w:rPr>
      </w:pPr>
      <w:r w:rsidRPr="006760CB">
        <w:rPr>
          <w:bCs/>
        </w:rPr>
        <w:t xml:space="preserve">Segundo, examinamos el papel de las empresas patrocinadas por el gobierno, y la Comisión tomó el caso de Fannie Mae como ejemplo para su estudio en esta área. Estas empresas patrocinadas por el gobierno tenían un modelo de negocio profundamente defectuoso como empresas que cotizan en bolsa con el apoyo implícito y los subsidios del gobierno federal y con una misión pública. Su exposición de $5 billones a hipotecas y su posición en el mercado fueron importantes. En 2005 y 2006, decidieron incrementar su compra y garantía de hipotecas riesgosas, justo cuando el mercado inmobiliario estaba llegando a su apogeo. Por décadas usaron su poder político para protegerse de la regulación efectiva y la supervisión, gastando $164 millones de dólares en cabildeo de 1999 a 2008. Se vieron afectadas por muchas de las mismas fallas de manejo empresarial y minimización de riesgos que la Comisión descubrió en muchas otras compañías financieras. Para el tercer trimestre del 2010, el Departamento del </w:t>
      </w:r>
      <w:r w:rsidRPr="006760CB">
        <w:rPr>
          <w:bCs/>
        </w:rPr>
        <w:lastRenderedPageBreak/>
        <w:t>Tesoro había suministrado $</w:t>
      </w:r>
      <w:r>
        <w:rPr>
          <w:bCs/>
        </w:rPr>
        <w:t xml:space="preserve"> 151.</w:t>
      </w:r>
      <w:r w:rsidRPr="006760CB">
        <w:rPr>
          <w:bCs/>
        </w:rPr>
        <w:t>000 millones de dólares en ayuda financiera para mantenerlas a flote.</w:t>
      </w:r>
    </w:p>
    <w:p w:rsidR="002F07D4" w:rsidRPr="006760CB" w:rsidRDefault="002F07D4" w:rsidP="002F07D4">
      <w:pPr>
        <w:pStyle w:val="NormalWeb"/>
        <w:jc w:val="both"/>
        <w:rPr>
          <w:bCs/>
        </w:rPr>
      </w:pPr>
      <w:r w:rsidRPr="006760CB">
        <w:rPr>
          <w:bCs/>
        </w:rPr>
        <w:t>Concluimos que estas dos entidades contribuyeron a la crisis, pero no fueron una causa principal. En gran medida, los títulos hipotecarios de estas empresas patrocinadas por el gobierno esencialmente mantuvieron su valor a lo largo de la crisis, y no contribuyeron a las importantes pérdidas de las compañías financieras que jugaron un papel cen</w:t>
      </w:r>
      <w:r>
        <w:rPr>
          <w:bCs/>
        </w:rPr>
        <w:t>tral para la crisis financiera.</w:t>
      </w:r>
    </w:p>
    <w:p w:rsidR="002F07D4" w:rsidRPr="006760CB" w:rsidRDefault="002F07D4" w:rsidP="002F07D4">
      <w:pPr>
        <w:pStyle w:val="NormalWeb"/>
        <w:jc w:val="both"/>
        <w:rPr>
          <w:bCs/>
        </w:rPr>
      </w:pPr>
      <w:r w:rsidRPr="006760CB">
        <w:rPr>
          <w:bCs/>
        </w:rPr>
        <w:t>Estas empresas patrocinadas por el gobierno participaron en la expansión de las hipotecas de alto riesgo y otras similares, pero más bien siguieron, y no condujeron a Wall Street y otras entidades de crédito en la fiebre por el oro de los tontos. Compraron los títulos respaldados en hipotecas (MBS) mejor calificados no pertenecientes a las empresas patrocinadas por el gobierno, y su participación en este mercado añadió helio a la burbuja inmobiliaria, pero esas adquisiciones nunca representaron una mayoría en el mercado. Esas</w:t>
      </w:r>
      <w:r>
        <w:rPr>
          <w:bCs/>
        </w:rPr>
        <w:t xml:space="preserve"> adquisiciones representaron 10,</w:t>
      </w:r>
      <w:r w:rsidRPr="006760CB">
        <w:rPr>
          <w:bCs/>
        </w:rPr>
        <w:t xml:space="preserve">5% de los títulos respaldados en hipotecas no pertenecientes a las empresas patrocinadas por el gobierno en el 2001, llegando hasta el 40% de la participación en el 2004, y retrocediendo hasta el 28% para el 2008. Relajaron sus criterios de subscripción de títulos para adquirir o garantizar préstamos y títulos afines más riesgosos para satisfacer las expectativas de crecimiento de los analistas de la bolsa de valores y los inversionistas, para recuperar la participación en el mercado, y para asegurar una compensación generosa para sus ejecutivos y empleados, justificando sus actividades en la amplia y continua política pública de apoyo a la propiedad de vivienda. </w:t>
      </w:r>
    </w:p>
    <w:p w:rsidR="002F07D4" w:rsidRPr="006760CB" w:rsidRDefault="002F07D4" w:rsidP="002F07D4">
      <w:pPr>
        <w:pStyle w:val="NormalWeb"/>
        <w:jc w:val="both"/>
        <w:rPr>
          <w:bCs/>
        </w:rPr>
      </w:pPr>
      <w:r w:rsidRPr="006760CB">
        <w:rPr>
          <w:bCs/>
        </w:rPr>
        <w:t>La Comisión también investigó el desempeño de los créditos comprados o garantizados por Fannie y Freddie. Aunque estos generaron pérdidas considerables, la tasa de morosidad para los créditos de las empresas patrocinadas por el gobierno fue considerablemente menor que en los créditos titulizados por otras compañías financieras. Por ejemplo, datos compilados por la Comisión para un subconjunto de prestatarios con s</w:t>
      </w:r>
      <w:r>
        <w:rPr>
          <w:bCs/>
        </w:rPr>
        <w:t>imilar calificación crediticia -calificación por debajo de 660-</w:t>
      </w:r>
      <w:r w:rsidRPr="006760CB">
        <w:rPr>
          <w:bCs/>
        </w:rPr>
        <w:t xml:space="preserve"> muestran que para finales de 2008, las hipotecas pertenecientes a las empresas patrocinadas por el gobierno tenían mucho menos probabilidad de ser seriamente morosas que las hipotecas bursatilizadas de las empresas no patrocinadas po</w:t>
      </w:r>
      <w:r>
        <w:rPr>
          <w:bCs/>
        </w:rPr>
        <w:t xml:space="preserve">r el gobierno: 6,2% vs. 28,3%. </w:t>
      </w:r>
    </w:p>
    <w:p w:rsidR="002F07D4" w:rsidRDefault="002F07D4" w:rsidP="002F07D4">
      <w:pPr>
        <w:pStyle w:val="NormalWeb"/>
        <w:jc w:val="both"/>
        <w:rPr>
          <w:bCs/>
        </w:rPr>
      </w:pPr>
      <w:r w:rsidRPr="006760CB">
        <w:rPr>
          <w:bCs/>
        </w:rPr>
        <w:t xml:space="preserve">También estudiamos a detalle cómo las metas de vivienda accesible para las empresas patrocinadas por el gobierno fijadas por el Departamento de Vivienda y Desarrollo Urbano de EU (HUD, por sus siglas en inglés) afectaron su inversión en hipotecas de riesgo. Basados en la evidencia y las entrevistas con docenas de individuos involucrados en este ramo, determinamos que esas metas contribuyeron sólo marginalmente a la participación de Fannie y Freddie en esas hipotecas. </w:t>
      </w:r>
    </w:p>
    <w:p w:rsidR="002F07D4" w:rsidRPr="006760CB" w:rsidRDefault="002F07D4" w:rsidP="002F07D4">
      <w:pPr>
        <w:pStyle w:val="NormalWeb"/>
        <w:jc w:val="both"/>
        <w:rPr>
          <w:bCs/>
        </w:rPr>
      </w:pPr>
      <w:r w:rsidRPr="006760CB">
        <w:rPr>
          <w:bCs/>
        </w:rPr>
        <w:t>Finalmente, respecto a si las políticas gubernamentales de vivienda fueron una causa primordial de la crisis: Por décadas, la política gubernamental ha estimulado la propiedad de vivienda a través de un conjunto de iniciativas, programas de asistencia y disposiciones. Estas políticas fueron implementadas y promovidas por varios gobiernos y congresos; de hecho, tanto el presidente Bill Clinton como el presidente George W. Bush establecieron metas agresivas para incrementar la propiedad d</w:t>
      </w:r>
      <w:r>
        <w:rPr>
          <w:bCs/>
        </w:rPr>
        <w:t xml:space="preserve">e vivienda. </w:t>
      </w:r>
    </w:p>
    <w:p w:rsidR="002F07D4" w:rsidRPr="006760CB" w:rsidRDefault="002F07D4" w:rsidP="002F07D4">
      <w:pPr>
        <w:pStyle w:val="NormalWeb"/>
        <w:jc w:val="both"/>
        <w:rPr>
          <w:bCs/>
        </w:rPr>
      </w:pPr>
      <w:r w:rsidRPr="006760CB">
        <w:rPr>
          <w:bCs/>
        </w:rPr>
        <w:lastRenderedPageBreak/>
        <w:t xml:space="preserve">Al llevar a cabo nuestra investigación, echamos una cuidadosa ojeada a las metas de vivienda accesible del HUD, anteriormente citadas, y a la Ley de Reinversión Comunitaria (CRA, en inglés). La CRA se promulgó en 1977 para combatir el “redlining” por parte de los bancos, la práctica de negar créditos a individuos y negocios en ciertos vecindarios sin considerar su capacidad crediticia. </w:t>
      </w:r>
    </w:p>
    <w:p w:rsidR="002F07D4" w:rsidRPr="006760CB" w:rsidRDefault="002F07D4" w:rsidP="002F07D4">
      <w:pPr>
        <w:pStyle w:val="NormalWeb"/>
        <w:jc w:val="both"/>
        <w:rPr>
          <w:bCs/>
        </w:rPr>
      </w:pPr>
      <w:r w:rsidRPr="006760CB">
        <w:rPr>
          <w:bCs/>
        </w:rPr>
        <w:t>La CRA exige a bancos y entidades de ahorro y préstamo dar crédito, invertir y proporcionar servicios consistentes con la seguridad y solidez de los bancos a las comunidad</w:t>
      </w:r>
      <w:r>
        <w:rPr>
          <w:bCs/>
        </w:rPr>
        <w:t xml:space="preserve">es de las que toman depósitos. </w:t>
      </w:r>
    </w:p>
    <w:p w:rsidR="002F07D4" w:rsidRPr="006760CB" w:rsidRDefault="002F07D4" w:rsidP="002F07D4">
      <w:pPr>
        <w:pStyle w:val="NormalWeb"/>
        <w:jc w:val="both"/>
        <w:rPr>
          <w:bCs/>
        </w:rPr>
      </w:pPr>
      <w:r w:rsidRPr="006760CB">
        <w:rPr>
          <w:bCs/>
        </w:rPr>
        <w:t>La Comisión concluye que la CRA no fue un factor significativo en los créditos de alto riesgo o en la crisis. Muchas entidades crediticias de alto riesgo no estaban sujetas a la CRA. La investigación indica que sólo el 6% de los cr</w:t>
      </w:r>
      <w:r>
        <w:rPr>
          <w:bCs/>
        </w:rPr>
        <w:t>éditos de alto costo -</w:t>
      </w:r>
      <w:r w:rsidRPr="006760CB">
        <w:rPr>
          <w:bCs/>
        </w:rPr>
        <w:t xml:space="preserve">un indicador </w:t>
      </w:r>
      <w:r>
        <w:rPr>
          <w:bCs/>
        </w:rPr>
        <w:t>de los créditos de alto riesgo-</w:t>
      </w:r>
      <w:r w:rsidRPr="006760CB">
        <w:rPr>
          <w:bCs/>
        </w:rPr>
        <w:t xml:space="preserve"> tenía alguna conexión con la ley. Los créditos hechos por entidades crediticias reguladas por la CRA en los vecindarios en los que se les exigió prestar, tenían la mitad de probabilidad de caer en incumplimiento que los créditos similares emitidos en los mismos vecindarios por creadores independientes de hipotecas no sujetos a la ley.</w:t>
      </w:r>
    </w:p>
    <w:p w:rsidR="002F07D4" w:rsidRPr="006760CB" w:rsidRDefault="002F07D4" w:rsidP="002F07D4">
      <w:pPr>
        <w:pStyle w:val="NormalWeb"/>
        <w:jc w:val="both"/>
        <w:rPr>
          <w:bCs/>
        </w:rPr>
      </w:pPr>
      <w:r w:rsidRPr="006760CB">
        <w:rPr>
          <w:bCs/>
        </w:rPr>
        <w:t>Sin embargo, hacemos la siguiente observación sobre las políticas de vivienda del gobierno: fallaron en este sentido. Como nación, establecimos metas ambiciosas de vivienda con el deseo de extender crédito a familias a quienes previamente se había negado el acceso a los mercados financieros. Sin embargo el gobierno no pudo asegurar que la filosofía de la oportunidad correspondía con las realidades prácticas en el terreno. Se observa de nuevo la falla de la Reserva Federal y otros reguladores de no refrenar los préstamos irresponsables. La propiedad de vivienda alcanzó su punto máximo en la primavera del 2004, y después empezó a declinar. De ese momento en adelante, hablar de oportunidad estaba trágicamente en desacuerdo con la realidad de un d</w:t>
      </w:r>
      <w:r>
        <w:rPr>
          <w:bCs/>
        </w:rPr>
        <w:t xml:space="preserve">esastre financiero en ciernes. </w:t>
      </w:r>
    </w:p>
    <w:p w:rsidR="002F07D4" w:rsidRPr="006760CB" w:rsidRDefault="002F07D4" w:rsidP="002F07D4">
      <w:pPr>
        <w:pStyle w:val="NormalWeb"/>
        <w:jc w:val="both"/>
        <w:rPr>
          <w:bCs/>
        </w:rPr>
      </w:pPr>
      <w:r w:rsidRPr="006760CB">
        <w:rPr>
          <w:bCs/>
        </w:rPr>
        <w:t xml:space="preserve">* * * </w:t>
      </w:r>
    </w:p>
    <w:p w:rsidR="002F07D4" w:rsidRDefault="002F07D4" w:rsidP="002F07D4">
      <w:pPr>
        <w:pStyle w:val="NormalWeb"/>
        <w:jc w:val="both"/>
        <w:rPr>
          <w:bCs/>
        </w:rPr>
      </w:pPr>
      <w:r w:rsidRPr="00887E14">
        <w:rPr>
          <w:b/>
          <w:bCs/>
        </w:rPr>
        <w:t>Cuando esta Comisión</w:t>
      </w:r>
      <w:r w:rsidRPr="006760CB">
        <w:rPr>
          <w:bCs/>
        </w:rPr>
        <w:t>empezó su trabajo, hace 18 meses, algunos creyeron que los acontecimientos del 2008 y sus consecuencias habrían quedado muy atrás para el momento en que publicáramos este informe. Sin embargo, más de dos años después de que el gobierno federal intervino de una forma sin precedentes en nuestros mercados financieros, nuestro país aún se halla luchando con las secuelas de la calamidad. Nuestro sistema financiero está, en muchos aspectos, sin cambio alguno respecto a lo que existía la víspera de la crisis. De hecho, tras la crisis, el sector financiero de Estados Unidos está más concentrado que nunca en las manos de unas cuantas grandes instituciones, sistemáticamente importantes.</w:t>
      </w:r>
    </w:p>
    <w:p w:rsidR="002F07D4" w:rsidRPr="00AB0D54" w:rsidRDefault="002F07D4" w:rsidP="002F07D4">
      <w:pPr>
        <w:pStyle w:val="NormalWeb"/>
        <w:jc w:val="both"/>
        <w:rPr>
          <w:rStyle w:val="Hipervnculo"/>
          <w:bCs/>
          <w:color w:val="auto"/>
        </w:rPr>
      </w:pPr>
      <w:r>
        <w:rPr>
          <w:bCs/>
        </w:rPr>
        <w:t xml:space="preserve">Fuente: </w:t>
      </w:r>
      <w:hyperlink r:id="rId231" w:history="1">
        <w:r w:rsidRPr="00AB0D54">
          <w:rPr>
            <w:rStyle w:val="Hipervnculo"/>
            <w:color w:val="auto"/>
          </w:rPr>
          <w:t>http://larouchepub.com/spanish/other_articles/2011/fcic_report_excerpts.html</w:t>
        </w:r>
      </w:hyperlink>
    </w:p>
    <w:p w:rsidR="002F07D4" w:rsidRDefault="002F07D4" w:rsidP="002F07D4">
      <w:pPr>
        <w:jc w:val="both"/>
        <w:rPr>
          <w:rFonts w:ascii="Times New Roman" w:hAnsi="Times New Roman" w:cs="Times New Roman"/>
          <w:sz w:val="24"/>
          <w:szCs w:val="24"/>
        </w:rPr>
      </w:pPr>
      <w:r>
        <w:rPr>
          <w:rFonts w:ascii="Times New Roman" w:hAnsi="Times New Roman" w:cs="Times New Roman"/>
          <w:sz w:val="24"/>
          <w:szCs w:val="24"/>
        </w:rPr>
        <w:t>Del Paper -</w:t>
      </w:r>
      <w:r>
        <w:rPr>
          <w:rFonts w:ascii="Times New Roman" w:hAnsi="Times New Roman" w:cs="Times New Roman"/>
          <w:b/>
          <w:sz w:val="24"/>
          <w:szCs w:val="24"/>
        </w:rPr>
        <w:t xml:space="preserve"> El ‘fracaso’ de los mercados: ‘el liberalismo que no fue’ (un ‘análisis crítico’ de la crisis financiera en el período 2007-2014, realizado en base al estudio de los informes económicos, rectificaciones, actualizaciones… y ‘vuelta a contar la misma historia’, de ‘prestigiosos’ Organismos Internacionales) - (Parte II: 2011/14</w:t>
      </w:r>
      <w:r w:rsidRPr="00FC5054">
        <w:rPr>
          <w:rFonts w:ascii="Times New Roman" w:hAnsi="Times New Roman" w:cs="Times New Roman"/>
          <w:b/>
          <w:sz w:val="24"/>
          <w:szCs w:val="24"/>
        </w:rPr>
        <w:t>)</w:t>
      </w:r>
      <w:r>
        <w:rPr>
          <w:rFonts w:ascii="Times New Roman" w:hAnsi="Times New Roman" w:cs="Times New Roman"/>
          <w:sz w:val="24"/>
          <w:szCs w:val="24"/>
        </w:rPr>
        <w:t>, publicado el 15/4</w:t>
      </w:r>
      <w:r w:rsidRPr="00FC5054">
        <w:rPr>
          <w:rFonts w:ascii="Times New Roman" w:hAnsi="Times New Roman" w:cs="Times New Roman"/>
          <w:sz w:val="24"/>
          <w:szCs w:val="24"/>
        </w:rPr>
        <w:t>/15</w:t>
      </w:r>
    </w:p>
    <w:p w:rsidR="002F07D4" w:rsidRPr="00FC5054" w:rsidRDefault="002F07D4" w:rsidP="002F07D4">
      <w:pPr>
        <w:jc w:val="both"/>
        <w:rPr>
          <w:rFonts w:ascii="Times New Roman" w:hAnsi="Times New Roman" w:cs="Times New Roman"/>
          <w:sz w:val="24"/>
          <w:szCs w:val="24"/>
        </w:rPr>
      </w:pPr>
      <w:r w:rsidRPr="00C85EBB">
        <w:rPr>
          <w:rFonts w:ascii="Times New Roman" w:hAnsi="Times New Roman" w:cs="Times New Roman"/>
          <w:b/>
          <w:sz w:val="24"/>
          <w:szCs w:val="24"/>
        </w:rPr>
        <w:lastRenderedPageBreak/>
        <w:t>Examen forense de la bancarrota</w:t>
      </w:r>
      <w:r>
        <w:rPr>
          <w:rFonts w:ascii="Times New Roman" w:hAnsi="Times New Roman" w:cs="Times New Roman"/>
          <w:b/>
          <w:sz w:val="24"/>
          <w:szCs w:val="24"/>
        </w:rPr>
        <w:t xml:space="preserve">: (Año 2011) “la necesidad de establecer </w:t>
      </w:r>
      <w:r w:rsidRPr="000D2A90">
        <w:rPr>
          <w:rFonts w:ascii="Times New Roman" w:hAnsi="Times New Roman" w:cs="Times New Roman"/>
          <w:b/>
          <w:sz w:val="24"/>
          <w:szCs w:val="24"/>
        </w:rPr>
        <w:t>un marco macroprudencial para mitigar el riesgo de liquidez sistémico</w:t>
      </w:r>
      <w:r>
        <w:rPr>
          <w:rFonts w:ascii="Times New Roman" w:hAnsi="Times New Roman" w:cs="Times New Roman"/>
          <w:b/>
          <w:sz w:val="24"/>
          <w:szCs w:val="24"/>
        </w:rPr>
        <w:t>” (sic)</w:t>
      </w:r>
    </w:p>
    <w:p w:rsidR="002F07D4" w:rsidRDefault="002F07D4" w:rsidP="002F07D4">
      <w:pPr>
        <w:shd w:val="clear" w:color="auto" w:fill="FFFFFF"/>
        <w:spacing w:after="360" w:line="240" w:lineRule="auto"/>
        <w:jc w:val="both"/>
        <w:rPr>
          <w:rFonts w:ascii="Times New Roman" w:hAnsi="Times New Roman" w:cs="Times New Roman"/>
          <w:b/>
          <w:sz w:val="24"/>
          <w:szCs w:val="24"/>
        </w:rPr>
      </w:pPr>
      <w:r>
        <w:rPr>
          <w:rFonts w:ascii="Times New Roman" w:hAnsi="Times New Roman" w:cs="Times New Roman"/>
          <w:b/>
          <w:sz w:val="24"/>
          <w:szCs w:val="24"/>
        </w:rPr>
        <w:t>In our own faces: nos mean en la cabeza y dicen… “It´s raining”</w:t>
      </w:r>
    </w:p>
    <w:p w:rsidR="002F07D4" w:rsidRDefault="002F07D4" w:rsidP="002F07D4">
      <w:pPr>
        <w:pStyle w:val="Default"/>
        <w:spacing w:after="184"/>
        <w:jc w:val="both"/>
        <w:rPr>
          <w:color w:val="auto"/>
        </w:rPr>
      </w:pPr>
      <w:r w:rsidRPr="00697305">
        <w:t>El diccionario de la bancarrota (la perversión del lenguaje)</w:t>
      </w:r>
      <w:r>
        <w:t xml:space="preserve">: </w:t>
      </w:r>
      <w:r w:rsidRPr="00AC39C5">
        <w:rPr>
          <w:color w:val="auto"/>
        </w:rPr>
        <w:t xml:space="preserve">herramientas macroprudenciales, efectos de interacción, recargos de capital, riesgo de </w:t>
      </w:r>
      <w:r w:rsidRPr="00AC39C5">
        <w:rPr>
          <w:i/>
          <w:iCs/>
          <w:color w:val="auto"/>
        </w:rPr>
        <w:t xml:space="preserve">solvencia </w:t>
      </w:r>
      <w:r w:rsidRPr="00AC39C5">
        <w:rPr>
          <w:color w:val="auto"/>
        </w:rPr>
        <w:t xml:space="preserve">sistémico, riesgo de </w:t>
      </w:r>
      <w:r w:rsidRPr="00B56CFA">
        <w:rPr>
          <w:iCs/>
          <w:color w:val="auto"/>
        </w:rPr>
        <w:t>liquidez</w:t>
      </w:r>
      <w:r w:rsidRPr="00AC39C5">
        <w:rPr>
          <w:color w:val="auto"/>
        </w:rPr>
        <w:t>sistémico, prácticas de divulgación de información, prácticas de gestión de liquidez, tensiones de liquidez emergentes, normas cuantitativas de liquidez mundial, reglas  microprudenciales, índice de riesgo de liquidez sistémico, aumento de los diferenciales normales, posiciones de contrapartida, modelo de liquidez sistémica ajustada en función del riesgo, indicador prospectivo del riesgo de liquidez, modelo de fijación de precios de las opciones, modelo de pruebas de tensión macro, incidencia de un entorno macroeconómico o financiero desfavorable en el riesgo de liquidez, garantías de los acuerdos de recompra, instituciones financieras no bancarias, bancos paralelos, actividades de originación de hipotecas, condiciones de originación de préstamos, titulizaciones privadas, incentivos de los inversionistas, transferencia del riesgo privado al sector público, estabilidad macrofinanciera, exposiciones interbancarias, magnitud del contagio, nivel de las tasas de política monetaria, reparación y recuperación del ciclo de crédito, saneamiento de los balances, acumulación gradual de desequilibrios financieros, deterioro de la calidad del crédito, factores de vulnerabilidad, legado de la crisis, riesgos soberanos en las economías avanzadas, acumulación de desequilibrios financieros en los mer</w:t>
      </w:r>
      <w:r>
        <w:rPr>
          <w:color w:val="auto"/>
        </w:rPr>
        <w:t xml:space="preserve">cados emergentes, </w:t>
      </w:r>
      <w:r w:rsidRPr="00AC39C5">
        <w:rPr>
          <w:color w:val="auto"/>
        </w:rPr>
        <w:t>capacidad de resistencia del sistema financiero, asignación mundial de activos</w:t>
      </w:r>
      <w:r>
        <w:rPr>
          <w:color w:val="auto"/>
        </w:rPr>
        <w:t>…</w:t>
      </w:r>
    </w:p>
    <w:p w:rsidR="002F07D4" w:rsidRDefault="002F07D4" w:rsidP="002F07D4">
      <w:pPr>
        <w:pStyle w:val="Default"/>
        <w:spacing w:after="184"/>
        <w:jc w:val="both"/>
        <w:rPr>
          <w:color w:val="auto"/>
        </w:rPr>
      </w:pPr>
      <w:r>
        <w:rPr>
          <w:color w:val="auto"/>
        </w:rPr>
        <w:t xml:space="preserve">En mi país de origen, había un famoso cómico (Fidel Pintos) que representaba un personaje deliberadamente embarullado y repetitivo; a ese parlamento en el “lunfardo” argentino se lo conoce como “zanata” (hablar intencionadamente de una manera confusa o construyendo  frases vacías de contenido). En España (mi país de acogida) hay otro comediante (Chiquito de la Calzada) que representa un personaje parecido. Mi diccionario de la bancarrota, busca registrar algunas de las “zanatas” del FMI y el BPI. </w:t>
      </w:r>
    </w:p>
    <w:p w:rsidR="002F07D4" w:rsidRDefault="002F07D4" w:rsidP="002F07D4">
      <w:pPr>
        <w:spacing w:after="0" w:line="240" w:lineRule="auto"/>
        <w:jc w:val="both"/>
        <w:rPr>
          <w:rFonts w:ascii="Times New Roman" w:hAnsi="Times New Roman"/>
          <w:b/>
          <w:sz w:val="24"/>
          <w:szCs w:val="24"/>
        </w:rPr>
      </w:pPr>
      <w:r w:rsidRPr="00DF27BA">
        <w:rPr>
          <w:rFonts w:ascii="Times New Roman" w:hAnsi="Times New Roman"/>
          <w:b/>
          <w:sz w:val="24"/>
          <w:szCs w:val="24"/>
        </w:rPr>
        <w:t xml:space="preserve">El día que Keynes </w:t>
      </w:r>
      <w:r>
        <w:rPr>
          <w:rFonts w:ascii="Times New Roman" w:hAnsi="Times New Roman"/>
          <w:b/>
          <w:sz w:val="24"/>
          <w:szCs w:val="24"/>
        </w:rPr>
        <w:t>“</w:t>
      </w:r>
      <w:r w:rsidRPr="00DF27BA">
        <w:rPr>
          <w:rFonts w:ascii="Times New Roman" w:hAnsi="Times New Roman"/>
          <w:b/>
          <w:sz w:val="24"/>
          <w:szCs w:val="24"/>
        </w:rPr>
        <w:t>lloró</w:t>
      </w:r>
      <w:r>
        <w:rPr>
          <w:rFonts w:ascii="Times New Roman" w:hAnsi="Times New Roman"/>
          <w:b/>
          <w:sz w:val="24"/>
          <w:szCs w:val="24"/>
        </w:rPr>
        <w:t>” (Economía de malversación)</w:t>
      </w:r>
    </w:p>
    <w:p w:rsidR="002F07D4" w:rsidRPr="00BD5E3B" w:rsidRDefault="002F07D4" w:rsidP="002F07D4">
      <w:pPr>
        <w:spacing w:after="0" w:line="240" w:lineRule="auto"/>
        <w:jc w:val="both"/>
        <w:rPr>
          <w:rFonts w:ascii="Times New Roman" w:hAnsi="Times New Roman"/>
          <w:b/>
          <w:sz w:val="24"/>
          <w:szCs w:val="24"/>
        </w:rPr>
      </w:pPr>
    </w:p>
    <w:p w:rsidR="002F07D4" w:rsidRDefault="002F07D4" w:rsidP="002F07D4">
      <w:pPr>
        <w:spacing w:line="240" w:lineRule="auto"/>
        <w:jc w:val="both"/>
        <w:rPr>
          <w:rFonts w:ascii="Times New Roman" w:hAnsi="Times New Roman"/>
          <w:sz w:val="24"/>
          <w:szCs w:val="24"/>
        </w:rPr>
      </w:pPr>
      <w:r w:rsidRPr="00AD7758">
        <w:rPr>
          <w:rFonts w:ascii="Times New Roman" w:hAnsi="Times New Roman"/>
          <w:sz w:val="24"/>
          <w:szCs w:val="24"/>
          <w:lang w:val="en-US"/>
        </w:rPr>
        <w:t>En un Paper anterior</w:t>
      </w:r>
      <w:r w:rsidRPr="00AD7758">
        <w:rPr>
          <w:rFonts w:ascii="Times New Roman" w:hAnsi="Times New Roman"/>
          <w:b/>
          <w:sz w:val="24"/>
          <w:szCs w:val="24"/>
          <w:lang w:val="en-US"/>
        </w:rPr>
        <w:t xml:space="preserve">, Imagining Keynes (It’s time to get stimulated vs. </w:t>
      </w:r>
      <w:r w:rsidRPr="00AD7758">
        <w:rPr>
          <w:rFonts w:ascii="Times New Roman" w:hAnsi="Times New Roman"/>
          <w:b/>
          <w:sz w:val="24"/>
          <w:szCs w:val="24"/>
        </w:rPr>
        <w:t xml:space="preserve">¡Take the money and run!), </w:t>
      </w:r>
      <w:r w:rsidRPr="00AD7758">
        <w:rPr>
          <w:rFonts w:ascii="Times New Roman" w:hAnsi="Times New Roman"/>
          <w:sz w:val="24"/>
          <w:szCs w:val="24"/>
        </w:rPr>
        <w:t xml:space="preserve">publicado en febrero de 2012, decía: </w:t>
      </w:r>
    </w:p>
    <w:p w:rsidR="002F07D4" w:rsidRDefault="002F07D4" w:rsidP="002F07D4">
      <w:pPr>
        <w:pStyle w:val="NormalWeb"/>
        <w:jc w:val="both"/>
      </w:pPr>
      <w:r w:rsidRPr="00CE3170">
        <w:t>Esta vez mis “desvaríos” vuelven a</w:t>
      </w:r>
      <w:r>
        <w:t xml:space="preserve"> Keynes (sobre el que ya escribiera un Ensayo: “Los “viejos sabios”, discuten la economía global - Debate virtual entre Adam Smith y John Maynard Keynes”, publicado en julio de 1999), tan manido últimamente; aunque podría haberme acordado de Kafka (tanto monta, monta tanto), pero los “borradores de cabeza” maquillan su “metamorfosis”… (¿vergüenza, miedo, farsa, treta, ardid, o desprecio?).</w:t>
      </w:r>
    </w:p>
    <w:p w:rsidR="002F07D4" w:rsidRDefault="002F07D4" w:rsidP="002F07D4">
      <w:pPr>
        <w:pStyle w:val="NormalWeb"/>
        <w:jc w:val="both"/>
      </w:pPr>
      <w:r>
        <w:t>Keynes dice que “</w:t>
      </w:r>
      <w:r w:rsidRPr="00EE6902">
        <w:rPr>
          <w:i/>
        </w:rPr>
        <w:t>una economía monetaria es, ante todo, aquella en que los cambios de opinión respecto al futuro son capaces de influir en el volumen de ocupación y no sólo en su dirección</w:t>
      </w:r>
      <w:r>
        <w:t>…”.</w:t>
      </w:r>
    </w:p>
    <w:p w:rsidR="002F07D4" w:rsidRDefault="002F07D4" w:rsidP="002F07D4">
      <w:pPr>
        <w:pStyle w:val="NormalWeb"/>
        <w:jc w:val="both"/>
      </w:pPr>
      <w:r>
        <w:t>¿Pueden los “banqueros sin frontera” sostener (sin negar la evidencia) que sus decisiones de inversión (negocios) han influido favorablemente en el volumen de ocupación? Sólo han incidido en su dirección, y ha sido hacia el desempleo y la miseria.</w:t>
      </w:r>
    </w:p>
    <w:p w:rsidR="002F07D4" w:rsidRDefault="002F07D4" w:rsidP="002F07D4">
      <w:pPr>
        <w:pStyle w:val="NormalWeb"/>
        <w:jc w:val="both"/>
      </w:pPr>
      <w:r>
        <w:lastRenderedPageBreak/>
        <w:t>Algunos afirman que “lo único que hay frente a la crisis es Keynes, Keynes y Keynes, que es un disparate incrementando el gasto público”. (José Luis Cava)</w:t>
      </w:r>
    </w:p>
    <w:p w:rsidR="002F07D4" w:rsidRDefault="002F07D4" w:rsidP="002F07D4">
      <w:pPr>
        <w:pStyle w:val="NormalWeb"/>
        <w:jc w:val="both"/>
      </w:pPr>
      <w:r>
        <w:t>Otros critican el incremento del gasto: “venga de donde venga y se lo destine a lo que se lo destine”. (Juan Ramón Rallo)</w:t>
      </w:r>
    </w:p>
    <w:p w:rsidR="002F07D4" w:rsidRDefault="002F07D4" w:rsidP="002F07D4">
      <w:pPr>
        <w:pStyle w:val="NormalWeb"/>
        <w:jc w:val="both"/>
      </w:pPr>
      <w:r>
        <w:t>Que quede claro: lo que están haciendo el Gobierno de los EEUU y la Reserva Federal (Fed) o la Unión Europea y el Banco Central Europeo (BCE) no es “keynesianismo”, se mire como se mire y se pongan como se pongan (los unos y los otros).</w:t>
      </w:r>
    </w:p>
    <w:p w:rsidR="002F07D4" w:rsidRDefault="002F07D4" w:rsidP="002F07D4">
      <w:pPr>
        <w:pStyle w:val="NormalWeb"/>
        <w:jc w:val="both"/>
      </w:pPr>
      <w:r>
        <w:t xml:space="preserve">Socializar las pérdidas no es keynesianismo; salvarle el culo a los bancos no es keynesianismo; alentar la especulación bursátil, no es keynesianismo; facilitar la distribución regresiva de los ingresos no es keynesianismo; eliminar el Estado de bienestar no es keynesianismo… (y podría seguir). Todo eso es “falsificar” a Keynes. </w:t>
      </w:r>
    </w:p>
    <w:p w:rsidR="002F07D4" w:rsidRDefault="002F07D4" w:rsidP="002F07D4">
      <w:pPr>
        <w:pStyle w:val="NormalWeb"/>
        <w:jc w:val="both"/>
      </w:pPr>
      <w:r>
        <w:t>Los falsos liberales (que se rasgan las vestiduras, cuando se menciona a Keynes) deberían explicar (sin condenarse) como justifican el liberalismo de mano única.</w:t>
      </w:r>
    </w:p>
    <w:p w:rsidR="002F07D4" w:rsidRDefault="002F07D4" w:rsidP="002F07D4">
      <w:pPr>
        <w:pStyle w:val="NormalWeb"/>
        <w:jc w:val="both"/>
      </w:pPr>
      <w:r>
        <w:t>La socialización de las pérdidas y el rescate del rescate (a octubre de 2011, ya vamos por la segunda vuelta)  me llevan a decir que: “esta teta no da más de sí”. Si no, que venga Keynes o Smith (tanto monta, monta tanto) y lo vea.</w:t>
      </w:r>
    </w:p>
    <w:p w:rsidR="002F07D4" w:rsidRDefault="002F07D4" w:rsidP="002F07D4">
      <w:pPr>
        <w:pStyle w:val="NormalWeb"/>
        <w:jc w:val="both"/>
      </w:pPr>
      <w:r>
        <w:t>También sobre Smith tengo un Paper escrito: “El día que Smith ‘lloró’”, publicado en mayo de 2004, por si desean ahondar en “La teoría de los sentimientos morales”, a la hora de revisar lo actuado en la crisis presente. Un asunto digno de reflexión.</w:t>
      </w:r>
    </w:p>
    <w:p w:rsidR="002F07D4" w:rsidRDefault="002F07D4" w:rsidP="002F07D4">
      <w:pPr>
        <w:pStyle w:val="NormalWeb"/>
        <w:jc w:val="both"/>
      </w:pPr>
      <w:r>
        <w:t>Tal vez (sólo digo, tal vez) la “dubitativa” Merkel (mira tú por dónde) podría practicar algo de keynesianismo, si se animara, incentivando la demanda: hacer al revés que China, en vez de dar crédito a EEUU para que le sigan comprando, podrían comprar a los PIGS para que le sigan pagando.  Y ello sin tocar a los bancos. ¿Qué tal? Demasiado fácil, para ser “políticamente correcto”.</w:t>
      </w:r>
    </w:p>
    <w:p w:rsidR="002F07D4" w:rsidRDefault="002F07D4" w:rsidP="002F07D4">
      <w:pPr>
        <w:pStyle w:val="NormalWeb"/>
        <w:jc w:val="both"/>
      </w:pPr>
      <w:r>
        <w:t xml:space="preserve">Tal vez (sólo digo, tal vez) el “peronista” Obama podría practicar algo de keynesianismo, si se animara, incentivando la demanda: tomando decisiones económicas que favorecieran a “Main Street” y no exclusivamente a “Wall Street”. Claro que con ese proceder, no se “financian” las campañas…  </w:t>
      </w:r>
    </w:p>
    <w:p w:rsidR="002F07D4" w:rsidRDefault="002F07D4" w:rsidP="002F07D4">
      <w:pPr>
        <w:pStyle w:val="NormalWeb"/>
        <w:jc w:val="both"/>
      </w:pPr>
      <w:r>
        <w:t>Hasta que se demuestre lo contrario, “la mano invisible” del mercado sólo ha servido para firmar las transferencias de fondos públicos a los bancos, para que resuelvan sus problemas de solvencia (aunque digan que son de liquidez), continúen sus negocios especulativos (que provocaron la crisis), y mantengan su generosa política de remuneraciones (equivalente al 50% de sus ingresos)… y aquí paz y después gloria.</w:t>
      </w:r>
    </w:p>
    <w:p w:rsidR="002F07D4" w:rsidRPr="00CE3170" w:rsidRDefault="002F07D4" w:rsidP="002F07D4">
      <w:pPr>
        <w:pStyle w:val="NormalWeb"/>
        <w:jc w:val="both"/>
      </w:pPr>
      <w:r>
        <w:t>¿Puede hablarse keynesianismo cuando el crédito a particulares se ha congelado?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¿Puede hablarse de keynesianismo cuando toda la política de distensión monetaria fue a parar a las arcas de los mismos que provocaron la crisis? ¿Es esto actuar con cautela?</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Esto se llama jugar sucio. Han privatizado la política económica de la Unión Europea. De Estados Unidos, va de suyo (Washington S.A.). M</w:t>
      </w:r>
      <w:r w:rsidRPr="00DA5A53">
        <w:rPr>
          <w:rFonts w:ascii="Times New Roman" w:hAnsi="Times New Roman"/>
          <w:sz w:val="24"/>
          <w:szCs w:val="24"/>
        </w:rPr>
        <w:t>agos pretenciosos q</w:t>
      </w:r>
      <w:r>
        <w:rPr>
          <w:rFonts w:ascii="Times New Roman" w:hAnsi="Times New Roman"/>
          <w:sz w:val="24"/>
          <w:szCs w:val="24"/>
        </w:rPr>
        <w:t xml:space="preserve">ue </w:t>
      </w:r>
      <w:r>
        <w:rPr>
          <w:rFonts w:ascii="Times New Roman" w:hAnsi="Times New Roman"/>
          <w:sz w:val="24"/>
          <w:szCs w:val="24"/>
        </w:rPr>
        <w:lastRenderedPageBreak/>
        <w:t>convirtieron la política europea (la de EEUU, va “en línea con el mercado”)</w:t>
      </w:r>
      <w:r w:rsidRPr="00DA5A53">
        <w:rPr>
          <w:rFonts w:ascii="Times New Roman" w:hAnsi="Times New Roman"/>
          <w:sz w:val="24"/>
          <w:szCs w:val="24"/>
        </w:rPr>
        <w:t xml:space="preserve"> en el espectáculo repugnante que es ahora</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¿Por qué tanta celeridad (¿y servilismo?) a la hora de dar “relajamiento cuantitativo” (¿droga?) a los bancos y especuladores bursátiles, y tanta disciplina y rigor a la hora de financiar el déficit fiscal de los países? ¿Son dineros distintos? ¿O acaso el destino (inconfesable) de los “relajamientos” lo justifica todo?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¿Por qué la política monetaria es más relajada a la hora de apoyar la economía financiera que a la de apoyar a la economía productiva?</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¿Por qué los particulares se deben “desapalancar” malvendiendo sus activos, perdiendo sus propiedades hipotecadas, y/o reduciendo sus consumos, y las entidades financieras se “desapalancan” pasando (a precio de libros) sus activos “tóxicos” a los gobiernos?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¿Por qué los “guardianes de los bonos” son tan generosos (se dicen pragmáticos) a la hora de prolongar las medidas de liquidez que favorecen a los bancos y tan cicateros (se dicen dogmáticos) cuando se trata de reforzar los balances fiscales de los gobiernos?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¿Por qué se “estimula” la especulación (acciones, materias primas, productos financieros) y no se lo quiere hacer con la demanda de los contribuyentes? ¿De quién es el dinero que tan alegre (e irresponsablemente) lanzan desde el helicóptero?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¿Por qué tienen “importancia sistémica” las grandes instituciones financieras y no tienen “importancia sistémica” los gobiernos (que han rescatado no una, sino dos veces -hasta octubre de 2011-, a los bancos “sistémicos”, y/o los contribuyentes (que al final son los que pagan todo este circo y terminan cubriendo todas las apuestas del casino)?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¿Qué están haciendo los gobiernos de EEUU y la UE, con sus respectivos bancos centrales, por frenar la segunda ronda de recesión (la temida “double dip”), más allá de asistir la segunda ronda de capitalización bancaria (y sigue el baile) e intentar desesperadamente monetizar la deuda (inflación por medio)?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¿Por qué se reabre la barra libre de liquidez y la recompra de bonos a la banca (BCE - 6/10/11) y se mantiene la prohibición de comprar deuda pública (si no se realiza a través de los bancos, en el mercado secundario, previo abono de una plusvalía del 3 o 4 por ciento, a favor de los “sospechosos habituales”)? ¿Estupidez, dogmatismo o cohecho?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¿No resultaría más racional (sé que es una práctica poco habitual en política y por lo que se ve, últimamente, también en economía) apoyar la deuda pública para que su valoración de mercado no sea castigada y afecte los balances de los bancos, que reforzar el capital de los bancos para que puedan soportar la minusvaloración de su cartera de inversiones de bonos soberanos (que por otra parte se originaron para atender las necesidades devenidas del primer rescate financiero y, en su momento (para más inri), sirvieron para mejorar la rentabilidad de los bancos (gracias al “trapicheo” del BCE)?</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¿Ustedes creen que todo este cinismo, concupiscencia, corrupción, prevaricación, servilismo, conculcación, malversación, fraude, estafa,… (y podría seguir), está contemplado en la doctrina keynesiana? ¿Habría sido aprobado por Keynes?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¿Por qué dicen Keynes cuando deben decir Madoff? ¿Hasta en eso fingen? Hipócritas.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lastRenderedPageBreak/>
        <w:t xml:space="preserve">El “colapso del sistema”… pero no jodamos, el único colapso verdadero es el de la moral, el de la ética y hasta si se me permite (aunque sé que no se estila), el de la estética. Es que hasta para robar (que es de lo que se trata), hay que tener cierto estilo.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Pues ni eso, para “aliviar” cuantitativamente a los bancos utilizan de inodoro el cráneo (muchas veces hueco, lamentablemente) de los contribuyentes. Vamos, que se cagan en el ciudadano (¿más claro?). Encima de cornudo, apaleado. Los políticos</w:t>
      </w:r>
      <w:r w:rsidRPr="000244E3">
        <w:rPr>
          <w:rFonts w:ascii="Times New Roman" w:hAnsi="Times New Roman"/>
          <w:sz w:val="24"/>
          <w:szCs w:val="24"/>
        </w:rPr>
        <w:t xml:space="preserve"> se seguirán meando en todos y nos dirán que llueve. </w:t>
      </w:r>
      <w:r>
        <w:rPr>
          <w:rFonts w:ascii="Times New Roman" w:hAnsi="Times New Roman"/>
          <w:sz w:val="24"/>
          <w:szCs w:val="24"/>
        </w:rPr>
        <w:t xml:space="preserve">O sea.  </w:t>
      </w:r>
    </w:p>
    <w:p w:rsidR="002F07D4" w:rsidRDefault="002F07D4" w:rsidP="002F07D4">
      <w:pPr>
        <w:spacing w:line="240" w:lineRule="auto"/>
        <w:jc w:val="both"/>
        <w:rPr>
          <w:rFonts w:ascii="Times New Roman" w:hAnsi="Times New Roman"/>
          <w:sz w:val="24"/>
          <w:szCs w:val="24"/>
        </w:rPr>
      </w:pPr>
      <w:r w:rsidRPr="00E0250C">
        <w:rPr>
          <w:rFonts w:ascii="Times New Roman" w:hAnsi="Times New Roman"/>
          <w:sz w:val="24"/>
          <w:szCs w:val="24"/>
        </w:rPr>
        <w:t>Estamos ante una nueva etapa en la gestión de esta crisis que pone de manifiesto lo mal que se han hecho las cosas hasta ahora. El banco central creando incentivos para acumular activos soberanos devenidos tóxicos a añadir a los que ya te</w:t>
      </w:r>
      <w:r>
        <w:rPr>
          <w:rFonts w:ascii="Times New Roman" w:hAnsi="Times New Roman"/>
          <w:sz w:val="24"/>
          <w:szCs w:val="24"/>
        </w:rPr>
        <w:t xml:space="preserve">nían las instituciones </w:t>
      </w:r>
      <w:r w:rsidRPr="00E0250C">
        <w:rPr>
          <w:rFonts w:ascii="Times New Roman" w:hAnsi="Times New Roman"/>
          <w:sz w:val="24"/>
          <w:szCs w:val="24"/>
        </w:rPr>
        <w:t>en cartera, en lugar de fomentar la necesaria contracción del balance y la asunción de pérdidas cuando fuera menester. Y los gobernantes de uno y otro signo más pendientes de evitar que la suciedad les salpicara, en términos de percepción interna de sus votantes, que de comprender la gravedad del problema y actuar en consecuencia. En fin. Sea como fuere llegados a este punto de poco sirve mirar atrás. En la batalla entre actividad pr</w:t>
      </w:r>
      <w:r>
        <w:rPr>
          <w:rFonts w:ascii="Times New Roman" w:hAnsi="Times New Roman"/>
          <w:sz w:val="24"/>
          <w:szCs w:val="24"/>
        </w:rPr>
        <w:t>oductiva y economía financiera -</w:t>
      </w:r>
      <w:r w:rsidRPr="00E0250C">
        <w:rPr>
          <w:rFonts w:ascii="Times New Roman" w:hAnsi="Times New Roman"/>
          <w:sz w:val="24"/>
          <w:szCs w:val="24"/>
        </w:rPr>
        <w:t>qué fue antes, ¿el huevo o la gallina?- ésta vuelve a ganar por la mano, círculo vicioso de financiaciones cruzadas que obligan a la primera a la austeridad y consienten en la segunda la promiscuidad. Por eso no hay bajada de tipos que beneficie a una y dañe el margen de interés de l</w:t>
      </w:r>
      <w:r>
        <w:rPr>
          <w:rFonts w:ascii="Times New Roman" w:hAnsi="Times New Roman"/>
          <w:sz w:val="24"/>
          <w:szCs w:val="24"/>
        </w:rPr>
        <w:t>a otra…</w:t>
      </w:r>
    </w:p>
    <w:p w:rsidR="002F07D4" w:rsidRPr="001A7875" w:rsidRDefault="002F07D4" w:rsidP="002F07D4">
      <w:pPr>
        <w:pStyle w:val="NormalWeb"/>
        <w:jc w:val="both"/>
      </w:pPr>
      <w:r w:rsidRPr="001A7875">
        <w:t xml:space="preserve">- </w:t>
      </w:r>
      <w:r w:rsidRPr="001A7875">
        <w:rPr>
          <w:u w:val="single"/>
        </w:rPr>
        <w:t>El gran robo bancario</w:t>
      </w:r>
      <w:r w:rsidRPr="001A7875">
        <w:t xml:space="preserve"> (Project Syndicate - </w:t>
      </w:r>
      <w:r w:rsidRPr="001A7875">
        <w:rPr>
          <w:b/>
        </w:rPr>
        <w:t>2/9/11</w:t>
      </w:r>
      <w:r w:rsidRPr="001A7875">
        <w:t>)</w:t>
      </w:r>
      <w:r>
        <w:t xml:space="preserve">                        Lectura recomendada</w:t>
      </w:r>
    </w:p>
    <w:p w:rsidR="002F07D4" w:rsidRPr="00A6293C" w:rsidRDefault="002F07D4" w:rsidP="002F07D4">
      <w:pPr>
        <w:pStyle w:val="NormalWeb"/>
        <w:jc w:val="both"/>
        <w:rPr>
          <w:lang w:val="en-US"/>
        </w:rPr>
      </w:pPr>
      <w:r w:rsidRPr="00A6293C">
        <w:rPr>
          <w:lang w:val="en-US"/>
        </w:rPr>
        <w:t>(Por Nassim Nicholas Taleb and Mark Spitznagel</w:t>
      </w:r>
      <w:r>
        <w:rPr>
          <w:lang w:val="en-US"/>
        </w:rPr>
        <w:t>)</w:t>
      </w:r>
    </w:p>
    <w:p w:rsidR="002F07D4" w:rsidRPr="001A7875" w:rsidRDefault="002F07D4" w:rsidP="002F07D4">
      <w:pPr>
        <w:pStyle w:val="NormalWeb"/>
        <w:jc w:val="both"/>
        <w:rPr>
          <w:b/>
          <w:color w:val="FF0000"/>
          <w:u w:val="single"/>
        </w:rPr>
      </w:pPr>
      <w:r>
        <w:t xml:space="preserve">Nueva York.- </w:t>
      </w:r>
      <w:r>
        <w:rPr>
          <w:b/>
          <w:color w:val="FF0000"/>
          <w:u w:val="single"/>
        </w:rPr>
        <w:t>Para la economía americana -</w:t>
      </w:r>
      <w:r w:rsidRPr="001A7875">
        <w:rPr>
          <w:b/>
          <w:color w:val="FF0000"/>
          <w:u w:val="single"/>
        </w:rPr>
        <w:t>y para mucha</w:t>
      </w:r>
      <w:r>
        <w:rPr>
          <w:b/>
          <w:color w:val="FF0000"/>
          <w:u w:val="single"/>
        </w:rPr>
        <w:t>s otras economías desarrolladas-</w:t>
      </w:r>
      <w:r w:rsidRPr="001A7875">
        <w:rPr>
          <w:b/>
          <w:color w:val="FF0000"/>
          <w:u w:val="single"/>
        </w:rPr>
        <w:t>, el elefante en la habitación es la cantidad de dinero entregado a los banqueros en los cinco últimos años. En los Estados Unidos, la suma asciende a la asombrosa cifra de 2,2 billones de dólares en el caso de los bancos registrados en la Comisión d</w:t>
      </w:r>
      <w:r>
        <w:rPr>
          <w:b/>
          <w:color w:val="FF0000"/>
          <w:u w:val="single"/>
        </w:rPr>
        <w:t>el Mercado de Valores de los EE</w:t>
      </w:r>
      <w:r w:rsidRPr="001A7875">
        <w:rPr>
          <w:b/>
          <w:color w:val="FF0000"/>
          <w:u w:val="single"/>
        </w:rPr>
        <w:t>UU. Si la extrapolamos al próximo decenio, la cifra se acercaría a los cinco billones de dólares, una cantidad muchísimo mayor que lo que el Gobierno del Presidente Barak Obama y sus oponentes republicanos parecen dispuestos a reducir de los próximos déficits gubernamentales.</w:t>
      </w:r>
    </w:p>
    <w:p w:rsidR="002F07D4" w:rsidRPr="001A7875" w:rsidRDefault="002F07D4" w:rsidP="002F07D4">
      <w:pPr>
        <w:pStyle w:val="NormalWeb"/>
        <w:jc w:val="both"/>
        <w:rPr>
          <w:u w:val="single"/>
        </w:rPr>
      </w:pPr>
      <w:r w:rsidRPr="001A7875">
        <w:rPr>
          <w:b/>
          <w:color w:val="FF0000"/>
          <w:u w:val="single"/>
        </w:rPr>
        <w:t>Esos cinco billones de dólares no son dinero invertido en la construcción de carreteras, escuelas y otros proyectos a largo plazo, sino que se transfieren directamente de la economía americana a las cuentas personales de ejecutivos y  empleados de bancos.</w:t>
      </w:r>
      <w:r w:rsidRPr="001A7875">
        <w:rPr>
          <w:u w:val="single"/>
        </w:rPr>
        <w:t>Semejantes transferencias representan para todos los demás el impuesto más artero que imaginarse pueda. Parece de lo más inicuo que los banqueros, después de haber contribuido a causar los problemas económicos y financieros actuales, sean la única clase que no está padeciendo sus consecuencias... y en muchos casos se está beneficiando, en realidad.</w:t>
      </w:r>
    </w:p>
    <w:p w:rsidR="002F07D4" w:rsidRPr="001A7875" w:rsidRDefault="002F07D4" w:rsidP="002F07D4">
      <w:pPr>
        <w:pStyle w:val="NormalWeb"/>
        <w:jc w:val="both"/>
        <w:rPr>
          <w:u w:val="single"/>
        </w:rPr>
      </w:pPr>
      <w:r>
        <w:t xml:space="preserve">Los megabancos principales resultan desconcertantes en muchos sentidos. </w:t>
      </w:r>
      <w:r w:rsidRPr="001A7875">
        <w:rPr>
          <w:u w:val="single"/>
        </w:rPr>
        <w:t xml:space="preserve">(Ya) no es un secreto que han funcionado hasta ahora como grandes y complejos planes de remuneración, que han ocultado las probabilidades de acontecimientos imprevistos que representan poco riesgo, pero tienen grandes repercusiones, y se han beneficiado del parapeto gratuito de las garantías públicas implícitas.Se ve claramente que a un apalancamiento excesivo y no a sus aptitudes es a lo que se deben sus beneficios </w:t>
      </w:r>
      <w:r w:rsidRPr="001A7875">
        <w:rPr>
          <w:u w:val="single"/>
        </w:rPr>
        <w:lastRenderedPageBreak/>
        <w:t>resultantes, que después recaen desproporcionadamente en los empleados, y sus pérdidas, a veces en gran escala, que recaen sobre los accionistas y los contribuyentes.</w:t>
      </w:r>
    </w:p>
    <w:p w:rsidR="002F07D4" w:rsidRPr="001A7875" w:rsidRDefault="002F07D4" w:rsidP="002F07D4">
      <w:pPr>
        <w:pStyle w:val="NormalWeb"/>
        <w:jc w:val="both"/>
        <w:rPr>
          <w:u w:val="single"/>
        </w:rPr>
      </w:pPr>
      <w:r w:rsidRPr="001A7875">
        <w:rPr>
          <w:color w:val="FF0000"/>
          <w:u w:val="single"/>
        </w:rPr>
        <w:t>Dicho de otro modo, los bancos corren riesgos, reciben los beneficios y después transfieren las pérdidas a los accionistas, los contribuyentes e incluso los jubilados</w:t>
      </w:r>
      <w:r>
        <w:t xml:space="preserve">. Para </w:t>
      </w:r>
      <w:r w:rsidRPr="001A7875">
        <w:rPr>
          <w:u w:val="single"/>
        </w:rPr>
        <w:t>rescatar el sistema bancario, la Reserva Federal</w:t>
      </w:r>
      <w:r>
        <w:t xml:space="preserve">, por ejemplo, bajó los tipos de interés hasta unos niveles artificialmente bajos; como se ha sabido recientemente, también ha concedido préstamos secretos de 1,2 billones de dólares a los bancos. </w:t>
      </w:r>
      <w:r w:rsidRPr="001A7875">
        <w:rPr>
          <w:u w:val="single"/>
        </w:rPr>
        <w:t>El efecto principal hasta ahora ha sido el de ayudar a los banqueros a conseguir primas (en lugar de atraer a prestatarios) ocultando los riesgos.</w:t>
      </w:r>
    </w:p>
    <w:p w:rsidR="002F07D4" w:rsidRPr="001A7875" w:rsidRDefault="002F07D4" w:rsidP="002F07D4">
      <w:pPr>
        <w:pStyle w:val="NormalWeb"/>
        <w:jc w:val="both"/>
        <w:rPr>
          <w:color w:val="FF0000"/>
          <w:u w:val="single"/>
        </w:rPr>
      </w:pPr>
      <w:r w:rsidRPr="001A7875">
        <w:rPr>
          <w:u w:val="single"/>
        </w:rPr>
        <w:t>Los contribuyentes acaban pagando dichos riesgos, como también los jubilados y otros que dependen de los réditos de sus ahorros</w:t>
      </w:r>
      <w:r>
        <w:t xml:space="preserve">. Además, </w:t>
      </w:r>
      <w:r w:rsidRPr="001A7875">
        <w:rPr>
          <w:u w:val="single"/>
        </w:rPr>
        <w:t>las políticas de bajos tipos de interés transfieren el riesgo de la inflación a todos los ahorradores y a las generaciones futuras</w:t>
      </w:r>
      <w:r>
        <w:t xml:space="preserve">. Así, pues, </w:t>
      </w:r>
      <w:r w:rsidRPr="001A7875">
        <w:rPr>
          <w:color w:val="FF0000"/>
          <w:u w:val="single"/>
        </w:rPr>
        <w:t>tal vez el mayor insulto a los contribuyentes es el de que el año pasado la remuneración de los banqueros volviera a alcanzar el nivel del período anterior a la crisis.</w:t>
      </w:r>
    </w:p>
    <w:p w:rsidR="002F07D4" w:rsidRDefault="002F07D4" w:rsidP="002F07D4">
      <w:pPr>
        <w:pStyle w:val="NormalWeb"/>
        <w:jc w:val="both"/>
      </w:pPr>
      <w:r>
        <w:t xml:space="preserve">Naturalmente, antes de que los gobiernos los rescataran, </w:t>
      </w:r>
      <w:r w:rsidRPr="001A7875">
        <w:rPr>
          <w:u w:val="single"/>
        </w:rPr>
        <w:t>los bancos nunca habían repartido dividendos en su historia,</w:t>
      </w:r>
      <w:r>
        <w:t xml:space="preserve"> suponiendo que sus activos estuvieran ajustados al valor del mercado. Tampoco es de esperar que lo hagan a largo plazo, pues su modelo de negocio sigue siendo idéntico al que era antes, con modificaciones sólo cosméticas en relación con los riesgos inherentes a las transacciones.</w:t>
      </w:r>
    </w:p>
    <w:p w:rsidR="002F07D4" w:rsidRPr="001A7875" w:rsidRDefault="002F07D4" w:rsidP="002F07D4">
      <w:pPr>
        <w:pStyle w:val="NormalWeb"/>
        <w:jc w:val="both"/>
        <w:rPr>
          <w:color w:val="FF0000"/>
          <w:u w:val="single"/>
        </w:rPr>
      </w:pPr>
      <w:r w:rsidRPr="001A7875">
        <w:rPr>
          <w:color w:val="FF0000"/>
          <w:u w:val="single"/>
        </w:rPr>
        <w:t>De modo que los datos están claros, pero, como contribuyentes individuales, estamos indefensos, porque, dadas las medidas concerta</w:t>
      </w:r>
      <w:r>
        <w:rPr>
          <w:color w:val="FF0000"/>
          <w:u w:val="single"/>
        </w:rPr>
        <w:t>das de los grupos de presión o -peor aún-</w:t>
      </w:r>
      <w:r w:rsidRPr="001A7875">
        <w:rPr>
          <w:color w:val="FF0000"/>
          <w:u w:val="single"/>
        </w:rPr>
        <w:t xml:space="preserve"> de las autoridades económicas, no controlamos los resultados. Nuestras subvenciones para los directores y ejecutivos de los bancos son completamente involuntarias.</w:t>
      </w:r>
    </w:p>
    <w:p w:rsidR="002F07D4" w:rsidRDefault="002F07D4" w:rsidP="002F07D4">
      <w:pPr>
        <w:pStyle w:val="NormalWeb"/>
        <w:jc w:val="both"/>
      </w:pPr>
      <w:r>
        <w:t>Pero la perplejidad resultante representa un elefante aún mayor. ¿Por qué un gerente de inversiones compra los valores de bancos que pagan porciones muy grandes de sus ganancias a sus empleados?</w:t>
      </w:r>
    </w:p>
    <w:p w:rsidR="002F07D4" w:rsidRDefault="002F07D4" w:rsidP="002F07D4">
      <w:pPr>
        <w:pStyle w:val="NormalWeb"/>
        <w:jc w:val="both"/>
      </w:pPr>
      <w:r>
        <w:t>La razón no puede ser la promesa de repetir beneficios pasados, dada la insuficiencia de dichos beneficios. En realidad, filtrar los valores conforme a los beneficios habría reducido a más de la mitad las pérdidas de las inversiones en el sector financiero en los veinte últimos años, sin pérdidas de beneficios.</w:t>
      </w:r>
    </w:p>
    <w:p w:rsidR="002F07D4" w:rsidRPr="001A7875" w:rsidRDefault="002F07D4" w:rsidP="002F07D4">
      <w:pPr>
        <w:pStyle w:val="NormalWeb"/>
        <w:jc w:val="both"/>
        <w:rPr>
          <w:u w:val="single"/>
        </w:rPr>
      </w:pPr>
      <w:r w:rsidRPr="001A7875">
        <w:rPr>
          <w:u w:val="single"/>
        </w:rPr>
        <w:t>¿Por qué los gerentes de carteras y de fondos de pensiones abrigan la esperanza de que sus inversores les concedan impunidad? ¿Acaso no resulta evidente a los inversores que están transfiriendo voluntariamente los fondos de sus clientes a los bolsillos de los banqueros? ¿Acaso no están violando los gestores de fondos tanto las obligaciones fiduciarias como las normas morales? ¿Están desaprovechando la única oportunidad que tenemos de disciplinar a los bancos y obligarlos a competir para correr riesgos de forma responsable?</w:t>
      </w:r>
    </w:p>
    <w:p w:rsidR="002F07D4" w:rsidRPr="001A7875" w:rsidRDefault="002F07D4" w:rsidP="002F07D4">
      <w:pPr>
        <w:pStyle w:val="NormalWeb"/>
        <w:jc w:val="both"/>
        <w:rPr>
          <w:color w:val="FF0000"/>
          <w:u w:val="single"/>
        </w:rPr>
      </w:pPr>
      <w:r w:rsidRPr="001A7875">
        <w:rPr>
          <w:color w:val="FF0000"/>
          <w:u w:val="single"/>
        </w:rPr>
        <w:t>Resulta difícil de entender por qué el mecanismo del mercado no elimina esas preguntas. Un mercado que funcionara bien produciría resultados que favorecerían a los bancos que contaran con los riesgos adecuados, los planes de remuneración idóneos, el reparto de riesgos correcto y, por tanto, la gestión empresarial adecuada.</w:t>
      </w:r>
    </w:p>
    <w:p w:rsidR="002F07D4" w:rsidRPr="001A7875" w:rsidRDefault="002F07D4" w:rsidP="002F07D4">
      <w:pPr>
        <w:pStyle w:val="NormalWeb"/>
        <w:jc w:val="both"/>
        <w:rPr>
          <w:color w:val="FF0000"/>
          <w:u w:val="single"/>
        </w:rPr>
      </w:pPr>
      <w:r>
        <w:lastRenderedPageBreak/>
        <w:t xml:space="preserve">Podemos preguntarnos: si los gestores de inversiones y sus clientes no reciben beneficios elevados por sus valores bancarios, como sucedería si se beneficiaran de la externalización por parte de los banqueros del riesgo que recae en los contribuyentes, </w:t>
      </w:r>
      <w:r w:rsidRPr="001A7875">
        <w:rPr>
          <w:color w:val="FF0000"/>
          <w:u w:val="single"/>
        </w:rPr>
        <w:t>¿por qué no se deshacen de ellos? La respuesta es la llamada “beta”: los bancos representan una gran proporción de los S&amp;P 500 y los gestores necesitan invertir en ellos.</w:t>
      </w:r>
    </w:p>
    <w:p w:rsidR="002F07D4" w:rsidRPr="001A7875" w:rsidRDefault="002F07D4" w:rsidP="002F07D4">
      <w:pPr>
        <w:pStyle w:val="NormalWeb"/>
        <w:jc w:val="both"/>
        <w:rPr>
          <w:u w:val="single"/>
        </w:rPr>
      </w:pPr>
      <w:r w:rsidRPr="001A7875">
        <w:rPr>
          <w:u w:val="single"/>
        </w:rPr>
        <w:t>No creemos que la reglamentación sea una panacea para este estado de cosas.Los bancos mayores y más complejos han llegado a ser expertos en mantenerse un paso por delante de los reglamentadores creando constantemente productos financieros y derivados que eluden la letra de las normas</w:t>
      </w:r>
      <w:r>
        <w:t xml:space="preserve">. </w:t>
      </w:r>
      <w:r w:rsidRPr="001A7875">
        <w:rPr>
          <w:u w:val="single"/>
        </w:rPr>
        <w:t>En esas circunstancias, una reglamentación más complicada significa simplemente más horas retribuibles para los abogados, más ingresos para los reglamentadores que cambien de bando y más beneficios para los gestores de derivados.</w:t>
      </w:r>
    </w:p>
    <w:p w:rsidR="002F07D4" w:rsidRDefault="002F07D4" w:rsidP="002F07D4">
      <w:pPr>
        <w:pStyle w:val="NormalWeb"/>
        <w:jc w:val="both"/>
      </w:pPr>
      <w:r w:rsidRPr="001A7875">
        <w:rPr>
          <w:u w:val="single"/>
        </w:rPr>
        <w:t>Los gestores de inversiones tienen la obligación profesional y moral de desempeñar su papel imponiendo cierta disciplina al sistema bancario</w:t>
      </w:r>
      <w:r>
        <w:t>. El primer paso debería ser el de diferenciar los bancos conforme a sus criterios de remuneración.</w:t>
      </w:r>
    </w:p>
    <w:p w:rsidR="002F07D4" w:rsidRDefault="002F07D4" w:rsidP="002F07D4">
      <w:pPr>
        <w:pStyle w:val="NormalWeb"/>
        <w:jc w:val="both"/>
      </w:pPr>
      <w:r w:rsidRPr="001A7875">
        <w:rPr>
          <w:u w:val="single"/>
        </w:rPr>
        <w:t>En el pasado los inversores se h</w:t>
      </w:r>
      <w:r>
        <w:rPr>
          <w:u w:val="single"/>
        </w:rPr>
        <w:t>an regido por criterios éticos -</w:t>
      </w:r>
      <w:r w:rsidRPr="001A7875">
        <w:rPr>
          <w:u w:val="single"/>
        </w:rPr>
        <w:t>al excluir, pongamos por caso, las empresas tabaqueras o las multinacionales cómpl</w:t>
      </w:r>
      <w:r>
        <w:rPr>
          <w:u w:val="single"/>
        </w:rPr>
        <w:t>ices del apartheid en Sudáfrica-</w:t>
      </w:r>
      <w:r w:rsidRPr="001A7875">
        <w:rPr>
          <w:u w:val="single"/>
        </w:rPr>
        <w:t xml:space="preserve"> y han logrado ejercer presiones en los valores subyacentes</w:t>
      </w:r>
      <w:r>
        <w:t xml:space="preserve">. </w:t>
      </w:r>
      <w:r w:rsidRPr="001A7875">
        <w:rPr>
          <w:color w:val="FF0000"/>
          <w:u w:val="single"/>
        </w:rPr>
        <w:t>La inversión en bancos constituye una doble violación: ética y profesional.</w:t>
      </w:r>
      <w:r>
        <w:t xml:space="preserve"> Los inversores y todos nosotros estaríamos mucho mejor económicamente, si esos fondos afluyeran a empresas más productivas, tal vez reorientando hacia organizaciones benéficas una cantidad equivalente a la que se transferiría a las primas de los banqueros.</w:t>
      </w:r>
    </w:p>
    <w:p w:rsidR="002F07D4" w:rsidRDefault="002F07D4" w:rsidP="002F07D4">
      <w:pPr>
        <w:pStyle w:val="NormalWeb"/>
        <w:jc w:val="both"/>
      </w:pPr>
      <w:r>
        <w:t>(Nassim Nicholas Taleb es profesor de Prevención de Riesgos en la Universidad de Nueva York y autor de The Black Swan (“El cisne negro”). Mark Spitznagel es gestor de fondos de cobertura. Los autores tienen posiciones que se benefician, si los valores de los bancos se devalúan. Copyright: Project Syndicate, 2011)</w:t>
      </w:r>
    </w:p>
    <w:p w:rsidR="002F07D4" w:rsidRPr="00F268E4" w:rsidRDefault="002F07D4" w:rsidP="002F07D4">
      <w:pPr>
        <w:pStyle w:val="NormalWeb"/>
        <w:jc w:val="both"/>
      </w:pPr>
      <w:r w:rsidRPr="00DF27BA">
        <w:rPr>
          <w:i/>
        </w:rPr>
        <w:t>“Conforme los gobiernos de países avanzados asumen una creciente responsabilidad para proteger a sus ciudadanos, inversionistas, bancos y compañías de las penurias infligidas por los desastres, extreman sus recursos financieros hasta cerca del límite. Ello, dicen economistas, podría privarlos de los medios necesarios para responder la próxima vez que ocurra una crisis de proporciones”.</w:t>
      </w:r>
      <w:r>
        <w:t xml:space="preserve"> (The Wall Street Journal - </w:t>
      </w:r>
      <w:r w:rsidRPr="00C27AAD">
        <w:rPr>
          <w:b/>
        </w:rPr>
        <w:t>27/3/11</w:t>
      </w:r>
      <w:r>
        <w:t>)</w:t>
      </w:r>
    </w:p>
    <w:p w:rsidR="002F07D4" w:rsidRDefault="002F07D4" w:rsidP="002F07D4">
      <w:pPr>
        <w:pStyle w:val="NormalWeb"/>
        <w:jc w:val="both"/>
        <w:rPr>
          <w:b/>
          <w:color w:val="FF0000"/>
          <w:u w:val="single"/>
        </w:rPr>
      </w:pPr>
      <w:r>
        <w:rPr>
          <w:b/>
          <w:color w:val="FF0000"/>
          <w:u w:val="single"/>
        </w:rPr>
        <w:t>“</w:t>
      </w:r>
      <w:r w:rsidRPr="00F268E4">
        <w:rPr>
          <w:b/>
          <w:color w:val="FF0000"/>
          <w:u w:val="single"/>
        </w:rPr>
        <w:t>¿Podemos permitirnos otra cris</w:t>
      </w:r>
      <w:r>
        <w:rPr>
          <w:b/>
          <w:color w:val="FF0000"/>
          <w:u w:val="single"/>
        </w:rPr>
        <w:t>is? Creo que la respuesta es no”</w:t>
      </w:r>
      <w:r w:rsidRPr="00F268E4">
        <w:rPr>
          <w:b/>
          <w:color w:val="FF0000"/>
          <w:u w:val="single"/>
        </w:rPr>
        <w:t>, dice Raghuram Rajan, profesor de la Universidad de Chicago quien se desempeñó como economista jefe del Fondo Monetario In</w:t>
      </w:r>
      <w:r>
        <w:rPr>
          <w:b/>
          <w:color w:val="FF0000"/>
          <w:u w:val="single"/>
        </w:rPr>
        <w:t>ternacional entre 2003 y 2007. “</w:t>
      </w:r>
      <w:r w:rsidRPr="00F268E4">
        <w:rPr>
          <w:b/>
          <w:color w:val="FF0000"/>
          <w:u w:val="single"/>
        </w:rPr>
        <w:t>Simplemente no tenemos la capacidad fiscal en muchos países para</w:t>
      </w:r>
      <w:r>
        <w:rPr>
          <w:b/>
          <w:color w:val="FF0000"/>
          <w:u w:val="single"/>
        </w:rPr>
        <w:t xml:space="preserve"> rescatar nuevamente el sistema”</w:t>
      </w:r>
      <w:r w:rsidRPr="00F268E4">
        <w:rPr>
          <w:b/>
          <w:color w:val="FF0000"/>
          <w:u w:val="single"/>
        </w:rPr>
        <w:t>.</w:t>
      </w:r>
    </w:p>
    <w:p w:rsidR="002F07D4" w:rsidRDefault="002F07D4" w:rsidP="002F07D4">
      <w:pPr>
        <w:shd w:val="clear" w:color="auto" w:fill="FFFFFF"/>
        <w:spacing w:after="225" w:line="240" w:lineRule="auto"/>
        <w:jc w:val="both"/>
        <w:rPr>
          <w:rFonts w:ascii="Times New Roman" w:eastAsia="Times New Roman" w:hAnsi="Times New Roman"/>
          <w:b/>
          <w:color w:val="FF0000"/>
          <w:sz w:val="24"/>
          <w:szCs w:val="24"/>
          <w:u w:val="single"/>
          <w:lang w:eastAsia="es-ES"/>
        </w:rPr>
      </w:pPr>
      <w:r>
        <w:rPr>
          <w:rFonts w:ascii="Arial" w:eastAsia="Times New Roman" w:hAnsi="Arial" w:cs="Arial"/>
          <w:noProof/>
          <w:color w:val="000000"/>
          <w:sz w:val="15"/>
          <w:szCs w:val="15"/>
          <w:lang w:val="en-GB" w:eastAsia="en-GB"/>
        </w:rPr>
        <w:lastRenderedPageBreak/>
        <w:drawing>
          <wp:inline distT="0" distB="0" distL="0" distR="0">
            <wp:extent cx="3568700" cy="3848100"/>
            <wp:effectExtent l="0" t="0" r="0" b="0"/>
            <wp:docPr id="359" name="Imagen 359" descr="[Cr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isis]"/>
                    <pic:cNvPicPr>
                      <a:picLocks noChangeAspect="1" noChangeArrowheads="1"/>
                    </pic:cNvPicPr>
                  </pic:nvPicPr>
                  <pic:blipFill>
                    <a:blip r:embed="rId2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8700" cy="3848100"/>
                    </a:xfrm>
                    <a:prstGeom prst="rect">
                      <a:avLst/>
                    </a:prstGeom>
                    <a:noFill/>
                    <a:ln>
                      <a:noFill/>
                    </a:ln>
                  </pic:spPr>
                </pic:pic>
              </a:graphicData>
            </a:graphic>
          </wp:inline>
        </w:drawing>
      </w:r>
    </w:p>
    <w:p w:rsidR="002F07D4" w:rsidRDefault="002F07D4" w:rsidP="002F07D4">
      <w:pPr>
        <w:spacing w:line="240" w:lineRule="auto"/>
        <w:jc w:val="both"/>
        <w:rPr>
          <w:rFonts w:ascii="Times New Roman" w:hAnsi="Times New Roman"/>
          <w:sz w:val="24"/>
          <w:szCs w:val="24"/>
        </w:rPr>
      </w:pPr>
      <w:r w:rsidRPr="005E43A8">
        <w:rPr>
          <w:rFonts w:ascii="Times New Roman" w:hAnsi="Times New Roman"/>
          <w:i/>
          <w:sz w:val="24"/>
          <w:szCs w:val="24"/>
        </w:rPr>
        <w:t>“Una escalada de beneficios inaudita, no vista en más de un siglo. Las empresas del S&amp;P 500, el índice que agrupa a las compañías con una capitalización de más de 1.000 millones de dólares, se prepara para desplegar un registro inimaginable hasta hace pocas fechas: los beneficios empresariales se aproximan a los máximos históricos registrados en 2007 después de que se haya producido la recuperación más rápida desde 1900, según las cifras recopiladas por Bloomberg a partir de la base de datos de S&amp;P y  Schiller, de la Universidad de Yale”.</w:t>
      </w:r>
      <w:r>
        <w:rPr>
          <w:rFonts w:ascii="Times New Roman" w:hAnsi="Times New Roman"/>
          <w:sz w:val="24"/>
          <w:szCs w:val="24"/>
        </w:rPr>
        <w:t xml:space="preserve">(El Confidencial - </w:t>
      </w:r>
      <w:r w:rsidRPr="00C00DCA">
        <w:rPr>
          <w:rFonts w:ascii="Times New Roman" w:hAnsi="Times New Roman"/>
          <w:b/>
          <w:sz w:val="24"/>
          <w:szCs w:val="24"/>
        </w:rPr>
        <w:t>5/4/11</w:t>
      </w:r>
      <w:r>
        <w:rPr>
          <w:rFonts w:ascii="Times New Roman" w:hAnsi="Times New Roman"/>
          <w:sz w:val="24"/>
          <w:szCs w:val="24"/>
        </w:rPr>
        <w:t>)</w:t>
      </w:r>
    </w:p>
    <w:p w:rsidR="002F07D4" w:rsidRPr="002C334D" w:rsidRDefault="002F07D4" w:rsidP="002F07D4">
      <w:pPr>
        <w:spacing w:line="240" w:lineRule="auto"/>
        <w:jc w:val="both"/>
        <w:rPr>
          <w:rFonts w:ascii="Times New Roman" w:hAnsi="Times New Roman"/>
          <w:sz w:val="24"/>
          <w:szCs w:val="24"/>
        </w:rPr>
      </w:pPr>
      <w:r w:rsidRPr="002C334D">
        <w:rPr>
          <w:rFonts w:ascii="Times New Roman" w:hAnsi="Times New Roman"/>
          <w:sz w:val="24"/>
          <w:szCs w:val="24"/>
        </w:rPr>
        <w:t>No es algo nuevo: los datos confirman que las grandes compañías se están convirtiendo en las grandes ganadoras de la crisis económica y financiera por su resistencia a la falta de crédito y la caída del consumo que se ha llevado por delante a decenas de miles de empresas occidentales. Así, mientras que la destrucción de empleo se ha cebado con gran parte de las grandes economías, los grandes grupos empresariales han multiplicado sus beneficios en apenas dos años hasta recuperar y superar las cifras previas a la crisis.</w:t>
      </w:r>
    </w:p>
    <w:p w:rsidR="002F07D4" w:rsidRPr="00FC5054" w:rsidRDefault="002F07D4" w:rsidP="002F07D4">
      <w:pPr>
        <w:spacing w:line="240" w:lineRule="auto"/>
        <w:jc w:val="both"/>
        <w:rPr>
          <w:rFonts w:ascii="Times New Roman" w:hAnsi="Times New Roman"/>
          <w:sz w:val="24"/>
          <w:szCs w:val="24"/>
        </w:rPr>
      </w:pPr>
      <w:r>
        <w:rPr>
          <w:rFonts w:ascii="Times New Roman" w:eastAsia="Times New Roman" w:hAnsi="Times New Roman"/>
          <w:noProof/>
          <w:sz w:val="24"/>
          <w:szCs w:val="24"/>
          <w:lang w:val="en-GB" w:eastAsia="en-GB"/>
        </w:rPr>
        <w:drawing>
          <wp:inline distT="0" distB="0" distL="0" distR="0">
            <wp:extent cx="4724400" cy="1790700"/>
            <wp:effectExtent l="0" t="0" r="0" b="0"/>
            <wp:docPr id="360" name="Imagen 360" descr="Las grandes empresas de EEUU viven la mayor subida de beneficios desd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s grandes empresas de EEUU viven la mayor subida de beneficios desde 1900"/>
                    <pic:cNvPicPr>
                      <a:picLocks noChangeAspect="1" noChangeArrowheads="1"/>
                    </pic:cNvPicPr>
                  </pic:nvPicPr>
                  <pic:blipFill>
                    <a:blip r:embed="rId2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4400" cy="1790700"/>
                    </a:xfrm>
                    <a:prstGeom prst="rect">
                      <a:avLst/>
                    </a:prstGeom>
                    <a:noFill/>
                    <a:ln>
                      <a:noFill/>
                    </a:ln>
                  </pic:spPr>
                </pic:pic>
              </a:graphicData>
            </a:graphic>
          </wp:inline>
        </w:drawing>
      </w:r>
      <w:r w:rsidRPr="00C00DCA">
        <w:rPr>
          <w:rFonts w:ascii="Times New Roman" w:eastAsia="Times New Roman" w:hAnsi="Times New Roman"/>
          <w:sz w:val="24"/>
          <w:szCs w:val="24"/>
          <w:lang w:eastAsia="es-ES"/>
        </w:rPr>
        <w:t xml:space="preserve">Evolución del beneficio por acción en el S&amp;P 500 desde 1900. </w:t>
      </w:r>
      <w:r w:rsidRPr="00C00DCA">
        <w:rPr>
          <w:rFonts w:ascii="Times New Roman" w:eastAsia="Times New Roman" w:hAnsi="Times New Roman"/>
          <w:sz w:val="24"/>
          <w:szCs w:val="24"/>
          <w:lang w:val="en-US" w:eastAsia="es-ES"/>
        </w:rPr>
        <w:t>(Fuente: Bloomberg, Schiller, S&amp;P)</w:t>
      </w:r>
    </w:p>
    <w:p w:rsidR="002F07D4" w:rsidRPr="00FC5054" w:rsidRDefault="002F07D4" w:rsidP="002F07D4">
      <w:pPr>
        <w:spacing w:line="240" w:lineRule="auto"/>
        <w:jc w:val="both"/>
        <w:rPr>
          <w:rFonts w:ascii="Times New Roman" w:hAnsi="Times New Roman"/>
          <w:color w:val="FF0000"/>
          <w:sz w:val="24"/>
          <w:szCs w:val="24"/>
        </w:rPr>
      </w:pPr>
      <w:r w:rsidRPr="00485F74">
        <w:rPr>
          <w:rFonts w:ascii="Times New Roman" w:hAnsi="Times New Roman"/>
          <w:b/>
          <w:color w:val="FF0000"/>
          <w:sz w:val="24"/>
          <w:szCs w:val="24"/>
          <w:u w:val="single"/>
        </w:rPr>
        <w:lastRenderedPageBreak/>
        <w:t>Según las estimaciones recopiladas por Bloomberg, el crecimiento de las ganancias en este grupo de empresas desde marzo de 2009 podría elevarse al 1.200%, al pasar de 7 dólares de beneficio por acción hasta los 90 que se marcarán en agosto. En este periodo el índice de bolsa S&amp;P 500 ha duplicado prácticamente su nivel, amasando el mejor periodo de ganancias en bolsa desde los años 30</w:t>
      </w:r>
      <w:r w:rsidRPr="00FC5054">
        <w:rPr>
          <w:rFonts w:ascii="Times New Roman" w:hAnsi="Times New Roman"/>
          <w:color w:val="FF0000"/>
          <w:sz w:val="24"/>
          <w:szCs w:val="24"/>
        </w:rPr>
        <w:t>…</w:t>
      </w:r>
    </w:p>
    <w:p w:rsidR="002F07D4" w:rsidRDefault="002F07D4" w:rsidP="002F07D4">
      <w:pPr>
        <w:pStyle w:val="NormalWeb"/>
        <w:jc w:val="both"/>
        <w:rPr>
          <w:b/>
        </w:rPr>
      </w:pPr>
      <w:r w:rsidRPr="00C85EBB">
        <w:rPr>
          <w:b/>
        </w:rPr>
        <w:t>Examen forense de la bancarrota</w:t>
      </w:r>
      <w:r>
        <w:rPr>
          <w:b/>
        </w:rPr>
        <w:t>: (Año 2012): de la crisis del crédito a la crisis del descrédito</w:t>
      </w:r>
    </w:p>
    <w:p w:rsidR="002F07D4" w:rsidRPr="00333550" w:rsidRDefault="002F07D4" w:rsidP="002F07D4">
      <w:pPr>
        <w:jc w:val="both"/>
        <w:rPr>
          <w:rFonts w:ascii="Times New Roman" w:hAnsi="Times New Roman"/>
          <w:b/>
          <w:sz w:val="24"/>
          <w:szCs w:val="24"/>
        </w:rPr>
      </w:pPr>
      <w:r w:rsidRPr="00333550">
        <w:rPr>
          <w:rFonts w:ascii="Times New Roman" w:hAnsi="Times New Roman"/>
          <w:sz w:val="24"/>
          <w:szCs w:val="24"/>
        </w:rPr>
        <w:t>En un Paper anterior</w:t>
      </w:r>
      <w:r w:rsidRPr="00333550">
        <w:rPr>
          <w:rFonts w:ascii="Times New Roman" w:hAnsi="Times New Roman"/>
          <w:b/>
          <w:sz w:val="24"/>
          <w:szCs w:val="24"/>
        </w:rPr>
        <w:t xml:space="preserve">, </w:t>
      </w:r>
      <w:r>
        <w:rPr>
          <w:rFonts w:ascii="Times New Roman" w:hAnsi="Times New Roman"/>
          <w:b/>
          <w:sz w:val="24"/>
          <w:szCs w:val="24"/>
        </w:rPr>
        <w:t xml:space="preserve">El dilema del 2012: Recortes o crecimiento (¿y por qué no, las dos cosas?) - </w:t>
      </w:r>
      <w:r w:rsidRPr="00333550">
        <w:rPr>
          <w:rFonts w:ascii="Times New Roman" w:hAnsi="Times New Roman"/>
          <w:b/>
          <w:sz w:val="24"/>
          <w:szCs w:val="24"/>
        </w:rPr>
        <w:t>Parte I</w:t>
      </w:r>
      <w:r w:rsidRPr="00333550">
        <w:rPr>
          <w:rFonts w:ascii="Times New Roman" w:hAnsi="Times New Roman"/>
          <w:sz w:val="24"/>
          <w:szCs w:val="24"/>
        </w:rPr>
        <w:t>,</w:t>
      </w:r>
      <w:r>
        <w:rPr>
          <w:rFonts w:ascii="Times New Roman" w:hAnsi="Times New Roman"/>
          <w:sz w:val="24"/>
          <w:szCs w:val="24"/>
        </w:rPr>
        <w:t>publicado en mayo</w:t>
      </w:r>
      <w:r w:rsidRPr="00AD7758">
        <w:rPr>
          <w:rFonts w:ascii="Times New Roman" w:hAnsi="Times New Roman"/>
          <w:sz w:val="24"/>
          <w:szCs w:val="24"/>
        </w:rPr>
        <w:t xml:space="preserve"> de 2012, decía: </w:t>
      </w:r>
    </w:p>
    <w:p w:rsidR="002F07D4" w:rsidRPr="00333550" w:rsidRDefault="002F07D4" w:rsidP="002F07D4">
      <w:pPr>
        <w:pStyle w:val="NormalWeb"/>
        <w:jc w:val="both"/>
        <w:rPr>
          <w:b/>
        </w:rPr>
      </w:pPr>
      <w:r w:rsidRPr="00333550">
        <w:rPr>
          <w:b/>
        </w:rPr>
        <w:t>Bailando con la “prima”</w:t>
      </w:r>
    </w:p>
    <w:p w:rsidR="002F07D4" w:rsidRPr="007D70CD" w:rsidRDefault="002F07D4" w:rsidP="002F07D4">
      <w:pPr>
        <w:pStyle w:val="NormalWeb"/>
        <w:jc w:val="both"/>
      </w:pPr>
      <w:r w:rsidRPr="007D70CD">
        <w:t xml:space="preserve">¿Cuánta libertad tienen los gobiernos modernos en el actual imperio global de los negocios y las grandes empresas? </w:t>
      </w:r>
    </w:p>
    <w:p w:rsidR="002F07D4" w:rsidRDefault="002F07D4" w:rsidP="002F07D4">
      <w:pPr>
        <w:pStyle w:val="NormalWeb"/>
        <w:jc w:val="both"/>
      </w:pPr>
      <w:r>
        <w:t>Ellos deciden que la prioridad del mundo sea cubrir las pérdidas de los bancos, rescatarlos y actúan en clara connivencia con los políticos.</w:t>
      </w:r>
    </w:p>
    <w:p w:rsidR="002F07D4" w:rsidRDefault="002F07D4" w:rsidP="002F07D4">
      <w:pPr>
        <w:pStyle w:val="NormalWeb"/>
        <w:jc w:val="both"/>
      </w:pPr>
      <w:r>
        <w:t>Hace casi 4 años la ingeniería financiera falló, l</w:t>
      </w:r>
      <w:r w:rsidRPr="00CC4875">
        <w:t>as operaciones de valores basadas en métodos de análisis cuantitativo</w:t>
      </w:r>
      <w:r>
        <w:t xml:space="preserve"> (high frecuency) equivocaron las predicciones, el mundo económico entró en “modo pánico” y los gobiernos de los países avanzados debieron acudir, en masa, al rescate (ilimitado) de los bancos “demasiado grandes para quebrar”. Una “crisis sistémica”, así dijeron… Hay que “lanzar el dinero desde un helicóptero” si fuera necesario, así hicieron… Unos momentos, en que nadie se preocupaba del déficit público, “había que restablecer la confianza”, era la consigna… Que fluya el dinero</w:t>
      </w:r>
      <w:r w:rsidRPr="009C3CFD">
        <w:t>, después veremos cómo se recoge</w:t>
      </w:r>
      <w:r>
        <w:t>, ordenaron los “sumos sacerdotes” de la Fed, del BoE, del BCE…</w:t>
      </w:r>
    </w:p>
    <w:p w:rsidR="002F07D4" w:rsidRDefault="002F07D4" w:rsidP="002F07D4">
      <w:pPr>
        <w:pStyle w:val="NormalWeb"/>
        <w:jc w:val="both"/>
      </w:pPr>
      <w:r>
        <w:t>Cuando los recursos presupuestarios regulares no fueron suficientes los gobiernos recurrieron al endeudamiento. Eran épocas de triple A. El “mercado” en su “aversión al riesgo” (“huida hacia la calidad”, decían los “exégetas”), se “tragaba” todo el “papel” que se pusiera a la venta. Nadie miraba la TAE, sólo interesaba la deuda pública de los países avanzados (por su riesgo “cero” de impago). A los inversores ya no les interesaban los cantos de sirena de las “titulizaciones”, ni los derivados, ni CDS, ni ETF, ni ninguna otra “sopa de letras”… Había que buscar refugio en la deuda pública.</w:t>
      </w:r>
    </w:p>
    <w:p w:rsidR="002F07D4" w:rsidRDefault="002F07D4" w:rsidP="002F07D4">
      <w:pPr>
        <w:pStyle w:val="NormalWeb"/>
        <w:jc w:val="both"/>
      </w:pPr>
      <w:r>
        <w:t>Lo demás fue coser (endeudarse) y cantar (volver a endeudarse). Muy pocos, por no decir ninguno, de los “grandes bonetes” de la economía (gurús mediáticos), objetó el procedimiento utilizado (socialización de las perdidas bancarias), tampoco observaron el déficit público originado y el incremento de la deuda pública devenido. Eran males menores, necesarios para restaurar la estabilidad de los mercados (sic, sic, sic).</w:t>
      </w:r>
    </w:p>
    <w:p w:rsidR="002F07D4" w:rsidRDefault="002F07D4" w:rsidP="002F07D4">
      <w:pPr>
        <w:pStyle w:val="NormalWeb"/>
        <w:jc w:val="both"/>
      </w:pPr>
      <w:r>
        <w:t>Cuando los mercados se estabilizaron (que tampoco) y los inversores volvieron a revisar sus portafolios, comenzó la “criba”. Grecia fue el justificativo, pero podría haber sido cualquier otro país. Comenzó la batalla de la triple A. Las agencias de calificación de riesgo que estaban condenadas al “averno” luego de su fracaso a la hora de anticipar la quiebra de Lehman Brothers, renacieron de sus cenizas y volvieron a dictar cátedra.</w:t>
      </w:r>
    </w:p>
    <w:p w:rsidR="002F07D4" w:rsidRDefault="002F07D4" w:rsidP="002F07D4">
      <w:pPr>
        <w:pStyle w:val="NormalWeb"/>
        <w:jc w:val="both"/>
      </w:pPr>
      <w:r>
        <w:lastRenderedPageBreak/>
        <w:t>Los gobiernos altamente endeudados (por culpas propias y ajenas), quedaron “cautivos” de las agencias de calificación, necesitados de una colocación de deuda astronómica a ritmo semanal, y sometidos al escrutinio y estigma diario de los mercados.</w:t>
      </w:r>
    </w:p>
    <w:p w:rsidR="002F07D4" w:rsidRDefault="002F07D4" w:rsidP="002F07D4">
      <w:pPr>
        <w:pStyle w:val="NormalWeb"/>
        <w:jc w:val="both"/>
      </w:pPr>
      <w:r>
        <w:t>Algo que era tema cotidiano en los asuntos económicos de los países subdesarrollados: “el riesgo país”, pasó “abrir los telediarios” de los países avanzados (perdón por la falacia). Más discretamente (cínicamente) la llaman: “prima de riesgo”.</w:t>
      </w:r>
    </w:p>
    <w:p w:rsidR="002F07D4" w:rsidRPr="00BC17BB" w:rsidRDefault="002F07D4" w:rsidP="002F07D4">
      <w:pPr>
        <w:pStyle w:val="NormalWeb"/>
        <w:jc w:val="both"/>
      </w:pPr>
      <w:r w:rsidRPr="00BC17BB">
        <w:rPr>
          <w:bCs/>
        </w:rPr>
        <w:t>¿Qué es la prima de riesgo?:</w:t>
      </w:r>
      <w:r w:rsidRPr="00BC17BB">
        <w:t xml:space="preserve"> Es el sobreprecio que exigen los inversores por comprar la deuda de un país</w:t>
      </w:r>
      <w:r>
        <w:t xml:space="preserve"> (europeo)</w:t>
      </w:r>
      <w:r w:rsidRPr="00BC17BB">
        <w:t xml:space="preserve"> frente a la alemana, cuyo precio es el que se utiliza como base o referencia ya que está considerada como la más segura y es menos propensa a sufrir bandazos en función de factores coyunturales o pun</w:t>
      </w:r>
      <w:r>
        <w:t>tuales -crecimiento, déficit..</w:t>
      </w:r>
      <w:r w:rsidRPr="00BC17BB">
        <w:t>. En términos generales se puede traducir por cuánto dinero es necesario para que los compradores dejen de lado sus temores y olviden el riesgo que conlleva entrar en la deuda de los países señalados por l</w:t>
      </w:r>
      <w:r>
        <w:t xml:space="preserve">os problemas </w:t>
      </w:r>
      <w:r w:rsidRPr="00BC17BB">
        <w:t>de déficit o escaso crecimiento. La razón de este rechazo es que si el inversor sospecha que no entra dinero en las arcas del Estado o no el suficiente, tampoco habrá fondos para pagar a quienes adquirieron su deuda.</w:t>
      </w:r>
      <w:r>
        <w:t xml:space="preserve"> Un “riesgo país” en toda regla, aunque lo “edulcoren” como “prima de riesgo”.</w:t>
      </w:r>
    </w:p>
    <w:p w:rsidR="002F07D4" w:rsidRDefault="002F07D4" w:rsidP="002F07D4">
      <w:pPr>
        <w:pStyle w:val="NormalWeb"/>
        <w:jc w:val="both"/>
      </w:pPr>
      <w:r w:rsidRPr="00BC17BB">
        <w:t>¿Ustedes se imaginan una prima de riesgo del orden de 3.223 puntos? Pues esa es la prima de riesgo de Grecia (20/1/12), lo que quiere decir que si ese país toma un crédito de 100 euros debe abonar 3.223 puntos por encima de la tasa que paga Alemania para que le presten 100 euros. Surrealismo puro.</w:t>
      </w:r>
      <w:r>
        <w:t xml:space="preserve"> Creo que el director del telediario en Grecia debería ser Berlanga o Fellini. Y la Unión Europea, prescribe “</w:t>
      </w:r>
      <w:r w:rsidRPr="001262DB">
        <w:t>abdominoplastia</w:t>
      </w:r>
      <w:r>
        <w:t>”…</w:t>
      </w:r>
    </w:p>
    <w:p w:rsidR="002F07D4" w:rsidRDefault="002F07D4" w:rsidP="002F07D4">
      <w:pPr>
        <w:pStyle w:val="NormalWeb"/>
        <w:jc w:val="both"/>
      </w:pPr>
      <w:r>
        <w:t>Pero si Berlanga o Fellini aceptaran transmitir ese absurdo, Kafka debería ser el “presentador”, de la noticia, a la hora de explicar a la audiencia (la manada) que los bancos, los quebrados bancos, los rescatados bancos, los causantes de la crisis, los artífices de la estafa piramidal, sean los que “exigen” a los gobiernos que resuelvan el problema del déficit público y mejoren su prima de riesgo. Ellos que “violaron” a la prima, ahora le encargan al gobierno que asuma la paternidad. Y los políticos tragan…</w:t>
      </w:r>
    </w:p>
    <w:p w:rsidR="002F07D4" w:rsidRPr="00BC17BB" w:rsidRDefault="002F07D4" w:rsidP="002F07D4">
      <w:pPr>
        <w:pStyle w:val="NormalWeb"/>
        <w:jc w:val="both"/>
      </w:pPr>
      <w:r>
        <w:t xml:space="preserve">Cómo no van a tragar si son presuntos implicados, cómplices, cooperadores necesarios, socios del silencio, miembros de la trama, confabuladores para alterar el precio de las cosas; si en definitiva, son lacayos, serviles y genuflexos, ante el poder económico.    </w:t>
      </w:r>
    </w:p>
    <w:p w:rsidR="002F07D4" w:rsidRDefault="002F07D4" w:rsidP="002F07D4">
      <w:pPr>
        <w:pStyle w:val="NormalWeb"/>
        <w:jc w:val="both"/>
      </w:pPr>
      <w:r w:rsidRPr="007D70CD">
        <w:t>Por ahora la única política aplicada ha sido la de empobrecer al contribuyente.</w:t>
      </w:r>
      <w:r>
        <w:t xml:space="preserve"> Los auténticos dalits, los únicos paganos (y paganinis) de la crisis, sobre cuyos ingresos, trabajo, familia y futuro recae todo el esfuerzo del ajuste fiscal. Son los que deben tolerar que el estado de bienestar migre a un estado de malestar. Son los que deben aceptar que la “crónica de la codicia” (de los bancos), y la “crónica del despilfarro” (de los políticos), concluyan en un estado de “involución permanente”. El “baile” del “contribuyente” con la “prima” tiene música de triste realidad y letra de incierto futuro…</w:t>
      </w:r>
    </w:p>
    <w:p w:rsidR="002F07D4" w:rsidRDefault="002F07D4" w:rsidP="002F07D4">
      <w:pPr>
        <w:pStyle w:val="NormalWeb"/>
        <w:jc w:val="both"/>
      </w:pPr>
      <w:r>
        <w:t xml:space="preserve">- </w:t>
      </w:r>
      <w:r w:rsidRPr="003F5E84">
        <w:rPr>
          <w:u w:val="single"/>
        </w:rPr>
        <w:t>Por qué duran tanto las crisis: nadie quiere pagar la cuenta</w:t>
      </w:r>
      <w:r>
        <w:t xml:space="preserve"> (The Wall Street Journal - </w:t>
      </w:r>
      <w:r w:rsidRPr="003F5E84">
        <w:rPr>
          <w:b/>
        </w:rPr>
        <w:t>10/11/11</w:t>
      </w:r>
      <w:r>
        <w:t>)</w:t>
      </w:r>
    </w:p>
    <w:p w:rsidR="002F07D4" w:rsidRPr="00DE6A78" w:rsidRDefault="002F07D4" w:rsidP="002F07D4">
      <w:pPr>
        <w:pStyle w:val="NormalWeb"/>
        <w:jc w:val="both"/>
      </w:pPr>
      <w:r w:rsidRPr="00DE6A78">
        <w:t>(Por David Wessel)</w:t>
      </w:r>
      <w:r>
        <w:t xml:space="preserve">                                                                           Lectura recomendada</w:t>
      </w:r>
    </w:p>
    <w:p w:rsidR="002F07D4" w:rsidRPr="00CE172C" w:rsidRDefault="002F07D4" w:rsidP="002F07D4">
      <w:pPr>
        <w:pStyle w:val="NormalWeb"/>
        <w:jc w:val="both"/>
        <w:rPr>
          <w:color w:val="FF0000"/>
          <w:u w:val="single"/>
        </w:rPr>
      </w:pPr>
      <w:r w:rsidRPr="00CE172C">
        <w:rPr>
          <w:color w:val="FF0000"/>
          <w:u w:val="single"/>
        </w:rPr>
        <w:lastRenderedPageBreak/>
        <w:t>Ya han pasado dos años desde que las llamas aparecieron por primera vez en Grecia, y sin embargo el fuego aún no ha sido apagado. Ahora se ha propagado a Italia.</w:t>
      </w:r>
    </w:p>
    <w:p w:rsidR="002F07D4" w:rsidRPr="00CE172C" w:rsidRDefault="002F07D4" w:rsidP="002F07D4">
      <w:pPr>
        <w:pStyle w:val="NormalWeb"/>
        <w:jc w:val="both"/>
        <w:rPr>
          <w:color w:val="FF0000"/>
          <w:u w:val="single"/>
        </w:rPr>
      </w:pPr>
      <w:r w:rsidRPr="00CE172C">
        <w:rPr>
          <w:color w:val="FF0000"/>
          <w:u w:val="single"/>
        </w:rPr>
        <w:t>Han pasado cinco años desde que reventó la burbuja inmobiliaria de Estados Unidos. El sector de la vivienda sigue siendo una de las principales razones por las que la economía del país tiene un desempeño tan débil.</w:t>
      </w:r>
    </w:p>
    <w:p w:rsidR="002F07D4" w:rsidRPr="00CE172C" w:rsidRDefault="002F07D4" w:rsidP="002F07D4">
      <w:pPr>
        <w:pStyle w:val="NormalWeb"/>
        <w:jc w:val="both"/>
        <w:rPr>
          <w:color w:val="FF0000"/>
          <w:u w:val="single"/>
        </w:rPr>
      </w:pPr>
      <w:r w:rsidRPr="00CE172C">
        <w:rPr>
          <w:color w:val="FF0000"/>
          <w:u w:val="single"/>
        </w:rPr>
        <w:t xml:space="preserve">En ambos continentes, ya no quedan dudas sobre la severidad de la amenaza o la urgencia con la que se necesitan mejores políticas. Aun así, los jugadores parecen completamente incapaces de actuar. </w:t>
      </w:r>
    </w:p>
    <w:p w:rsidR="002F07D4" w:rsidRPr="00CE172C" w:rsidRDefault="002F07D4" w:rsidP="002F07D4">
      <w:pPr>
        <w:pStyle w:val="NormalWeb"/>
        <w:jc w:val="both"/>
        <w:rPr>
          <w:b/>
          <w:color w:val="FF0000"/>
          <w:u w:val="single"/>
        </w:rPr>
      </w:pPr>
      <w:r w:rsidRPr="00CE172C">
        <w:rPr>
          <w:b/>
          <w:color w:val="FF0000"/>
          <w:u w:val="single"/>
        </w:rPr>
        <w:t>¿Qué les está llevando tanto tiempo? Decidir quién tendrá que pagar la cuenta.</w:t>
      </w:r>
    </w:p>
    <w:p w:rsidR="002F07D4" w:rsidRPr="00CE172C" w:rsidRDefault="002F07D4" w:rsidP="002F07D4">
      <w:pPr>
        <w:pStyle w:val="NormalWeb"/>
        <w:jc w:val="both"/>
        <w:rPr>
          <w:b/>
          <w:color w:val="FF0000"/>
          <w:u w:val="single"/>
        </w:rPr>
      </w:pPr>
      <w:r>
        <w:rPr>
          <w:b/>
          <w:color w:val="FF0000"/>
          <w:u w:val="single"/>
        </w:rPr>
        <w:t>“</w:t>
      </w:r>
      <w:r w:rsidRPr="00CE172C">
        <w:rPr>
          <w:b/>
          <w:color w:val="FF0000"/>
          <w:u w:val="single"/>
        </w:rPr>
        <w:t>En todas las crisis, se deben repartir las pérdidas entre deudor</w:t>
      </w:r>
      <w:r>
        <w:rPr>
          <w:b/>
          <w:color w:val="FF0000"/>
          <w:u w:val="single"/>
        </w:rPr>
        <w:t>es, acreedores y contribuyentes”</w:t>
      </w:r>
      <w:r w:rsidRPr="00CE172C">
        <w:rPr>
          <w:b/>
          <w:color w:val="FF0000"/>
          <w:u w:val="single"/>
        </w:rPr>
        <w:t xml:space="preserve">, explica Anna Gelpern, profesora de derecho de la Universidad Americana y </w:t>
      </w:r>
      <w:r>
        <w:rPr>
          <w:b/>
          <w:color w:val="FF0000"/>
          <w:u w:val="single"/>
        </w:rPr>
        <w:t>ex funcionaria del Tesoro de EEUU “</w:t>
      </w:r>
      <w:r w:rsidRPr="00CE172C">
        <w:rPr>
          <w:b/>
          <w:color w:val="FF0000"/>
          <w:u w:val="single"/>
        </w:rPr>
        <w:t xml:space="preserve">Es un concepto sorprendentemente simple, </w:t>
      </w:r>
      <w:r>
        <w:rPr>
          <w:b/>
          <w:color w:val="FF0000"/>
          <w:u w:val="single"/>
        </w:rPr>
        <w:t>y completamente irreconciliable”</w:t>
      </w:r>
      <w:r w:rsidRPr="00CE172C">
        <w:rPr>
          <w:b/>
          <w:color w:val="FF0000"/>
          <w:u w:val="single"/>
        </w:rPr>
        <w:t>.</w:t>
      </w:r>
    </w:p>
    <w:p w:rsidR="002F07D4" w:rsidRPr="00CE172C" w:rsidRDefault="002F07D4" w:rsidP="002F07D4">
      <w:pPr>
        <w:pStyle w:val="NormalWeb"/>
        <w:jc w:val="both"/>
        <w:rPr>
          <w:b/>
          <w:color w:val="FF0000"/>
          <w:u w:val="single"/>
        </w:rPr>
      </w:pPr>
      <w:r>
        <w:rPr>
          <w:b/>
          <w:color w:val="FF0000"/>
          <w:u w:val="single"/>
        </w:rPr>
        <w:t>“</w:t>
      </w:r>
      <w:r w:rsidRPr="00CE172C">
        <w:rPr>
          <w:b/>
          <w:color w:val="FF0000"/>
          <w:u w:val="single"/>
        </w:rPr>
        <w:t>Por defi</w:t>
      </w:r>
      <w:r>
        <w:rPr>
          <w:b/>
          <w:color w:val="FF0000"/>
          <w:u w:val="single"/>
        </w:rPr>
        <w:t>nición, es un problema político”, agrega. “</w:t>
      </w:r>
      <w:r w:rsidRPr="00CE172C">
        <w:rPr>
          <w:b/>
          <w:color w:val="FF0000"/>
          <w:u w:val="single"/>
        </w:rPr>
        <w:t>Incluso si surgiera la idea de una distribución óptima, si no es vendible polí</w:t>
      </w:r>
      <w:r>
        <w:rPr>
          <w:b/>
          <w:color w:val="FF0000"/>
          <w:u w:val="single"/>
        </w:rPr>
        <w:t>ticamente, no puede concretarse”</w:t>
      </w:r>
      <w:r w:rsidRPr="00CE172C">
        <w:rPr>
          <w:b/>
          <w:color w:val="FF0000"/>
          <w:u w:val="single"/>
        </w:rPr>
        <w:t>.</w:t>
      </w:r>
    </w:p>
    <w:p w:rsidR="002F07D4" w:rsidRPr="00CE172C" w:rsidRDefault="002F07D4" w:rsidP="002F07D4">
      <w:pPr>
        <w:pStyle w:val="NormalWeb"/>
        <w:jc w:val="both"/>
        <w:rPr>
          <w:b/>
          <w:u w:val="single"/>
        </w:rPr>
      </w:pPr>
      <w:r w:rsidRPr="00CE172C">
        <w:rPr>
          <w:b/>
          <w:u w:val="single"/>
        </w:rPr>
        <w:t>Esta vez, la escala es intimidatoria. El Fondo Monetario Internacional estima que los tenedor</w:t>
      </w:r>
      <w:r>
        <w:rPr>
          <w:b/>
          <w:u w:val="single"/>
        </w:rPr>
        <w:t>es de hipotecas en EEUU</w:t>
      </w:r>
      <w:r w:rsidRPr="00CE172C">
        <w:rPr>
          <w:b/>
          <w:u w:val="single"/>
        </w:rPr>
        <w:t xml:space="preserve"> y otras deudas perdieron US$ 2,7 billones (millones de millones) en la fase estadounidense de la crisis global, parte de cuya suma ya fue trasladada a los contribuyentes. Las viviendas del país valen casi US$ 7 billones menos que hace cinco años, una caída de 25%.</w:t>
      </w:r>
    </w:p>
    <w:p w:rsidR="002F07D4" w:rsidRPr="00CE172C" w:rsidRDefault="002F07D4" w:rsidP="002F07D4">
      <w:pPr>
        <w:pStyle w:val="NormalWeb"/>
        <w:jc w:val="both"/>
        <w:rPr>
          <w:b/>
          <w:u w:val="single"/>
        </w:rPr>
      </w:pPr>
      <w:r>
        <w:t xml:space="preserve">Se han hecho toda clase de intentos por reducir los pagos mensuales de hipotecas para algunos, por refinanciar créditos con intereses altos, por asegurarse de que los embargos se llevan a cabo correctamente, por recapitalizar bancos para que puedan absorber pérdidas, y demás. </w:t>
      </w:r>
      <w:r w:rsidRPr="00CE172C">
        <w:rPr>
          <w:b/>
          <w:u w:val="single"/>
        </w:rPr>
        <w:t>El gran paso que no se dio: reducir el principal sobre las hipotecas. El gran obstáculo: ¿quién paga los platos rotos? ¿Los bancos? ¿Los inversionistas hipotecarios? ¿Los contribuyentes?</w:t>
      </w:r>
    </w:p>
    <w:p w:rsidR="002F07D4" w:rsidRPr="00CE172C" w:rsidRDefault="002F07D4" w:rsidP="002F07D4">
      <w:pPr>
        <w:pStyle w:val="NormalWeb"/>
        <w:jc w:val="both"/>
        <w:rPr>
          <w:b/>
          <w:u w:val="single"/>
        </w:rPr>
      </w:pPr>
      <w:r w:rsidRPr="00CE172C">
        <w:rPr>
          <w:b/>
          <w:u w:val="single"/>
        </w:rPr>
        <w:t>En Europa, los retrasos para admitir que Grecia pidió prestado demasiado convirtieron lo que hubiera sido un problema difícil pero manejable en una calamidad. Un gran motivo para el retraso: decidir quién pagaría la cuenta. ¿Los contribuyentes alemanes? ¿Los accionistas de bancos franceses? ¿Los tenedores de bonos extranjeros?</w:t>
      </w:r>
    </w:p>
    <w:p w:rsidR="002F07D4" w:rsidRPr="00CE172C" w:rsidRDefault="002F07D4" w:rsidP="002F07D4">
      <w:pPr>
        <w:pStyle w:val="NormalWeb"/>
        <w:jc w:val="both"/>
        <w:rPr>
          <w:b/>
          <w:u w:val="single"/>
        </w:rPr>
      </w:pPr>
      <w:r>
        <w:rPr>
          <w:b/>
          <w:u w:val="single"/>
        </w:rPr>
        <w:t>Cuando un prestatario -un banco, una empresa, un país-</w:t>
      </w:r>
      <w:r w:rsidRPr="00CE172C">
        <w:rPr>
          <w:b/>
          <w:u w:val="single"/>
        </w:rPr>
        <w:t xml:space="preserve"> tiene problemas, la reacción inicial es decir, bueno, tienen el dinero, sólo que están cortos de efectivo. A menudo eso es verdad. Así que el prestamista le da un respiro al prestatario, la empresa empeñ</w:t>
      </w:r>
      <w:r>
        <w:rPr>
          <w:b/>
          <w:u w:val="single"/>
        </w:rPr>
        <w:t>a sus cuentas por cobrar, o el “acreedor de último recurso”</w:t>
      </w:r>
      <w:r w:rsidRPr="00CE172C">
        <w:rPr>
          <w:b/>
          <w:u w:val="single"/>
        </w:rPr>
        <w:t>, el banco central, otorga préstamos de emergencia porque está seguro de que le devolverán el diner</w:t>
      </w:r>
      <w:r>
        <w:rPr>
          <w:b/>
          <w:u w:val="single"/>
        </w:rPr>
        <w:t>o. El problema, se dice, es de “</w:t>
      </w:r>
      <w:r w:rsidRPr="00CE172C">
        <w:rPr>
          <w:b/>
          <w:u w:val="single"/>
        </w:rPr>
        <w:t>liqu</w:t>
      </w:r>
      <w:r>
        <w:rPr>
          <w:b/>
          <w:u w:val="single"/>
        </w:rPr>
        <w:t>idez”</w:t>
      </w:r>
      <w:r w:rsidRPr="00CE172C">
        <w:rPr>
          <w:b/>
          <w:u w:val="single"/>
        </w:rPr>
        <w:t xml:space="preserve"> (lo que significa que nadie perderá dine</w:t>
      </w:r>
      <w:r>
        <w:rPr>
          <w:b/>
          <w:u w:val="single"/>
        </w:rPr>
        <w:t>ro al final) en lugar de decir “solvencia”</w:t>
      </w:r>
      <w:r w:rsidRPr="00CE172C">
        <w:rPr>
          <w:b/>
          <w:u w:val="single"/>
        </w:rPr>
        <w:t xml:space="preserve"> (lo que significa que alguien perderá dinero).</w:t>
      </w:r>
    </w:p>
    <w:p w:rsidR="002F07D4" w:rsidRDefault="002F07D4" w:rsidP="002F07D4">
      <w:pPr>
        <w:pStyle w:val="NormalWeb"/>
        <w:jc w:val="both"/>
      </w:pPr>
      <w:r w:rsidRPr="00CE172C">
        <w:rPr>
          <w:u w:val="single"/>
        </w:rPr>
        <w:lastRenderedPageBreak/>
        <w:t>La tentación de extender esa lógica más allá de la razón es grande. Admitir que, por ejemplo, algunos gobiernos europeos no pagarán 100 centavos por cada dólar, o que algunos préstamos hipotecarios no valen lo que dicen los libros contables, obligaría a los prestamistas a asumir pérdidas</w:t>
      </w:r>
      <w:r>
        <w:t>. Si éstas son grandes, la solvencia de los bancos está en duda. En Francia, los mercados no están tan escépticos ante la capacidad del gobierno de pagar sus cuentas y cumplir con las obligaciones de intereses, sino que se preocupan más por un potencialmente costoso rescate gubernamental de los bancos que tienen mucha deuda de gobiernos extranjeros.</w:t>
      </w:r>
    </w:p>
    <w:p w:rsidR="002F07D4" w:rsidRPr="00CE172C" w:rsidRDefault="002F07D4" w:rsidP="002F07D4">
      <w:pPr>
        <w:pStyle w:val="NormalWeb"/>
        <w:jc w:val="both"/>
        <w:rPr>
          <w:u w:val="single"/>
        </w:rPr>
      </w:pPr>
      <w:r>
        <w:t xml:space="preserve">Entonces, </w:t>
      </w:r>
      <w:r w:rsidRPr="00CE172C">
        <w:rPr>
          <w:u w:val="single"/>
        </w:rPr>
        <w:t>los bancos y los inversionistas igualmente prestan, a menudo a tasas de interés que reflejan el riesgo de que no cobren. Si todo sale bien, ganan mucho dinero. De lo contrario, y hay mucho dinero en juego, los contribuyentes pagan las cuentas.</w:t>
      </w:r>
    </w:p>
    <w:p w:rsidR="002F07D4" w:rsidRPr="00CE172C" w:rsidRDefault="002F07D4" w:rsidP="002F07D4">
      <w:pPr>
        <w:pStyle w:val="NormalWeb"/>
        <w:jc w:val="both"/>
        <w:rPr>
          <w:b/>
          <w:color w:val="FF0000"/>
          <w:u w:val="single"/>
        </w:rPr>
      </w:pPr>
      <w:r>
        <w:rPr>
          <w:b/>
          <w:color w:val="FF0000"/>
          <w:u w:val="single"/>
        </w:rPr>
        <w:t>“</w:t>
      </w:r>
      <w:r w:rsidRPr="00CE172C">
        <w:rPr>
          <w:b/>
          <w:color w:val="FF0000"/>
          <w:u w:val="single"/>
        </w:rPr>
        <w:t>Las partes que tienen pérdidas contractuales intentan pasar esas pérdidas a otros, esp</w:t>
      </w:r>
      <w:r>
        <w:rPr>
          <w:b/>
          <w:color w:val="FF0000"/>
          <w:u w:val="single"/>
        </w:rPr>
        <w:t>ecialmente a los contribuyentes”</w:t>
      </w:r>
      <w:r w:rsidRPr="00CE172C">
        <w:rPr>
          <w:b/>
          <w:color w:val="FF0000"/>
          <w:u w:val="single"/>
        </w:rPr>
        <w:t>, afirma Edward Kane,</w:t>
      </w:r>
      <w:r>
        <w:rPr>
          <w:b/>
          <w:color w:val="FF0000"/>
          <w:u w:val="single"/>
        </w:rPr>
        <w:t xml:space="preserve"> economista de Boston College. “</w:t>
      </w:r>
      <w:r w:rsidRPr="00CE172C">
        <w:rPr>
          <w:b/>
          <w:color w:val="FF0000"/>
          <w:u w:val="single"/>
        </w:rPr>
        <w:t>Estas crisis tienden a prolongarse mientras haya una posibilidad de trasladar la</w:t>
      </w:r>
      <w:r>
        <w:rPr>
          <w:b/>
          <w:color w:val="FF0000"/>
          <w:u w:val="single"/>
        </w:rPr>
        <w:t>s pérdidas a los contribuyentes”</w:t>
      </w:r>
      <w:r w:rsidRPr="00CE172C">
        <w:rPr>
          <w:b/>
          <w:color w:val="FF0000"/>
          <w:u w:val="single"/>
        </w:rPr>
        <w:t>.</w:t>
      </w:r>
    </w:p>
    <w:p w:rsidR="002F07D4" w:rsidRDefault="002F07D4" w:rsidP="002F07D4">
      <w:pPr>
        <w:pStyle w:val="NormalWeb"/>
        <w:jc w:val="both"/>
      </w:pPr>
      <w:r w:rsidRPr="00CE172C">
        <w:rPr>
          <w:b/>
          <w:color w:val="FF0000"/>
          <w:u w:val="single"/>
        </w:rPr>
        <w:t>Entonces primero está la negación, luego los retrasos y por último, el disimulo. Esto tiene costos.</w:t>
      </w:r>
      <w:r>
        <w:t xml:space="preserve"> Los préstamos bancarios son uno. “Los bancos no están ansiosos de otorgar crédito, porque no saben cuánto capital tienen, y les resulta difícil levantar dinero, porque los inversionistas no están seguros de su condición financiera”, sostiene John Makin, del American Enterprise Institute.</w:t>
      </w:r>
    </w:p>
    <w:p w:rsidR="002F07D4" w:rsidRDefault="002F07D4" w:rsidP="002F07D4">
      <w:pPr>
        <w:pStyle w:val="NormalWeb"/>
        <w:jc w:val="both"/>
        <w:rPr>
          <w:b/>
          <w:color w:val="FF0000"/>
          <w:u w:val="single"/>
        </w:rPr>
      </w:pPr>
      <w:r w:rsidRPr="00CE172C">
        <w:rPr>
          <w:b/>
          <w:color w:val="FF0000"/>
          <w:u w:val="single"/>
        </w:rPr>
        <w:t>Los contribuyentes van a pagar algunos platos rotos. ¿Cuántos? Hasta que no se decida eso, la crisis continuará.</w:t>
      </w:r>
    </w:p>
    <w:p w:rsidR="002F07D4" w:rsidRPr="009456F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A97CE7">
        <w:rPr>
          <w:rFonts w:ascii="Times New Roman" w:eastAsia="Times New Roman" w:hAnsi="Times New Roman"/>
          <w:sz w:val="24"/>
          <w:szCs w:val="24"/>
          <w:u w:val="single"/>
          <w:lang w:eastAsia="es-ES"/>
        </w:rPr>
        <w:t>¿Está el capitalismo condenado al fracaso?</w:t>
      </w:r>
      <w:r w:rsidRPr="009456FF">
        <w:rPr>
          <w:rFonts w:ascii="Times New Roman" w:eastAsia="Times New Roman" w:hAnsi="Times New Roman"/>
          <w:sz w:val="24"/>
          <w:szCs w:val="24"/>
          <w:lang w:eastAsia="es-ES"/>
        </w:rPr>
        <w:t xml:space="preserve">(Project Syndicate - </w:t>
      </w:r>
      <w:r w:rsidRPr="009456FF">
        <w:rPr>
          <w:rFonts w:ascii="Times New Roman" w:eastAsia="Times New Roman" w:hAnsi="Times New Roman"/>
          <w:b/>
          <w:sz w:val="24"/>
          <w:szCs w:val="24"/>
          <w:lang w:eastAsia="es-ES"/>
        </w:rPr>
        <w:t>15/8/11</w:t>
      </w:r>
      <w:r w:rsidRPr="009456FF">
        <w:rPr>
          <w:rFonts w:ascii="Times New Roman" w:eastAsia="Times New Roman" w:hAnsi="Times New Roman"/>
          <w:sz w:val="24"/>
          <w:szCs w:val="24"/>
          <w:lang w:eastAsia="es-ES"/>
        </w:rPr>
        <w:t>)</w:t>
      </w:r>
    </w:p>
    <w:p w:rsidR="002F07D4" w:rsidRPr="00EC17B7"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EC17B7">
        <w:rPr>
          <w:rFonts w:ascii="Times New Roman" w:eastAsia="Times New Roman" w:hAnsi="Times New Roman"/>
          <w:sz w:val="24"/>
          <w:szCs w:val="24"/>
          <w:lang w:eastAsia="es-ES"/>
        </w:rPr>
        <w:t xml:space="preserve">(Por Nouriel Roubini)                                                                      Lectura recomendada                      </w:t>
      </w:r>
    </w:p>
    <w:p w:rsidR="002F07D4" w:rsidRPr="00A97CE7"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New York.-</w:t>
      </w:r>
      <w:r w:rsidRPr="005B0548">
        <w:rPr>
          <w:rFonts w:ascii="Times New Roman" w:eastAsia="Times New Roman" w:hAnsi="Times New Roman"/>
          <w:color w:val="FF0000"/>
          <w:sz w:val="24"/>
          <w:szCs w:val="24"/>
          <w:u w:val="single"/>
          <w:lang w:eastAsia="es-ES"/>
        </w:rPr>
        <w:t>La masiva volatilidad y la aguda corrección de los precios de las acciones que en la actualidad golpean a los mercados financieros globales son indicadores de que las economías más avanzadas se encuentran al borde de una recesión de doble caída. Una crisis financiera y económica causada por el exceso de deuda y apalancamiento del sector privado condujeron a un masivo re-apalancamiento del sector público con el fin de evitar la Gran Depresión 2.0. Sin embargo, la recuperación posterior ha sido anémica y mediocre en la mayoría de las economías avanzadas dado el desapalancamiento doloroso.</w:t>
      </w:r>
    </w:p>
    <w:p w:rsidR="002F07D4" w:rsidRPr="00A97CE7"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97CE7">
        <w:rPr>
          <w:rFonts w:ascii="Times New Roman" w:eastAsia="Times New Roman" w:hAnsi="Times New Roman"/>
          <w:sz w:val="24"/>
          <w:szCs w:val="24"/>
          <w:lang w:eastAsia="es-ES"/>
        </w:rPr>
        <w:t>Hoy en día una combinación de los precios altos del petróleo y productos básicos, los disturbios en el Oriente Medio, el terremoto y tsunami del Japón, la crisis de deuda de la eurozona y los problemas fiscales de Estados Unidos (y ahora la rebaja de su calificación crediticia) han llevado a un aumento masivo en la aversión al riesgo. Económicamente los Estados Unidos, la eurozona, el Reino Unido y el Japón funcionan al ralentí. Incluso los mercados emergentes en crecimiento (China, Asia emergente y América Latina), y las economías orientadas a la exportación que se basan en estos mercados (Alemania y Australia, un país rico en recursos naturales), están experimentando desaceleraciones agudas.</w:t>
      </w:r>
    </w:p>
    <w:p w:rsidR="002F07D4" w:rsidRPr="005B0548"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B0548">
        <w:rPr>
          <w:rFonts w:ascii="Times New Roman" w:eastAsia="Times New Roman" w:hAnsi="Times New Roman"/>
          <w:sz w:val="24"/>
          <w:szCs w:val="24"/>
          <w:u w:val="single"/>
          <w:lang w:eastAsia="es-ES"/>
        </w:rPr>
        <w:lastRenderedPageBreak/>
        <w:t>Hasta el año pasado, los políticos siempre pudieron sacar un as de bajo la manga para reactivar los precios de los activos y detonar la recuperación económica. Estímulo fiscal, tasas de inter</w:t>
      </w:r>
      <w:r>
        <w:rPr>
          <w:rFonts w:ascii="Times New Roman" w:eastAsia="Times New Roman" w:hAnsi="Times New Roman"/>
          <w:sz w:val="24"/>
          <w:szCs w:val="24"/>
          <w:u w:val="single"/>
          <w:lang w:eastAsia="es-ES"/>
        </w:rPr>
        <w:t>és de casi cero, dos rondas de “flexibilización cuantitativa”</w:t>
      </w:r>
      <w:r w:rsidRPr="005B0548">
        <w:rPr>
          <w:rFonts w:ascii="Times New Roman" w:eastAsia="Times New Roman" w:hAnsi="Times New Roman"/>
          <w:sz w:val="24"/>
          <w:szCs w:val="24"/>
          <w:u w:val="single"/>
          <w:lang w:eastAsia="es-ES"/>
        </w:rPr>
        <w:t xml:space="preserve">, separación estricta de las deudas incobrables y billones de dólares en rescates y provisión de liquidez para los bancos y entidades financieras: las autoridades ejecutivas intentaron todo esto. Ahora se han quedado sin ases. </w:t>
      </w:r>
    </w:p>
    <w:p w:rsidR="002F07D4" w:rsidRPr="00A97CE7"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97CE7">
        <w:rPr>
          <w:rFonts w:ascii="Times New Roman" w:eastAsia="Times New Roman" w:hAnsi="Times New Roman"/>
          <w:sz w:val="24"/>
          <w:szCs w:val="24"/>
          <w:lang w:eastAsia="es-ES"/>
        </w:rPr>
        <w:t>La política fiscal hoy en día es un lastre para el crecimiento económico tanto en la eurozona como en el</w:t>
      </w:r>
      <w:r>
        <w:rPr>
          <w:rFonts w:ascii="Times New Roman" w:eastAsia="Times New Roman" w:hAnsi="Times New Roman"/>
          <w:sz w:val="24"/>
          <w:szCs w:val="24"/>
          <w:lang w:eastAsia="es-ES"/>
        </w:rPr>
        <w:t xml:space="preserve"> Reino Unido. Incluso en los EEUU</w:t>
      </w:r>
      <w:r w:rsidRPr="00A97CE7">
        <w:rPr>
          <w:rFonts w:ascii="Times New Roman" w:eastAsia="Times New Roman" w:hAnsi="Times New Roman"/>
          <w:sz w:val="24"/>
          <w:szCs w:val="24"/>
          <w:lang w:eastAsia="es-ES"/>
        </w:rPr>
        <w:t xml:space="preserve">, los gobiernos estatales y locales, y ahora el gobierno federal, recortan el gasto y reducen los pagos de transferencias. Muy pronto, ellos subirán los impuestos. </w:t>
      </w:r>
    </w:p>
    <w:p w:rsidR="002F07D4" w:rsidRPr="005B0548"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B0548">
        <w:rPr>
          <w:rFonts w:ascii="Times New Roman" w:eastAsia="Times New Roman" w:hAnsi="Times New Roman"/>
          <w:sz w:val="24"/>
          <w:szCs w:val="24"/>
          <w:u w:val="single"/>
          <w:lang w:eastAsia="es-ES"/>
        </w:rPr>
        <w:t>Otra ronda de rescates para los bancos es políticamente inaceptable y económicamente inviable: la mayoría de los gobiernos, especialmente en Europa, están tan estresados que los rescates no son asequibles; de hecho, el riesgo soberano está, en realidad, alimentando por la preocupación por la salud de los bancos europeos, que tienen en sus carteras la mayor parte de los cada vez más inestables valores gubernamentales.</w:t>
      </w:r>
    </w:p>
    <w:p w:rsidR="002F07D4" w:rsidRPr="00380A83"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5B0548">
        <w:rPr>
          <w:rFonts w:ascii="Times New Roman" w:eastAsia="Times New Roman" w:hAnsi="Times New Roman"/>
          <w:sz w:val="24"/>
          <w:szCs w:val="24"/>
          <w:u w:val="single"/>
          <w:lang w:eastAsia="es-ES"/>
        </w:rPr>
        <w:t>Tampoco la política monetaria puede ser de mucha ayuda. La flexibilización cuantitativa en la eurozona y el Reino Unido se ve limitada por una inflación por encima del nivel objetivo</w:t>
      </w:r>
      <w:r w:rsidRPr="00A97CE7">
        <w:rPr>
          <w:rFonts w:ascii="Times New Roman" w:eastAsia="Times New Roman" w:hAnsi="Times New Roman"/>
          <w:sz w:val="24"/>
          <w:szCs w:val="24"/>
          <w:lang w:eastAsia="es-ES"/>
        </w:rPr>
        <w:t>. La Reserva Federal de EE</w:t>
      </w:r>
      <w:r>
        <w:rPr>
          <w:rFonts w:ascii="Times New Roman" w:eastAsia="Times New Roman" w:hAnsi="Times New Roman"/>
          <w:sz w:val="24"/>
          <w:szCs w:val="24"/>
          <w:lang w:eastAsia="es-ES"/>
        </w:rPr>
        <w:t>UU</w:t>
      </w:r>
      <w:r w:rsidRPr="00A97CE7">
        <w:rPr>
          <w:rFonts w:ascii="Times New Roman" w:eastAsia="Times New Roman" w:hAnsi="Times New Roman"/>
          <w:sz w:val="24"/>
          <w:szCs w:val="24"/>
          <w:lang w:eastAsia="es-ES"/>
        </w:rPr>
        <w:t xml:space="preserve"> probablemente inicie una tercera ronda de flexibilización cuantitativa (QE3), pero esta ofrecerá muy poco y llegará demasiado tarde. </w:t>
      </w:r>
      <w:r w:rsidRPr="00380A83">
        <w:rPr>
          <w:rFonts w:ascii="Times New Roman" w:eastAsia="Times New Roman" w:hAnsi="Times New Roman"/>
          <w:sz w:val="24"/>
          <w:szCs w:val="24"/>
          <w:u w:val="single"/>
          <w:lang w:eastAsia="es-ES"/>
        </w:rPr>
        <w:t xml:space="preserve">El año pasado la flexibilización cualitativa (QE2) de $600 millardos y de $1 billón de dólares en recortes de impuestos y transferencias logró un crecimiento de apenas el 3% durante un trimestre. Posteriormente, el crecimiento cayó bruscamente a menos del 1% en el primer semestre del año 2011. QE3 será de mucho menor tamaño, y logrará mucho menos en cuanto a reactivar los precios de los activos y restaurar el crecimiento. </w:t>
      </w:r>
    </w:p>
    <w:p w:rsidR="002F07D4" w:rsidRPr="00A97CE7"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80A83">
        <w:rPr>
          <w:rFonts w:ascii="Times New Roman" w:eastAsia="Times New Roman" w:hAnsi="Times New Roman"/>
          <w:color w:val="FF0000"/>
          <w:sz w:val="24"/>
          <w:szCs w:val="24"/>
          <w:u w:val="single"/>
          <w:lang w:eastAsia="es-ES"/>
        </w:rPr>
        <w:t>La depreciación de la moneda no es una opción viable para todas las economías avanzadas: todas ellas necesitan una moneda más débil y una mejor balanza comercial para recuperar el crecimiento, pero no todas ellas pueden estar en esta situación al mismo tiempo.</w:t>
      </w:r>
      <w:r w:rsidRPr="00A97CE7">
        <w:rPr>
          <w:rFonts w:ascii="Times New Roman" w:eastAsia="Times New Roman" w:hAnsi="Times New Roman"/>
          <w:sz w:val="24"/>
          <w:szCs w:val="24"/>
          <w:lang w:eastAsia="es-ES"/>
        </w:rPr>
        <w:t xml:space="preserve"> Así que depender de los tipos de cambio para influir en la balanza comercial es un juego de suma cero. Por esta razón se vislumbran en el horizonte guerras cambiaras; Japón y Suiza son los participantes de las primeras batallas por debilitar sus tipos de cambio. Otros pronto seguirán el ejemplo. </w:t>
      </w:r>
    </w:p>
    <w:p w:rsidR="002F07D4" w:rsidRPr="00A97CE7"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80A83">
        <w:rPr>
          <w:rFonts w:ascii="Times New Roman" w:eastAsia="Times New Roman" w:hAnsi="Times New Roman"/>
          <w:color w:val="FF0000"/>
          <w:sz w:val="24"/>
          <w:szCs w:val="24"/>
          <w:u w:val="single"/>
          <w:lang w:eastAsia="es-ES"/>
        </w:rPr>
        <w:t>Mientras tanto, en la eurozona, Italia y España están ahora en riesgo de perder acceso al mercado, y en la actualidad las presiones financieras sobre Francia también van en aumento</w:t>
      </w:r>
      <w:r w:rsidRPr="00A97CE7">
        <w:rPr>
          <w:rFonts w:ascii="Times New Roman" w:eastAsia="Times New Roman" w:hAnsi="Times New Roman"/>
          <w:sz w:val="24"/>
          <w:szCs w:val="24"/>
          <w:lang w:eastAsia="es-ES"/>
        </w:rPr>
        <w:t xml:space="preserve">. Sin embargo, Italia y España son países demasiado grandes para quebrar y demasiado grandes para ser rescatados. Por el momento, el Banco Central Europeo comprará algunos de sus bonos como un puente con el nuevo Mecanismo Europeo de Estabilidad Financiera (EFSF, por el nombre en inglés) de la eurozona. Sin embargo, si Italia y/o España pierden su acceso al mercado, los €440 mil millones ($ 627 mil millones) del arca de guerra del EFSF podrían agotarse hasta finales de este año o principios del año 2012. </w:t>
      </w:r>
    </w:p>
    <w:p w:rsidR="002F07D4" w:rsidRPr="00380A83" w:rsidRDefault="002F07D4" w:rsidP="002F07D4">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380A83">
        <w:rPr>
          <w:rFonts w:ascii="Times New Roman" w:eastAsia="Times New Roman" w:hAnsi="Times New Roman"/>
          <w:color w:val="FF0000"/>
          <w:sz w:val="24"/>
          <w:szCs w:val="24"/>
          <w:u w:val="single"/>
          <w:lang w:eastAsia="es-ES"/>
        </w:rPr>
        <w:t xml:space="preserve">En ese momento, a menos que se </w:t>
      </w:r>
      <w:r>
        <w:rPr>
          <w:rFonts w:ascii="Times New Roman" w:eastAsia="Times New Roman" w:hAnsi="Times New Roman"/>
          <w:color w:val="FF0000"/>
          <w:sz w:val="24"/>
          <w:szCs w:val="24"/>
          <w:u w:val="single"/>
          <w:lang w:eastAsia="es-ES"/>
        </w:rPr>
        <w:t>tripliquen los fondos del EFSF -</w:t>
      </w:r>
      <w:r w:rsidRPr="00380A83">
        <w:rPr>
          <w:rFonts w:ascii="Times New Roman" w:eastAsia="Times New Roman" w:hAnsi="Times New Roman"/>
          <w:color w:val="FF0000"/>
          <w:sz w:val="24"/>
          <w:szCs w:val="24"/>
          <w:u w:val="single"/>
          <w:lang w:eastAsia="es-ES"/>
        </w:rPr>
        <w:t>una medida</w:t>
      </w:r>
      <w:r>
        <w:rPr>
          <w:rFonts w:ascii="Times New Roman" w:eastAsia="Times New Roman" w:hAnsi="Times New Roman"/>
          <w:color w:val="FF0000"/>
          <w:sz w:val="24"/>
          <w:szCs w:val="24"/>
          <w:u w:val="single"/>
          <w:lang w:eastAsia="es-ES"/>
        </w:rPr>
        <w:t xml:space="preserve"> a la que se opondría Alemania-</w:t>
      </w:r>
      <w:r w:rsidRPr="00380A83">
        <w:rPr>
          <w:rFonts w:ascii="Times New Roman" w:eastAsia="Times New Roman" w:hAnsi="Times New Roman"/>
          <w:color w:val="FF0000"/>
          <w:sz w:val="24"/>
          <w:szCs w:val="24"/>
          <w:u w:val="single"/>
          <w:lang w:eastAsia="es-ES"/>
        </w:rPr>
        <w:t xml:space="preserve"> la única opción que quedaría sería una reestructuración ordenada pero coercitiva de la deuda italiana y española, tal como ha ocurrido en Grecia</w:t>
      </w:r>
      <w:r w:rsidRPr="00A97CE7">
        <w:rPr>
          <w:rFonts w:ascii="Times New Roman" w:eastAsia="Times New Roman" w:hAnsi="Times New Roman"/>
          <w:sz w:val="24"/>
          <w:szCs w:val="24"/>
          <w:lang w:eastAsia="es-ES"/>
        </w:rPr>
        <w:t xml:space="preserve">. </w:t>
      </w:r>
      <w:r w:rsidRPr="00380A83">
        <w:rPr>
          <w:rFonts w:ascii="Times New Roman" w:eastAsia="Times New Roman" w:hAnsi="Times New Roman"/>
          <w:color w:val="FF0000"/>
          <w:sz w:val="24"/>
          <w:szCs w:val="24"/>
          <w:u w:val="single"/>
          <w:lang w:eastAsia="es-ES"/>
        </w:rPr>
        <w:t xml:space="preserve">La </w:t>
      </w:r>
      <w:r w:rsidRPr="00380A83">
        <w:rPr>
          <w:rFonts w:ascii="Times New Roman" w:eastAsia="Times New Roman" w:hAnsi="Times New Roman"/>
          <w:color w:val="FF0000"/>
          <w:sz w:val="24"/>
          <w:szCs w:val="24"/>
          <w:u w:val="single"/>
          <w:lang w:eastAsia="es-ES"/>
        </w:rPr>
        <w:lastRenderedPageBreak/>
        <w:t>reestructuración coercitiva de la deuda no garantizada de los bancos insolventes sería el siguiente paso</w:t>
      </w:r>
      <w:r w:rsidRPr="00A97CE7">
        <w:rPr>
          <w:rFonts w:ascii="Times New Roman" w:eastAsia="Times New Roman" w:hAnsi="Times New Roman"/>
          <w:sz w:val="24"/>
          <w:szCs w:val="24"/>
          <w:lang w:eastAsia="es-ES"/>
        </w:rPr>
        <w:t xml:space="preserve">. Por esta razón, aunque apenas ha empezado el proceso de desapalancamiento, </w:t>
      </w:r>
      <w:r w:rsidRPr="00380A83">
        <w:rPr>
          <w:rFonts w:ascii="Times New Roman" w:eastAsia="Times New Roman" w:hAnsi="Times New Roman"/>
          <w:b/>
          <w:color w:val="FF0000"/>
          <w:sz w:val="24"/>
          <w:szCs w:val="24"/>
          <w:u w:val="single"/>
          <w:lang w:eastAsia="es-ES"/>
        </w:rPr>
        <w:t>se harán necesarias las reducciones de deuda si los países no pueden crecer o ahorrar o agrandarse por cuenta propia para salir de sus problemas de deuda.</w:t>
      </w:r>
    </w:p>
    <w:p w:rsidR="002F07D4" w:rsidRPr="00A97CE7"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380A83">
        <w:rPr>
          <w:rFonts w:ascii="Times New Roman" w:eastAsia="Times New Roman" w:hAnsi="Times New Roman"/>
          <w:b/>
          <w:color w:val="FF0000"/>
          <w:sz w:val="24"/>
          <w:szCs w:val="24"/>
          <w:u w:val="single"/>
          <w:lang w:eastAsia="es-ES"/>
        </w:rPr>
        <w:t>Parece que Karl Max estuvo parcialmente en lo correcto al argumentar que la globalización, la intermediación financiera fuera de control, y la redistribución del ingreso y la riqueza de los trabajadores en beneficio del capital podría llevar al capitalismo a su autodestrucción (sin embargo se demostró que su idea de que el socialismo da mejores resultados fue errónea).</w:t>
      </w:r>
      <w:r w:rsidRPr="00A97CE7">
        <w:rPr>
          <w:rFonts w:ascii="Times New Roman" w:eastAsia="Times New Roman" w:hAnsi="Times New Roman"/>
          <w:sz w:val="24"/>
          <w:szCs w:val="24"/>
          <w:lang w:eastAsia="es-ES"/>
        </w:rPr>
        <w:t xml:space="preserve"> Las empresas están recortando puestos de trabajo porque no hay suficiente demanda final. Sin embargo, al recortar puestos de trabajo se reduce el ingreso de los trabajadores, se aumenta la desigualdad y se reduce la demanda final.  </w:t>
      </w:r>
    </w:p>
    <w:p w:rsidR="002F07D4" w:rsidRPr="00380A83"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380A83">
        <w:rPr>
          <w:rFonts w:ascii="Times New Roman" w:eastAsia="Times New Roman" w:hAnsi="Times New Roman"/>
          <w:sz w:val="24"/>
          <w:szCs w:val="24"/>
          <w:u w:val="single"/>
          <w:lang w:eastAsia="es-ES"/>
        </w:rPr>
        <w:t>Las protestas populares recientes</w:t>
      </w:r>
      <w:r w:rsidRPr="00A97CE7">
        <w:rPr>
          <w:rFonts w:ascii="Times New Roman" w:eastAsia="Times New Roman" w:hAnsi="Times New Roman"/>
          <w:sz w:val="24"/>
          <w:szCs w:val="24"/>
          <w:lang w:eastAsia="es-ES"/>
        </w:rPr>
        <w:t>, que se extienden desde el Medio Oriente hasta Israel y el Reino Unido, y la c</w:t>
      </w:r>
      <w:r>
        <w:rPr>
          <w:rFonts w:ascii="Times New Roman" w:eastAsia="Times New Roman" w:hAnsi="Times New Roman"/>
          <w:sz w:val="24"/>
          <w:szCs w:val="24"/>
          <w:lang w:eastAsia="es-ES"/>
        </w:rPr>
        <w:t>reciente ira popular en China -</w:t>
      </w:r>
      <w:r w:rsidRPr="00A97CE7">
        <w:rPr>
          <w:rFonts w:ascii="Times New Roman" w:eastAsia="Times New Roman" w:hAnsi="Times New Roman"/>
          <w:sz w:val="24"/>
          <w:szCs w:val="24"/>
          <w:lang w:eastAsia="es-ES"/>
        </w:rPr>
        <w:t>y que más temprano que tarde llegarán a otras economías a</w:t>
      </w:r>
      <w:r>
        <w:rPr>
          <w:rFonts w:ascii="Times New Roman" w:eastAsia="Times New Roman" w:hAnsi="Times New Roman"/>
          <w:sz w:val="24"/>
          <w:szCs w:val="24"/>
          <w:lang w:eastAsia="es-ES"/>
        </w:rPr>
        <w:t>vanzadas y mercados emergentes-</w:t>
      </w:r>
      <w:r w:rsidRPr="00380A83">
        <w:rPr>
          <w:rFonts w:ascii="Times New Roman" w:eastAsia="Times New Roman" w:hAnsi="Times New Roman"/>
          <w:sz w:val="24"/>
          <w:szCs w:val="24"/>
          <w:u w:val="single"/>
          <w:lang w:eastAsia="es-ES"/>
        </w:rPr>
        <w:t xml:space="preserve">son todas impulsadas </w:t>
      </w:r>
      <w:r w:rsidRPr="00380A83">
        <w:rPr>
          <w:rFonts w:ascii="Cambria Math" w:eastAsia="Times New Roman" w:hAnsi="Cambria Math" w:cs="Cambria Math"/>
          <w:sz w:val="24"/>
          <w:szCs w:val="24"/>
          <w:u w:val="single"/>
          <w:lang w:eastAsia="es-ES"/>
        </w:rPr>
        <w:t>​​</w:t>
      </w:r>
      <w:r w:rsidRPr="00380A83">
        <w:rPr>
          <w:rFonts w:ascii="Times New Roman" w:eastAsia="Times New Roman" w:hAnsi="Times New Roman"/>
          <w:sz w:val="24"/>
          <w:szCs w:val="24"/>
          <w:u w:val="single"/>
          <w:lang w:eastAsia="es-ES"/>
        </w:rPr>
        <w:t xml:space="preserve">por los mismos problemas y tensiones: creciente desigualdad, pobreza, desempleo, y desesperanza. Incluso las clases medias del mundo están sintiendo la presión de la caída de ingresos y oportunidades. </w:t>
      </w:r>
    </w:p>
    <w:p w:rsidR="002F07D4" w:rsidRPr="00380A83"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380A83">
        <w:rPr>
          <w:rFonts w:ascii="Times New Roman" w:eastAsia="Times New Roman" w:hAnsi="Times New Roman"/>
          <w:sz w:val="24"/>
          <w:szCs w:val="24"/>
          <w:u w:val="single"/>
          <w:lang w:eastAsia="es-ES"/>
        </w:rPr>
        <w:t xml:space="preserve">Para permitir que las economías orientadas al mercado operen como deberían y como pueden, tenemos que retornar al equilibrio adecuado entre los mercados y la provisión de bienes públicos. Esto significa alejarse tanto del modelo anglosajón de laissez-faire y economía vudú como del modelo europeo continental de los estados de bienestar impulsados por el déficit. Ambos modelos están resquebrajados. </w:t>
      </w:r>
    </w:p>
    <w:p w:rsidR="002F07D4" w:rsidRPr="00380A83" w:rsidRDefault="002F07D4" w:rsidP="002F07D4">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380A83">
        <w:rPr>
          <w:rFonts w:ascii="Times New Roman" w:eastAsia="Times New Roman" w:hAnsi="Times New Roman"/>
          <w:b/>
          <w:color w:val="FF0000"/>
          <w:sz w:val="24"/>
          <w:szCs w:val="24"/>
          <w:u w:val="single"/>
          <w:lang w:eastAsia="es-ES"/>
        </w:rPr>
        <w:t xml:space="preserve">El equilibrio adecuado hoy en día exige la creación de puestos de trabajo de manera parcial a través de estímulos fiscales adicionales dirigidos a las inversiones en infraestructura productiva. También requiere de impuestos más progresivos; más cantidad de estímulos fiscales a corto plazo junto con disciplina fiscal de mediano y largo plazo; de apoyo de préstamos de última instancia por parte de las autoridades monetarias a fin de prevenir corridas bancarias destructivas; de reducción de la carga crediticia de los hogares insolventes y de otros agentes económicos que atraviesan dificultades económicas; de supervisión y regulación más estricta de un sistema financiero que está fuera de control; y de fraccionamiento de los bancos que son demasiado grandes para quebrar y de los fondos de inversión oligopolísticos.  </w:t>
      </w:r>
    </w:p>
    <w:p w:rsidR="002F07D4" w:rsidRPr="00A97CE7"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97CE7">
        <w:rPr>
          <w:rFonts w:ascii="Times New Roman" w:eastAsia="Times New Roman" w:hAnsi="Times New Roman"/>
          <w:sz w:val="24"/>
          <w:szCs w:val="24"/>
          <w:lang w:eastAsia="es-ES"/>
        </w:rPr>
        <w:t>Con el tiempo, las economías avanzadas tendrán que invertir en capital humano, capacitación y redes de seguridad social para aumentar la productividad y permitir que los trabajadores compitan, sean flexibles y prosperen en una economía g</w:t>
      </w:r>
      <w:r>
        <w:rPr>
          <w:rFonts w:ascii="Times New Roman" w:eastAsia="Times New Roman" w:hAnsi="Times New Roman"/>
          <w:sz w:val="24"/>
          <w:szCs w:val="24"/>
          <w:lang w:eastAsia="es-ES"/>
        </w:rPr>
        <w:t>lobalizada. La alternativa es -igual que en la década de 1930-</w:t>
      </w:r>
      <w:r w:rsidRPr="00A97CE7">
        <w:rPr>
          <w:rFonts w:ascii="Times New Roman" w:eastAsia="Times New Roman" w:hAnsi="Times New Roman"/>
          <w:sz w:val="24"/>
          <w:szCs w:val="24"/>
          <w:lang w:eastAsia="es-ES"/>
        </w:rPr>
        <w:t xml:space="preserve"> interminable estancamiento, depresión, guerras cambiarias y de balanza comercial, controles de capital, crisis financiera, insolvencias soberanas, y masiva inestabilidad política y social.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A97CE7">
        <w:rPr>
          <w:rFonts w:ascii="Times New Roman" w:eastAsia="Times New Roman" w:hAnsi="Times New Roman"/>
          <w:sz w:val="24"/>
          <w:szCs w:val="24"/>
          <w:lang w:eastAsia="es-ES"/>
        </w:rPr>
        <w:t>Nouriel Roubini es presidente de Roubini Global Economics, profesor en la Escuela Stern de Administración de Empresas de la Universidad de Nueva York y coau</w:t>
      </w:r>
      <w:r>
        <w:rPr>
          <w:rFonts w:ascii="Times New Roman" w:eastAsia="Times New Roman" w:hAnsi="Times New Roman"/>
          <w:sz w:val="24"/>
          <w:szCs w:val="24"/>
          <w:lang w:eastAsia="es-ES"/>
        </w:rPr>
        <w:t xml:space="preserve">tor del </w:t>
      </w:r>
      <w:r>
        <w:rPr>
          <w:rFonts w:ascii="Times New Roman" w:eastAsia="Times New Roman" w:hAnsi="Times New Roman"/>
          <w:sz w:val="24"/>
          <w:szCs w:val="24"/>
          <w:lang w:eastAsia="es-ES"/>
        </w:rPr>
        <w:lastRenderedPageBreak/>
        <w:t>libro Crisis Economics (</w:t>
      </w:r>
      <w:r w:rsidRPr="00A97CE7">
        <w:rPr>
          <w:rFonts w:ascii="Times New Roman" w:eastAsia="Times New Roman" w:hAnsi="Times New Roman"/>
          <w:sz w:val="24"/>
          <w:szCs w:val="24"/>
          <w:lang w:eastAsia="es-ES"/>
        </w:rPr>
        <w:t>Cómo salimos de ésta, Ediciones Destin</w:t>
      </w:r>
      <w:r>
        <w:rPr>
          <w:rFonts w:ascii="Times New Roman" w:eastAsia="Times New Roman" w:hAnsi="Times New Roman"/>
          <w:sz w:val="24"/>
          <w:szCs w:val="24"/>
          <w:lang w:eastAsia="es-ES"/>
        </w:rPr>
        <w:t>o, Barcelona, 2010)</w:t>
      </w:r>
      <w:r w:rsidRPr="00A97CE7">
        <w:rPr>
          <w:rFonts w:ascii="Times New Roman" w:eastAsia="Times New Roman" w:hAnsi="Times New Roman"/>
          <w:sz w:val="24"/>
          <w:szCs w:val="24"/>
          <w:lang w:eastAsia="es-ES"/>
        </w:rPr>
        <w:t>. Cop</w:t>
      </w:r>
      <w:r>
        <w:rPr>
          <w:rFonts w:ascii="Times New Roman" w:eastAsia="Times New Roman" w:hAnsi="Times New Roman"/>
          <w:sz w:val="24"/>
          <w:szCs w:val="24"/>
          <w:lang w:eastAsia="es-ES"/>
        </w:rPr>
        <w:t>yright: Project Syndicate, 2011)</w:t>
      </w:r>
    </w:p>
    <w:p w:rsidR="002F07D4" w:rsidRPr="001F6D5F" w:rsidRDefault="002F07D4" w:rsidP="002F07D4">
      <w:pPr>
        <w:pStyle w:val="NormalWeb"/>
        <w:jc w:val="both"/>
        <w:rPr>
          <w:b/>
        </w:rPr>
      </w:pPr>
      <w:r w:rsidRPr="001F6D5F">
        <w:rPr>
          <w:b/>
        </w:rPr>
        <w:t>Buscando otro destino posible (algo en lo que creer)</w:t>
      </w:r>
    </w:p>
    <w:p w:rsidR="002F07D4" w:rsidRDefault="002F07D4" w:rsidP="002F07D4">
      <w:pPr>
        <w:pStyle w:val="NormalWeb"/>
        <w:jc w:val="both"/>
      </w:pPr>
      <w:r>
        <w:t>Como decía Keynes: “cuando se supera lo previsto, ocurre lo imprevisto”. Plagiando a Keynes: “en el largo plazo todos muertos”… sin crecimiento estamos todos muertos.</w:t>
      </w:r>
    </w:p>
    <w:p w:rsidR="002F07D4" w:rsidRDefault="002F07D4" w:rsidP="002F07D4">
      <w:pPr>
        <w:pStyle w:val="NormalWeb"/>
        <w:jc w:val="both"/>
      </w:pPr>
      <w:r>
        <w:t xml:space="preserve">Austeridad… crecimiento… ¿y la eficiencia?... ¿a quién interesa? tanto del sector privado (bancos, empresas…), como el sector público (gobiernos, autonomías, ayuntamientos, empresas públicas…)… al final, siempre se “jode” el contribuyente. </w:t>
      </w:r>
    </w:p>
    <w:p w:rsidR="002F07D4" w:rsidRDefault="002F07D4" w:rsidP="002F07D4">
      <w:pPr>
        <w:pStyle w:val="NormalWeb"/>
        <w:jc w:val="both"/>
      </w:pPr>
      <w:r>
        <w:t>Poner límites al gasto no significa dar por buenos todos los remedios del curandero (sospechoso de parcialidad, connivencia y complicidad).</w:t>
      </w:r>
    </w:p>
    <w:p w:rsidR="002F07D4" w:rsidRDefault="002F07D4" w:rsidP="002F07D4">
      <w:pPr>
        <w:pStyle w:val="NormalWeb"/>
        <w:jc w:val="both"/>
      </w:pPr>
      <w:r>
        <w:t xml:space="preserve">El ajuste infinito nos lleva a una recesión de profundidad incalculable. Esta política como única opción viene impuesta desde los mismos centros de decisión en los que se gestó la crisis. </w:t>
      </w:r>
      <w:r w:rsidRPr="005648D9">
        <w:t>La única manera de reducir la deuda de un país (que no sea mediante una moratoria) es conseguir que su econom</w:t>
      </w:r>
      <w:r>
        <w:t>ía crezca.</w:t>
      </w:r>
    </w:p>
    <w:p w:rsidR="002F07D4" w:rsidRDefault="002F07D4" w:rsidP="002F07D4">
      <w:pPr>
        <w:pStyle w:val="NormalWeb"/>
        <w:jc w:val="both"/>
      </w:pPr>
      <w:r>
        <w:t>La “austeridad expansionista” es una falacia, como lo es la “economía de la filtración”,  como lo fue el “conservadurismo compasivo”.</w:t>
      </w:r>
    </w:p>
    <w:p w:rsidR="002F07D4" w:rsidRPr="00114640" w:rsidRDefault="002F07D4" w:rsidP="002F07D4">
      <w:pPr>
        <w:pStyle w:val="NormalWeb"/>
        <w:jc w:val="both"/>
      </w:pPr>
      <w:r w:rsidRPr="00114640">
        <w:t xml:space="preserve">Se cree que tal reducción del déficit permitirá que el gobierno pida prestado dinero con costos menores de los que pudiera de otra forma conseguir, esto, consecuentemente, reduce las tasas de interés para los prestatarios privados, lo que a su vez debe impulsar la actividad económica. De esta forma se llega a la conclusión que la consolidación fiscal es el gran y soberbio camino a la recuperación económica. </w:t>
      </w:r>
    </w:p>
    <w:p w:rsidR="002F07D4" w:rsidRPr="00114640" w:rsidRDefault="002F07D4" w:rsidP="002F07D4">
      <w:pPr>
        <w:pStyle w:val="NormalWeb"/>
        <w:jc w:val="both"/>
      </w:pPr>
      <w:r w:rsidRPr="00114640">
        <w:t>Esta doctrina, que es la doctrina oficial de los países más desarrollados en la actualidad, contiene al menos cinco falacias importantes (en opinión de Robert Skidelsky, miembro de la Cámara de los Lores británica, profesor emérito de Economía Política en la Universidad Warwick), que pasan desapercibidas debido a que la narrativa es muy plausible</w:t>
      </w:r>
    </w:p>
    <w:p w:rsidR="002F07D4" w:rsidRPr="00114640" w:rsidRDefault="002F07D4" w:rsidP="002F07D4">
      <w:pPr>
        <w:pStyle w:val="NormalWeb"/>
        <w:jc w:val="both"/>
      </w:pPr>
      <w:r w:rsidRPr="00114640">
        <w:t>En primer lugar, los gobiernos, a diferencia de los particulares, no tienen que “pagar” sus deudas.</w:t>
      </w:r>
    </w:p>
    <w:p w:rsidR="002F07D4" w:rsidRPr="00114640" w:rsidRDefault="002F07D4" w:rsidP="002F07D4">
      <w:pPr>
        <w:pStyle w:val="NormalWeb"/>
        <w:jc w:val="both"/>
      </w:pPr>
      <w:r w:rsidRPr="00114640">
        <w:t>En segundo lugar, reducir deliberadamente el déficit no es el mejor camino para que un gobierno equilibre sus libros de contabilidad.</w:t>
      </w:r>
    </w:p>
    <w:p w:rsidR="002F07D4" w:rsidRPr="00114640" w:rsidRDefault="002F07D4" w:rsidP="002F07D4">
      <w:pPr>
        <w:pStyle w:val="NormalWeb"/>
        <w:jc w:val="both"/>
      </w:pPr>
      <w:r w:rsidRPr="00114640">
        <w:t>En tercer lugar, la deuda nacional no es una carga neta de las generaciones futuras.</w:t>
      </w:r>
    </w:p>
    <w:p w:rsidR="002F07D4" w:rsidRPr="00114640" w:rsidRDefault="002F07D4" w:rsidP="002F07D4">
      <w:pPr>
        <w:pStyle w:val="NormalWeb"/>
        <w:jc w:val="both"/>
      </w:pPr>
      <w:r w:rsidRPr="00114640">
        <w:t>En cuarto lugar, no hay ninguna conexión entre el tamaño de la deuda nacional y el precio que el gobierno debe pagar para financiarla.</w:t>
      </w:r>
    </w:p>
    <w:p w:rsidR="002F07D4" w:rsidRPr="00114640" w:rsidRDefault="002F07D4" w:rsidP="002F07D4">
      <w:pPr>
        <w:pStyle w:val="NormalWeb"/>
        <w:jc w:val="both"/>
      </w:pPr>
      <w:r w:rsidRPr="00114640">
        <w:t>Por último, los bajos costos de los préstamos para los gobiernos no reducen automáticamente el costo del capital para el sector privado.</w:t>
      </w:r>
    </w:p>
    <w:p w:rsidR="002F07D4" w:rsidRDefault="002F07D4" w:rsidP="002F07D4">
      <w:pPr>
        <w:pStyle w:val="NormalWeb"/>
        <w:jc w:val="both"/>
      </w:pPr>
      <w:r>
        <w:lastRenderedPageBreak/>
        <w:t xml:space="preserve">No es un tema de flexibilización del mercado de trabajo lo que ayuda a la contratación, sino que las empresas contratarían más trabajadores si no hubiera tanta “incertidumbre”. </w:t>
      </w:r>
      <w:r w:rsidRPr="00C24F1C">
        <w:t xml:space="preserve">La liberalización del mercado de trabajo </w:t>
      </w:r>
      <w:r>
        <w:t>es a veces aprovechada</w:t>
      </w:r>
      <w:r w:rsidRPr="00C24F1C">
        <w:t xml:space="preserve"> para recortar sueldos, y esta política sólo agrava el problema en un contexto de crisis, ya que las personas no consumen.</w:t>
      </w:r>
    </w:p>
    <w:p w:rsidR="002F07D4" w:rsidRDefault="002F07D4" w:rsidP="002F07D4">
      <w:pPr>
        <w:pStyle w:val="NormalWeb"/>
        <w:jc w:val="both"/>
      </w:pPr>
      <w:r w:rsidRPr="005648D9">
        <w:t xml:space="preserve">Respecto a la flexibilidad laboral, </w:t>
      </w:r>
      <w:r>
        <w:t xml:space="preserve"> Joseph </w:t>
      </w:r>
      <w:r w:rsidRPr="005648D9">
        <w:t>Stiglitz (18/1/12) pone como ejemplo a EEUU, que con un mercado de trabajo desregulado “no resolvió el problema de esta crisis” y, de hecho, funcionó “peor durante la recesión que Alemania y otros países con más protección social”.</w:t>
      </w:r>
    </w:p>
    <w:p w:rsidR="002F07D4" w:rsidRDefault="002F07D4" w:rsidP="002F07D4">
      <w:pPr>
        <w:pStyle w:val="NormalWeb"/>
        <w:jc w:val="both"/>
      </w:pPr>
      <w:r>
        <w:t>El reputado economista, Premio Nobel de Economía en 2001, considera recomendable que Europa mejore la flexibilidad laboral, pero alerta de sus efectos perniciosos si se utiliza para bajar salarios.</w:t>
      </w:r>
    </w:p>
    <w:p w:rsidR="002F07D4" w:rsidRPr="001F6D5F" w:rsidRDefault="002F07D4" w:rsidP="002F07D4">
      <w:pPr>
        <w:pStyle w:val="NormalWeb"/>
        <w:jc w:val="both"/>
        <w:rPr>
          <w:b/>
        </w:rPr>
      </w:pPr>
      <w:r w:rsidRPr="001F6D5F">
        <w:rPr>
          <w:b/>
        </w:rPr>
        <w:t>Temas para la reflexión (y el cambio)</w:t>
      </w:r>
    </w:p>
    <w:p w:rsidR="002F07D4" w:rsidRPr="005B593A"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5B593A">
        <w:rPr>
          <w:rFonts w:ascii="Times New Roman" w:eastAsia="Times New Roman" w:hAnsi="Times New Roman"/>
          <w:sz w:val="24"/>
          <w:szCs w:val="24"/>
          <w:lang w:eastAsia="es-ES"/>
        </w:rPr>
        <w:t xml:space="preserve">El colapso económico mundial de 2007-2008 desacreditó la economía de las “expectativas racionales” (a pesar de que sus </w:t>
      </w:r>
      <w:r>
        <w:rPr>
          <w:rFonts w:ascii="Times New Roman" w:eastAsia="Times New Roman" w:hAnsi="Times New Roman"/>
          <w:sz w:val="24"/>
          <w:szCs w:val="24"/>
          <w:lang w:eastAsia="es-ES"/>
        </w:rPr>
        <w:t>“</w:t>
      </w:r>
      <w:r w:rsidRPr="005B593A">
        <w:rPr>
          <w:rFonts w:ascii="Times New Roman" w:eastAsia="Times New Roman" w:hAnsi="Times New Roman"/>
          <w:sz w:val="24"/>
          <w:szCs w:val="24"/>
          <w:lang w:eastAsia="es-ES"/>
        </w:rPr>
        <w:t>sumos sacerdotes</w:t>
      </w:r>
      <w:r>
        <w:rPr>
          <w:rFonts w:ascii="Times New Roman" w:eastAsia="Times New Roman" w:hAnsi="Times New Roman"/>
          <w:sz w:val="24"/>
          <w:szCs w:val="24"/>
          <w:lang w:eastAsia="es-ES"/>
        </w:rPr>
        <w:t>”</w:t>
      </w:r>
      <w:r w:rsidRPr="005B593A">
        <w:rPr>
          <w:rFonts w:ascii="Times New Roman" w:eastAsia="Times New Roman" w:hAnsi="Times New Roman"/>
          <w:sz w:val="24"/>
          <w:szCs w:val="24"/>
          <w:lang w:eastAsia="es-ES"/>
        </w:rPr>
        <w:t xml:space="preserve"> aún no lo reconocen) y trajo a Keynes y Hayek nuevamente a una contienda póstuma. Los problemas no han cambiado mucho desde que iniciaran su discusión en la Gran Depresión de la década de 1930. ¿Qué causa el colapso de las economías de mercado? ¿Cuál es la respuesta correcta a un colapso? ¿Cuál es la mejor manera de evitar colapsos futuros?</w:t>
      </w:r>
    </w:p>
    <w:p w:rsidR="002F07D4" w:rsidRPr="002405A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405A3">
        <w:rPr>
          <w:rFonts w:ascii="Times New Roman" w:eastAsia="Times New Roman" w:hAnsi="Times New Roman"/>
          <w:sz w:val="24"/>
          <w:szCs w:val="24"/>
          <w:lang w:eastAsia="es-ES"/>
        </w:rPr>
        <w:t xml:space="preserve">1. La idea de que los mercados se autorregulan recibió un golpe mortal en la reciente crisis financiera y se la debería enterrar de una vez por todas. Los mercados requieren que otras instituciones sociales los respalden. </w:t>
      </w:r>
    </w:p>
    <w:p w:rsidR="002F07D4" w:rsidRPr="002405A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405A3">
        <w:rPr>
          <w:rFonts w:ascii="Times New Roman" w:eastAsia="Times New Roman" w:hAnsi="Times New Roman"/>
          <w:sz w:val="24"/>
          <w:szCs w:val="24"/>
          <w:lang w:eastAsia="es-ES"/>
        </w:rPr>
        <w:t xml:space="preserve">2. Para el futuro previsible, la gobernancia democrática quizá se organice básicamente dentro de comunidades políticas nacionales. El estado nacional vive, si no del todo bien, y sigue siendo esencialmente la mejor alternativa. La búsqueda de gobernancia global es algo absurdo. </w:t>
      </w:r>
    </w:p>
    <w:p w:rsidR="002F07D4" w:rsidRPr="002405A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405A3">
        <w:rPr>
          <w:rFonts w:ascii="Times New Roman" w:eastAsia="Times New Roman" w:hAnsi="Times New Roman"/>
          <w:sz w:val="24"/>
          <w:szCs w:val="24"/>
          <w:lang w:eastAsia="es-ES"/>
        </w:rPr>
        <w:t xml:space="preserve">3. Prosperidad pluralista. Reconocer que la infraestructura institucional medular de la economía global debe construirse a nivel nacional libera a los países para desarrollar las instituciones que más les convienen. </w:t>
      </w:r>
    </w:p>
    <w:p w:rsidR="002F07D4" w:rsidRPr="002405A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405A3">
        <w:rPr>
          <w:rFonts w:ascii="Times New Roman" w:eastAsia="Times New Roman" w:hAnsi="Times New Roman"/>
          <w:sz w:val="24"/>
          <w:szCs w:val="24"/>
          <w:lang w:eastAsia="es-ES"/>
        </w:rPr>
        <w:t xml:space="preserve">4. Los países tienen derecho a proteger sus propias regulaciones e instituciones. Los principios previos pueden parecer inocuos. Pero conllevan fuertes implicancias que chocan con la opinión general de los defensores de la globalización. </w:t>
      </w:r>
    </w:p>
    <w:p w:rsidR="002F07D4" w:rsidRPr="002405A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405A3">
        <w:rPr>
          <w:rFonts w:ascii="Times New Roman" w:eastAsia="Times New Roman" w:hAnsi="Times New Roman"/>
          <w:sz w:val="24"/>
          <w:szCs w:val="24"/>
          <w:lang w:eastAsia="es-ES"/>
        </w:rPr>
        <w:t xml:space="preserve">5. Los países no tienen derecho a imponerles sus instituciones a los demás. Utilizar restricciones al comercio o a las finanzas transfronterizos para defender valores y regulaciones en casa es muy diferente de usarlas para imponer esos valores y regulaciones a otros países. Las reglas de la globalización no deberían obligar a norteamericanos o europeos a consumir bienes que son producidos con métodos que la mayoría de los ciudadanos en esos países consideran inaceptables. </w:t>
      </w:r>
    </w:p>
    <w:p w:rsidR="002F07D4" w:rsidRPr="002405A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405A3">
        <w:rPr>
          <w:rFonts w:ascii="Times New Roman" w:eastAsia="Times New Roman" w:hAnsi="Times New Roman"/>
          <w:sz w:val="24"/>
          <w:szCs w:val="24"/>
          <w:lang w:eastAsia="es-ES"/>
        </w:rPr>
        <w:t xml:space="preserve">6. Los acuerdos económicos internacionales deben establecer reglas para administrar la interacción entre instituciones nacionales. Basarse en los estados nacionales para que </w:t>
      </w:r>
      <w:r w:rsidRPr="002405A3">
        <w:rPr>
          <w:rFonts w:ascii="Times New Roman" w:eastAsia="Times New Roman" w:hAnsi="Times New Roman"/>
          <w:sz w:val="24"/>
          <w:szCs w:val="24"/>
          <w:lang w:eastAsia="es-ES"/>
        </w:rPr>
        <w:lastRenderedPageBreak/>
        <w:t xml:space="preserve">proporcionen las funciones de gobernancia esenciales de la economía mundial no implica que debamos abandonar las reglas internacionales. </w:t>
      </w:r>
    </w:p>
    <w:p w:rsidR="002F07D4" w:rsidRPr="002405A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405A3">
        <w:rPr>
          <w:rFonts w:ascii="Times New Roman" w:eastAsia="Times New Roman" w:hAnsi="Times New Roman"/>
          <w:sz w:val="24"/>
          <w:szCs w:val="24"/>
          <w:lang w:eastAsia="es-ES"/>
        </w:rPr>
        <w:t xml:space="preserve">7. Los países no democráticos no pueden contar con los mismos derechos y privilegios en el orden económico internacional que las democracias. </w:t>
      </w:r>
    </w:p>
    <w:p w:rsidR="002F07D4" w:rsidRPr="002405A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405A3">
        <w:rPr>
          <w:rFonts w:ascii="Times New Roman" w:eastAsia="Times New Roman" w:hAnsi="Times New Roman"/>
          <w:sz w:val="24"/>
          <w:szCs w:val="24"/>
          <w:lang w:eastAsia="es-ES"/>
        </w:rPr>
        <w:t>Dice Dani Rodrik (profesor de Economía Política en la Escuela de Gobierno John F. Kennedy de la Universidad de Harvard y autor de One Economics, Many Recipes: Globalization, Institutions, and Economic Growth), que estos son los principios que los arquitectos del próximo orden económico global deberían aceptar. Más importante aún, deberían comprender la máxima paradoja que cada uno de estos principios resalta: la globalización funciona mejor cuando no se la empuja demasiado lejos</w:t>
      </w:r>
      <w:r>
        <w:rPr>
          <w:rFonts w:ascii="Times New Roman" w:eastAsia="Times New Roman" w:hAnsi="Times New Roman"/>
          <w:sz w:val="24"/>
          <w:szCs w:val="24"/>
          <w:lang w:eastAsia="es-ES"/>
        </w:rPr>
        <w:t>…</w:t>
      </w:r>
    </w:p>
    <w:p w:rsidR="002F07D4" w:rsidRPr="002405A3"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2405A3">
        <w:rPr>
          <w:rFonts w:ascii="Times New Roman" w:eastAsia="Times New Roman" w:hAnsi="Times New Roman"/>
          <w:sz w:val="24"/>
          <w:szCs w:val="24"/>
          <w:lang w:eastAsia="es-ES"/>
        </w:rPr>
        <w:t xml:space="preserve">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2F07D4" w:rsidRPr="007634C9" w:rsidRDefault="002F07D4" w:rsidP="002F07D4">
      <w:pPr>
        <w:spacing w:line="240" w:lineRule="auto"/>
        <w:jc w:val="both"/>
        <w:rPr>
          <w:rFonts w:ascii="Times New Roman" w:hAnsi="Times New Roman"/>
          <w:sz w:val="24"/>
          <w:szCs w:val="24"/>
        </w:rPr>
      </w:pPr>
      <w:r w:rsidRPr="007634C9">
        <w:rPr>
          <w:rFonts w:ascii="Times New Roman" w:hAnsi="Times New Roman"/>
          <w:sz w:val="24"/>
          <w:szCs w:val="24"/>
        </w:rPr>
        <w:t>Nunca se debe pensar que un aumento de las desigualdades sociales es el precio inevitable del crecimiento acelerado, y no se debe considerar que las condiciones más igualitarias en materia de educación, s</w:t>
      </w:r>
      <w:r>
        <w:rPr>
          <w:rFonts w:ascii="Times New Roman" w:hAnsi="Times New Roman"/>
          <w:sz w:val="24"/>
          <w:szCs w:val="24"/>
        </w:rPr>
        <w:t xml:space="preserve">alud y género, </w:t>
      </w:r>
      <w:r w:rsidRPr="007634C9">
        <w:rPr>
          <w:rFonts w:ascii="Times New Roman" w:hAnsi="Times New Roman"/>
          <w:sz w:val="24"/>
          <w:szCs w:val="24"/>
        </w:rPr>
        <w:t>sean reformas de “segunda etapa”. Una estrategia de desarrollo que promueva</w:t>
      </w:r>
      <w:r>
        <w:rPr>
          <w:rFonts w:ascii="Times New Roman" w:hAnsi="Times New Roman"/>
          <w:sz w:val="24"/>
          <w:szCs w:val="24"/>
        </w:rPr>
        <w:t xml:space="preserve"> primero el crecimiento y </w:t>
      </w:r>
      <w:r w:rsidRPr="007634C9">
        <w:rPr>
          <w:rFonts w:ascii="Times New Roman" w:hAnsi="Times New Roman"/>
          <w:sz w:val="24"/>
          <w:szCs w:val="24"/>
        </w:rPr>
        <w:t>después se ocupe de la miseria no es sostenible. Las políticas orientadas a lograr una redistribución más eficiente no tienen por qué obstaculizar el crecimiento en sí.</w:t>
      </w: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 xml:space="preserve">La teoría de la ventaja comparativa, planteada dos siglos atrás por el economista británico David Ricardo, postula que los países prosperan concentrándose en lo que hacen mejor y comerciando con otros países que tienen fortalezas diferentes. Pero en medio del aumento pronunciado en las importaciones baratas en la última década, algunos economistas prominentes han puesto en entredicho ese punto de vista.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En un artículo de 2004, Paul Samuelson, difunto ganador del premio Nobel, argumentó que aunque el comercio puede beneficiar a al</w:t>
      </w:r>
      <w:r>
        <w:rPr>
          <w:rFonts w:ascii="Times New Roman" w:hAnsi="Times New Roman"/>
          <w:sz w:val="24"/>
          <w:szCs w:val="24"/>
        </w:rPr>
        <w:t>gunos estadounidenses, lo hace “diezmando”</w:t>
      </w:r>
      <w:r w:rsidRPr="00BE17B5">
        <w:rPr>
          <w:rFonts w:ascii="Times New Roman" w:hAnsi="Times New Roman"/>
          <w:sz w:val="24"/>
          <w:szCs w:val="24"/>
        </w:rPr>
        <w:t xml:space="preserve"> los salarios de obreros fabriles. Alan Blinder, economista de la Universidad de Princeton y ex vicepresidente de </w:t>
      </w:r>
      <w:r>
        <w:rPr>
          <w:rFonts w:ascii="Times New Roman" w:hAnsi="Times New Roman"/>
          <w:sz w:val="24"/>
          <w:szCs w:val="24"/>
        </w:rPr>
        <w:t>la junta de la Reserva Federal -</w:t>
      </w:r>
      <w:r w:rsidRPr="00BE17B5">
        <w:rPr>
          <w:rFonts w:ascii="Times New Roman" w:hAnsi="Times New Roman"/>
          <w:sz w:val="24"/>
          <w:szCs w:val="24"/>
        </w:rPr>
        <w:t>o</w:t>
      </w:r>
      <w:r>
        <w:rPr>
          <w:rFonts w:ascii="Times New Roman" w:hAnsi="Times New Roman"/>
          <w:sz w:val="24"/>
          <w:szCs w:val="24"/>
        </w:rPr>
        <w:t>trora adalid del libre comercio-</w:t>
      </w:r>
      <w:r w:rsidRPr="00BE17B5">
        <w:rPr>
          <w:rFonts w:ascii="Times New Roman" w:hAnsi="Times New Roman"/>
          <w:sz w:val="24"/>
          <w:szCs w:val="24"/>
        </w:rPr>
        <w:t xml:space="preserve"> ha argumentado en años recientes que la creciente terceriz</w:t>
      </w:r>
      <w:r>
        <w:rPr>
          <w:rFonts w:ascii="Times New Roman" w:hAnsi="Times New Roman"/>
          <w:sz w:val="24"/>
          <w:szCs w:val="24"/>
        </w:rPr>
        <w:t>ación por parte de firmas de EEUU</w:t>
      </w:r>
      <w:r w:rsidRPr="00BE17B5">
        <w:rPr>
          <w:rFonts w:ascii="Times New Roman" w:hAnsi="Times New Roman"/>
          <w:sz w:val="24"/>
          <w:szCs w:val="24"/>
        </w:rPr>
        <w:t xml:space="preserve"> a países de bajos salarios pone en riesgo millones de empleos estadounidenses. </w:t>
      </w:r>
    </w:p>
    <w:p w:rsidR="002F07D4" w:rsidRPr="00BE17B5" w:rsidRDefault="002F07D4" w:rsidP="002F07D4">
      <w:pPr>
        <w:spacing w:after="0" w:line="240" w:lineRule="auto"/>
        <w:jc w:val="both"/>
        <w:rPr>
          <w:rFonts w:ascii="Times New Roman" w:hAnsi="Times New Roman"/>
          <w:sz w:val="24"/>
          <w:szCs w:val="24"/>
        </w:rPr>
      </w:pPr>
    </w:p>
    <w:p w:rsidR="002F07D4"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Michael Spence, economista de la Universidad de Nueva York galardonado con el Nobel, dijo que el reciente descubrimiento refleja cómo las teorías prevalentes sobre el comercio son insuficientes para comprender el ritmo desenfrenado de China y otras economías en vía de desarrollo. Y como el mundo nunca ha experimentado el crecimiento tan rápido de países tan grandes, la hi</w:t>
      </w:r>
      <w:r>
        <w:rPr>
          <w:rFonts w:ascii="Times New Roman" w:hAnsi="Times New Roman"/>
          <w:sz w:val="24"/>
          <w:szCs w:val="24"/>
        </w:rPr>
        <w:t>storia no sirve mucho de guía. “</w:t>
      </w:r>
      <w:r w:rsidRPr="00BE17B5">
        <w:rPr>
          <w:rFonts w:ascii="Times New Roman" w:hAnsi="Times New Roman"/>
          <w:sz w:val="24"/>
          <w:szCs w:val="24"/>
        </w:rPr>
        <w:t xml:space="preserve">No es </w:t>
      </w:r>
      <w:r w:rsidRPr="00BE17B5">
        <w:rPr>
          <w:rFonts w:ascii="Times New Roman" w:hAnsi="Times New Roman"/>
          <w:sz w:val="24"/>
          <w:szCs w:val="24"/>
        </w:rPr>
        <w:lastRenderedPageBreak/>
        <w:t>que podamos mirar al pasado y preguntarnos qué ocurrió la última vez que pasó esto</w:t>
      </w:r>
      <w:r>
        <w:rPr>
          <w:rFonts w:ascii="Times New Roman" w:hAnsi="Times New Roman"/>
          <w:sz w:val="24"/>
          <w:szCs w:val="24"/>
        </w:rPr>
        <w:t>, porque no hubo una última vez”, agregó</w:t>
      </w:r>
      <w:r w:rsidRPr="00BE17B5">
        <w:rPr>
          <w:rFonts w:ascii="Times New Roman" w:hAnsi="Times New Roman"/>
          <w:sz w:val="24"/>
          <w:szCs w:val="24"/>
        </w:rPr>
        <w:t>.</w:t>
      </w:r>
    </w:p>
    <w:p w:rsidR="002F07D4"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Muchos estadounidenses creen que las importaciones chinas de bajo precio aniquilan empleos fabriles en Estados Unidos. La mayoría de los economistas dicen que los beneficios del comerc</w:t>
      </w:r>
      <w:r>
        <w:rPr>
          <w:rFonts w:ascii="Times New Roman" w:hAnsi="Times New Roman"/>
          <w:sz w:val="24"/>
          <w:szCs w:val="24"/>
        </w:rPr>
        <w:t>io superan por mucho sus costos</w:t>
      </w:r>
      <w:r w:rsidRPr="00BE17B5">
        <w:rPr>
          <w:rFonts w:ascii="Times New Roman" w:hAnsi="Times New Roman"/>
          <w:sz w:val="24"/>
          <w:szCs w:val="24"/>
        </w:rPr>
        <w:t xml:space="preserve"> (The Wall Street Journal - 27/9/11)</w:t>
      </w:r>
      <w:r>
        <w:rPr>
          <w:rFonts w:ascii="Times New Roman" w:hAnsi="Times New Roman"/>
          <w:sz w:val="24"/>
          <w:szCs w:val="24"/>
        </w:rPr>
        <w:t>.</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Pero nuevas investigac</w:t>
      </w:r>
      <w:r>
        <w:rPr>
          <w:rFonts w:ascii="Times New Roman" w:hAnsi="Times New Roman"/>
          <w:sz w:val="24"/>
          <w:szCs w:val="24"/>
        </w:rPr>
        <w:t>iones sugieren que el daño a EEUU</w:t>
      </w:r>
      <w:r w:rsidRPr="00BE17B5">
        <w:rPr>
          <w:rFonts w:ascii="Times New Roman" w:hAnsi="Times New Roman"/>
          <w:sz w:val="24"/>
          <w:szCs w:val="24"/>
        </w:rPr>
        <w:t xml:space="preserve"> ha sido más profundo de lo que estos economistas han supuesto. El estudio, llevado a cabo por un equipo de tres economistas, no pone en entredicho el punto de vista tradicional de que el comercio en última instancia es bueno para la economía. Los trabajadores que pierden empleos terminan por encontrar una nueva ocupación o se jubilan, mientras se mantienen los beneficios del comercio, como los menores precios. El problema es la velocidad a la que China se ha erigido com</w:t>
      </w:r>
      <w:r>
        <w:rPr>
          <w:rFonts w:ascii="Times New Roman" w:hAnsi="Times New Roman"/>
          <w:sz w:val="24"/>
          <w:szCs w:val="24"/>
        </w:rPr>
        <w:t>o exportador, la cual ha abruma</w:t>
      </w:r>
      <w:r w:rsidRPr="00BE17B5">
        <w:rPr>
          <w:rFonts w:ascii="Times New Roman" w:hAnsi="Times New Roman"/>
          <w:sz w:val="24"/>
          <w:szCs w:val="24"/>
        </w:rPr>
        <w:t xml:space="preserve">do el proceso normal de adaptación.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El estudio dio una ca</w:t>
      </w:r>
      <w:r>
        <w:rPr>
          <w:rFonts w:ascii="Times New Roman" w:hAnsi="Times New Roman"/>
          <w:sz w:val="24"/>
          <w:szCs w:val="24"/>
        </w:rPr>
        <w:t>lificación a cada condado de EEUU</w:t>
      </w:r>
      <w:r w:rsidRPr="00BE17B5">
        <w:rPr>
          <w:rFonts w:ascii="Times New Roman" w:hAnsi="Times New Roman"/>
          <w:sz w:val="24"/>
          <w:szCs w:val="24"/>
        </w:rPr>
        <w:t xml:space="preserve"> de acuerdo con la exposición de sus productores fabriles a la competencia de China, y reveló que las regiones más expuestas a China no sólo tendían a perder más empleos manufactureros, sino que también experimentaban una caída general del empleo. Las áreas con mayor exposición también tuvieron mayores aumentos en la cantidad de trabajadores que recibían seguro de desempleo, cupones para comida y pagos por discapacidad.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Los autores calculan que el costo para la economía derivado de los mayores pagos gubernamentales representa de un tercio a dos tercios de las ganancias del comercio con China. En otras palabras, una gran proporción de las formas en que el comercio</w:t>
      </w:r>
      <w:r>
        <w:rPr>
          <w:rFonts w:ascii="Times New Roman" w:hAnsi="Times New Roman"/>
          <w:sz w:val="24"/>
          <w:szCs w:val="24"/>
        </w:rPr>
        <w:t xml:space="preserve"> con China ha ayudado a EEUU -</w:t>
      </w:r>
      <w:r w:rsidRPr="00BE17B5">
        <w:rPr>
          <w:rFonts w:ascii="Times New Roman" w:hAnsi="Times New Roman"/>
          <w:sz w:val="24"/>
          <w:szCs w:val="24"/>
        </w:rPr>
        <w:t>como el suministro de bienes económicos chinos a los consumidore</w:t>
      </w:r>
      <w:r>
        <w:rPr>
          <w:rFonts w:ascii="Times New Roman" w:hAnsi="Times New Roman"/>
          <w:sz w:val="24"/>
          <w:szCs w:val="24"/>
        </w:rPr>
        <w:t>s-</w:t>
      </w:r>
      <w:r w:rsidRPr="00BE17B5">
        <w:rPr>
          <w:rFonts w:ascii="Times New Roman" w:hAnsi="Times New Roman"/>
          <w:sz w:val="24"/>
          <w:szCs w:val="24"/>
        </w:rPr>
        <w:t xml:space="preserve"> se han eliminado.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 xml:space="preserve">Y ese cálculo no incluye las pérdidas económicas experimentadas por personas que perdieron sus empleos.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Pr>
          <w:rFonts w:ascii="Times New Roman" w:hAnsi="Times New Roman"/>
          <w:sz w:val="24"/>
          <w:szCs w:val="24"/>
        </w:rPr>
        <w:t>“</w:t>
      </w:r>
      <w:r w:rsidRPr="00BE17B5">
        <w:rPr>
          <w:rFonts w:ascii="Times New Roman" w:hAnsi="Times New Roman"/>
          <w:sz w:val="24"/>
          <w:szCs w:val="24"/>
        </w:rPr>
        <w:t xml:space="preserve">Hay enormes costos de ajuste para las comunidades locales que fueron mucho </w:t>
      </w:r>
      <w:r>
        <w:rPr>
          <w:rFonts w:ascii="Times New Roman" w:hAnsi="Times New Roman"/>
          <w:sz w:val="24"/>
          <w:szCs w:val="24"/>
        </w:rPr>
        <w:t>peores de lo que la gente creía”</w:t>
      </w:r>
      <w:r w:rsidRPr="00BE17B5">
        <w:rPr>
          <w:rFonts w:ascii="Times New Roman" w:hAnsi="Times New Roman"/>
          <w:sz w:val="24"/>
          <w:szCs w:val="24"/>
        </w:rPr>
        <w:t xml:space="preserve">, dijo David Autor del Instituto Tecnológico de Massachusetts, quien llevo a cabo el estudio con Gordon Hanson de la Universidad de California en San Diego, y David Dorn, del Centro de Estudios Monetarios y Financieros, de Madrid. Si bien Autor, quien se especializa en mercados laborales, recibe financiamiento de la Fundación Nacional de la Ciencia, la investigación se llevó a cabo independientemente de cualquier grupo de interés.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Debido a que el aumento pronunciado en bienes de China ha inundado el crecimiento de importaciones provenientes de otros países de bajos salarios, los investigadores se concentraron en las importaciones chinas. Estudiaron 722 conjuntos de condados inter</w:t>
      </w:r>
      <w:r>
        <w:rPr>
          <w:rFonts w:ascii="Times New Roman" w:hAnsi="Times New Roman"/>
          <w:sz w:val="24"/>
          <w:szCs w:val="24"/>
        </w:rPr>
        <w:t>relacionados que cubren todo EE</w:t>
      </w:r>
      <w:r w:rsidRPr="00BE17B5">
        <w:rPr>
          <w:rFonts w:ascii="Times New Roman" w:hAnsi="Times New Roman"/>
          <w:sz w:val="24"/>
          <w:szCs w:val="24"/>
        </w:rPr>
        <w:t xml:space="preserve">UU. Algunas comunidades estaban más expuestas a China, porque producían pequeños electrodomésticos de los cuales se incrementado marcadamente las importaciones chinas. Otras regiones estaban concentradas en industrias como maquinaria pesada, donde la competencia china ha crecido más lentamente.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lastRenderedPageBreak/>
        <w:t>Según un patrón discernible, a las zonas donde las fábricas estaban más expuestas a las importaciones chinas les iba peor que a las menos expuestas. Entre 2000 y 2007, un</w:t>
      </w:r>
      <w:r>
        <w:rPr>
          <w:rFonts w:ascii="Times New Roman" w:hAnsi="Times New Roman"/>
          <w:sz w:val="24"/>
          <w:szCs w:val="24"/>
        </w:rPr>
        <w:t>a comunidad en el percentil 75 -</w:t>
      </w:r>
      <w:r w:rsidRPr="00BE17B5">
        <w:rPr>
          <w:rFonts w:ascii="Times New Roman" w:hAnsi="Times New Roman"/>
          <w:sz w:val="24"/>
          <w:szCs w:val="24"/>
        </w:rPr>
        <w:t xml:space="preserve">una con una mayor exposición al crecimiento de importaciones chinas que </w:t>
      </w:r>
      <w:r>
        <w:rPr>
          <w:rFonts w:ascii="Times New Roman" w:hAnsi="Times New Roman"/>
          <w:sz w:val="24"/>
          <w:szCs w:val="24"/>
        </w:rPr>
        <w:t>el 75% de todas las comunidades-</w:t>
      </w:r>
      <w:r w:rsidRPr="00BE17B5">
        <w:rPr>
          <w:rFonts w:ascii="Times New Roman" w:hAnsi="Times New Roman"/>
          <w:sz w:val="24"/>
          <w:szCs w:val="24"/>
        </w:rPr>
        <w:t xml:space="preserve"> experimentó un descenso del empleo 1,1 puntos porcentuales superior al de las comunidades en el percentil 25.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 xml:space="preserve">La pérdida de empleos fabriles era apenas el comienzo. Las zonas con alta exposición tendían a experimentar un empeoramiento de los empleos no manufactureros con respecto a las zonas de baja exposición. Con menos trabajos fabriles de alta remuneración que apuntalen la economía local, y un creciente grupo de ex obreros industriales que se incorporan al mercado laboral, los salarios no fabriles en las zonas de alta exposición eran mucho más bajos.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 xml:space="preserve">Los economistas también descubrieron que la mayor exposición a las importaciones chinas llevó a mayores incrementos en el seguro de desempleo, cupones de comida, pagos por discapacidad y otros beneficios gubernamentales. Todo ello suma grandes pérdidas, dijeron, porque los mayores impuestos que el gobierno debe recaudar para pagar por beneficios, y la manera en que los beneficios reducen el incentivo de trabajar de la gente, hacen que la economía sea menos eficiente.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Douglas Irwin, economista de Dartmouth College, dijo que la nueva investigación pinta un cuadro demasiado oscuro. Hay importantes beneficios del comercio que no han sido incorporados, dice, porque nadie aún ha concebido la manera de medirlos. Por ejemplo, los países productores de materias</w:t>
      </w:r>
      <w:r>
        <w:rPr>
          <w:rFonts w:ascii="Times New Roman" w:hAnsi="Times New Roman"/>
          <w:sz w:val="24"/>
          <w:szCs w:val="24"/>
        </w:rPr>
        <w:t xml:space="preserve"> primas a los cuales exporta EEUU</w:t>
      </w:r>
      <w:r w:rsidRPr="00BE17B5">
        <w:rPr>
          <w:rFonts w:ascii="Times New Roman" w:hAnsi="Times New Roman"/>
          <w:sz w:val="24"/>
          <w:szCs w:val="24"/>
        </w:rPr>
        <w:t xml:space="preserve"> han sido impulsados por el crecimiento de China, creando una mayor demanda en aquel</w:t>
      </w:r>
      <w:r>
        <w:rPr>
          <w:rFonts w:ascii="Times New Roman" w:hAnsi="Times New Roman"/>
          <w:sz w:val="24"/>
          <w:szCs w:val="24"/>
        </w:rPr>
        <w:t>los países por los bienes de EEUU. “</w:t>
      </w:r>
      <w:r w:rsidRPr="00BE17B5">
        <w:rPr>
          <w:rFonts w:ascii="Times New Roman" w:hAnsi="Times New Roman"/>
          <w:sz w:val="24"/>
          <w:szCs w:val="24"/>
        </w:rPr>
        <w:t>Pero si tuvimos más exportaciones de equipos pesados (de Caterpillar) a Australia, eso no s</w:t>
      </w:r>
      <w:r>
        <w:rPr>
          <w:rFonts w:ascii="Times New Roman" w:hAnsi="Times New Roman"/>
          <w:sz w:val="24"/>
          <w:szCs w:val="24"/>
        </w:rPr>
        <w:t>e está midiendo”</w:t>
      </w:r>
      <w:r w:rsidRPr="00BE17B5">
        <w:rPr>
          <w:rFonts w:ascii="Times New Roman" w:hAnsi="Times New Roman"/>
          <w:sz w:val="24"/>
          <w:szCs w:val="24"/>
        </w:rPr>
        <w:t xml:space="preserve"> como un beneficio del comercio con China, dice. </w:t>
      </w:r>
    </w:p>
    <w:p w:rsidR="002F07D4" w:rsidRPr="00BE17B5" w:rsidRDefault="002F07D4" w:rsidP="002F07D4">
      <w:pPr>
        <w:spacing w:after="0" w:line="240" w:lineRule="auto"/>
        <w:jc w:val="both"/>
        <w:rPr>
          <w:rFonts w:ascii="Times New Roman" w:hAnsi="Times New Roman"/>
          <w:sz w:val="24"/>
          <w:szCs w:val="24"/>
        </w:rPr>
      </w:pPr>
    </w:p>
    <w:p w:rsidR="002F07D4" w:rsidRPr="00BE17B5" w:rsidRDefault="002F07D4" w:rsidP="002F07D4">
      <w:pPr>
        <w:spacing w:after="0" w:line="240" w:lineRule="auto"/>
        <w:jc w:val="both"/>
        <w:rPr>
          <w:rFonts w:ascii="Times New Roman" w:hAnsi="Times New Roman"/>
          <w:sz w:val="24"/>
          <w:szCs w:val="24"/>
        </w:rPr>
      </w:pPr>
      <w:r w:rsidRPr="00BE17B5">
        <w:rPr>
          <w:rFonts w:ascii="Times New Roman" w:hAnsi="Times New Roman"/>
          <w:sz w:val="24"/>
          <w:szCs w:val="24"/>
        </w:rPr>
        <w:t>Los propios economistas se vieron sorprendidos por los resultados. La investigación que Hanson realizó en la década de 1990, basada en datos anteriores a que China se convirtiera en un actor mundial, sugerían que el efecto del comer</w:t>
      </w:r>
      <w:r>
        <w:rPr>
          <w:rFonts w:ascii="Times New Roman" w:hAnsi="Times New Roman"/>
          <w:sz w:val="24"/>
          <w:szCs w:val="24"/>
        </w:rPr>
        <w:t>cio en el mercado laboral de EEUU era pequeño. “</w:t>
      </w:r>
      <w:r w:rsidRPr="00BE17B5">
        <w:rPr>
          <w:rFonts w:ascii="Times New Roman" w:hAnsi="Times New Roman"/>
          <w:sz w:val="24"/>
          <w:szCs w:val="24"/>
        </w:rPr>
        <w:t>Con el estudio de China, no preveía que una docena de años podía causar una diferencia tan grande en materia de mayor im</w:t>
      </w:r>
      <w:r>
        <w:rPr>
          <w:rFonts w:ascii="Times New Roman" w:hAnsi="Times New Roman"/>
          <w:sz w:val="24"/>
          <w:szCs w:val="24"/>
        </w:rPr>
        <w:t>pacto cuantitativo del comercio”</w:t>
      </w:r>
      <w:r w:rsidRPr="00BE17B5">
        <w:rPr>
          <w:rFonts w:ascii="Times New Roman" w:hAnsi="Times New Roman"/>
          <w:sz w:val="24"/>
          <w:szCs w:val="24"/>
        </w:rPr>
        <w:t xml:space="preserve">, dijo Hanson.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16446A">
        <w:rPr>
          <w:rFonts w:ascii="Times New Roman" w:eastAsia="Times New Roman" w:hAnsi="Times New Roman"/>
          <w:sz w:val="24"/>
          <w:szCs w:val="24"/>
          <w:lang w:eastAsia="es-ES"/>
        </w:rPr>
        <w:t>Marx tenía razón cuando sostuvo que cuando la globalización y la intermediación financiera se desbocan, y la redistribución de los ingresos y la riqueza del trabajo al capital se limitan, pueden provocar la autodestrucción del capitalismo.</w:t>
      </w:r>
      <w:r w:rsidRPr="00E36E1C">
        <w:rPr>
          <w:rFonts w:ascii="Times New Roman" w:eastAsia="Times New Roman" w:hAnsi="Times New Roman"/>
          <w:sz w:val="24"/>
          <w:szCs w:val="24"/>
          <w:lang w:eastAsia="es-ES"/>
        </w:rPr>
        <w:t xml:space="preserve"> Pero sólo la tenía en parte porque su opinión de que el socialismo era un sistema económico mejor que el capitalismo resultó ser totalmente errónea. </w:t>
      </w:r>
    </w:p>
    <w:p w:rsidR="002F07D4" w:rsidRPr="005F3497" w:rsidRDefault="002F07D4" w:rsidP="002F07D4">
      <w:pPr>
        <w:spacing w:line="240" w:lineRule="auto"/>
        <w:jc w:val="both"/>
        <w:rPr>
          <w:rFonts w:ascii="Times New Roman" w:hAnsi="Times New Roman"/>
          <w:sz w:val="24"/>
          <w:szCs w:val="24"/>
        </w:rPr>
      </w:pPr>
      <w:r w:rsidRPr="005F3497">
        <w:rPr>
          <w:rFonts w:ascii="Times New Roman" w:hAnsi="Times New Roman"/>
          <w:sz w:val="24"/>
          <w:szCs w:val="24"/>
        </w:rPr>
        <w:t>Examinando un futuro en el que el mercado permea todas las esquinas de la vida, Marx escrib</w:t>
      </w:r>
      <w:r>
        <w:rPr>
          <w:rFonts w:ascii="Times New Roman" w:hAnsi="Times New Roman"/>
          <w:sz w:val="24"/>
          <w:szCs w:val="24"/>
        </w:rPr>
        <w:t>ió en el Manifiesto Comunista: “</w:t>
      </w:r>
      <w:r w:rsidRPr="005F3497">
        <w:rPr>
          <w:rFonts w:ascii="Times New Roman" w:hAnsi="Times New Roman"/>
          <w:sz w:val="24"/>
          <w:szCs w:val="24"/>
        </w:rPr>
        <w:t>todo lo que es sólido se desvanece</w:t>
      </w:r>
      <w:r>
        <w:rPr>
          <w:rFonts w:ascii="Times New Roman" w:hAnsi="Times New Roman"/>
          <w:sz w:val="24"/>
          <w:szCs w:val="24"/>
        </w:rPr>
        <w:t xml:space="preserve"> en el aire”</w:t>
      </w:r>
      <w:r w:rsidRPr="005F3497">
        <w:rPr>
          <w:rFonts w:ascii="Times New Roman" w:hAnsi="Times New Roman"/>
          <w:sz w:val="24"/>
          <w:szCs w:val="24"/>
        </w:rPr>
        <w:t>. Para alguien que vivió en la Inglaterra victoriana temprana -el Manifiesto fue publicado en 1848- era una observación asombrosamente visionaria. En esa época, nada parecía más sólido que la sociedad en cuyos márgenes vivía Marx.</w:t>
      </w:r>
    </w:p>
    <w:p w:rsidR="002F07D4" w:rsidRDefault="002F07D4" w:rsidP="002F07D4">
      <w:pPr>
        <w:spacing w:line="240" w:lineRule="auto"/>
        <w:jc w:val="both"/>
        <w:rPr>
          <w:rFonts w:ascii="Times New Roman" w:hAnsi="Times New Roman"/>
          <w:sz w:val="24"/>
          <w:szCs w:val="24"/>
        </w:rPr>
      </w:pPr>
      <w:r w:rsidRPr="005F3497">
        <w:rPr>
          <w:rFonts w:ascii="Times New Roman" w:hAnsi="Times New Roman"/>
          <w:sz w:val="24"/>
          <w:szCs w:val="24"/>
        </w:rPr>
        <w:t xml:space="preserve">Un siglo y medio más tarde, vivimos en el mundo que él anticipó, en el cual la vida de todos es experimental y provisional, y la ruina súbita puede llegar en cualquier </w:t>
      </w:r>
      <w:r w:rsidRPr="005F3497">
        <w:rPr>
          <w:rFonts w:ascii="Times New Roman" w:hAnsi="Times New Roman"/>
          <w:sz w:val="24"/>
          <w:szCs w:val="24"/>
        </w:rPr>
        <w:lastRenderedPageBreak/>
        <w:t>momento. Un pequeño puñado de gente ha acumulado vastas riquezas pero incluso eso tiene una cualidad de evanescente, casi fantasmal</w:t>
      </w:r>
      <w:r>
        <w:rPr>
          <w:rFonts w:ascii="Times New Roman" w:hAnsi="Times New Roman"/>
          <w:sz w:val="24"/>
          <w:szCs w:val="24"/>
        </w:rPr>
        <w:t>…</w:t>
      </w:r>
    </w:p>
    <w:p w:rsidR="002F07D4" w:rsidRPr="001E7E50" w:rsidRDefault="002F07D4" w:rsidP="002F07D4">
      <w:pPr>
        <w:spacing w:line="240" w:lineRule="auto"/>
        <w:jc w:val="both"/>
        <w:rPr>
          <w:rFonts w:ascii="Times New Roman" w:hAnsi="Times New Roman"/>
          <w:b/>
          <w:sz w:val="24"/>
          <w:szCs w:val="24"/>
        </w:rPr>
      </w:pPr>
      <w:r w:rsidRPr="001E7E50">
        <w:rPr>
          <w:rFonts w:ascii="Times New Roman" w:hAnsi="Times New Roman"/>
          <w:b/>
          <w:sz w:val="24"/>
          <w:szCs w:val="24"/>
        </w:rPr>
        <w:t>Post scriptum (da grima contemplar tanta mala política y peor economía)</w:t>
      </w:r>
    </w:p>
    <w:p w:rsidR="002F07D4" w:rsidRPr="001E7E50"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 xml:space="preserve">Sapere aude: atrévete a pensar. </w:t>
      </w:r>
    </w:p>
    <w:p w:rsidR="002F07D4" w:rsidRPr="001E7E50"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¿Tiene sentido quitar dinero a la gente y dárselo a los bancos? ¿Para qué sirve la economía? ¿Por qué seguir tratando la crisis como un problema de liquidez, cuando lo es de solvencia? ¿Cuántas veces se puede volver la cabeza fingiendo no ver nada?</w:t>
      </w:r>
    </w:p>
    <w:p w:rsidR="002F07D4" w:rsidRPr="001E7E50"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¿Helicopter Ben con su heterodoxia (calculada) habrá dado un salto al futuro o habrá anclado (tal vez, definitivamente) la economía al pasado?</w:t>
      </w:r>
    </w:p>
    <w:p w:rsidR="002F07D4" w:rsidRPr="001E7E50"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¿Tendremos que morir diciendo a los nietos que no confíen en los bancos?</w:t>
      </w:r>
    </w:p>
    <w:p w:rsidR="002F07D4" w:rsidRPr="001E7E50"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El dinero ya está perdido (por el equivalente al 50% de la riqueza mundial), mientras Bernanke (y sus secuaces de los mayores bancos centrales) tratan de no reconocer semejante destrucción. Y más grave aún -si cabe- es que intentan, una y otra vez, socializar las pérdidas de los funambulistas financieros y los saltimbanquis de la bolsa.</w:t>
      </w:r>
    </w:p>
    <w:p w:rsidR="002F07D4" w:rsidRPr="001E7E50"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Antes, los Generales derrotados en la guerra se suicidaban o se les hacía un juicio militar y se pudrían en la cárcel. Ahora, en la batalla de la Fed, nos hemos quedado “sin honra y sin barcos”… y -aún- nadie ha entrado en la cárcel (salvo un par de “perejiles”).</w:t>
      </w:r>
    </w:p>
    <w:p w:rsidR="002F07D4" w:rsidRPr="001E7E50"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Cuando abramos el “testamento vital” de Bernanke constaremos (más pronto que tarde, lamentablemente) que sólo nos ha dejado una economía tetrapléjica y un planeta enano.</w:t>
      </w:r>
    </w:p>
    <w:p w:rsidR="002F07D4" w:rsidRPr="001E7E50"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Ya lo dijo Chateaubriand: “Se pasa de la mediocridad a la importancia, de la importancia a la necedad, y de la necedad al ridículo” (Memorias de ultratumba).</w:t>
      </w:r>
    </w:p>
    <w:p w:rsidR="002F07D4" w:rsidRPr="001E7E50"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En fin, así están las cosas... y así se las he ido contado.</w:t>
      </w:r>
    </w:p>
    <w:p w:rsidR="002F07D4" w:rsidRDefault="002F07D4" w:rsidP="002F07D4">
      <w:pPr>
        <w:spacing w:line="240" w:lineRule="auto"/>
        <w:jc w:val="both"/>
        <w:rPr>
          <w:rFonts w:ascii="Times New Roman" w:hAnsi="Times New Roman"/>
          <w:sz w:val="24"/>
          <w:szCs w:val="24"/>
        </w:rPr>
      </w:pPr>
      <w:r w:rsidRPr="001E7E50">
        <w:rPr>
          <w:rFonts w:ascii="Times New Roman" w:hAnsi="Times New Roman"/>
          <w:sz w:val="24"/>
          <w:szCs w:val="24"/>
        </w:rPr>
        <w:t>Aquí queda todo como testimonio, para los arqueólogos de la historia, y como epílogo para los que se empeñan en distinguir entre lo verdadero y lo falso</w:t>
      </w:r>
      <w:r>
        <w:rPr>
          <w:rFonts w:ascii="Times New Roman" w:hAnsi="Times New Roman"/>
          <w:sz w:val="24"/>
          <w:szCs w:val="24"/>
        </w:rPr>
        <w:t>…</w:t>
      </w:r>
    </w:p>
    <w:p w:rsidR="002F07D4" w:rsidRDefault="002F07D4" w:rsidP="002F07D4">
      <w:pPr>
        <w:spacing w:line="240" w:lineRule="auto"/>
        <w:jc w:val="both"/>
        <w:rPr>
          <w:rFonts w:ascii="Times New Roman" w:hAnsi="Times New Roman" w:cs="Times New Roman"/>
          <w:b/>
          <w:sz w:val="24"/>
          <w:szCs w:val="24"/>
        </w:rPr>
      </w:pPr>
      <w:r w:rsidRPr="001F6D5F">
        <w:rPr>
          <w:rFonts w:ascii="Times New Roman" w:hAnsi="Times New Roman"/>
          <w:sz w:val="24"/>
          <w:szCs w:val="24"/>
        </w:rPr>
        <w:t>(Octubre 2013)</w:t>
      </w:r>
      <w:r w:rsidRPr="001F6D5F">
        <w:rPr>
          <w:rFonts w:ascii="Times New Roman" w:hAnsi="Times New Roman" w:cs="Times New Roman"/>
          <w:b/>
          <w:sz w:val="24"/>
          <w:szCs w:val="24"/>
        </w:rPr>
        <w:t>El eclipse de la razón (…y la ignorancia obstinada es ideología)</w:t>
      </w:r>
    </w:p>
    <w:p w:rsidR="002F07D4" w:rsidRPr="00D65FEC" w:rsidRDefault="002F07D4" w:rsidP="002F07D4">
      <w:pPr>
        <w:pStyle w:val="NormalWeb"/>
        <w:jc w:val="both"/>
      </w:pPr>
      <w:r w:rsidRPr="00D65FEC">
        <w:t>Recordando a Pablo Neruda podría decirles que: “puedo escribir los versos más tristes esta noche”.</w:t>
      </w:r>
    </w:p>
    <w:p w:rsidR="002F07D4" w:rsidRPr="00D65FEC" w:rsidRDefault="002F07D4" w:rsidP="002F07D4">
      <w:pPr>
        <w:pStyle w:val="NormalWeb"/>
        <w:jc w:val="both"/>
      </w:pPr>
      <w:r w:rsidRPr="00D65FEC">
        <w:t>Si algo “envidiaba” de Europa, hace, tal vez, cuarenta años (cuando aún vivía en la lejana, remota, falaz y fugaz Argentina, era su “socialdemocracia”, su “estado del bienestar”, su justa y razonable “distribución de las riquezas”, su “equilibrio social”, su “igualdad de oportunidades”, su “paz social”…</w:t>
      </w:r>
    </w:p>
    <w:p w:rsidR="002F07D4" w:rsidRPr="00D65FEC" w:rsidRDefault="002F07D4" w:rsidP="002F07D4">
      <w:pPr>
        <w:pStyle w:val="NormalWeb"/>
        <w:jc w:val="both"/>
      </w:pPr>
      <w:r w:rsidRPr="00D65FEC">
        <w:t>Si algo me “inspiró a emigrar” a Europa (exilio voluntario), hace ya veinticinco años, fue ese modelo de socialdemocracia, comunitario, responsable, participativo,  amplio, generoso, solidario, equilibrado, incluyente, redistributivo, ético, justo… donde deseaba ver crecer a mis hijas y ver nacer a mis nietos, en un espacio de unión económica con un desarrollo armónico, previsible y sostenible…</w:t>
      </w:r>
    </w:p>
    <w:p w:rsidR="002F07D4" w:rsidRPr="00D65FEC" w:rsidRDefault="002F07D4" w:rsidP="002F07D4">
      <w:pPr>
        <w:pStyle w:val="NormalWeb"/>
        <w:jc w:val="both"/>
      </w:pPr>
      <w:r w:rsidRPr="00D65FEC">
        <w:t>Creía haber visto el futuro, y que funcionaba. Estaba en el corazón de la vieja Europa.</w:t>
      </w:r>
    </w:p>
    <w:p w:rsidR="002F07D4" w:rsidRPr="00D65FEC" w:rsidRDefault="002F07D4" w:rsidP="002F07D4">
      <w:pPr>
        <w:pStyle w:val="NormalWeb"/>
        <w:jc w:val="both"/>
      </w:pPr>
      <w:r w:rsidRPr="00D65FEC">
        <w:lastRenderedPageBreak/>
        <w:t>Que equívoco más grande. Hoy (</w:t>
      </w:r>
      <w:r w:rsidRPr="004237E0">
        <w:rPr>
          <w:b/>
        </w:rPr>
        <w:t>octubre 2013</w:t>
      </w:r>
      <w:r w:rsidRPr="00D65FEC">
        <w:t xml:space="preserve">) el sueño europeo se ha transformado en una pesadilla (desastre económico) y el despertar, en un infierno (catástrofe social). El sufrimiento humano derivado de la crisis es tanto o mayor que en los Estados Unidos, donde nunca existió (ni se le espera) un estado del bienestar equivalente. Hoy al riesgo de colapso, podemos agregar un desastre impecable. Más que un proyecto acabado de Unión, podemos decir (con gran dolor), que estamos presenciando el final anunciado de un proyecto comunitario.  </w:t>
      </w:r>
    </w:p>
    <w:p w:rsidR="002F07D4" w:rsidRPr="00D65FEC" w:rsidRDefault="002F07D4" w:rsidP="002F07D4">
      <w:pPr>
        <w:pStyle w:val="NormalWeb"/>
        <w:jc w:val="both"/>
      </w:pPr>
      <w:r w:rsidRPr="00D65FEC">
        <w:t>Todo eso ha quedado barrido por el tsunami de la mayor crisis económico-financiera vivida por EEUU, con réplica en Europa, desde los años 30. Ahora (seis años después del inicio de la depresión) estamos viviendo la post guerra de una guerra librada con armas financieras de destrucción masiva, disparadas desde frentes instalados en lujosos despachos de bancos, agencias bursátiles, fondos de inversión, fondos de cobertura,… por audaces aventureros especulativos, que han utilizado el capital de los ahorristas desprevenidos e incautos, para abatirlos con su propio fuego.</w:t>
      </w:r>
    </w:p>
    <w:p w:rsidR="002F07D4" w:rsidRPr="00D65FEC" w:rsidRDefault="002F07D4" w:rsidP="002F07D4">
      <w:pPr>
        <w:pStyle w:val="NormalWeb"/>
        <w:jc w:val="both"/>
      </w:pPr>
      <w:r w:rsidRPr="00D65FEC">
        <w:t xml:space="preserve">La Real Academia define el término </w:t>
      </w:r>
      <w:r w:rsidRPr="00D65FEC">
        <w:rPr>
          <w:bCs/>
        </w:rPr>
        <w:t>“recuperación”</w:t>
      </w:r>
      <w:r w:rsidRPr="00D65FEC">
        <w:t xml:space="preserve"> como la acción y efecto de recuperar o recuperarse. Obvio. Pero precisa en una segunda entrada que algo se recupera cuando vuelve a tomar o adquirir “lo que antes tenía”. Sería absurdo pensar que la recuperación de la economía europea va a devolver a los países miembros a los niveles previos a la crisis.</w:t>
      </w:r>
    </w:p>
    <w:p w:rsidR="002F07D4" w:rsidRPr="00D65FEC" w:rsidRDefault="002F07D4" w:rsidP="002F07D4">
      <w:pPr>
        <w:spacing w:before="100" w:beforeAutospacing="1" w:after="100" w:afterAutospacing="1" w:line="240" w:lineRule="auto"/>
        <w:jc w:val="both"/>
        <w:rPr>
          <w:rFonts w:ascii="Times New Roman" w:eastAsia="Times New Roman" w:hAnsi="Times New Roman" w:cs="Times New Roman"/>
          <w:sz w:val="24"/>
          <w:szCs w:val="24"/>
        </w:rPr>
      </w:pPr>
      <w:r w:rsidRPr="00D65FEC">
        <w:rPr>
          <w:rFonts w:ascii="Times New Roman" w:eastAsia="Times New Roman" w:hAnsi="Times New Roman" w:cs="Times New Roman"/>
          <w:sz w:val="24"/>
          <w:szCs w:val="24"/>
        </w:rPr>
        <w:t xml:space="preserve">En el mejor de los casos, Europa saneará su economía, ajustará sus </w:t>
      </w:r>
      <w:r w:rsidRPr="00D65FEC">
        <w:rPr>
          <w:rFonts w:ascii="Times New Roman" w:eastAsia="Times New Roman" w:hAnsi="Times New Roman" w:cs="Times New Roman"/>
          <w:bCs/>
          <w:sz w:val="24"/>
          <w:szCs w:val="24"/>
        </w:rPr>
        <w:t xml:space="preserve">grandes desequilibrios </w:t>
      </w:r>
      <w:r w:rsidRPr="00D65FEC">
        <w:rPr>
          <w:rFonts w:ascii="Times New Roman" w:eastAsia="Times New Roman" w:hAnsi="Times New Roman" w:cs="Times New Roman"/>
          <w:sz w:val="24"/>
          <w:szCs w:val="24"/>
        </w:rPr>
        <w:t xml:space="preserve">y volverá al crecimiento, incluso de una manera robusta. Hasta la devastada Europa de 1945 salió de la tragedia. Pero los países que salgan de esta crisis serán muy distintos. Muy parecido a lo que </w:t>
      </w:r>
      <w:r w:rsidRPr="00D65FEC">
        <w:rPr>
          <w:rFonts w:ascii="Times New Roman" w:eastAsia="Times New Roman" w:hAnsi="Times New Roman" w:cs="Times New Roman"/>
          <w:bCs/>
          <w:sz w:val="24"/>
          <w:szCs w:val="24"/>
        </w:rPr>
        <w:t>Ulrich Beck</w:t>
      </w:r>
      <w:r w:rsidRPr="00D65FEC">
        <w:rPr>
          <w:rFonts w:ascii="Times New Roman" w:eastAsia="Times New Roman" w:hAnsi="Times New Roman" w:cs="Times New Roman"/>
          <w:sz w:val="24"/>
          <w:szCs w:val="24"/>
        </w:rPr>
        <w:t xml:space="preserve"> denominó -ya en 1986- la sociedad del riesgo. Y todavía el muro no había caído.</w:t>
      </w:r>
    </w:p>
    <w:p w:rsidR="002F07D4" w:rsidRPr="00D65FEC" w:rsidRDefault="002F07D4" w:rsidP="002F07D4">
      <w:pPr>
        <w:spacing w:before="100" w:beforeAutospacing="1" w:after="100" w:afterAutospacing="1" w:line="240" w:lineRule="auto"/>
        <w:jc w:val="both"/>
        <w:rPr>
          <w:rFonts w:ascii="Times New Roman" w:eastAsia="Times New Roman" w:hAnsi="Times New Roman" w:cs="Times New Roman"/>
          <w:sz w:val="24"/>
          <w:szCs w:val="24"/>
        </w:rPr>
      </w:pPr>
      <w:r w:rsidRPr="00D65FEC">
        <w:rPr>
          <w:rFonts w:ascii="Times New Roman" w:eastAsia="Times New Roman" w:hAnsi="Times New Roman" w:cs="Times New Roman"/>
          <w:sz w:val="24"/>
          <w:szCs w:val="24"/>
        </w:rPr>
        <w:t xml:space="preserve">¿Y qué es la sociedad del riesgo? Pues aquella en la que lo relevante ya no es la </w:t>
      </w:r>
      <w:r w:rsidRPr="00D65FEC">
        <w:rPr>
          <w:rFonts w:ascii="Times New Roman" w:eastAsia="Times New Roman" w:hAnsi="Times New Roman" w:cs="Times New Roman"/>
          <w:bCs/>
          <w:sz w:val="24"/>
          <w:szCs w:val="24"/>
        </w:rPr>
        <w:t>distribución de la riqueza</w:t>
      </w:r>
      <w:r w:rsidRPr="00D65FEC">
        <w:rPr>
          <w:rFonts w:ascii="Times New Roman" w:eastAsia="Times New Roman" w:hAnsi="Times New Roman" w:cs="Times New Roman"/>
          <w:sz w:val="24"/>
          <w:szCs w:val="24"/>
        </w:rPr>
        <w:t xml:space="preserve">, sino la </w:t>
      </w:r>
      <w:r w:rsidRPr="00D65FEC">
        <w:rPr>
          <w:rFonts w:ascii="Times New Roman" w:eastAsia="Times New Roman" w:hAnsi="Times New Roman" w:cs="Times New Roman"/>
          <w:bCs/>
          <w:sz w:val="24"/>
          <w:szCs w:val="24"/>
        </w:rPr>
        <w:t>producción</w:t>
      </w:r>
      <w:r w:rsidRPr="00D65FEC">
        <w:rPr>
          <w:rFonts w:ascii="Times New Roman" w:eastAsia="Times New Roman" w:hAnsi="Times New Roman" w:cs="Times New Roman"/>
          <w:sz w:val="24"/>
          <w:szCs w:val="24"/>
        </w:rPr>
        <w:t xml:space="preserve"> de bienes y servicios de forma suficiente para financiar un determinado nivel de vida. Algo que, en última instancia, dependerá de su capacidad de adaptación en una economía globalizada.</w:t>
      </w:r>
    </w:p>
    <w:p w:rsidR="002F07D4" w:rsidRPr="00D65FEC" w:rsidRDefault="002F07D4" w:rsidP="002F07D4">
      <w:pPr>
        <w:spacing w:before="100" w:beforeAutospacing="1" w:after="100" w:afterAutospacing="1" w:line="240" w:lineRule="auto"/>
        <w:jc w:val="both"/>
        <w:rPr>
          <w:rFonts w:ascii="Times New Roman" w:eastAsia="Times New Roman" w:hAnsi="Times New Roman" w:cs="Times New Roman"/>
          <w:sz w:val="24"/>
          <w:szCs w:val="24"/>
        </w:rPr>
      </w:pPr>
      <w:r w:rsidRPr="00D65FEC">
        <w:rPr>
          <w:rFonts w:ascii="Times New Roman" w:eastAsia="Times New Roman" w:hAnsi="Times New Roman" w:cs="Times New Roman"/>
          <w:sz w:val="24"/>
          <w:szCs w:val="24"/>
        </w:rPr>
        <w:t xml:space="preserve">Lo que se ha roto son las certezas y el mundo previsible. El mundo de la seguridad, del que hablaba </w:t>
      </w:r>
      <w:r w:rsidRPr="00D65FEC">
        <w:rPr>
          <w:rFonts w:ascii="Times New Roman" w:eastAsia="Times New Roman" w:hAnsi="Times New Roman" w:cs="Times New Roman"/>
          <w:bCs/>
          <w:sz w:val="24"/>
          <w:szCs w:val="24"/>
        </w:rPr>
        <w:t>Stefan Zweig</w:t>
      </w:r>
      <w:r w:rsidRPr="00D65FEC">
        <w:rPr>
          <w:rFonts w:ascii="Times New Roman" w:eastAsia="Times New Roman" w:hAnsi="Times New Roman" w:cs="Times New Roman"/>
          <w:sz w:val="24"/>
          <w:szCs w:val="24"/>
        </w:rPr>
        <w:t xml:space="preserve">. Hasta hace bien poco, se pensaba que los avances técnicos -y su corolario en términos de productividad- serían suficientes para lograr el </w:t>
      </w:r>
      <w:r w:rsidRPr="00D65FEC">
        <w:rPr>
          <w:rFonts w:ascii="Times New Roman" w:eastAsia="Times New Roman" w:hAnsi="Times New Roman" w:cs="Times New Roman"/>
          <w:bCs/>
          <w:sz w:val="24"/>
          <w:szCs w:val="24"/>
        </w:rPr>
        <w:t>progreso social</w:t>
      </w:r>
      <w:r w:rsidRPr="00D65FEC">
        <w:rPr>
          <w:rFonts w:ascii="Times New Roman" w:eastAsia="Times New Roman" w:hAnsi="Times New Roman" w:cs="Times New Roman"/>
          <w:sz w:val="24"/>
          <w:szCs w:val="24"/>
        </w:rPr>
        <w:t>. Hoy ya no es así.</w:t>
      </w:r>
    </w:p>
    <w:p w:rsidR="002F07D4" w:rsidRPr="00D65FEC" w:rsidRDefault="002F07D4" w:rsidP="002F07D4">
      <w:pPr>
        <w:spacing w:before="100" w:beforeAutospacing="1" w:after="100" w:afterAutospacing="1" w:line="240" w:lineRule="auto"/>
        <w:jc w:val="both"/>
        <w:rPr>
          <w:rFonts w:ascii="Times New Roman" w:eastAsia="Times New Roman" w:hAnsi="Times New Roman" w:cs="Times New Roman"/>
          <w:sz w:val="24"/>
          <w:szCs w:val="24"/>
        </w:rPr>
      </w:pPr>
      <w:r w:rsidRPr="00D65FEC">
        <w:rPr>
          <w:rFonts w:ascii="Times New Roman" w:eastAsia="Times New Roman" w:hAnsi="Times New Roman" w:cs="Times New Roman"/>
          <w:sz w:val="24"/>
          <w:szCs w:val="24"/>
        </w:rPr>
        <w:t xml:space="preserve">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w:t>
      </w:r>
      <w:r w:rsidRPr="00D65FEC">
        <w:rPr>
          <w:rFonts w:ascii="Times New Roman" w:eastAsia="Times New Roman" w:hAnsi="Times New Roman" w:cs="Times New Roman"/>
          <w:bCs/>
          <w:sz w:val="24"/>
          <w:szCs w:val="24"/>
        </w:rPr>
        <w:t>desigual,</w:t>
      </w:r>
      <w:r w:rsidRPr="00D65FEC">
        <w:rPr>
          <w:rFonts w:ascii="Times New Roman" w:eastAsia="Times New Roman" w:hAnsi="Times New Roman" w:cs="Times New Roman"/>
          <w:sz w:val="24"/>
          <w:szCs w:val="24"/>
        </w:rPr>
        <w:t xml:space="preserve"> pero su volumen ya no estará garantizado. Y es aquí cuando surge lo que ha venido a definirse como los </w:t>
      </w:r>
      <w:r w:rsidRPr="00D65FEC">
        <w:rPr>
          <w:rFonts w:ascii="Times New Roman" w:eastAsia="Times New Roman" w:hAnsi="Times New Roman" w:cs="Times New Roman"/>
          <w:bCs/>
          <w:sz w:val="24"/>
          <w:szCs w:val="24"/>
        </w:rPr>
        <w:t>“nuevos pobres”</w:t>
      </w:r>
      <w:r w:rsidRPr="00D65FEC">
        <w:rPr>
          <w:rFonts w:ascii="Times New Roman" w:eastAsia="Times New Roman" w:hAnsi="Times New Roman" w:cs="Times New Roman"/>
          <w:sz w:val="24"/>
          <w:szCs w:val="24"/>
        </w:rPr>
        <w:t xml:space="preserve">. O la nueva pobreza, como se prefiera. Un fenómeno en el que se ven envueltos nuevos colectivos que antes se consideraban </w:t>
      </w:r>
      <w:r w:rsidRPr="00D65FEC">
        <w:rPr>
          <w:rFonts w:ascii="Times New Roman" w:eastAsia="Times New Roman" w:hAnsi="Times New Roman" w:cs="Times New Roman"/>
          <w:bCs/>
          <w:sz w:val="24"/>
          <w:szCs w:val="24"/>
        </w:rPr>
        <w:t>protegidos</w:t>
      </w:r>
      <w:r w:rsidRPr="00D65FEC">
        <w:rPr>
          <w:rFonts w:ascii="Times New Roman" w:eastAsia="Times New Roman" w:hAnsi="Times New Roman" w:cs="Times New Roman"/>
          <w:sz w:val="24"/>
          <w:szCs w:val="24"/>
        </w:rPr>
        <w:t xml:space="preserve"> contra las inclemencias económicas: profesionales, empleados públicos, pensionistas, parados de larga duración o estudiantes con dificultades para su inserción laboral.</w:t>
      </w:r>
    </w:p>
    <w:p w:rsidR="002F07D4" w:rsidRPr="00D65FEC" w:rsidRDefault="002F07D4" w:rsidP="002F07D4">
      <w:pPr>
        <w:spacing w:before="100" w:beforeAutospacing="1" w:after="100" w:afterAutospacing="1" w:line="240" w:lineRule="auto"/>
        <w:jc w:val="both"/>
        <w:rPr>
          <w:rFonts w:ascii="Times New Roman" w:eastAsia="Times New Roman" w:hAnsi="Times New Roman" w:cs="Times New Roman"/>
          <w:sz w:val="24"/>
          <w:szCs w:val="24"/>
        </w:rPr>
      </w:pPr>
      <w:r w:rsidRPr="00D65FEC">
        <w:rPr>
          <w:rFonts w:ascii="Times New Roman" w:eastAsia="Times New Roman" w:hAnsi="Times New Roman" w:cs="Times New Roman"/>
          <w:sz w:val="24"/>
          <w:szCs w:val="24"/>
        </w:rPr>
        <w:t xml:space="preserve">Antes el trabajador era necesario para que algunos ganaran, ahora hay gente que gana sin necesidad de que nadie trabaje para ellos. El resultado de esta situación es una </w:t>
      </w:r>
      <w:r w:rsidRPr="00D65FEC">
        <w:rPr>
          <w:rFonts w:ascii="Times New Roman" w:eastAsia="Times New Roman" w:hAnsi="Times New Roman" w:cs="Times New Roman"/>
          <w:sz w:val="24"/>
          <w:szCs w:val="24"/>
        </w:rPr>
        <w:lastRenderedPageBreak/>
        <w:t xml:space="preserve">profunda desigualdad. Que no solo alcanza a los parados, sino también a una gran parte de los trabajadores asalariados. </w:t>
      </w:r>
    </w:p>
    <w:p w:rsidR="002F07D4" w:rsidRPr="0043228C" w:rsidRDefault="002F07D4" w:rsidP="002F07D4">
      <w:pPr>
        <w:pStyle w:val="NormalWeb"/>
        <w:jc w:val="both"/>
        <w:rPr>
          <w:i/>
        </w:rPr>
      </w:pPr>
      <w:r>
        <w:rPr>
          <w:i/>
        </w:rPr>
        <w:t>“</w:t>
      </w:r>
      <w:r w:rsidRPr="0043228C">
        <w:rPr>
          <w:i/>
        </w:rPr>
        <w:t xml:space="preserve">Aparentemente, cuando el banco de inversión estadounidense Lehman Brothers colapsó en 2008 y detonó la peor crisis financiera desde la Gran Depresión, se formó un amplio consenso sobre la causa de la crisis. Un sistema financiero inflado y disfuncional había asignado incorrectamente el capital y, en vez de gestionar el riesgo, lo creó. La desregulación financiera -junto con el dinero barato- contribuyó a una excesiva toma de riesgos. </w:t>
      </w:r>
    </w:p>
    <w:p w:rsidR="002F07D4" w:rsidRPr="0043228C" w:rsidRDefault="002F07D4" w:rsidP="002F07D4">
      <w:pPr>
        <w:pStyle w:val="NormalWeb"/>
        <w:jc w:val="both"/>
        <w:rPr>
          <w:i/>
        </w:rPr>
      </w:pPr>
      <w:r w:rsidRPr="0043228C">
        <w:rPr>
          <w:i/>
        </w:rPr>
        <w:t>Cinco años más tarde, mientras algunos se felicitan a sí mismos por evitar otra depresión, nadie en Europa o Estados Unidos puede afirmar que la prosperidad ha regresado. La Unión Europea recién está emergiendo de la recaída en la recesión (y, en algunos casos, de una doble recaída), mientras que algunos estados miembros están en depresión. En muchos países de la UE, el PBI se mantiene por debajo, o insignificantemente por encima, de los niveles previos a la recesión. Casi 27 millones de europeos están desempleados.</w:t>
      </w:r>
    </w:p>
    <w:p w:rsidR="002F07D4" w:rsidRPr="0043228C" w:rsidRDefault="002F07D4" w:rsidP="002F07D4">
      <w:pPr>
        <w:pStyle w:val="NormalWeb"/>
        <w:jc w:val="both"/>
        <w:rPr>
          <w:i/>
        </w:rPr>
      </w:pPr>
      <w:r w:rsidRPr="0043228C">
        <w:rPr>
          <w:i/>
        </w:rPr>
        <w:t>Algo similar ocurre en Estados Unidos: 22 millones de personas que desean un empleo a tiempo completo no logran encontrarlo. La tasa de actividad en la fuerza de trabajo estadounidense ha caído a niveles que no se veían desde que las mujeres comenzaron a ingresar al mercado laboral en forma masiva. El ingreso y la riqueza de la mayoría de los estadounidenses se encuentran por debajo de niveles que habían registrado mucho antes de la crisis. De hecho, el ingreso típico de un trabajador masculino a tiempo completo es menor que hace más de cuatro décadas</w:t>
      </w:r>
      <w:r>
        <w:rPr>
          <w:i/>
        </w:rPr>
        <w:t>…</w:t>
      </w:r>
    </w:p>
    <w:p w:rsidR="002F07D4" w:rsidRPr="0043228C" w:rsidRDefault="002F07D4" w:rsidP="002F07D4">
      <w:pPr>
        <w:pStyle w:val="NormalWeb"/>
        <w:jc w:val="both"/>
        <w:rPr>
          <w:i/>
        </w:rPr>
      </w:pPr>
      <w:r w:rsidRPr="0043228C">
        <w:rPr>
          <w:i/>
        </w:rPr>
        <w:t>Otros problemas continúan sin ser tratados y algunos han empeorado. El mercado hipotecario estadounidense aún sigue conectado a un respirador: el gobierno ahora asegura más del 90% de las hipotecas y la administración del presidente Barack Obama ni siquiera ha propuesto un nuevo sistema que garantizaría préstamos responsables con términos competitivos. El sistema financiero se ha concentrado aún más, algo que exacerbó el problema de los bancos que no solo son demasiado grandes y están demasiado interconectados y correlacionados para caer, sino que también son demasiado grandes para ser gestionados y responsabilizados. A pesar de un escándalo tras otro, desde lavado de dinero y manipulación del mercado hasta discriminación racial en los créditos y ejecuciones ilegales de hipotecas, ningún funcionario de alto nivel ha sido responsabilizado; cuando se impusieron sanciones financieras, fueron mucho menores de lo necesario, no fuera a ser que las instituciones sistémicamente importantes pudieran verse en peligro.</w:t>
      </w:r>
    </w:p>
    <w:p w:rsidR="002F07D4" w:rsidRPr="0043228C" w:rsidRDefault="002F07D4" w:rsidP="002F07D4">
      <w:pPr>
        <w:pStyle w:val="NormalWeb"/>
        <w:jc w:val="both"/>
        <w:rPr>
          <w:i/>
        </w:rPr>
      </w:pPr>
      <w:r w:rsidRPr="0043228C">
        <w:rPr>
          <w:i/>
        </w:rPr>
        <w:t>Las agencias de calificación de crédito han sido declaradas responsables en dos juicios privados. Pero también en este caso lo que pagaron fue una fracción de las pérdidas que causaron sus acciones. Algo más importan</w:t>
      </w:r>
      <w:r>
        <w:rPr>
          <w:i/>
        </w:rPr>
        <w:t>te aún, el problema subyacente -</w:t>
      </w:r>
      <w:r w:rsidRPr="0043228C">
        <w:rPr>
          <w:i/>
        </w:rPr>
        <w:t>un sistema de incentivos perversos en el que reciben dinero de las empresas a las que califi</w:t>
      </w:r>
      <w:r>
        <w:rPr>
          <w:i/>
        </w:rPr>
        <w:t>can-</w:t>
      </w:r>
      <w:r w:rsidRPr="0043228C">
        <w:rPr>
          <w:i/>
        </w:rPr>
        <w:t xml:space="preserve"> aún debe cambiar.</w:t>
      </w:r>
    </w:p>
    <w:p w:rsidR="002F07D4" w:rsidRPr="0043228C" w:rsidRDefault="002F07D4" w:rsidP="002F07D4">
      <w:pPr>
        <w:pStyle w:val="NormalWeb"/>
        <w:jc w:val="both"/>
        <w:rPr>
          <w:i/>
        </w:rPr>
      </w:pPr>
      <w:r w:rsidRPr="0043228C">
        <w:rPr>
          <w:i/>
        </w:rPr>
        <w:t xml:space="preserve">Los banqueros presumen de haber pagado totalmente los fondos de rescate del gobierno que recibieron cuando comenzó la crisis. Pero nunca parecen mencionar que cualquiera que hubiera recibido enormes créditos gubernamentales a tasas de interés cercanas a cero podría haber ganado miles de millones con el mero hecho de prestar </w:t>
      </w:r>
      <w:r w:rsidRPr="0043228C">
        <w:rPr>
          <w:i/>
        </w:rPr>
        <w:lastRenderedPageBreak/>
        <w:t>nuevamente ese dinero al gobierno. Tampoco mencionan los costos imp</w:t>
      </w:r>
      <w:r>
        <w:rPr>
          <w:i/>
        </w:rPr>
        <w:t>uestos al resto de la economía -</w:t>
      </w:r>
      <w:r w:rsidRPr="0043228C">
        <w:rPr>
          <w:i/>
        </w:rPr>
        <w:t>una pérdida acumula</w:t>
      </w:r>
      <w:r>
        <w:rPr>
          <w:i/>
        </w:rPr>
        <w:t>da del producto en Europa y EEUU</w:t>
      </w:r>
      <w:r w:rsidRPr="0043228C">
        <w:rPr>
          <w:i/>
        </w:rPr>
        <w:t xml:space="preserve"> que supera largamente los $5 billones.</w:t>
      </w:r>
    </w:p>
    <w:p w:rsidR="002F07D4" w:rsidRPr="0043228C" w:rsidRDefault="002F07D4" w:rsidP="002F07D4">
      <w:pPr>
        <w:pStyle w:val="NormalWeb"/>
        <w:jc w:val="both"/>
        <w:rPr>
          <w:i/>
        </w:rPr>
      </w:pPr>
      <w:r w:rsidRPr="0043228C">
        <w:rPr>
          <w:i/>
        </w:rPr>
        <w:t>Mientras tanto, resultó que quienes sostuvieron que la política monetaria no sería suficiente estaban en lo cierto. Sí, todos fuimos keynesianas, pero por demasiado poco tiempo. El estímulo fiscal fue reemplazado por la austeridad, co</w:t>
      </w:r>
      <w:r>
        <w:rPr>
          <w:i/>
        </w:rPr>
        <w:t>n efectos adversos predecibles -y predichos-</w:t>
      </w:r>
      <w:r w:rsidRPr="0043228C">
        <w:rPr>
          <w:i/>
        </w:rPr>
        <w:t xml:space="preserve"> sobre el desempeño de la economía.</w:t>
      </w:r>
    </w:p>
    <w:p w:rsidR="002F07D4" w:rsidRPr="0043228C" w:rsidRDefault="002F07D4" w:rsidP="002F07D4">
      <w:pPr>
        <w:pStyle w:val="NormalWeb"/>
        <w:jc w:val="both"/>
        <w:rPr>
          <w:i/>
        </w:rPr>
      </w:pPr>
      <w:r w:rsidRPr="0043228C">
        <w:rPr>
          <w:i/>
        </w:rPr>
        <w:t>Hay en Europa quienes están contentos porque la economía puede haber tocado fondo. Con el regreso del crecimi</w:t>
      </w:r>
      <w:r>
        <w:rPr>
          <w:i/>
        </w:rPr>
        <w:t>ento del producto, la recesión -</w:t>
      </w:r>
      <w:r w:rsidRPr="0043228C">
        <w:rPr>
          <w:i/>
        </w:rPr>
        <w:t>definida como dos trimestres consec</w:t>
      </w:r>
      <w:r>
        <w:rPr>
          <w:i/>
        </w:rPr>
        <w:t>utivos de contracción económica-</w:t>
      </w:r>
      <w:r w:rsidRPr="0043228C">
        <w:rPr>
          <w:i/>
        </w:rPr>
        <w:t xml:space="preserve"> oficialmente ha terminado. Pero, sin importar cómo se la mire en busca de resultados significativos, una economía en la cual los ingresos de la mayoría de la gente se encuentran por debajo de sus niveles previos a 2008, aún está en recesión. Y una economía en la cual el 25 % de los trabajadores (y el 50 % de l</w:t>
      </w:r>
      <w:r>
        <w:rPr>
          <w:i/>
        </w:rPr>
        <w:t>os jóvenes) están desempleados -como ocurre en Grecia y España-</w:t>
      </w:r>
      <w:r w:rsidRPr="0043228C">
        <w:rPr>
          <w:i/>
        </w:rPr>
        <w:t xml:space="preserve"> continúa deprimida. La austeridad ha fracasado y no hay perspectivas de un pronto regreso al pleno empleo (no sorprende que las perspectivas para Estados Unidos, con su versión más limitada de la austeridad, sean mejores).</w:t>
      </w:r>
    </w:p>
    <w:p w:rsidR="002F07D4" w:rsidRDefault="002F07D4" w:rsidP="002F07D4">
      <w:pPr>
        <w:pStyle w:val="NormalWeb"/>
        <w:jc w:val="both"/>
      </w:pPr>
      <w:r w:rsidRPr="0043228C">
        <w:rPr>
          <w:i/>
        </w:rPr>
        <w:t xml:space="preserve">El sistema financiero puede ser más estable que hace cinco años, pero eso implica un bajo listón: en ese momento, se tambaleaba al borde del precipicio. Quienes se felicitan a sí mismos en el gobierno y el sector financiero por el regreso de los bancos </w:t>
      </w:r>
      <w:r>
        <w:rPr>
          <w:i/>
        </w:rPr>
        <w:t>a la rentabilidad y las tibias -aunque difíciles de conseguir-</w:t>
      </w:r>
      <w:r w:rsidRPr="0043228C">
        <w:rPr>
          <w:i/>
        </w:rPr>
        <w:t xml:space="preserve"> mejoras regulatorias, deben centrarse en lo que todavía resta por hacer. Solo un cuarto del vaso está, como mucho, lleno; para la mayor parte de la gente, las tres cuartas partes están vacías</w:t>
      </w:r>
      <w:r>
        <w:rPr>
          <w:i/>
        </w:rPr>
        <w:t>”</w:t>
      </w:r>
      <w:r w:rsidRPr="0043228C">
        <w:rPr>
          <w:i/>
        </w:rPr>
        <w:t>.</w:t>
      </w:r>
      <w:r w:rsidRPr="00441637">
        <w:rPr>
          <w:u w:val="single"/>
        </w:rPr>
        <w:t>Cinco años en el limbo</w:t>
      </w:r>
      <w:r>
        <w:t xml:space="preserve"> (</w:t>
      </w:r>
      <w:r w:rsidRPr="00AD064B">
        <w:t>Joseph E. Stiglitz</w:t>
      </w:r>
      <w:r>
        <w:t xml:space="preserve"> - Project Syndicate - </w:t>
      </w:r>
      <w:r w:rsidRPr="00441637">
        <w:rPr>
          <w:b/>
        </w:rPr>
        <w:t>8/10/13</w:t>
      </w:r>
      <w:r>
        <w:t>)</w:t>
      </w:r>
    </w:p>
    <w:p w:rsidR="002F07D4" w:rsidRPr="00D65FEC" w:rsidRDefault="002F07D4" w:rsidP="002F07D4">
      <w:pPr>
        <w:pStyle w:val="NormalWeb"/>
        <w:jc w:val="both"/>
      </w:pPr>
      <w:r w:rsidRPr="00D65FEC">
        <w:t>En nombre de una austeridad unilateral (aplicada sobre los sectores más débiles de la sociedad), proclamada y no practicada por la casta política (amoral y corrupta), las grandes corporaciones (subvencionadas y protegidas por el estado), los bancos quebrados (rescatados con dinero público) y sectores ricos de la sociedad (que han salido beneficiados con la crisis), han “denunciado” el contrato social, con total frialdad, indiferencia, arrogancia, ignominia, imprudencia, insensibilidad y osadía.</w:t>
      </w:r>
    </w:p>
    <w:p w:rsidR="002F07D4" w:rsidRPr="00D65FEC" w:rsidRDefault="002F07D4" w:rsidP="002F07D4">
      <w:pPr>
        <w:pStyle w:val="NormalWeb"/>
        <w:jc w:val="both"/>
      </w:pPr>
      <w:r w:rsidRPr="00D65FEC">
        <w:t>El pago de la deuda soberana se ha garantizado con la expropiación de los fondos necesarios para atender la deuda social, bajo la bendición de los acreedores, previamente rescatados de la quiebra con dinero de los contribuyentes, que vuelven a  ser expoliados (reiterativamente), para “salvar” la crisis de la deuda.</w:t>
      </w:r>
    </w:p>
    <w:p w:rsidR="002F07D4" w:rsidRPr="00D65FEC" w:rsidRDefault="002F07D4" w:rsidP="002F07D4">
      <w:pPr>
        <w:pStyle w:val="NormalWeb"/>
        <w:jc w:val="both"/>
      </w:pPr>
      <w:r w:rsidRPr="00D65FEC">
        <w:t>Para preservar el “cielo” de la deuda han condenado al “infierno” a los grupos más vulnerables de la sociedad. Se ha asegurado la “tranquilidad” de los mercados, con la “paz” de los cementerios (donde ha sido enterrado el Estado del Bienestar). Sin haber celebrado su funeral, siquiera. Eso es lo que sucede cuando se desprecia el pensamiento. Eso es hacer un pan como unas hostias.</w:t>
      </w:r>
    </w:p>
    <w:p w:rsidR="002F07D4" w:rsidRPr="00D65FEC" w:rsidRDefault="002F07D4" w:rsidP="002F07D4">
      <w:pPr>
        <w:pStyle w:val="NormalWeb"/>
        <w:jc w:val="both"/>
      </w:pPr>
      <w:r w:rsidRPr="00D65FEC">
        <w:t xml:space="preserve">Europa (y ya no digamos los EEUU) ha dejado de ser una “comunidad” autogobernada y responsable frente a los deseos de sus ciudadanos, para transformarse en un imperio incontrolable dominado por banqueros y corporaciones, y los políticos que les pertenecen. Los ciudadanos (contribuyentes) están siendo tratados como meros siervos </w:t>
      </w:r>
      <w:r w:rsidRPr="00D65FEC">
        <w:lastRenderedPageBreak/>
        <w:t>de la gleba y los gobiernos se han convertido en simples sirvientes del poder económico.</w:t>
      </w:r>
    </w:p>
    <w:p w:rsidR="002F07D4" w:rsidRPr="00D65FEC" w:rsidRDefault="002F07D4" w:rsidP="002F07D4">
      <w:pPr>
        <w:pStyle w:val="NormalWeb"/>
        <w:jc w:val="both"/>
      </w:pPr>
      <w:r w:rsidRPr="00D65FEC">
        <w:t>La deuda excesiva de los gobiernos ha sido causada por el rescate de los bancos quebrados (pretendidamente sistémicos), y no por políticas de gasto público para sostener un sistema de bienestar social exagerado o demagógico. Y ahora se quiere resolver (garantizar) su pago (sin juzgar y condenar, al menos, a los culpables de la quiebra privada y pública, ni crear los mecanismos necesarios para evitar la repetición de la crisis), desarmando un estado de bienestar (justo y necesario) que ha costado más de medio siglo de luchas sociales y sacrificios a los trabajadores.</w:t>
      </w:r>
    </w:p>
    <w:p w:rsidR="002F07D4" w:rsidRPr="00D65FEC" w:rsidRDefault="002F07D4" w:rsidP="002F07D4">
      <w:pPr>
        <w:pStyle w:val="NormalWeb"/>
        <w:jc w:val="both"/>
      </w:pPr>
      <w:r w:rsidRPr="00D65FEC">
        <w:t xml:space="preserve">De la “socialización” (estatatización) de las perdidas privadas (bancos y otros especuladores financieros quebrados), pasamos a la “mutualización” de la amortización de la deuda pública (devenida del rescate) por la vía del “expolio” de los sistemas de pensiones, salud y educación pública. </w:t>
      </w:r>
    </w:p>
    <w:p w:rsidR="002F07D4" w:rsidRPr="00D65FEC" w:rsidRDefault="002F07D4" w:rsidP="002F07D4">
      <w:pPr>
        <w:pStyle w:val="NormalWeb"/>
        <w:jc w:val="both"/>
      </w:pPr>
      <w:r w:rsidRPr="00D65FEC">
        <w:t xml:space="preserve">A los líderes políticos que “padecemos” podría llamarles inmorales, deshonestos, corruptos, arrogantes, irresponsables, vanidosos, frívolos, sectarios… pero vamos a dejarlo en “imprudentes” (porque son incapaces de intentar -al menos- salvar su propia supervivencia de casta). Están tratando a los ciudadanos como súbditos, y eso es muy grave, y puede tener consecuencias catastróficas imprevisibles (animosidad en aumento, conflictividad social y rebelión cívica). Sin descartar el paso previo (y merecido) de una rebelión fiscal en toda regla, que vaciaría las arcas del estado plutocrático, prebendario y venal. Fin del juego.  </w:t>
      </w:r>
    </w:p>
    <w:p w:rsidR="002F07D4" w:rsidRPr="00D65FEC" w:rsidRDefault="002F07D4" w:rsidP="002F07D4">
      <w:pPr>
        <w:pStyle w:val="NormalWeb"/>
        <w:jc w:val="both"/>
      </w:pPr>
      <w:r w:rsidRPr="00D65FEC">
        <w:t xml:space="preserve">Por ahora, ya llevan cosechado el fruto más perverso de una democracia: la fractura social. Y me extraña que tenga que ser un “invitado” extranjero (con 25 años de residencia en Europa) quien les tenga que recordar los peligros de dividir a la sociedad. Se está jugando con la familia, con la seguridad, con el futuro, y eso es peligrosísimo, porque esos sentimientos son muy sensibles al radicalismo. </w:t>
      </w:r>
    </w:p>
    <w:p w:rsidR="002F07D4" w:rsidRPr="00D65FEC" w:rsidRDefault="002F07D4" w:rsidP="002F07D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65FEC">
        <w:rPr>
          <w:rFonts w:ascii="Times New Roman" w:eastAsia="Times New Roman" w:hAnsi="Times New Roman" w:cs="Times New Roman"/>
          <w:sz w:val="24"/>
          <w:szCs w:val="24"/>
          <w:lang w:eastAsia="es-ES"/>
        </w:rPr>
        <w:t xml:space="preserve">No hay otra salida para Europa que volver a establecer un consenso en torno al cumplimiento de los Derechos Humanos contenidos en el Preámbulo y los 30 artículos de la solemne Declaración de 1948 y demás documentos que los desarrollan. Esa opción exige hacer de los planteamientos económicos puros conceptos instrumentales sometidos al desarrollo de la gran opción descrita. </w:t>
      </w:r>
    </w:p>
    <w:p w:rsidR="002F07D4" w:rsidRPr="00D65FEC" w:rsidRDefault="002F07D4" w:rsidP="002F07D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65FEC">
        <w:rPr>
          <w:rFonts w:ascii="Times New Roman" w:eastAsia="Times New Roman" w:hAnsi="Times New Roman" w:cs="Times New Roman"/>
          <w:sz w:val="24"/>
          <w:szCs w:val="24"/>
          <w:lang w:eastAsia="es-ES"/>
        </w:rPr>
        <w:t xml:space="preserve">Ni que decir tiene que </w:t>
      </w:r>
      <w:r w:rsidRPr="00D65FEC">
        <w:rPr>
          <w:rFonts w:ascii="Times New Roman" w:eastAsia="Times New Roman" w:hAnsi="Times New Roman" w:cs="Times New Roman"/>
          <w:bCs/>
          <w:sz w:val="24"/>
          <w:szCs w:val="24"/>
          <w:lang w:eastAsia="es-ES"/>
        </w:rPr>
        <w:t>la lógica de los mercados supuestamente independientes debe dejar paso a la centralidad de la política como impulso</w:t>
      </w:r>
      <w:r w:rsidRPr="00D65FEC">
        <w:rPr>
          <w:rFonts w:ascii="Times New Roman" w:eastAsia="Times New Roman" w:hAnsi="Times New Roman" w:cs="Times New Roman"/>
          <w:sz w:val="24"/>
          <w:szCs w:val="24"/>
          <w:lang w:eastAsia="es-ES"/>
        </w:rPr>
        <w:t xml:space="preserve"> y evaluación de los procesos puestos en marcha para el fin acordado. La democracia, entendida como convenio entre seres libres e iguales para seguir conviniendo sobre el estado de su contrato social, exige de por sí el control sobre la macroeconomía dejando en todo caso partes de la microeconomía al juego de la oferta y la demanda. </w:t>
      </w:r>
    </w:p>
    <w:p w:rsidR="002F07D4" w:rsidRPr="00D65FEC" w:rsidRDefault="002F07D4" w:rsidP="002F07D4">
      <w:pPr>
        <w:pStyle w:val="NormalWeb"/>
        <w:jc w:val="both"/>
      </w:pPr>
      <w:r w:rsidRPr="00D65FEC">
        <w:t>A los que no miran más allá del PIB, el déficit fiscal, la sostenibilidad de la deuda o la competitividad de las empresas, les propongo (humildemente) que sustituyan alguna (o tal vez, todas) de esas grandes magnitudes que son usadas para calibrar la eficacia económica por el Índice de Desarrollo Humano, aunque ello les implique un inmenso dolor y esfuerzo de parto que, sin duda, será mucho menor que el de la agonía del actual sistema que como decía Schumpeter se muere de éxito.</w:t>
      </w:r>
    </w:p>
    <w:p w:rsidR="002F07D4" w:rsidRPr="00D65FEC" w:rsidRDefault="002F07D4" w:rsidP="002F07D4">
      <w:pPr>
        <w:pStyle w:val="NormalWeb"/>
        <w:jc w:val="both"/>
      </w:pPr>
      <w:r w:rsidRPr="00D65FEC">
        <w:lastRenderedPageBreak/>
        <w:t>Cuando el pragmatismo se convierte en cinismo</w:t>
      </w:r>
    </w:p>
    <w:p w:rsidR="002F07D4" w:rsidRPr="00D65FEC" w:rsidRDefault="002F07D4" w:rsidP="002F07D4">
      <w:pPr>
        <w:pStyle w:val="NormalWeb"/>
        <w:jc w:val="both"/>
      </w:pPr>
      <w:r w:rsidRPr="00D65FEC">
        <w:t xml:space="preserve">De ser cierta la propuesta de la “sociedad participativa” (a la holandesa), o de la “big society” (al british style), o de la “reinvención del Estado del bienestar” (según el modelo sueco), para “acostumbrar” a la gente a no ver al Estado como una “maquinita de la felicidad”, en un alarde de pragmatismo, tal vez, sería bueno empezar por limitar la “hipocresía” de esas propuestas o similares, dejando de cobrar tan altos impuestos y cargas sociales al contribuyente para financiar unos servicios menguantes y dejar “que cada santo aguante su vela” (empezando por la administración del estado y todos los que “maman” del presupuesto). </w:t>
      </w:r>
    </w:p>
    <w:p w:rsidR="002F07D4" w:rsidRPr="00D65FEC" w:rsidRDefault="002F07D4" w:rsidP="002F07D4">
      <w:pPr>
        <w:pStyle w:val="NormalWeb"/>
        <w:jc w:val="both"/>
      </w:pPr>
      <w:r w:rsidRPr="00D65FEC">
        <w:t>Fuera máscaras, basta de cinismo, y si vamos a imponer el “darwinismo social”, que sea en toda regla, y se apliquen la misma receta los miembros de la casta política, sus patrocinadores y beneficiarios, dejando de disparar con pólvora del contribuyente. Podrían hacer suyo aquello de “La bien pagá”: na te debo na te pido… Aunque me sospecho que esas “economías”… no llegarán al río.</w:t>
      </w:r>
    </w:p>
    <w:p w:rsidR="002F07D4" w:rsidRPr="00E57B42" w:rsidRDefault="002F07D4" w:rsidP="002F07D4">
      <w:pPr>
        <w:pStyle w:val="NormalWeb"/>
        <w:jc w:val="both"/>
      </w:pPr>
      <w:r w:rsidRPr="00E57B42">
        <w:t xml:space="preserve">- </w:t>
      </w:r>
      <w:r w:rsidRPr="00E57B42">
        <w:rPr>
          <w:u w:val="single"/>
        </w:rPr>
        <w:t>La clase media paga los errores de la banca</w:t>
      </w:r>
      <w:r w:rsidRPr="00E57B42">
        <w:t xml:space="preserve"> (El Economista - </w:t>
      </w:r>
      <w:r w:rsidRPr="00E57B42">
        <w:rPr>
          <w:b/>
        </w:rPr>
        <w:t>13/1/12</w:t>
      </w:r>
      <w:r w:rsidRPr="00E57B42">
        <w:t>)</w:t>
      </w:r>
    </w:p>
    <w:p w:rsidR="002F07D4" w:rsidRPr="00E57B42" w:rsidRDefault="002F07D4" w:rsidP="002F07D4">
      <w:pPr>
        <w:pStyle w:val="NormalWeb"/>
        <w:jc w:val="both"/>
      </w:pPr>
      <w:r w:rsidRPr="00E57B42">
        <w:t>(Por Simon Johnson)</w:t>
      </w:r>
      <w:r>
        <w:t xml:space="preserve">                                                                         Lectura recomendada</w:t>
      </w:r>
    </w:p>
    <w:p w:rsidR="002F07D4" w:rsidRPr="00044F4A" w:rsidRDefault="002F07D4" w:rsidP="002F07D4">
      <w:pPr>
        <w:pStyle w:val="NormalWeb"/>
        <w:jc w:val="both"/>
        <w:rPr>
          <w:color w:val="FF0000"/>
          <w:u w:val="single"/>
        </w:rPr>
      </w:pPr>
      <w:r w:rsidRPr="00044F4A">
        <w:rPr>
          <w:color w:val="FF0000"/>
          <w:u w:val="single"/>
        </w:rPr>
        <w:t>En un punto, todas las crisis financieras son iguales. Un grupo relativamente pequeño de individuos, normalmente banqueros, encuentra la oportunidad de correr riesgos muy grandes. Durante un tiempo, el sector financiero exhibe beneficios elevados, que justifican los precios al alza de las acciones y las grandes bonificaciones para sus ejecutivos.Sin embargo, esos beneficios nunca se ajustan como corresponde a lo que se materializará realmente a lo largo de cinco a diez años.</w:t>
      </w:r>
    </w:p>
    <w:p w:rsidR="002F07D4" w:rsidRPr="00E57B42" w:rsidRDefault="002F07D4" w:rsidP="002F07D4">
      <w:pPr>
        <w:pStyle w:val="NormalWeb"/>
        <w:jc w:val="both"/>
      </w:pPr>
      <w:r w:rsidRPr="00044F4A">
        <w:rPr>
          <w:color w:val="FF0000"/>
          <w:u w:val="single"/>
        </w:rPr>
        <w:t>Generalmente, suele haber rendimientos mayores a corto plazo si se corre un mayor riesgo;</w:t>
      </w:r>
      <w:r w:rsidRPr="00E57B42">
        <w:t xml:space="preserve"> basta ver el sistema bancario islandés después de 2003. Se autorizó a tres bancos a emprender grandes negocios en el exterior, acumulando un balance general combinado que era diez veces el tamaño del PIB de Islandia, apoyado sobre todo en la financiación a corto plazo.</w:t>
      </w:r>
    </w:p>
    <w:p w:rsidR="002F07D4" w:rsidRPr="00044F4A" w:rsidRDefault="002F07D4" w:rsidP="002F07D4">
      <w:pPr>
        <w:pStyle w:val="NormalWeb"/>
        <w:jc w:val="both"/>
        <w:rPr>
          <w:u w:val="single"/>
        </w:rPr>
      </w:pPr>
      <w:r w:rsidRPr="00710EE1">
        <w:rPr>
          <w:bCs/>
          <w:u w:val="single"/>
        </w:rPr>
        <w:t>Los políticos islandeses pensaron que habían encontrado un nuevo camino hacia la prosperidad.</w:t>
      </w:r>
      <w:r w:rsidRPr="00044F4A">
        <w:rPr>
          <w:u w:val="single"/>
        </w:rPr>
        <w:t>Pero en octubre de 2008 descubrieron una verdad eterna: los beneficios gigantescos implican riesgos gigantescos. Los bancos de Islandia se derrumbaron, y hundieron a la economía en una profunda recesión.</w:t>
      </w:r>
    </w:p>
    <w:p w:rsidR="002F07D4" w:rsidRPr="00044F4A" w:rsidRDefault="002F07D4" w:rsidP="002F07D4">
      <w:pPr>
        <w:pStyle w:val="NormalWeb"/>
        <w:jc w:val="both"/>
        <w:rPr>
          <w:color w:val="FF0000"/>
          <w:u w:val="single"/>
        </w:rPr>
      </w:pPr>
      <w:r w:rsidRPr="00044F4A">
        <w:rPr>
          <w:color w:val="FF0000"/>
          <w:u w:val="single"/>
        </w:rPr>
        <w:t>El intento islandés de manejar un país como un sofisticado fondo de inversión puede hacernos reír o llorar. Pero la triste verdad es que EEUU y muchos países de la UE hicieron algo similar al permitir o incentivar que algunos segmentos del sector financiero asumieran demasiado riesgo. Y esto se plasmó en préstamos excesivos a Gobiernos, promotores inmobiliarios y hogares.</w:t>
      </w:r>
    </w:p>
    <w:p w:rsidR="002F07D4" w:rsidRPr="005E3233" w:rsidRDefault="002F07D4" w:rsidP="002F07D4">
      <w:pPr>
        <w:pStyle w:val="Ttulo2"/>
        <w:jc w:val="both"/>
        <w:rPr>
          <w:rFonts w:ascii="Times New Roman" w:hAnsi="Times New Roman" w:cs="Times New Roman"/>
          <w:b w:val="0"/>
          <w:color w:val="auto"/>
          <w:sz w:val="24"/>
          <w:szCs w:val="24"/>
        </w:rPr>
      </w:pPr>
      <w:r w:rsidRPr="005E3233">
        <w:rPr>
          <w:rFonts w:ascii="Times New Roman" w:hAnsi="Times New Roman" w:cs="Times New Roman"/>
          <w:b w:val="0"/>
          <w:color w:val="auto"/>
          <w:sz w:val="24"/>
          <w:szCs w:val="24"/>
        </w:rPr>
        <w:t>Alguien debe pagar</w:t>
      </w:r>
    </w:p>
    <w:p w:rsidR="002F07D4" w:rsidRPr="00044F4A" w:rsidRDefault="002F07D4" w:rsidP="002F07D4">
      <w:pPr>
        <w:pStyle w:val="NormalWeb"/>
        <w:jc w:val="both"/>
        <w:rPr>
          <w:b/>
          <w:color w:val="FF0000"/>
          <w:u w:val="single"/>
        </w:rPr>
      </w:pPr>
      <w:r w:rsidRPr="00044F4A">
        <w:rPr>
          <w:b/>
          <w:color w:val="FF0000"/>
          <w:u w:val="single"/>
        </w:rPr>
        <w:t xml:space="preserve">Podemos no coincidir respecto a las causas concretas de cualquier crisis. Algunos culpan del reciente ciclo expansión-contracción-rescate en Europa y EEUU a los banqueros por haber cautivado los corazones y mentes de los funcionarios </w:t>
      </w:r>
      <w:r w:rsidRPr="00044F4A">
        <w:rPr>
          <w:b/>
          <w:color w:val="FF0000"/>
          <w:u w:val="single"/>
        </w:rPr>
        <w:lastRenderedPageBreak/>
        <w:t>gubernamentales; otros hacen hincapié en la culpabilidad de dichos funcionarios. Más allá de la visión de cada uno, deberíamos coincidir en una cosa: alguien tiene que pagar por el desmadre.</w:t>
      </w:r>
    </w:p>
    <w:p w:rsidR="002F07D4" w:rsidRPr="00044F4A" w:rsidRDefault="002F07D4" w:rsidP="002F07D4">
      <w:pPr>
        <w:pStyle w:val="NormalWeb"/>
        <w:jc w:val="both"/>
        <w:rPr>
          <w:color w:val="FF0000"/>
          <w:u w:val="single"/>
        </w:rPr>
      </w:pPr>
      <w:r w:rsidRPr="00044F4A">
        <w:rPr>
          <w:b/>
          <w:bCs/>
          <w:color w:val="FF0000"/>
          <w:u w:val="single"/>
        </w:rPr>
        <w:t>Hay tres potenciales pagadores.</w:t>
      </w:r>
      <w:r w:rsidRPr="00044F4A">
        <w:rPr>
          <w:b/>
          <w:color w:val="FF0000"/>
          <w:u w:val="single"/>
        </w:rPr>
        <w:t>Primero</w:t>
      </w:r>
      <w:r w:rsidRPr="00044F4A">
        <w:rPr>
          <w:color w:val="FF0000"/>
          <w:u w:val="single"/>
        </w:rPr>
        <w:t xml:space="preserve">, es natural señalar con el dedo a quienes estuvieron en el epicentro del desastre, los que construyeron las grandes instituciones financieras y manejaron mal los riesgos. El problema es que, aunque se pudieran recuperar las ganancias de ese grupo, el hecho es que no cuentan con el suficiente efectivo como para cambiar la situación. </w:t>
      </w:r>
    </w:p>
    <w:p w:rsidR="002F07D4" w:rsidRPr="00044F4A" w:rsidRDefault="002F07D4" w:rsidP="002F07D4">
      <w:pPr>
        <w:pStyle w:val="NormalWeb"/>
        <w:jc w:val="both"/>
        <w:rPr>
          <w:u w:val="single"/>
        </w:rPr>
      </w:pPr>
      <w:r w:rsidRPr="00E57B42">
        <w:t xml:space="preserve">Los profesores de Finanzas Sanjai Bhagat de la Universidad de Colorado en Boulder, y Brian J. Bolton, de la Portland State University, calcularon el año pasado que </w:t>
      </w:r>
      <w:r w:rsidRPr="00044F4A">
        <w:rPr>
          <w:u w:val="single"/>
        </w:rPr>
        <w:t>los máximos responsables ejecutivos de las 14 mayores sociedades financieras estadounidenses recibieron unos 2.500 millones de dólares en efectivo (salario, bonificaciones y opciones de compra de acciones ejercitadas) de 2000 a 2008</w:t>
      </w:r>
      <w:r w:rsidRPr="00E57B42">
        <w:t xml:space="preserve">. Aunque sea una paga sustancial, ésta supone una gota en el océano si se consideran los daños causados en el balance social del país. </w:t>
      </w:r>
      <w:r w:rsidRPr="00044F4A">
        <w:rPr>
          <w:u w:val="single"/>
        </w:rPr>
        <w:t>Según la Oficina Parlamentaria del Presupuesto, el coeficiente deuda/PIB a medio plazo creció un 50%, o sea, aproximadamente unos 7 billones de dólares, debido a la crisis.</w:t>
      </w:r>
    </w:p>
    <w:p w:rsidR="002F07D4" w:rsidRPr="00044F4A" w:rsidRDefault="002F07D4" w:rsidP="002F07D4">
      <w:pPr>
        <w:pStyle w:val="NormalWeb"/>
        <w:jc w:val="both"/>
        <w:rPr>
          <w:color w:val="FF0000"/>
          <w:u w:val="single"/>
        </w:rPr>
      </w:pPr>
      <w:r w:rsidRPr="00044F4A">
        <w:rPr>
          <w:b/>
          <w:bCs/>
          <w:color w:val="FF0000"/>
          <w:u w:val="single"/>
        </w:rPr>
        <w:t>Los verdaderos daños económicos son obviamente mucho mayores c</w:t>
      </w:r>
      <w:r w:rsidRPr="00044F4A">
        <w:rPr>
          <w:color w:val="FF0000"/>
          <w:u w:val="single"/>
        </w:rPr>
        <w:t>uando se tienen en cuenta el crecimiento económico más bajo, la pérdida de empleos y los trastornos en la vida de las personas. Y parte de la deuda más alta será traspasada a las generaciones futuras, con la esperanza de que serán más ricas, o quizá más afortunadas, que nosotros.</w:t>
      </w:r>
    </w:p>
    <w:p w:rsidR="002F07D4" w:rsidRDefault="002F07D4" w:rsidP="002F07D4">
      <w:pPr>
        <w:pStyle w:val="NormalWeb"/>
        <w:jc w:val="both"/>
        <w:rPr>
          <w:u w:val="single"/>
        </w:rPr>
      </w:pPr>
      <w:r w:rsidRPr="00044F4A">
        <w:rPr>
          <w:u w:val="single"/>
        </w:rPr>
        <w:t>De todos modos, los niveles de deuda/PIB en muchos países industrializados ya eran altos, y el aumento repentino de la deuda -en su mayor parte causado por ingresos fiscales perdidos debido a la recesión- nos ha empujado a la zona de los números rojos.</w:t>
      </w:r>
    </w:p>
    <w:p w:rsidR="002F07D4" w:rsidRPr="001A361B" w:rsidRDefault="002F07D4" w:rsidP="002F07D4">
      <w:pPr>
        <w:pStyle w:val="NormalWeb"/>
        <w:jc w:val="both"/>
        <w:rPr>
          <w:u w:val="single"/>
        </w:rPr>
      </w:pPr>
      <w:r w:rsidRPr="00160536">
        <w:t>Nunca es suficiente</w:t>
      </w:r>
      <w:r w:rsidRPr="001A361B">
        <w:t xml:space="preserve">. </w:t>
      </w:r>
      <w:r w:rsidRPr="00044F4A">
        <w:rPr>
          <w:color w:val="FF0000"/>
          <w:u w:val="single"/>
        </w:rPr>
        <w:t>Necesitamos rebajar nuestro déficit y orientar la deuda por un cauce más sostenible. Pero la triste verdad es que los responsables de la crisis nunca tienen suficiente dinero para satisfacer al resto.</w:t>
      </w:r>
    </w:p>
    <w:p w:rsidR="002F07D4" w:rsidRPr="001B69DC" w:rsidRDefault="002F07D4" w:rsidP="002F07D4">
      <w:pPr>
        <w:pStyle w:val="NormalWeb"/>
        <w:jc w:val="both"/>
        <w:rPr>
          <w:color w:val="FF0000"/>
          <w:u w:val="single"/>
        </w:rPr>
      </w:pPr>
      <w:r w:rsidRPr="001A361B">
        <w:rPr>
          <w:color w:val="FF0000"/>
          <w:u w:val="single"/>
        </w:rPr>
        <w:t>Segundo</w:t>
      </w:r>
      <w:r w:rsidRPr="00044F4A">
        <w:rPr>
          <w:b/>
          <w:color w:val="FF0000"/>
          <w:u w:val="single"/>
        </w:rPr>
        <w:t>,</w:t>
      </w:r>
      <w:r w:rsidRPr="00044F4A">
        <w:rPr>
          <w:color w:val="FF0000"/>
          <w:u w:val="single"/>
        </w:rPr>
        <w:t xml:space="preserve"> se podría gravar a las rentas menos altas. Tal vez parezca una sugerencia escandalosa, pero normalmente quienes se encuentran en el extremo más bajo de la distribución del ingreso y la riqueza son aplastados después de las grandes crisis financieras</w:t>
      </w:r>
      <w:r w:rsidRPr="00044F4A">
        <w:rPr>
          <w:u w:val="single"/>
        </w:rPr>
        <w:t>.</w:t>
      </w:r>
      <w:r w:rsidRPr="00E57B42">
        <w:t xml:space="preserve"> No están bien organizados y carecen de influencia política. Sus prestaciones se recortan reduciendo el acceso a la salud, por ejemplo, o despidiendo docentes, lo que afecta la calidad de la educación pública.</w:t>
      </w:r>
    </w:p>
    <w:p w:rsidR="002F07D4" w:rsidRPr="00E57B42" w:rsidRDefault="002F07D4" w:rsidP="002F07D4">
      <w:pPr>
        <w:pStyle w:val="NormalWeb"/>
        <w:jc w:val="both"/>
      </w:pPr>
      <w:r w:rsidRPr="00E57B42">
        <w:t>El único político al que oí abordar esta cuestión directamente es el ministro de Finanzas de Islandia, Steingrimur Sigfusson. En un contundente discurso durante una conferencia del Fondo Monetario Internacional en Reykiavik el 27 de octubre, Sigfusson dejó bien claro que hará todo lo posible por proteger a la población islandesa de menor renta.</w:t>
      </w:r>
    </w:p>
    <w:p w:rsidR="002F07D4" w:rsidRPr="001A361B" w:rsidRDefault="002F07D4" w:rsidP="002F07D4">
      <w:pPr>
        <w:pStyle w:val="NormalWeb"/>
        <w:jc w:val="both"/>
      </w:pPr>
      <w:r w:rsidRPr="00E57B42">
        <w:t>El ministro de Finanzas Sigfusson es geólogo, ex camionero y un político duro. Su partido no está implicado en el fiasco financiero y es posible que se salga con la suya con respecto a sus prioridades políticas. Los otros ministros de Finanzas no tienen, en general, su claridad de pensamiento sobre este asunto.</w:t>
      </w:r>
    </w:p>
    <w:p w:rsidR="002F07D4" w:rsidRPr="00E57B42" w:rsidRDefault="002F07D4" w:rsidP="002F07D4">
      <w:pPr>
        <w:pStyle w:val="NormalWeb"/>
        <w:jc w:val="both"/>
      </w:pPr>
      <w:r w:rsidRPr="001A361B">
        <w:rPr>
          <w:bCs/>
        </w:rPr>
        <w:lastRenderedPageBreak/>
        <w:t>Demasiado caro.</w:t>
      </w:r>
      <w:r w:rsidRPr="008568C6">
        <w:rPr>
          <w:b/>
          <w:bCs/>
          <w:color w:val="FF0000"/>
          <w:u w:val="single"/>
        </w:rPr>
        <w:t>Pero aunque estemos dispuestos a aplastar hasta cierto punto a los pobres, la factura sigue siendo demasiado cara</w:t>
      </w:r>
      <w:r w:rsidRPr="00E57B42">
        <w:rPr>
          <w:b/>
          <w:bCs/>
        </w:rPr>
        <w:t>.</w:t>
      </w:r>
      <w:r w:rsidRPr="00E57B42">
        <w:t xml:space="preserve"> Grecia no puede llevar su Presupuesto a una posición sostenible simplemente recortando los subsidios a los pobres, razón por la que en las calles se ve a sindicatos del sector público y a gente relativamente acomodada.</w:t>
      </w:r>
    </w:p>
    <w:p w:rsidR="002F07D4" w:rsidRPr="008568C6" w:rsidRDefault="002F07D4" w:rsidP="002F07D4">
      <w:pPr>
        <w:pStyle w:val="NormalWeb"/>
        <w:jc w:val="both"/>
        <w:rPr>
          <w:u w:val="single"/>
        </w:rPr>
      </w:pPr>
      <w:r w:rsidRPr="008568C6">
        <w:rPr>
          <w:b/>
          <w:color w:val="FF0000"/>
          <w:u w:val="single"/>
        </w:rPr>
        <w:t>El tercer grupo</w:t>
      </w:r>
      <w:r w:rsidRPr="008568C6">
        <w:rPr>
          <w:color w:val="FF0000"/>
          <w:u w:val="single"/>
        </w:rPr>
        <w:t>, naturalmente, somos todos los demás</w:t>
      </w:r>
      <w:r w:rsidRPr="00E57B42">
        <w:t xml:space="preserve">. </w:t>
      </w:r>
      <w:r w:rsidRPr="008568C6">
        <w:rPr>
          <w:color w:val="FF0000"/>
          <w:u w:val="single"/>
        </w:rPr>
        <w:t>La clase media en EEUU y Europa es grande y, según todos los parámetros, pudiente.La gente podría pagar más impuestos o recibir menos prestaciones del Estado</w:t>
      </w:r>
      <w:r w:rsidRPr="00E57B42">
        <w:t xml:space="preserve">. </w:t>
      </w:r>
      <w:r w:rsidRPr="008568C6">
        <w:rPr>
          <w:u w:val="single"/>
        </w:rPr>
        <w:t>En el caso de EEUU, no es tan difícil equilibrar el Presupuesto. Con no extender los recortes fiscales de la época de Bush, que vencen a fin de año, se daría un paso muy importante.</w:t>
      </w:r>
    </w:p>
    <w:p w:rsidR="002F07D4" w:rsidRPr="008568C6" w:rsidRDefault="002F07D4" w:rsidP="002F07D4">
      <w:pPr>
        <w:pStyle w:val="NormalWeb"/>
        <w:jc w:val="both"/>
        <w:rPr>
          <w:b/>
          <w:color w:val="FF0000"/>
          <w:u w:val="single"/>
        </w:rPr>
      </w:pPr>
      <w:r w:rsidRPr="008568C6">
        <w:rPr>
          <w:b/>
          <w:color w:val="FF0000"/>
          <w:u w:val="single"/>
        </w:rPr>
        <w:t>¿Cuál es, sin embargo, la legitimidad para tal o cual recorte de los beneficios o un aumento de los impuestos de algún colectivo? Ninguno de nosotros causó la crisis. Y muchos ni siquiera gastamos en exceso durante el auge.</w:t>
      </w:r>
    </w:p>
    <w:p w:rsidR="002F07D4" w:rsidRDefault="002F07D4" w:rsidP="002F07D4">
      <w:pPr>
        <w:pStyle w:val="NormalWeb"/>
        <w:jc w:val="both"/>
      </w:pPr>
      <w:r w:rsidRPr="008568C6">
        <w:rPr>
          <w:u w:val="single"/>
        </w:rPr>
        <w:t>Seamos francos: todos estamos esforzándonos ahora por mantener nuestras prestaciones y nuestros beneficios fiscales</w:t>
      </w:r>
      <w:r w:rsidRPr="00E57B42">
        <w:t xml:space="preserve">. Islandia no tiene más remedio que hacer recortes; la magnitud de su desastre era abrumadora. Grecia camina en la misma dirección. Países como Italia y Francia podrían seguirla pronto. </w:t>
      </w:r>
      <w:r w:rsidRPr="008568C6">
        <w:rPr>
          <w:b/>
          <w:color w:val="FF0000"/>
          <w:u w:val="single"/>
        </w:rPr>
        <w:t>Permitir que los mercados financieros nos inculquen la austeridad no es inteligente. Es una forma muy costosa e ineficiente de hacer ajustes fiscales. Pero a veces es el único modo de salir del atolladero político y obligar a tomar decisiones difíciles</w:t>
      </w:r>
      <w:r w:rsidRPr="00E57B42">
        <w:t>, algo de lo que Islandia y Grecia pueden dar testimonio.</w:t>
      </w:r>
    </w:p>
    <w:p w:rsidR="002F07D4" w:rsidRPr="001A361B" w:rsidRDefault="002F07D4" w:rsidP="002F07D4">
      <w:pPr>
        <w:pStyle w:val="NormalWeb"/>
        <w:jc w:val="both"/>
      </w:pPr>
      <w:r w:rsidRPr="00160536">
        <w:rPr>
          <w:bCs/>
          <w:iCs/>
        </w:rPr>
        <w:t>(Simon Johnson, ex economista jefe del FMI, profesor en la Sloan School of Management del MIT, miembro del Peterson Institute y columnista de Bloomberg)</w:t>
      </w:r>
    </w:p>
    <w:p w:rsidR="002F07D4" w:rsidRPr="003F43D4" w:rsidRDefault="002F07D4" w:rsidP="002F07D4">
      <w:pPr>
        <w:autoSpaceDE w:val="0"/>
        <w:autoSpaceDN w:val="0"/>
        <w:adjustRightInd w:val="0"/>
        <w:spacing w:after="0" w:line="240" w:lineRule="auto"/>
        <w:jc w:val="both"/>
        <w:rPr>
          <w:rFonts w:ascii="Times New Roman" w:hAnsi="Times New Roman" w:cs="Times New Roman"/>
          <w:sz w:val="24"/>
          <w:szCs w:val="24"/>
        </w:rPr>
      </w:pPr>
      <w:r w:rsidRPr="00C85EBB">
        <w:rPr>
          <w:rFonts w:ascii="Times New Roman" w:hAnsi="Times New Roman" w:cs="Times New Roman"/>
          <w:b/>
          <w:sz w:val="24"/>
          <w:szCs w:val="24"/>
        </w:rPr>
        <w:t>Examen forense de la bancarrota</w:t>
      </w:r>
      <w:r>
        <w:rPr>
          <w:rFonts w:ascii="Times New Roman" w:hAnsi="Times New Roman" w:cs="Times New Roman"/>
          <w:b/>
          <w:sz w:val="24"/>
          <w:szCs w:val="24"/>
        </w:rPr>
        <w:t>: (1</w:t>
      </w:r>
      <w:r w:rsidRPr="005D1222">
        <w:rPr>
          <w:rFonts w:ascii="Times New Roman" w:hAnsi="Times New Roman" w:cs="Times New Roman"/>
          <w:b/>
          <w:sz w:val="16"/>
          <w:szCs w:val="16"/>
        </w:rPr>
        <w:t>er</w:t>
      </w:r>
      <w:r>
        <w:rPr>
          <w:rFonts w:ascii="Times New Roman" w:hAnsi="Times New Roman" w:cs="Times New Roman"/>
          <w:b/>
          <w:sz w:val="24"/>
          <w:szCs w:val="24"/>
        </w:rPr>
        <w:t xml:space="preserve">. </w:t>
      </w:r>
      <w:r w:rsidRPr="005D1222">
        <w:rPr>
          <w:rFonts w:ascii="Times New Roman" w:hAnsi="Times New Roman" w:cs="Times New Roman"/>
          <w:b/>
          <w:sz w:val="24"/>
          <w:szCs w:val="24"/>
        </w:rPr>
        <w:t>semestre</w:t>
      </w:r>
      <w:r>
        <w:rPr>
          <w:rFonts w:ascii="Times New Roman" w:hAnsi="Times New Roman" w:cs="Times New Roman"/>
          <w:b/>
          <w:sz w:val="24"/>
          <w:szCs w:val="24"/>
        </w:rPr>
        <w:t xml:space="preserve"> Año 2014): </w:t>
      </w:r>
      <w:r>
        <w:rPr>
          <w:rFonts w:ascii="TimesNewRomanPSMT" w:hAnsi="TimesNewRomanPSMT" w:cs="TimesNewRomanPSMT"/>
          <w:b/>
        </w:rPr>
        <w:t>los juegos del hambre</w:t>
      </w:r>
    </w:p>
    <w:p w:rsidR="002F07D4" w:rsidRDefault="002F07D4" w:rsidP="002F07D4">
      <w:pPr>
        <w:jc w:val="both"/>
        <w:rPr>
          <w:rFonts w:ascii="Times New Roman" w:hAnsi="Times New Roman" w:cs="Times New Roman"/>
          <w:b/>
          <w:sz w:val="24"/>
          <w:szCs w:val="24"/>
        </w:rPr>
      </w:pPr>
      <w:r>
        <w:rPr>
          <w:rFonts w:ascii="Times New Roman" w:hAnsi="Times New Roman" w:cs="Times New Roman"/>
          <w:b/>
          <w:sz w:val="24"/>
          <w:szCs w:val="24"/>
        </w:rPr>
        <w:t>La exclusión social (la cara más fea de la crisis del Primer Mundo)</w:t>
      </w:r>
    </w:p>
    <w:p w:rsidR="002F07D4" w:rsidRDefault="002F07D4" w:rsidP="002F07D4">
      <w:pPr>
        <w:spacing w:line="240" w:lineRule="auto"/>
        <w:jc w:val="both"/>
        <w:rPr>
          <w:rFonts w:ascii="Times New Roman" w:hAnsi="Times New Roman" w:cs="Times New Roman"/>
          <w:sz w:val="24"/>
          <w:szCs w:val="24"/>
        </w:rPr>
      </w:pPr>
      <w:r w:rsidRPr="00083931">
        <w:rPr>
          <w:rFonts w:ascii="Times New Roman" w:hAnsi="Times New Roman" w:cs="Times New Roman"/>
          <w:sz w:val="24"/>
          <w:szCs w:val="24"/>
        </w:rPr>
        <w:t xml:space="preserve">Desempleo y la falta de oportunidades económicas, </w:t>
      </w:r>
      <w:r>
        <w:rPr>
          <w:rFonts w:ascii="Times New Roman" w:hAnsi="Times New Roman"/>
          <w:sz w:val="24"/>
          <w:szCs w:val="24"/>
        </w:rPr>
        <w:t>c</w:t>
      </w:r>
      <w:r w:rsidRPr="00A25CF2">
        <w:rPr>
          <w:rFonts w:ascii="Times New Roman" w:hAnsi="Times New Roman"/>
          <w:sz w:val="24"/>
          <w:szCs w:val="24"/>
        </w:rPr>
        <w:t>aída de los salarios real</w:t>
      </w:r>
      <w:r>
        <w:rPr>
          <w:rFonts w:ascii="Times New Roman" w:hAnsi="Times New Roman"/>
          <w:sz w:val="24"/>
          <w:szCs w:val="24"/>
        </w:rPr>
        <w:t xml:space="preserve">es y de los ingresos familiares, </w:t>
      </w:r>
      <w:r>
        <w:rPr>
          <w:rFonts w:ascii="Times New Roman" w:hAnsi="Times New Roman" w:cs="Times New Roman"/>
          <w:sz w:val="24"/>
          <w:szCs w:val="24"/>
        </w:rPr>
        <w:t>g</w:t>
      </w:r>
      <w:r w:rsidRPr="00083931">
        <w:rPr>
          <w:rFonts w:ascii="Times New Roman" w:hAnsi="Times New Roman" w:cs="Times New Roman"/>
          <w:sz w:val="24"/>
          <w:szCs w:val="24"/>
        </w:rPr>
        <w:t>randes brechas de riqueza, altos índices de pobreza, crisis educativa,  niveles de desigualdad tercermundista,</w:t>
      </w:r>
      <w:r>
        <w:rPr>
          <w:rFonts w:ascii="Times New Roman" w:hAnsi="Times New Roman" w:cs="Times New Roman"/>
          <w:sz w:val="24"/>
          <w:szCs w:val="24"/>
        </w:rPr>
        <w:t xml:space="preserve"> cupones de comida, carencia de sanidad pública, desahucios, villas miseria, inseguridad alimentaria infantil, fracaso escolar… tristes records del país más poderoso de la tierra, sufridos por su propia gente.</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Gente que alguna vez creyó en “el sueño americano”… que se imaginó libre por siempre de padecer las lacras del Tercer Mundo, y que hoy vive la pesadilla de una post guerra sin haber tenido ninguna guerra, que hoy arrastra la desesperanza de su propia vida, las dudas sobre las posibilidades de sus hijos y el recelo por el futuro de sus nietos. </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Gente que hasta ayer tenía un empleo (o dos, contando el de su mujer), un salario razonable y seguro (o dos, contando el de su mujer), casa propia (con deuda hipotecaria a largo plazo), probablemente dos automóviles (uno todo terreno, para ir al súper), colegio o universidad para los hijos, plan de pensiones, seguro de salud,  club, gimnasio, vacaciones, viajes, ocio, esparcimiento, hobbies, todos los electrodomésticos y chucherías electrónicas novedosas que las grandes tiendas ofrecían, más teléfonos móviles que miembros del hogar, varios ordenadores… en fin, todo aquello que satisfacía el consumismo glotón y confirmaba el “american way of life”.</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Casi todo ello (en muchos casos pueden quitar el “casi”) se ha ido perdiendo. El empobrecimiento ha desestructurado lo cotidiano; ha derribado con la violencia de los hechos, proyectos y expectativas que daban sentido a las propias acciones. No es sorprendente, entonces, que también ponga en jaque las creencias que el individuo se ha forjado por años acerca de sí mismo, sobre el lugar que ocupaba en el mundo, en síntesis, sobre su propia identidad. Los empobrecidos se preguntan quiénes son en esta sociedad. Les preocupa saber si siguen siendo de clase media a pesar de todo, lo cual les lleva a preguntarse qué es ser de clase media, en definitiva.</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¿Un pasado mejor, una antigua jerarquía en el trabajo, un título profesional, que no se borran, alcanzan como requisito para mantenerse en la clase media? ¿Quién cambió: ellos, el resto de la sociedad, ambos? Y si toda la clase media se empobreció: ¿acaso no se sigue siendo de clase media, solo que masivamente devaluados? ¿Cuál es la frontera? ¿Hay un límite objetivo o en última instancia todo depende de cómo se ve uno? ¿Quién decide si sigo siendo o ya no soy: yo mismo, mis amigos, la sociedad? Si ya no soy de clase media, ¿Qué soy?</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“El empobrecimiento va erosionando poco a poco los basamentos en los que se sostiene la propia identidad social; es decir la percepción de una ubicación en la estructura social y de un posicionamiento con respecto a otros grupos sociales que forman parte de esa misma sociedad. Se trata de una preocupación central entre los nuevos pobres… Sin embargo, el interrogante sobre la propia identidad difícilmente pueda concluir en una respuesta acabada, y menos que menos común para todos los empobrecidos. La hibridez propia de la nueva pobreza, la coexistencia en la misma persona de hábitos, relaciones sociales, títulos y creencias propias tanto de su pasado no pobre como de su presente pobre, posibilitan que una misma persona pueda considerarse como perteneciendo todavía a la clase media, si toma en cuenta lo que aún posee y no dejará nunca de poseer -“soy un profesional, a pesar de todo”- , o bien como un expulsado, si toma en cuenta lo que perdió”… (La nueva pobreza en la Argentina - Alberto Minujin &amp; Gabriel Kessler)</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el empobrecimiento erosiona de algún modo la propia identidad social, es interesante ver específicamente por qué vías lo hace. En muchos casos, la crisis de identidad aparece en relación directa con la caída de poder adquisitivo, la contracción del consumo. Esta es una visión muy extendida de lo que definiría a la clase media: el consumo. Una identidad que se sostiene en base al acceso a bienes y servicios que permitían algo más que lo puramente ligado a la supervivencia. Identidad construida en base a determinada ropa, salidas, vacaciones, electrodomésticos, automóvil…  </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La clase media aquí se define entonces en la cotidianidad, en los hábitos de consumo, de frecuentación de lugares y en la manipulación de bienes. Quizá parezca a simple vista una identidad “superficial”, más ligada a una cuestión de imagen y al consumismo que a un sentimiento profundo. Sin embargo, es esta propia cotidianidad, ligada a los hábitos, a la casa, a todo aquello con lo que uno se relaciona cada día, lo que constituye gran parte de la identidad de la clase media, en tanto identidad.</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Identidad cotidiana , que no exige ningún compromiso ni rito particular para reafirmar su pertenencia, como sí se le requiere, por ejemplo, a quien se considera feligrés de una determinada religión o miembro de una agrupación política. Se es de clase media por el solo hecho de vivir como se vive. Y éste es también su talón de Aquiles en la caída: los cambios en los hábitos cotidianos implican la desestructuración de las bases de identidad.</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Otra forma de erosión de la identidad, es la terrible sensación de que aquello que se es, que siempre se ha sido y de lo que se está orgulloso, ha perdido todo su prestigio social. Para algunos de ellos, la identidad aparece puesta en tela de juicio al ver retrospectivamente que todos los ideales y valores alrededor de los cuales estructuraron su vida no han dado los frutos esperados. Lo que aparece en escena es la sensación de haber hecho una elección equivocada, o en su caso, la sensación de que “cuando te tocaba, te escamotearon el premio”.  </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Hasta ahora me he referido a nuevos pobres que sufren la depreciación salarial, pero que todavía están ocupados; distinta es la erosión de la identidad que se produce al sufrir el desempleo. A veces el cuestionamiento de la identidad viene dado por la mirada de los demás, hasta la de los más cercanos. A veces, la mirada de los demás interviene para calificar de modo positivo o negativo una misma conducta, dependiendo, justamente, del grupo social donde se la ubica. En la construcción de la identidad intervienen también prejuicios, estereotipos, imágenes de clase que sirven no solo para construir una imagen de los otros, sino, por sobre todo, para establecer una frontera entre esos otros y uno mismo. La pobreza implica una marca, un estigma que los nuevos pobres luchan por evitar.</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Considerarse “clase pobre” o aun perteneciente a la clase media tiene consecuencias distintas, como por ejemplo  con relación a autopercibirse como objeto legítimo de políticas públicas. Muchas familias que sufren una verdadera situación de pobreza, llegan a considerar que, de todos modos, “su situación es transitoria”, que no era a ellos a quienes se debía ayudar, sino a los “verdaderos pobres”. </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Entran en juego aquí muchos factores: en primer lugar la sensación de estigma frente a medidas de tipo asistencialistas. Muchas familias en muy mala situación llegan a sentirse muy incómodos ante una medida de “darles” y, más aun, algo tan íntimo como es la elección de la dieta familiar. Pero además, sin excepción, lo que los nuevos pobres exigen es trabajo, trabajo bien remunerado, que permita restablecer el piso mínimo de justicia que exigen de su sociedad: “que si trabajas te alcance para vivir”.</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Permanecer en la clase media ayuda a resguardar la identidad ante el dislocamiento generalizado de la cotidianidad. La inscripción dentro de la categoría colectiva puede actuar como un eje estructurante de demandas: el desfase entre aquello a lo que la propia condición -en tanto profesional, trabajador o miembro de la clase media- debería permitir acceder y lo que realmente hoy se tiene se transforma a veces en la base legítima de una serie de reivindicaciones, aunque no lleguen al terreno de lo público y de la acción colectiva. Sin embargo, permanecer exige también un esfuerzo, a menudo sobrehumano, de resguardo de ciertas prácticas cuya supresión confirmaría que la expulsión de clase ha acontecido.</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En el otro extremo, estar fuera de la clase media puede tener un efecto dresestructurante, sobre todo en aquellos que no han podido encontrar un nuevo refugio. Pero en muchos de los que se ven como “ex clase media” o directamente ya dentro de la “clase baja” o “trabajadora”, llevará también a una mayor resignación frente a la vivencia de las limitaciones y carencias hoy socialmente aceptadas como propias de tal grupo.</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Un ideal tambaleante: el progreso</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estadounidenses han sido educados con la idea de progreso como un destino, un puerto de llegada que daba sentido a gran parte de sus acciones y, sobre todo, a sus </w:t>
      </w:r>
      <w:r>
        <w:rPr>
          <w:rFonts w:ascii="Times New Roman" w:hAnsi="Times New Roman" w:cs="Times New Roman"/>
          <w:sz w:val="24"/>
          <w:szCs w:val="24"/>
        </w:rPr>
        <w:lastRenderedPageBreak/>
        <w:t>sacrificios. En la base de sus creencias más profundas el futuro y el progreso aparecen casi fusionados, como si fueran lo mismo: el progreso aparece como el signo de los tiempos, como si todo debiera progresar, perfeccionarse, mejorar con el correr de los años. Mirar hoy el pasado y caer en la cuenta de que, por más sacrificios y ahorros que se hayan hecho, por más que se hayan cumplido las reglas, el “saldo da en rojo”, es uno de los más duros golpes para los que han caído: el empobrecimiento es la afrenta más grande que pueda hacerse a la idea de progreso, es su mayor desmentida.</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Renunciar a la idea de progreso es demasiado doloroso: implica resignarse a la inexistencia de algún principio de justicia que rija el mundo, algo que se mantenga en pie a pesar de las vicisitudes circunstanciales que la mano del hombre inflija. El progreso funciona como principio de justicia y equidad de base de todo orden social: una creencia que promete que a mayor esfuerzo, a mayor mérito y sacrificio, corresponderán mayores logros…</w:t>
      </w:r>
    </w:p>
    <w:p w:rsidR="002F07D4" w:rsidRPr="00066F0E" w:rsidRDefault="002F07D4" w:rsidP="002F07D4">
      <w:pPr>
        <w:spacing w:line="240" w:lineRule="auto"/>
        <w:jc w:val="both"/>
        <w:rPr>
          <w:rFonts w:ascii="Times New Roman" w:hAnsi="Times New Roman" w:cs="Times New Roman"/>
          <w:b/>
          <w:sz w:val="24"/>
          <w:szCs w:val="24"/>
        </w:rPr>
      </w:pPr>
      <w:r w:rsidRPr="00066F0E">
        <w:rPr>
          <w:rFonts w:ascii="Times New Roman" w:hAnsi="Times New Roman" w:cs="Times New Roman"/>
          <w:b/>
          <w:sz w:val="24"/>
          <w:szCs w:val="24"/>
        </w:rPr>
        <w:t>El “lamento” de Popper</w:t>
      </w:r>
    </w:p>
    <w:p w:rsidR="002F07D4" w:rsidRPr="00176437" w:rsidRDefault="002F07D4" w:rsidP="002F07D4">
      <w:pPr>
        <w:spacing w:line="240" w:lineRule="auto"/>
        <w:jc w:val="both"/>
        <w:rPr>
          <w:rFonts w:ascii="Times New Roman" w:hAnsi="Times New Roman" w:cs="Times New Roman"/>
          <w:sz w:val="24"/>
          <w:szCs w:val="24"/>
        </w:rPr>
      </w:pPr>
      <w:r w:rsidRPr="00176437">
        <w:rPr>
          <w:rFonts w:ascii="Times New Roman" w:hAnsi="Times New Roman" w:cs="Times New Roman"/>
          <w:sz w:val="24"/>
          <w:szCs w:val="24"/>
        </w:rPr>
        <w:t>Si Popper resu</w:t>
      </w:r>
      <w:r>
        <w:rPr>
          <w:rFonts w:ascii="Times New Roman" w:hAnsi="Times New Roman" w:cs="Times New Roman"/>
          <w:sz w:val="24"/>
          <w:szCs w:val="24"/>
        </w:rPr>
        <w:t>cita</w:t>
      </w:r>
      <w:r w:rsidRPr="00176437">
        <w:rPr>
          <w:rFonts w:ascii="Times New Roman" w:hAnsi="Times New Roman" w:cs="Times New Roman"/>
          <w:sz w:val="24"/>
          <w:szCs w:val="24"/>
        </w:rPr>
        <w:t>ra en la</w:t>
      </w:r>
      <w:r>
        <w:rPr>
          <w:rFonts w:ascii="Times New Roman" w:hAnsi="Times New Roman" w:cs="Times New Roman"/>
          <w:sz w:val="24"/>
          <w:szCs w:val="24"/>
        </w:rPr>
        <w:t xml:space="preserve"> Europa del 2013, constaría alarmado que de “los males que pueden ser resueltos o remediados por la cooperación social”, solo se podría acreditar el haber evitado la guerra (y eso está por verse…). Lo demás, ha dejado de existir. Se terminó…  No va más… Kaputt. Papá Estado ha sido asesinado por su hijo empresario.</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A partir de 1989 (caída del Muro de Berlín y posterior “implosión” de la URSS) todos esos “derechos y garantías” sociales, han dejado de ser “útiles y necesarios” para el sistema capitalista occidental. A partir del “fin de la historia”, según Fukuyama, el Estado de Bienestar deja de ser una barrera sanitaria europea “sostenible”. Entonces, se instaura un capitalismo de “manos libres”, flexible, competitivo, sin sobre costos.</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Los europeos, después de dos (casi tres) generaciones de creer que su vida estaba resuelta desde la cuna hasta la tumba (aunque sea a costa de mantener una resignación bovina, pastueña, apesebrada, sumisa, borreguil… ¿quieren que siga?), ahora, tarde y mal, descubren que son unos pobres habitantes del Tercer Mundo, sin derechos sociales y sin asistencia de ningún tipo. La “teta” presupuestaria solo amamanta a Europa S. A..</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Ni las empresas, ni los gobiernos, los necesitan más… se acabó la “sopa boba” asistencialista. El Welfare se “privatiza”. El único </w:t>
      </w:r>
      <w:r w:rsidRPr="00273F00">
        <w:rPr>
          <w:rFonts w:ascii="Times New Roman" w:hAnsi="Times New Roman" w:cs="Times New Roman"/>
          <w:sz w:val="24"/>
          <w:szCs w:val="24"/>
        </w:rPr>
        <w:t>Wohlfahrtsstaat</w:t>
      </w:r>
      <w:r>
        <w:rPr>
          <w:rFonts w:ascii="Times New Roman" w:hAnsi="Times New Roman" w:cs="Times New Roman"/>
          <w:sz w:val="24"/>
          <w:szCs w:val="24"/>
        </w:rPr>
        <w:t xml:space="preserve"> que interesa es el del Estado (la casta política), y eso, pura y exclusivamente, para procurar el bienestar de las empresas (los amos del universo), que es de lo que se trata. Caen el ‘muro’ y la máscara. </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demás, en la puta calle… al pairo… y que cada cual aguante su vela. O sea. Lamento decirlo, pero aquel que no se haya preparado para esto, lo va a pasar muy mal. </w:t>
      </w:r>
    </w:p>
    <w:p w:rsidR="002F07D4" w:rsidRPr="00E6604D" w:rsidRDefault="002F07D4" w:rsidP="002F07D4">
      <w:pPr>
        <w:spacing w:line="240" w:lineRule="auto"/>
        <w:jc w:val="both"/>
        <w:rPr>
          <w:rFonts w:ascii="Times New Roman" w:hAnsi="Times New Roman"/>
          <w:b/>
          <w:sz w:val="24"/>
          <w:szCs w:val="24"/>
        </w:rPr>
      </w:pPr>
      <w:r w:rsidRPr="00E6604D">
        <w:rPr>
          <w:rFonts w:ascii="Times New Roman" w:hAnsi="Times New Roman"/>
          <w:b/>
          <w:sz w:val="24"/>
          <w:szCs w:val="24"/>
        </w:rPr>
        <w:t xml:space="preserve">Crisis… What crisis? </w:t>
      </w:r>
      <w:r>
        <w:rPr>
          <w:rFonts w:ascii="Times New Roman" w:hAnsi="Times New Roman"/>
          <w:b/>
          <w:sz w:val="24"/>
          <w:szCs w:val="24"/>
        </w:rPr>
        <w:t>(el casino sigue abierto)</w:t>
      </w:r>
    </w:p>
    <w:p w:rsidR="002F07D4" w:rsidRDefault="002F07D4" w:rsidP="002F07D4">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Los únicos causantes de esta crisis (que -repito- no ha sido un hecho de la naturaleza) han sido los bancos centrales (encabezados por la Fed), las entidades bancarias (encabezadas por la banca americana) y las bolsas de valores (encabezadas por Wall Street) y, para mayor escarnio, los únicos beneficiarios de la crisis han sido, y continúan siéndolo, los mismos bancos y las mismas bolsas de valores que la causaron.</w:t>
      </w:r>
    </w:p>
    <w:p w:rsidR="002F07D4" w:rsidRDefault="002F07D4" w:rsidP="002F07D4">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El gráfico que sigue nos muestra claramente cómo se benefició Wall Street de la “flexibilización cuantitativa” (QEs) promovida por Bernanke. L</w:t>
      </w:r>
      <w:r w:rsidRPr="005A4E4D">
        <w:rPr>
          <w:rFonts w:ascii="Times New Roman" w:hAnsi="Times New Roman"/>
          <w:sz w:val="24"/>
          <w:szCs w:val="24"/>
        </w:rPr>
        <w:t>a</w:t>
      </w:r>
      <w:r>
        <w:rPr>
          <w:rFonts w:ascii="Times New Roman" w:hAnsi="Times New Roman"/>
          <w:sz w:val="24"/>
          <w:szCs w:val="24"/>
        </w:rPr>
        <w:t xml:space="preserve"> Reserva Federal a </w:t>
      </w:r>
      <w:r>
        <w:rPr>
          <w:rFonts w:ascii="Times New Roman" w:hAnsi="Times New Roman"/>
          <w:sz w:val="24"/>
          <w:szCs w:val="24"/>
        </w:rPr>
        <w:lastRenderedPageBreak/>
        <w:t xml:space="preserve">través de sus diversos </w:t>
      </w:r>
      <w:r w:rsidRPr="005A4E4D">
        <w:rPr>
          <w:rFonts w:ascii="Times New Roman" w:hAnsi="Times New Roman"/>
          <w:sz w:val="24"/>
          <w:szCs w:val="24"/>
        </w:rPr>
        <w:t>programa</w:t>
      </w:r>
      <w:r>
        <w:rPr>
          <w:rFonts w:ascii="Times New Roman" w:hAnsi="Times New Roman"/>
          <w:sz w:val="24"/>
          <w:szCs w:val="24"/>
        </w:rPr>
        <w:t xml:space="preserve">s de estímulo, </w:t>
      </w:r>
      <w:r w:rsidRPr="005A4E4D">
        <w:rPr>
          <w:rFonts w:ascii="Times New Roman" w:hAnsi="Times New Roman"/>
          <w:sz w:val="24"/>
          <w:szCs w:val="24"/>
        </w:rPr>
        <w:t>ha estado apuntalando los precios de los act</w:t>
      </w:r>
      <w:r>
        <w:rPr>
          <w:rFonts w:ascii="Times New Roman" w:hAnsi="Times New Roman"/>
          <w:sz w:val="24"/>
          <w:szCs w:val="24"/>
        </w:rPr>
        <w:t xml:space="preserve">ivos y </w:t>
      </w:r>
      <w:r w:rsidRPr="000D0B63">
        <w:rPr>
          <w:rFonts w:ascii="Times New Roman" w:hAnsi="Times New Roman" w:cs="Times New Roman"/>
          <w:sz w:val="24"/>
          <w:szCs w:val="24"/>
        </w:rPr>
        <w:t xml:space="preserve">un </w:t>
      </w:r>
      <w:r w:rsidRPr="000D0B63">
        <w:rPr>
          <w:rFonts w:ascii="Times New Roman" w:hAnsi="Times New Roman" w:cs="Times New Roman"/>
          <w:color w:val="000000"/>
          <w:sz w:val="24"/>
          <w:szCs w:val="24"/>
        </w:rPr>
        <w:t>merca</w:t>
      </w:r>
      <w:r>
        <w:rPr>
          <w:rFonts w:ascii="Times New Roman" w:hAnsi="Times New Roman" w:cs="Times New Roman"/>
          <w:color w:val="000000"/>
          <w:sz w:val="24"/>
          <w:szCs w:val="24"/>
        </w:rPr>
        <w:t xml:space="preserve">do alcista que lleva cinco años. </w:t>
      </w:r>
      <w:r w:rsidRPr="00760E95">
        <w:rPr>
          <w:rFonts w:ascii="Times New Roman" w:hAnsi="Times New Roman" w:cs="Times New Roman"/>
          <w:color w:val="000000"/>
          <w:sz w:val="24"/>
          <w:szCs w:val="24"/>
        </w:rPr>
        <w:t>Un efecto de la relajación monetaria de la Fed ha sido el vuelco de los inversionistas a partes del mercado que ofrecen mayores rendimientos</w:t>
      </w:r>
      <w:r>
        <w:rPr>
          <w:rFonts w:ascii="Times New Roman" w:hAnsi="Times New Roman" w:cs="Times New Roman"/>
          <w:color w:val="000000"/>
          <w:sz w:val="24"/>
          <w:szCs w:val="24"/>
        </w:rPr>
        <w:t xml:space="preserve"> (amplificando los riesgos). La historia vuelve a repetirse: burbujas e información privilegiada. La misma audacia especulativa del pasado.</w:t>
      </w:r>
    </w:p>
    <w:p w:rsidR="002F07D4" w:rsidRPr="005A4E4D" w:rsidRDefault="002F07D4" w:rsidP="002F07D4">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noProof/>
          <w:sz w:val="24"/>
          <w:szCs w:val="24"/>
          <w:lang w:val="en-GB" w:eastAsia="en-GB"/>
        </w:rPr>
        <w:drawing>
          <wp:inline distT="0" distB="0" distL="0" distR="0">
            <wp:extent cx="5397500" cy="2222500"/>
            <wp:effectExtent l="0" t="0" r="0" b="635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222500"/>
                    </a:xfrm>
                    <a:prstGeom prst="rect">
                      <a:avLst/>
                    </a:prstGeom>
                    <a:noFill/>
                    <a:ln>
                      <a:noFill/>
                    </a:ln>
                  </pic:spPr>
                </pic:pic>
              </a:graphicData>
            </a:graphic>
          </wp:inline>
        </w:drawing>
      </w:r>
      <w:r w:rsidRPr="005A4E4D">
        <w:rPr>
          <w:rFonts w:ascii="Times New Roman" w:hAnsi="Times New Roman" w:cs="Times New Roman"/>
          <w:color w:val="000000"/>
          <w:sz w:val="24"/>
          <w:szCs w:val="24"/>
        </w:rPr>
        <w:t xml:space="preserve">(The Wall Street Journal - </w:t>
      </w:r>
      <w:r w:rsidRPr="005A4E4D">
        <w:rPr>
          <w:rFonts w:ascii="Times New Roman" w:hAnsi="Times New Roman" w:cs="Times New Roman"/>
          <w:b/>
          <w:color w:val="000000"/>
          <w:sz w:val="24"/>
          <w:szCs w:val="24"/>
        </w:rPr>
        <w:t>25/8/14</w:t>
      </w:r>
      <w:r w:rsidRPr="005A4E4D">
        <w:rPr>
          <w:rFonts w:ascii="Times New Roman" w:hAnsi="Times New Roman" w:cs="Times New Roman"/>
          <w:color w:val="000000"/>
          <w:sz w:val="24"/>
          <w:szCs w:val="24"/>
        </w:rPr>
        <w:t>)</w:t>
      </w:r>
    </w:p>
    <w:p w:rsidR="002F07D4" w:rsidRDefault="002F07D4" w:rsidP="002F07D4">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Las siguientes tablas, permiten observar el mínimo impacto que la crisis ha tenido en las penalizaciones, volumen de negocio y estructura de personal, de las entidades bancarias. </w:t>
      </w:r>
    </w:p>
    <w:p w:rsidR="002F07D4" w:rsidRDefault="002F07D4" w:rsidP="002F07D4">
      <w:pPr>
        <w:spacing w:before="100" w:beforeAutospacing="1" w:after="100" w:afterAutospacing="1" w:line="240" w:lineRule="auto"/>
        <w:jc w:val="both"/>
        <w:rPr>
          <w:rFonts w:ascii="Times New Roman" w:hAnsi="Times New Roman"/>
          <w:sz w:val="24"/>
          <w:szCs w:val="24"/>
        </w:rPr>
      </w:pPr>
      <w:r>
        <w:rPr>
          <w:rFonts w:ascii="Arial" w:hAnsi="Arial" w:cs="Arial"/>
          <w:noProof/>
          <w:color w:val="333333"/>
          <w:sz w:val="15"/>
          <w:szCs w:val="15"/>
          <w:lang w:val="en-GB" w:eastAsia="en-GB"/>
        </w:rPr>
        <w:drawing>
          <wp:inline distT="0" distB="0" distL="0" distR="0">
            <wp:extent cx="5397468" cy="2432050"/>
            <wp:effectExtent l="0" t="0" r="0" b="6350"/>
            <wp:docPr id="362" name="Imagen 362" descr="http://si.wsj.net/public/resources/images/OA-BC168_wsjamd_NS_20140821220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C168_wsjamd_NS_20140821220236.jpg"/>
                    <pic:cNvPicPr>
                      <a:picLocks noChangeAspect="1" noChangeArrowheads="1"/>
                    </pic:cNvPicPr>
                  </pic:nvPicPr>
                  <pic:blipFill>
                    <a:blip r:embed="rId2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433209"/>
                    </a:xfrm>
                    <a:prstGeom prst="rect">
                      <a:avLst/>
                    </a:prstGeom>
                    <a:noFill/>
                    <a:ln>
                      <a:noFill/>
                    </a:ln>
                  </pic:spPr>
                </pic:pic>
              </a:graphicData>
            </a:graphic>
          </wp:inline>
        </w:drawing>
      </w:r>
    </w:p>
    <w:p w:rsidR="002F07D4" w:rsidRDefault="002F07D4" w:rsidP="002F07D4">
      <w:pPr>
        <w:pStyle w:val="NormalWeb"/>
        <w:jc w:val="both"/>
      </w:pPr>
      <w:r w:rsidRPr="00B25F55">
        <w:t>Conciliar las acusaciones del gobierno de Estados Unidos es un intento por parte del gobierno estadounidense de marcar un punto de referencia en una serie de medidas y demandas legales posteriores a la crisis financiera que le</w:t>
      </w:r>
      <w:r>
        <w:t xml:space="preserve"> han costado a los bancos de EEUU</w:t>
      </w:r>
      <w:r w:rsidRPr="00B25F55">
        <w:t xml:space="preserve"> sanciones por más de US$125.000 millones. </w:t>
      </w:r>
    </w:p>
    <w:p w:rsidR="002F07D4" w:rsidRPr="00E6604D" w:rsidRDefault="002F07D4" w:rsidP="002F07D4">
      <w:pPr>
        <w:pStyle w:val="NormalWeb"/>
        <w:jc w:val="both"/>
      </w:pPr>
      <w:r>
        <w:t xml:space="preserve">Cifra que representa una afrenta (moral y legal) comparada con el equivalente al 50% del PIB mundial, que estos magos de las finanzas se llevaron por delante, entre perdidas de riqueza, rescates, avales, QEs y otros “estímulos”, concedidos por los gobiernos. </w:t>
      </w:r>
    </w:p>
    <w:p w:rsidR="002F07D4" w:rsidRDefault="002F07D4" w:rsidP="002F07D4">
      <w:pPr>
        <w:spacing w:before="100" w:beforeAutospacing="1" w:after="100" w:afterAutospacing="1" w:line="240" w:lineRule="auto"/>
        <w:jc w:val="both"/>
        <w:rPr>
          <w:rFonts w:ascii="Times New Roman" w:hAnsi="Times New Roman"/>
          <w:color w:val="FF0000"/>
          <w:sz w:val="24"/>
          <w:szCs w:val="24"/>
        </w:rPr>
      </w:pPr>
      <w:r>
        <w:rPr>
          <w:noProof/>
          <w:lang w:val="en-GB" w:eastAsia="en-GB"/>
        </w:rPr>
        <w:lastRenderedPageBreak/>
        <w:drawing>
          <wp:inline distT="0" distB="0" distL="0" distR="0">
            <wp:extent cx="5397498" cy="3752850"/>
            <wp:effectExtent l="0" t="0" r="0" b="0"/>
            <wp:docPr id="456" name="Imagen 456" descr="http://www.ecestaticos.com/image/clipping/dd72f371ea8bac307bd5ee3dce3472fc/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cestaticos.com/image/clipping/dd72f371ea8bac307bd5ee3dce3472fc/imagen-sin-titulo.jpg"/>
                    <pic:cNvPicPr>
                      <a:picLocks noChangeAspect="1" noChangeArrowheads="1"/>
                    </pic:cNvPicPr>
                  </pic:nvPicPr>
                  <pic:blipFill>
                    <a:blip r:embed="rId2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3754617"/>
                    </a:xfrm>
                    <a:prstGeom prst="rect">
                      <a:avLst/>
                    </a:prstGeom>
                    <a:noFill/>
                    <a:ln>
                      <a:noFill/>
                    </a:ln>
                  </pic:spPr>
                </pic:pic>
              </a:graphicData>
            </a:graphic>
          </wp:inline>
        </w:drawing>
      </w:r>
    </w:p>
    <w:p w:rsidR="002F07D4" w:rsidRDefault="002F07D4" w:rsidP="002F07D4">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hAnsi="Times New Roman" w:cs="Times New Roman"/>
          <w:b/>
          <w:sz w:val="24"/>
          <w:szCs w:val="24"/>
        </w:rPr>
        <w:t>Por favor, no se olviden de lo inolvidable (antes que sea demasiado tarde)</w:t>
      </w:r>
      <w:r w:rsidRPr="006F57CF">
        <w:rPr>
          <w:rFonts w:ascii="Times New Roman" w:hAnsi="Times New Roman" w:cs="Times New Roman"/>
          <w:sz w:val="24"/>
          <w:szCs w:val="24"/>
        </w:rPr>
        <w:t>:</w:t>
      </w:r>
      <w:r w:rsidRPr="006F57CF">
        <w:rPr>
          <w:rFonts w:ascii="Times New Roman" w:eastAsia="Times New Roman" w:hAnsi="Times New Roman"/>
          <w:sz w:val="24"/>
          <w:szCs w:val="24"/>
          <w:lang w:eastAsia="es-ES"/>
        </w:rPr>
        <w:t xml:space="preserve"> La autopsia e</w:t>
      </w:r>
      <w:r>
        <w:rPr>
          <w:rFonts w:ascii="Times New Roman" w:eastAsia="Times New Roman" w:hAnsi="Times New Roman"/>
          <w:sz w:val="24"/>
          <w:szCs w:val="24"/>
          <w:lang w:eastAsia="es-ES"/>
        </w:rPr>
        <w:t xml:space="preserve">stá hecha, </w:t>
      </w:r>
      <w:r>
        <w:rPr>
          <w:rFonts w:ascii="Times New Roman" w:eastAsia="Times New Roman" w:hAnsi="Times New Roman" w:cs="Times New Roman"/>
          <w:sz w:val="24"/>
          <w:szCs w:val="24"/>
          <w:lang w:eastAsia="es-ES"/>
        </w:rPr>
        <w:t>l</w:t>
      </w:r>
      <w:r w:rsidRPr="006F57CF">
        <w:rPr>
          <w:rFonts w:ascii="Times New Roman" w:eastAsia="Times New Roman" w:hAnsi="Times New Roman" w:cs="Times New Roman"/>
          <w:sz w:val="24"/>
          <w:szCs w:val="24"/>
          <w:lang w:eastAsia="es-ES"/>
        </w:rPr>
        <w:t>a comisión del Congreso que investigó las causas que provocaron el colapso del sistema bancario en Estados Unidos atribuye la crisis al apetito desmesurado de los bancos por el riesgo y la ineptitud de las agencias de calificación, a los agujeros en la regulación y la actuación laxa de los supervisores, como la Reserva Federal, y a la falta de iniciativa política para exigir responsabilidades a Wall Street. “Fue resultado de la acción y de la inacción humana, no de la madre naturaleza o de un modelo informático que se volvió loco”, reza el informe</w:t>
      </w:r>
      <w:r>
        <w:rPr>
          <w:rFonts w:ascii="Times New Roman" w:eastAsia="Times New Roman" w:hAnsi="Times New Roman" w:cs="Times New Roman"/>
          <w:sz w:val="24"/>
          <w:szCs w:val="24"/>
          <w:lang w:eastAsia="es-ES"/>
        </w:rPr>
        <w:t xml:space="preserve"> (</w:t>
      </w:r>
      <w:r w:rsidRPr="0039355C">
        <w:rPr>
          <w:rFonts w:ascii="Times New Roman" w:eastAsia="Times New Roman" w:hAnsi="Times New Roman" w:cs="Times New Roman"/>
          <w:b/>
          <w:sz w:val="24"/>
          <w:szCs w:val="24"/>
          <w:lang w:eastAsia="es-ES"/>
        </w:rPr>
        <w:t>27/1/11</w:t>
      </w:r>
      <w:r>
        <w:rPr>
          <w:rFonts w:ascii="Times New Roman" w:eastAsia="Times New Roman" w:hAnsi="Times New Roman" w:cs="Times New Roman"/>
          <w:sz w:val="24"/>
          <w:szCs w:val="24"/>
          <w:lang w:eastAsia="es-ES"/>
        </w:rPr>
        <w:t>).</w:t>
      </w:r>
    </w:p>
    <w:p w:rsidR="002F07D4" w:rsidRPr="00B42CF4" w:rsidRDefault="002F07D4" w:rsidP="002F07D4">
      <w:pPr>
        <w:spacing w:line="240" w:lineRule="auto"/>
        <w:jc w:val="both"/>
        <w:rPr>
          <w:rFonts w:ascii="Times New Roman" w:hAnsi="Times New Roman"/>
          <w:b/>
          <w:sz w:val="24"/>
          <w:szCs w:val="24"/>
        </w:rPr>
      </w:pPr>
      <w:r w:rsidRPr="00B42CF4">
        <w:rPr>
          <w:rFonts w:ascii="Times New Roman" w:hAnsi="Times New Roman"/>
          <w:b/>
          <w:sz w:val="24"/>
          <w:szCs w:val="24"/>
        </w:rPr>
        <w:t>¿Esta crisis nunca se acaba? The great breakdown</w:t>
      </w:r>
    </w:p>
    <w:p w:rsidR="002F07D4" w:rsidRPr="00B42CF4" w:rsidRDefault="002F07D4" w:rsidP="002F07D4">
      <w:pPr>
        <w:spacing w:line="240" w:lineRule="auto"/>
        <w:jc w:val="both"/>
        <w:rPr>
          <w:rFonts w:ascii="Times New Roman" w:hAnsi="Times New Roman"/>
          <w:sz w:val="24"/>
          <w:szCs w:val="24"/>
        </w:rPr>
      </w:pPr>
      <w:r w:rsidRPr="00B42CF4">
        <w:rPr>
          <w:rFonts w:ascii="Times New Roman" w:hAnsi="Times New Roman"/>
          <w:sz w:val="24"/>
          <w:szCs w:val="24"/>
        </w:rPr>
        <w:t>Durante los últimos años estamos asistiendo a determinadas dinámicas que reflejan, por un lado, un paulatino declive político, económico, y militar de los Estados Unidos, y, por otro, la incapacidad de la Unión Europea de despegarse definitivamente del país norteamericano, y ofrecer una voz propia.</w:t>
      </w:r>
    </w:p>
    <w:p w:rsidR="002F07D4" w:rsidRPr="00B42CF4" w:rsidRDefault="002F07D4" w:rsidP="002F07D4">
      <w:pPr>
        <w:spacing w:line="240" w:lineRule="auto"/>
        <w:jc w:val="both"/>
        <w:rPr>
          <w:rFonts w:ascii="Times New Roman" w:hAnsi="Times New Roman"/>
          <w:sz w:val="24"/>
          <w:szCs w:val="24"/>
        </w:rPr>
      </w:pPr>
      <w:r w:rsidRPr="00B42CF4">
        <w:rPr>
          <w:rFonts w:ascii="Times New Roman" w:hAnsi="Times New Roman"/>
          <w:sz w:val="24"/>
          <w:szCs w:val="24"/>
        </w:rPr>
        <w:t>Estados Unidos hace décadas que dejó de ser el adalid de la libertad y de la democracia, transformándose en un “totalitarismo invertido” donde la antidemocracia, y el dominio de la élite constituyen los elementos básicos. Se trata de una sociedad donde las desigualdades alcanzan niveles insoportables, donde las élites se empeña en reconstituir el sistema existente con el objetivo de favorecer de manera permanente a la clase dominante, los más ricos, los intereses corporativos, mientras que dejan a los ciudadanos más pobres con una sensación de impotencia y desesperación política.</w:t>
      </w:r>
    </w:p>
    <w:p w:rsidR="002F07D4" w:rsidRPr="00B42CF4" w:rsidRDefault="002F07D4" w:rsidP="002F07D4">
      <w:pPr>
        <w:spacing w:line="240" w:lineRule="auto"/>
        <w:jc w:val="both"/>
        <w:rPr>
          <w:rFonts w:ascii="Times New Roman" w:hAnsi="Times New Roman"/>
          <w:sz w:val="24"/>
          <w:szCs w:val="24"/>
        </w:rPr>
      </w:pPr>
      <w:r w:rsidRPr="00B42CF4">
        <w:rPr>
          <w:rFonts w:ascii="Times New Roman" w:hAnsi="Times New Roman"/>
          <w:sz w:val="24"/>
          <w:szCs w:val="24"/>
        </w:rPr>
        <w:t>La Unión Europea debe buscar una voz propia, contribuir a la búsqueda de soluciones cooperativas. Los europeos, a partir de su proyecto común, con todas sus contradicciones y profundas diferencias, tienen mucho que aportar sobre cómo, desde un punto de vista práctico, pueden solucionar conflictos de intereses integrando la heterogeneidad.</w:t>
      </w:r>
    </w:p>
    <w:p w:rsidR="002F07D4" w:rsidRPr="00B42CF4" w:rsidRDefault="002F07D4" w:rsidP="002F07D4">
      <w:pPr>
        <w:spacing w:line="240" w:lineRule="auto"/>
        <w:jc w:val="both"/>
        <w:rPr>
          <w:rFonts w:ascii="Times New Roman" w:hAnsi="Times New Roman"/>
          <w:sz w:val="24"/>
          <w:szCs w:val="24"/>
        </w:rPr>
      </w:pPr>
      <w:r w:rsidRPr="00B42CF4">
        <w:rPr>
          <w:rFonts w:ascii="Times New Roman" w:hAnsi="Times New Roman"/>
          <w:sz w:val="24"/>
          <w:szCs w:val="24"/>
        </w:rPr>
        <w:lastRenderedPageBreak/>
        <w:t>La UE debería impulsar un proceso de creación de una nueva divisa de reserva mundial y un nuevo sistema monetario y financiero; la UE debería reducir drásticamente el tamaño del balance financiero, restringir las transacciones, cambiar la regulación y promover el control público parcial o completo de los principales establecimientos financieros mundiales; la UE debería lanzar un vasto programa de infraestructuras públicas a escala regional; la UE debería rechazar la propuesta del Tratado de Libre Comercio con los EEUU (una huida hacia adelante para preservar los privilegios del dólar)… En resumen, reindustrializar la economía y preservar el Estado del Bienestar.</w:t>
      </w:r>
    </w:p>
    <w:p w:rsidR="002F07D4" w:rsidRDefault="002F07D4" w:rsidP="002F07D4">
      <w:pPr>
        <w:spacing w:line="240" w:lineRule="auto"/>
        <w:jc w:val="both"/>
        <w:rPr>
          <w:rFonts w:ascii="Times New Roman" w:hAnsi="Times New Roman"/>
          <w:sz w:val="24"/>
          <w:szCs w:val="24"/>
        </w:rPr>
      </w:pPr>
      <w:r w:rsidRPr="00B42CF4">
        <w:rPr>
          <w:rFonts w:ascii="Times New Roman" w:hAnsi="Times New Roman"/>
          <w:sz w:val="24"/>
          <w:szCs w:val="24"/>
        </w:rPr>
        <w:t>Todo ello garantizaría de manera eficaz y sostenible el crecimiento regional (y mundial) utilizando mejor los desequilibrios actuales en materia de recursos financieros. Sin embargo, la Unión Europea parece decidida definitivamente a auto-inmolarse de la mano de los Estados Unidos. ¿Complejo de inferioridad o síndrome de Estocolmo?</w:t>
      </w:r>
    </w:p>
    <w:p w:rsidR="002F07D4" w:rsidRPr="002D0480" w:rsidRDefault="002F07D4" w:rsidP="002F07D4">
      <w:pPr>
        <w:spacing w:line="240" w:lineRule="auto"/>
        <w:jc w:val="both"/>
        <w:rPr>
          <w:rFonts w:ascii="Times New Roman" w:hAnsi="Times New Roman"/>
          <w:b/>
          <w:color w:val="FF0000"/>
          <w:sz w:val="24"/>
          <w:szCs w:val="24"/>
        </w:rPr>
      </w:pPr>
      <w:r w:rsidRPr="002D0480">
        <w:rPr>
          <w:rFonts w:ascii="Times New Roman" w:hAnsi="Times New Roman"/>
          <w:b/>
          <w:color w:val="FF0000"/>
          <w:sz w:val="24"/>
          <w:szCs w:val="24"/>
        </w:rPr>
        <w:t>(Año 2016)</w:t>
      </w:r>
    </w:p>
    <w:p w:rsidR="002F07D4" w:rsidRPr="00BB2A04" w:rsidRDefault="002F07D4" w:rsidP="002F07D4">
      <w:pPr>
        <w:spacing w:line="240" w:lineRule="auto"/>
        <w:jc w:val="both"/>
        <w:rPr>
          <w:rFonts w:ascii="Times New Roman" w:hAnsi="Times New Roman" w:cs="Times New Roman"/>
          <w:sz w:val="24"/>
          <w:szCs w:val="24"/>
        </w:rPr>
      </w:pPr>
      <w:r w:rsidRPr="00BB2A04">
        <w:rPr>
          <w:rFonts w:ascii="Times New Roman" w:hAnsi="Times New Roman" w:cs="Times New Roman"/>
          <w:sz w:val="24"/>
          <w:szCs w:val="24"/>
        </w:rPr>
        <w:t>Del Paper -</w:t>
      </w:r>
      <w:r>
        <w:rPr>
          <w:rFonts w:ascii="Times New Roman" w:hAnsi="Times New Roman" w:cs="Times New Roman"/>
          <w:b/>
          <w:sz w:val="24"/>
          <w:szCs w:val="24"/>
        </w:rPr>
        <w:t xml:space="preserve"> La nueva normalidad: una economía desigual, dominada por la pobreza, la exclusión social y la marginalidad</w:t>
      </w:r>
      <w:r>
        <w:rPr>
          <w:rFonts w:ascii="Times New Roman" w:hAnsi="Times New Roman" w:cs="Times New Roman"/>
          <w:sz w:val="24"/>
          <w:szCs w:val="24"/>
        </w:rPr>
        <w:t>, publicado el 15/7/16</w:t>
      </w:r>
    </w:p>
    <w:p w:rsidR="002F07D4" w:rsidRDefault="002F07D4" w:rsidP="002F07D4">
      <w:pPr>
        <w:pStyle w:val="NormalWeb"/>
        <w:jc w:val="both"/>
        <w:rPr>
          <w:b/>
        </w:rPr>
      </w:pPr>
      <w:r>
        <w:rPr>
          <w:b/>
        </w:rPr>
        <w:t>El enigma del “crecimiento futuro”: entre todos lo mataron y él solito, se murió (el nuevo paradigma de la alquimia financiera: “burbujas” y “burbu-giles”)</w:t>
      </w:r>
    </w:p>
    <w:p w:rsidR="002F07D4" w:rsidRPr="005A1121" w:rsidRDefault="002F07D4" w:rsidP="002F07D4">
      <w:pPr>
        <w:pStyle w:val="NormalWeb"/>
        <w:jc w:val="both"/>
        <w:rPr>
          <w:b/>
          <w:color w:val="FF0000"/>
        </w:rPr>
      </w:pPr>
      <w:r w:rsidRPr="005A1121">
        <w:rPr>
          <w:color w:val="000000"/>
        </w:rPr>
        <w:t>¿Cómo salir de la “realidad de la nada”: cero crecimiento, cero inflación y cero esperanza?</w:t>
      </w:r>
    </w:p>
    <w:p w:rsidR="002F07D4" w:rsidRDefault="002F07D4" w:rsidP="002F07D4">
      <w:pPr>
        <w:pStyle w:val="NormalWeb"/>
        <w:jc w:val="both"/>
      </w:pPr>
      <w:r>
        <w:t>Ya tenemos suficiente experiencia empírica para decir que la cura monetaria es inadecuada cuando ayuda a la “oferta” (banca y bolsa), en vez de a la “demanda” (trabajadores, pensionistas y familias) y a la inversión productiva.</w:t>
      </w:r>
    </w:p>
    <w:p w:rsidR="002F07D4" w:rsidRDefault="002F07D4" w:rsidP="002F07D4">
      <w:pPr>
        <w:pStyle w:val="NormalWeb"/>
        <w:jc w:val="both"/>
      </w:pPr>
      <w:r w:rsidRPr="00917D6A">
        <w:t>Mientras que las acciones suben y suben</w:t>
      </w:r>
      <w:r>
        <w:t>,</w:t>
      </w:r>
      <w:r w:rsidRPr="00917D6A">
        <w:t xml:space="preserve"> producto de la política monetaria, el desempleo y la desigualdad siguen aumentando y no hay crecimiento, no hay productividad, no hay cambios políticos y no hay esperanza.</w:t>
      </w:r>
    </w:p>
    <w:p w:rsidR="002F07D4" w:rsidRPr="00B63C66" w:rsidRDefault="002F07D4" w:rsidP="002F07D4">
      <w:pPr>
        <w:pStyle w:val="NormalWeb"/>
        <w:jc w:val="both"/>
      </w:pPr>
      <w:r>
        <w:t>Hay razones</w:t>
      </w:r>
      <w:r w:rsidRPr="00B63C66">
        <w:t xml:space="preserve"> por la</w:t>
      </w:r>
      <w:r>
        <w:t>s</w:t>
      </w:r>
      <w:r w:rsidRPr="00B63C66">
        <w:t xml:space="preserve"> que la esperanza está en cero. El fracaso sistemático de los políticos para entender y revertir e</w:t>
      </w:r>
      <w:r>
        <w:t>l peor experimento monetario desde 1929,</w:t>
      </w:r>
      <w:r w:rsidRPr="00B63C66">
        <w:t xml:space="preserve"> ha creado</w:t>
      </w:r>
      <w:r>
        <w:t xml:space="preserve"> una situación en la que es necesario un cambio profundo </w:t>
      </w:r>
      <w:r w:rsidRPr="00B63C66">
        <w:t>que sacuda o agite el ma</w:t>
      </w:r>
      <w:r>
        <w:t>nto de esta realidad de la nada.</w:t>
      </w:r>
    </w:p>
    <w:p w:rsidR="002F07D4" w:rsidRDefault="002F07D4" w:rsidP="002F07D4">
      <w:pPr>
        <w:pStyle w:val="NormalWeb"/>
        <w:jc w:val="both"/>
        <w:rPr>
          <w:color w:val="000000"/>
        </w:rPr>
      </w:pPr>
      <w:r>
        <w:t xml:space="preserve">En la era del “estancamiento secular”: la economía es un sonámbulo que marcha hacia una salida accidental y desastrosa. </w:t>
      </w:r>
      <w:r w:rsidRPr="00F61D75">
        <w:rPr>
          <w:color w:val="000000"/>
        </w:rPr>
        <w:t xml:space="preserve">Políticas macroeconómicas terribles y </w:t>
      </w:r>
      <w:r>
        <w:rPr>
          <w:color w:val="000000"/>
        </w:rPr>
        <w:t>una clase dirigente</w:t>
      </w:r>
      <w:r w:rsidRPr="00F61D75">
        <w:rPr>
          <w:color w:val="000000"/>
        </w:rPr>
        <w:t xml:space="preserve"> que está interesada principalmente en mantener el statu quo, mientras que el bienestar de la gente y el desarrollo de la economía es algo secundario, siempre y cuando ellos mantengan su posición.</w:t>
      </w:r>
    </w:p>
    <w:p w:rsidR="002F07D4" w:rsidRDefault="002F07D4" w:rsidP="002F07D4">
      <w:pPr>
        <w:pStyle w:val="NormalWeb"/>
        <w:jc w:val="both"/>
        <w:rPr>
          <w:color w:val="000000"/>
        </w:rPr>
      </w:pPr>
      <w:r>
        <w:rPr>
          <w:color w:val="000000"/>
        </w:rPr>
        <w:t>La desigualdad se incrementará porque la financierización de la economía tiende a la concentración de la renta y de la producción; y sí: la clase media tiende a mucho menos, porque en el escenario resultante de todas estas transformaciones no será necesaria.</w:t>
      </w:r>
    </w:p>
    <w:p w:rsidR="002F07D4" w:rsidRDefault="002F07D4" w:rsidP="002F07D4">
      <w:pPr>
        <w:pStyle w:val="NormalWeb"/>
        <w:shd w:val="clear" w:color="auto" w:fill="FFFFFF"/>
        <w:jc w:val="both"/>
      </w:pPr>
      <w:r w:rsidRPr="001110DB">
        <w:t xml:space="preserve">La “nueva normalidad”, después de casi una década de destrucción económica, está matando la productividad, la innovación, la libertad personal, y los sueños por una </w:t>
      </w:r>
      <w:r w:rsidRPr="001110DB">
        <w:lastRenderedPageBreak/>
        <w:t>pobre asignación de capital y recursos, y mediante la limitación de ideas y expresión. Una sociedad rica crece desde abajo, no desde arriba.</w:t>
      </w:r>
    </w:p>
    <w:p w:rsidR="002F07D4" w:rsidRDefault="002F07D4" w:rsidP="002F07D4">
      <w:pPr>
        <w:pStyle w:val="NormalWeb"/>
        <w:shd w:val="clear" w:color="auto" w:fill="FFFFFF"/>
        <w:jc w:val="both"/>
      </w:pPr>
      <w:r>
        <w:t>La economía productiva (real) se ha deslocalizado (del primer mundo al tercer mundo), dejando a casi un 80% de los trabajadores manufactureros de los países avanzados, sin perspectivas de un empleo estable, con una remuneración digna, que le permita mantener el nivel de vida habitual y ahorrar para su retiro. Se han sustituido trabajo e ingresos, por créditos impagables.</w:t>
      </w:r>
    </w:p>
    <w:p w:rsidR="002F07D4" w:rsidRDefault="002F07D4" w:rsidP="002F07D4">
      <w:pPr>
        <w:pStyle w:val="NormalWeb"/>
        <w:shd w:val="clear" w:color="auto" w:fill="FFFFFF"/>
        <w:jc w:val="both"/>
      </w:pPr>
      <w:r>
        <w:t>¿Puede considerarse esta situación de precariedad y pobreza en los países avanzados (como no se había visto desde el fin de la II GM), como un “daño colateral” de la “nueva normalidad”? ¿Podemos estar ante un caso de “externalidades negativas” del nuevo paradigma de la alquimia financiera? (Como dirían los insensibles escribas, políticamente correctos.)</w:t>
      </w:r>
    </w:p>
    <w:p w:rsidR="002F07D4" w:rsidRDefault="002F07D4" w:rsidP="002F07D4">
      <w:pPr>
        <w:pStyle w:val="NormalWeb"/>
        <w:shd w:val="clear" w:color="auto" w:fill="FFFFFF"/>
        <w:jc w:val="both"/>
      </w:pPr>
      <w:r>
        <w:t xml:space="preserve">¿Seguiremos creyendo a las “serpientes encantadoras de hombres”, que nos dicen que una </w:t>
      </w:r>
      <w:r>
        <w:rPr>
          <w:rFonts w:ascii="Georgia" w:hAnsi="Georgia"/>
          <w:color w:val="333333"/>
          <w:sz w:val="23"/>
          <w:szCs w:val="23"/>
        </w:rPr>
        <w:t xml:space="preserve">aplicación para contratar transporte de viajeros que compite con los taxis tradicionales </w:t>
      </w:r>
      <w:r>
        <w:t>(Uber), tiene un valor de mercado de 50.000 millones de dólares (12/5/15)?</w:t>
      </w:r>
    </w:p>
    <w:p w:rsidR="002F07D4" w:rsidRDefault="002F07D4" w:rsidP="002F07D4">
      <w:pPr>
        <w:pStyle w:val="NormalWeb"/>
        <w:shd w:val="clear" w:color="auto" w:fill="FFFFFF"/>
        <w:jc w:val="both"/>
      </w:pPr>
      <w:r>
        <w:t xml:space="preserve">¿Seguiremos creyendo a los “borradores de cabeza”, que nos dicen que una </w:t>
      </w:r>
      <w:r w:rsidRPr="00F805E1">
        <w:t>plataforma online de alquiler de vivienda</w:t>
      </w:r>
      <w:r>
        <w:t>vacacional (Airbnb), tiene un valor de mercado de 24.000 millones de dólares (18/6/15)?</w:t>
      </w:r>
    </w:p>
    <w:p w:rsidR="002F07D4" w:rsidRDefault="002F07D4" w:rsidP="002F07D4">
      <w:pPr>
        <w:pStyle w:val="NormalWeb"/>
        <w:shd w:val="clear" w:color="auto" w:fill="FFFFFF"/>
        <w:jc w:val="both"/>
      </w:pPr>
      <w:r>
        <w:t xml:space="preserve">¿Hasta dónde puede llegar esta economía de “burbujas”? ¿Hasta cuándo se puede sostener esta “nueva realidad de la nada”? ¿Por cuánto tiempo más seguiremos siendo los “burbu-giles” de esta economía de casino? </w:t>
      </w:r>
    </w:p>
    <w:p w:rsidR="002F07D4" w:rsidRDefault="002F07D4" w:rsidP="002F07D4">
      <w:pPr>
        <w:shd w:val="clear" w:color="auto" w:fill="FFFFFF"/>
        <w:spacing w:after="240" w:line="240" w:lineRule="auto"/>
        <w:jc w:val="both"/>
        <w:rPr>
          <w:rFonts w:ascii="Times New Roman" w:hAnsi="Times New Roman"/>
          <w:sz w:val="24"/>
          <w:szCs w:val="24"/>
        </w:rPr>
      </w:pPr>
      <w:r w:rsidRPr="005B6AD1">
        <w:rPr>
          <w:rFonts w:ascii="Times New Roman" w:hAnsi="Times New Roman"/>
          <w:color w:val="000000"/>
          <w:sz w:val="24"/>
          <w:szCs w:val="24"/>
        </w:rPr>
        <w:t>Durante los últimos años, las ideas económicas innovadoras, lejos de ayudarnos a encontrar una solución, han sido parte del problema</w:t>
      </w:r>
      <w:r>
        <w:rPr>
          <w:rFonts w:ascii="Times New Roman" w:hAnsi="Times New Roman"/>
          <w:color w:val="000000"/>
          <w:sz w:val="24"/>
          <w:szCs w:val="24"/>
        </w:rPr>
        <w:t xml:space="preserve">. </w:t>
      </w:r>
      <w:r w:rsidRPr="00C01248">
        <w:rPr>
          <w:rFonts w:ascii="Times New Roman" w:hAnsi="Times New Roman"/>
          <w:sz w:val="24"/>
          <w:szCs w:val="24"/>
        </w:rPr>
        <w:t>Las “pseudomatemáticas” y la “charlatanería financiera”, se han</w:t>
      </w:r>
      <w:r>
        <w:rPr>
          <w:rFonts w:ascii="Times New Roman" w:hAnsi="Times New Roman"/>
          <w:sz w:val="24"/>
          <w:szCs w:val="24"/>
        </w:rPr>
        <w:t xml:space="preserve"> apodera</w:t>
      </w:r>
      <w:r w:rsidRPr="00C01248">
        <w:rPr>
          <w:rFonts w:ascii="Times New Roman" w:hAnsi="Times New Roman"/>
          <w:sz w:val="24"/>
          <w:szCs w:val="24"/>
        </w:rPr>
        <w:t xml:space="preserve">do de Wall Street. </w:t>
      </w:r>
      <w:r>
        <w:rPr>
          <w:rFonts w:ascii="Times New Roman" w:hAnsi="Times New Roman"/>
          <w:sz w:val="24"/>
          <w:szCs w:val="24"/>
        </w:rPr>
        <w:t xml:space="preserve"> Minería de datos, </w:t>
      </w:r>
      <w:r w:rsidRPr="00C01248">
        <w:rPr>
          <w:rStyle w:val="st1"/>
          <w:rFonts w:ascii="Times New Roman" w:hAnsi="Times New Roman" w:cs="Times New Roman"/>
          <w:sz w:val="24"/>
          <w:szCs w:val="24"/>
        </w:rPr>
        <w:t>Algorithmic Trading</w:t>
      </w:r>
      <w:r>
        <w:rPr>
          <w:rStyle w:val="st1"/>
          <w:rFonts w:ascii="Times New Roman" w:hAnsi="Times New Roman" w:cs="Times New Roman"/>
          <w:sz w:val="24"/>
          <w:szCs w:val="24"/>
        </w:rPr>
        <w:t>,</w:t>
      </w:r>
      <w:r w:rsidRPr="00C01248">
        <w:rPr>
          <w:rFonts w:ascii="Times New Roman" w:hAnsi="Times New Roman" w:cs="Times New Roman"/>
          <w:bCs/>
          <w:sz w:val="24"/>
          <w:szCs w:val="24"/>
        </w:rPr>
        <w:t>High Frequency Trading</w:t>
      </w:r>
      <w:r>
        <w:rPr>
          <w:rFonts w:ascii="Times New Roman" w:hAnsi="Times New Roman" w:cs="Times New Roman"/>
          <w:bCs/>
          <w:sz w:val="24"/>
          <w:szCs w:val="24"/>
        </w:rPr>
        <w:t xml:space="preserve">… </w:t>
      </w:r>
      <w:r w:rsidRPr="00C01248">
        <w:rPr>
          <w:rFonts w:ascii="Times New Roman" w:hAnsi="Times New Roman"/>
          <w:sz w:val="24"/>
          <w:szCs w:val="24"/>
        </w:rPr>
        <w:t xml:space="preserve">Kolm, el científico de la Universidad de Nueva York, advierte que las computadoras no están cerca de ser omniscientes. “En el caso de la mayoría de los modelos de predicción financiera, el grado de certeza es mucho, mucho más débil” que incluso los pronósticos del clima. </w:t>
      </w:r>
      <w:r>
        <w:rPr>
          <w:rFonts w:ascii="Times New Roman" w:hAnsi="Times New Roman"/>
          <w:sz w:val="24"/>
          <w:szCs w:val="24"/>
        </w:rPr>
        <w:t xml:space="preserve">(The Wall Street Journal - </w:t>
      </w:r>
      <w:r w:rsidRPr="00C01248">
        <w:rPr>
          <w:rFonts w:ascii="Times New Roman" w:hAnsi="Times New Roman"/>
          <w:sz w:val="24"/>
          <w:szCs w:val="24"/>
        </w:rPr>
        <w:t>2/4/15</w:t>
      </w:r>
      <w:r>
        <w:rPr>
          <w:rFonts w:ascii="Times New Roman" w:hAnsi="Times New Roman"/>
          <w:sz w:val="24"/>
          <w:szCs w:val="24"/>
        </w:rPr>
        <w:t>)</w:t>
      </w:r>
    </w:p>
    <w:p w:rsidR="002F07D4" w:rsidRDefault="002F07D4" w:rsidP="002F07D4">
      <w:pPr>
        <w:shd w:val="clear" w:color="auto" w:fill="FFFFFF"/>
        <w:spacing w:after="240" w:line="240" w:lineRule="auto"/>
        <w:jc w:val="both"/>
        <w:rPr>
          <w:rFonts w:ascii="Times New Roman" w:hAnsi="Times New Roman"/>
          <w:color w:val="000000"/>
          <w:sz w:val="24"/>
          <w:szCs w:val="24"/>
        </w:rPr>
      </w:pPr>
      <w:r w:rsidRPr="000A591F">
        <w:rPr>
          <w:rFonts w:ascii="Times New Roman" w:hAnsi="Times New Roman"/>
          <w:sz w:val="24"/>
          <w:szCs w:val="24"/>
        </w:rPr>
        <w:t xml:space="preserve">Desde que estalló la crisis financiera global en 2008, la deuda del mundo aumentó 57 billones de dólares, superando el crecimiento del PIB. La deuda gubernamental se incrementó 25 billones de dólares de los cuales 19 billones de dólares están en manos de las economías avanzadas -una consecuencia directa de la recesión severa, los programas de estímulo fiscal y los rescates bancarios-. Mientras que los hogares norteamericanos redujeron su deuda de manera considerable (principalmente a través de incumplimientos de pagos de hipotecas), la deuda de los hogares en muchos otros países siguió creciendo rápidamente. En todas las economías principales, el ratio deuda-PIB (incluida la deuda pública y privada) hoy es más alto que en 2007. Gran parte de esta acumulación de deuda fue generada por los esfuerzos destinados a respaldar el crecimiento económico frente a los vientos deflacionarios en contra luego de la crisis de 2008. </w:t>
      </w:r>
      <w:r>
        <w:rPr>
          <w:rFonts w:ascii="Times New Roman" w:hAnsi="Times New Roman"/>
          <w:color w:val="000000"/>
          <w:sz w:val="24"/>
          <w:szCs w:val="24"/>
        </w:rPr>
        <w:t>(</w:t>
      </w:r>
      <w:r w:rsidRPr="0066740E">
        <w:rPr>
          <w:rFonts w:ascii="Times New Roman" w:hAnsi="Times New Roman"/>
          <w:color w:val="000000"/>
          <w:sz w:val="24"/>
          <w:szCs w:val="24"/>
          <w:u w:val="single"/>
        </w:rPr>
        <w:t>El dilema de la deuda</w:t>
      </w:r>
      <w:r>
        <w:rPr>
          <w:rFonts w:ascii="Times New Roman" w:hAnsi="Times New Roman"/>
          <w:color w:val="000000"/>
          <w:sz w:val="24"/>
          <w:szCs w:val="24"/>
        </w:rPr>
        <w:t xml:space="preserve"> - Project Syndicate - </w:t>
      </w:r>
      <w:r w:rsidRPr="000A591F">
        <w:rPr>
          <w:rFonts w:ascii="Times New Roman" w:hAnsi="Times New Roman"/>
          <w:color w:val="000000"/>
          <w:sz w:val="24"/>
          <w:szCs w:val="24"/>
        </w:rPr>
        <w:t>19/4/15</w:t>
      </w:r>
      <w:r>
        <w:rPr>
          <w:rFonts w:ascii="Times New Roman" w:hAnsi="Times New Roman"/>
          <w:color w:val="000000"/>
          <w:sz w:val="24"/>
          <w:szCs w:val="24"/>
        </w:rPr>
        <w:t>)</w:t>
      </w:r>
    </w:p>
    <w:p w:rsidR="002F07D4" w:rsidRDefault="002F07D4" w:rsidP="002F07D4">
      <w:pPr>
        <w:shd w:val="clear" w:color="auto" w:fill="FFFFFF"/>
        <w:spacing w:after="240" w:line="240" w:lineRule="auto"/>
        <w:jc w:val="both"/>
        <w:rPr>
          <w:rFonts w:ascii="Times New Roman" w:hAnsi="Times New Roman"/>
          <w:sz w:val="24"/>
          <w:szCs w:val="24"/>
        </w:rPr>
      </w:pPr>
      <w:r w:rsidRPr="005A550B">
        <w:rPr>
          <w:rFonts w:ascii="Times New Roman" w:hAnsi="Times New Roman"/>
          <w:sz w:val="24"/>
          <w:szCs w:val="24"/>
        </w:rPr>
        <w:lastRenderedPageBreak/>
        <w:t>Los efectos riqueza y monetarios no sólo no sirvieron para alentar una recuperación económica significativa tras la recesión, sino que además engendraron nuevos desequilibrios desestabilizadores que amenazan con mantener la economía global atrapada en una serie continua de crisis.</w:t>
      </w:r>
    </w:p>
    <w:p w:rsidR="002F07D4" w:rsidRPr="00834A49" w:rsidRDefault="002F07D4" w:rsidP="002F07D4">
      <w:pPr>
        <w:shd w:val="clear" w:color="auto" w:fill="FFFFFF"/>
        <w:spacing w:after="240" w:line="240" w:lineRule="auto"/>
        <w:jc w:val="both"/>
        <w:rPr>
          <w:rFonts w:ascii="Times New Roman" w:hAnsi="Times New Roman"/>
          <w:color w:val="000000"/>
          <w:sz w:val="24"/>
          <w:szCs w:val="24"/>
        </w:rPr>
      </w:pPr>
      <w:r w:rsidRPr="00834A49">
        <w:rPr>
          <w:rFonts w:ascii="Times New Roman" w:hAnsi="Times New Roman"/>
          <w:color w:val="000000"/>
          <w:sz w:val="24"/>
          <w:szCs w:val="24"/>
        </w:rPr>
        <w:t>Tomemos por caso a Estados Unidos, el más vivo ejemplo de la nueva receta de recuperación. Aunque la Reserva Federal incrementó su balance desde menos de un billón de dólares a fines de 2008 hasta 4,5 billones en el último trimestre de 2014, el PIB nominal sólo aumentó 2,7 billones. Los otros 900.000 millones de dólares se derramaron sobre los mercados financieros y alentaron una expansión del mercado accionario estadounidense al triple de su volumen. Entretanto, la economía apenas consiguió exhibir una recuperación claramente deficiente, con el crecimiento real del PIB estancado en una trayectoria del 2,3%, exactamente dos puntos porcentuales por debajo del 4,3% que había sido la norma en ciclos anteriores.</w:t>
      </w:r>
    </w:p>
    <w:p w:rsidR="002F07D4" w:rsidRPr="00834A49" w:rsidRDefault="002F07D4" w:rsidP="002F07D4">
      <w:pPr>
        <w:shd w:val="clear" w:color="auto" w:fill="FFFFFF"/>
        <w:spacing w:after="240" w:line="240" w:lineRule="auto"/>
        <w:jc w:val="both"/>
        <w:rPr>
          <w:rFonts w:ascii="Times New Roman" w:hAnsi="Times New Roman"/>
          <w:sz w:val="24"/>
          <w:szCs w:val="24"/>
        </w:rPr>
      </w:pPr>
      <w:r w:rsidRPr="00834A49">
        <w:rPr>
          <w:rFonts w:ascii="Times New Roman" w:hAnsi="Times New Roman"/>
          <w:sz w:val="24"/>
          <w:szCs w:val="24"/>
        </w:rPr>
        <w:t>De hecho, y a pesar de la enorme inyección de liquidez por parte de la Reserva Federal, el consumidor estadounidense (que se llevó la peor parte en la violenta recesión de balances de 2008 y 2009) no se recuperó. El gasto real en consumo personal creció a un ritmo de apenas el 1,4% anual en los últimos siete años. Como era previsible, los efectos riqueza de la flexibilización monetaria los sintieron sobre todo los ricos, quienes concentran la mayor parte de las tenencias de acciones. Pero para la agobiada clase media, los beneficios fueron insignificantes.</w:t>
      </w:r>
    </w:p>
    <w:p w:rsidR="002F07D4" w:rsidRPr="00834A49" w:rsidRDefault="002F07D4" w:rsidP="002F07D4">
      <w:pPr>
        <w:shd w:val="clear" w:color="auto" w:fill="FFFFFF"/>
        <w:spacing w:after="240" w:line="240" w:lineRule="auto"/>
        <w:jc w:val="both"/>
        <w:rPr>
          <w:rFonts w:ascii="Times New Roman" w:hAnsi="Times New Roman"/>
          <w:sz w:val="24"/>
          <w:szCs w:val="24"/>
        </w:rPr>
      </w:pPr>
      <w:r w:rsidRPr="00834A49">
        <w:rPr>
          <w:rFonts w:ascii="Times New Roman" w:hAnsi="Times New Roman"/>
          <w:sz w:val="24"/>
          <w:szCs w:val="24"/>
        </w:rPr>
        <w:t>El deficiente desempeño económico de Estados Unidos no impidió a otros imitar sus políticas. Por el contrario, ahora Europa lanzó su propio programa de FC. Incluso Japón, punto de partida de toda esta historia, encaró una nueva forma intensiva de FC, muestra de su aparente deseo de aprender las “enseñanzas” de sus propios errores (tal como los interpreta Estados Unidos).</w:t>
      </w:r>
    </w:p>
    <w:p w:rsidR="002F07D4" w:rsidRPr="00834A49" w:rsidRDefault="002F07D4" w:rsidP="002F07D4">
      <w:pPr>
        <w:shd w:val="clear" w:color="auto" w:fill="FFFFFF"/>
        <w:spacing w:after="240" w:line="240" w:lineRule="auto"/>
        <w:jc w:val="both"/>
        <w:rPr>
          <w:rFonts w:ascii="Times New Roman" w:hAnsi="Times New Roman"/>
          <w:sz w:val="24"/>
          <w:szCs w:val="24"/>
        </w:rPr>
      </w:pPr>
      <w:r w:rsidRPr="00834A49">
        <w:rPr>
          <w:rFonts w:ascii="Times New Roman" w:hAnsi="Times New Roman"/>
          <w:sz w:val="24"/>
          <w:szCs w:val="24"/>
        </w:rPr>
        <w:t>Pero más allá del impacto de esta metodología sobre una u otra economía, están los riesgos sistémicos más amplios que surgen del alza de las bolsas y la debilidad de las divisas. Conforme los bancos centrales se pasan el testigo en la carrera de inyecciones excesivas de liquidez, el peligro de burbujas globales de activos y devaluaciones competitivas se hace mayor. Entretanto, un falso sentido de seguridad adormece a los políticos y les quita incentivos para confrontar los desafíos estructurales que tienen por delante.</w:t>
      </w:r>
    </w:p>
    <w:p w:rsidR="002F07D4" w:rsidRDefault="002F07D4" w:rsidP="002F07D4">
      <w:pPr>
        <w:shd w:val="clear" w:color="auto" w:fill="FFFFFF"/>
        <w:spacing w:after="240" w:line="240" w:lineRule="auto"/>
        <w:jc w:val="both"/>
        <w:rPr>
          <w:rFonts w:ascii="Times New Roman" w:hAnsi="Times New Roman"/>
          <w:color w:val="000000"/>
          <w:sz w:val="24"/>
          <w:szCs w:val="24"/>
        </w:rPr>
      </w:pPr>
      <w:r w:rsidRPr="00834A49">
        <w:rPr>
          <w:rFonts w:ascii="Times New Roman" w:hAnsi="Times New Roman"/>
          <w:sz w:val="24"/>
          <w:szCs w:val="24"/>
        </w:rPr>
        <w:t xml:space="preserve">En Estados Unidos y otros países, el debate de políticas después de la crisis se tornó del revés, y las consecuencias pueden ser devastadoras. Confiar en la ingeniería financiera y eludir la difícil tarea de hacer cambios estructurales no es receta para una recuperación sólida. Por el contrario, es promesa de más burbujas de activos, más crisis financieras y un estancamiento secular a la japonesa. </w:t>
      </w:r>
      <w:r>
        <w:rPr>
          <w:rFonts w:ascii="Times New Roman" w:hAnsi="Times New Roman"/>
          <w:sz w:val="24"/>
          <w:szCs w:val="24"/>
        </w:rPr>
        <w:t>(</w:t>
      </w:r>
      <w:r w:rsidRPr="00834A49">
        <w:rPr>
          <w:rFonts w:ascii="Times New Roman" w:hAnsi="Times New Roman"/>
          <w:color w:val="000000"/>
          <w:sz w:val="24"/>
          <w:szCs w:val="24"/>
          <w:u w:val="single"/>
        </w:rPr>
        <w:t>La política económica al revés</w:t>
      </w:r>
      <w:r>
        <w:rPr>
          <w:rFonts w:ascii="Times New Roman" w:hAnsi="Times New Roman"/>
          <w:color w:val="000000"/>
          <w:sz w:val="24"/>
          <w:szCs w:val="24"/>
        </w:rPr>
        <w:t xml:space="preserve"> - Project Syndicate - </w:t>
      </w:r>
      <w:r w:rsidRPr="00834A49">
        <w:rPr>
          <w:rFonts w:ascii="Times New Roman" w:hAnsi="Times New Roman"/>
          <w:color w:val="000000"/>
          <w:sz w:val="24"/>
          <w:szCs w:val="24"/>
        </w:rPr>
        <w:t>29/4/15</w:t>
      </w:r>
      <w:r>
        <w:rPr>
          <w:rFonts w:ascii="Times New Roman" w:hAnsi="Times New Roman"/>
          <w:color w:val="000000"/>
          <w:sz w:val="24"/>
          <w:szCs w:val="24"/>
        </w:rPr>
        <w:t>)</w:t>
      </w:r>
    </w:p>
    <w:p w:rsidR="002F07D4" w:rsidRDefault="002F07D4" w:rsidP="002F07D4">
      <w:pPr>
        <w:spacing w:line="240" w:lineRule="auto"/>
        <w:jc w:val="both"/>
        <w:rPr>
          <w:rFonts w:ascii="Times New Roman" w:hAnsi="Times New Roman" w:cs="Times New Roman"/>
          <w:sz w:val="24"/>
          <w:szCs w:val="24"/>
        </w:rPr>
      </w:pPr>
      <w:r w:rsidRPr="00834A49">
        <w:rPr>
          <w:rFonts w:ascii="Times New Roman" w:hAnsi="Times New Roman" w:cs="Times New Roman"/>
          <w:sz w:val="24"/>
          <w:szCs w:val="24"/>
        </w:rPr>
        <w:t>La propia Fed alerta de que la economía crece muy por debajo de su potencial. Seis años de estímulos no han llevado a un aumento relevante ni de las inversiones productivas ni de los salarios reales. Tras 22 billones de dólares de estímulos, todavía habrá alguno que diga que el problema es que no se hizo suficiente.</w:t>
      </w:r>
      <w:r>
        <w:rPr>
          <w:rFonts w:ascii="Times New Roman" w:hAnsi="Times New Roman" w:cs="Times New Roman"/>
          <w:sz w:val="24"/>
          <w:szCs w:val="24"/>
        </w:rPr>
        <w:t xml:space="preserve"> (</w:t>
      </w:r>
      <w:r w:rsidRPr="00370674">
        <w:rPr>
          <w:rFonts w:ascii="Times New Roman" w:hAnsi="Times New Roman" w:cs="Times New Roman"/>
          <w:sz w:val="24"/>
          <w:szCs w:val="24"/>
          <w:u w:val="single"/>
        </w:rPr>
        <w:t>Un invierno difícil en EEUU</w:t>
      </w:r>
      <w:r>
        <w:rPr>
          <w:rFonts w:ascii="Times New Roman" w:hAnsi="Times New Roman" w:cs="Times New Roman"/>
          <w:sz w:val="24"/>
          <w:szCs w:val="24"/>
        </w:rPr>
        <w:t xml:space="preserve"> -El Confidencial - </w:t>
      </w:r>
      <w:r w:rsidRPr="00834A49">
        <w:rPr>
          <w:rFonts w:ascii="Times New Roman" w:hAnsi="Times New Roman" w:cs="Times New Roman"/>
          <w:sz w:val="24"/>
          <w:szCs w:val="24"/>
        </w:rPr>
        <w:t>3/6/15</w:t>
      </w:r>
      <w:r>
        <w:rPr>
          <w:rFonts w:ascii="Times New Roman" w:hAnsi="Times New Roman" w:cs="Times New Roman"/>
          <w:sz w:val="24"/>
          <w:szCs w:val="24"/>
        </w:rPr>
        <w:t>)</w:t>
      </w:r>
    </w:p>
    <w:p w:rsidR="002F07D4" w:rsidRPr="001D7EF8" w:rsidRDefault="002F07D4" w:rsidP="002F07D4">
      <w:pPr>
        <w:spacing w:line="240" w:lineRule="auto"/>
        <w:jc w:val="both"/>
        <w:rPr>
          <w:rFonts w:ascii="Times New Roman" w:hAnsi="Times New Roman" w:cs="Times New Roman"/>
          <w:sz w:val="24"/>
          <w:szCs w:val="24"/>
        </w:rPr>
      </w:pPr>
      <w:r w:rsidRPr="001D7EF8">
        <w:rPr>
          <w:rFonts w:ascii="Times New Roman" w:hAnsi="Times New Roman" w:cs="Times New Roman"/>
          <w:sz w:val="24"/>
          <w:szCs w:val="24"/>
        </w:rPr>
        <w:lastRenderedPageBreak/>
        <w:t>Estamos viviendo lo que muchos denominan una “</w:t>
      </w:r>
      <w:r w:rsidRPr="001D7EF8">
        <w:rPr>
          <w:rStyle w:val="nfasis"/>
          <w:rFonts w:ascii="Times New Roman" w:hAnsi="Times New Roman" w:cs="Times New Roman"/>
          <w:sz w:val="24"/>
          <w:szCs w:val="24"/>
        </w:rPr>
        <w:t>no capex recovery</w:t>
      </w:r>
      <w:r w:rsidRPr="001D7EF8">
        <w:rPr>
          <w:rFonts w:ascii="Times New Roman" w:hAnsi="Times New Roman" w:cs="Times New Roman"/>
          <w:sz w:val="24"/>
          <w:szCs w:val="24"/>
        </w:rPr>
        <w:t>”</w:t>
      </w:r>
      <w:r w:rsidRPr="001D7EF8">
        <w:rPr>
          <w:rFonts w:ascii="Times New Roman" w:hAnsi="Times New Roman" w:cs="Times New Roman"/>
          <w:i/>
          <w:sz w:val="24"/>
          <w:szCs w:val="24"/>
        </w:rPr>
        <w:t>,</w:t>
      </w:r>
      <w:r w:rsidRPr="001D7EF8">
        <w:rPr>
          <w:rFonts w:ascii="Times New Roman" w:hAnsi="Times New Roman" w:cs="Times New Roman"/>
          <w:sz w:val="24"/>
          <w:szCs w:val="24"/>
        </w:rPr>
        <w:t xml:space="preserve"> esto es,</w:t>
      </w:r>
      <w:r w:rsidRPr="001D7EF8">
        <w:rPr>
          <w:rStyle w:val="Textoennegrita"/>
          <w:rFonts w:ascii="Times New Roman" w:hAnsi="Times New Roman" w:cs="Times New Roman"/>
          <w:sz w:val="24"/>
          <w:szCs w:val="24"/>
        </w:rPr>
        <w:t>una supuesta recuperación económica que no está siendo acompañada por la inversión en la economía real</w:t>
      </w:r>
      <w:r w:rsidRPr="001D7EF8">
        <w:rPr>
          <w:rFonts w:ascii="Times New Roman" w:hAnsi="Times New Roman" w:cs="Times New Roman"/>
          <w:b/>
          <w:sz w:val="24"/>
          <w:szCs w:val="24"/>
        </w:rPr>
        <w:t xml:space="preserve">. </w:t>
      </w:r>
      <w:r w:rsidRPr="001D7EF8">
        <w:rPr>
          <w:rFonts w:ascii="Times New Roman" w:hAnsi="Times New Roman" w:cs="Times New Roman"/>
          <w:sz w:val="24"/>
          <w:szCs w:val="24"/>
        </w:rPr>
        <w:t>Las empresas estadounidenses han dejado de invertir en la economía real para centrarse en las inversiones financieras. Esta práctica podría ser muy perjudicial en el largo plazo</w:t>
      </w:r>
      <w:r>
        <w:rPr>
          <w:rFonts w:ascii="Times New Roman" w:hAnsi="Times New Roman" w:cs="Times New Roman"/>
          <w:sz w:val="24"/>
          <w:szCs w:val="24"/>
        </w:rPr>
        <w:t>.</w:t>
      </w:r>
    </w:p>
    <w:p w:rsidR="002F07D4" w:rsidRDefault="002F07D4" w:rsidP="002F07D4">
      <w:pPr>
        <w:pStyle w:val="NormalWeb"/>
        <w:shd w:val="clear" w:color="auto" w:fill="FFFFFF"/>
        <w:jc w:val="both"/>
      </w:pPr>
      <w:r w:rsidRPr="00EF5B8B">
        <w:rPr>
          <w:rStyle w:val="Textoennegrita"/>
        </w:rPr>
        <w:t>El sector empresarial ha perdido de vista la creación de valor en el largo plazo</w:t>
      </w:r>
      <w:r w:rsidRPr="00EF5B8B">
        <w:t>, para apuntarse a la especulación y aprovecharse de las intervenciones provocadas por los bancos centrales. Si en los últimos tiempos hemos hablado de las distorsiones provocadas por las políticas monetarias, añadamos una más: han matado el largo plazo.</w:t>
      </w:r>
      <w:r>
        <w:t xml:space="preserve"> (</w:t>
      </w:r>
      <w:r w:rsidRPr="00286CA2">
        <w:rPr>
          <w:u w:val="single"/>
        </w:rPr>
        <w:t>Las empresas ya no invierten, especulan</w:t>
      </w:r>
      <w:r>
        <w:t xml:space="preserve"> - El Confidencial - </w:t>
      </w:r>
      <w:r w:rsidRPr="004E325F">
        <w:t>4/6/15</w:t>
      </w:r>
      <w:r>
        <w:t>)</w:t>
      </w:r>
    </w:p>
    <w:p w:rsidR="002F07D4" w:rsidRPr="00445A6E" w:rsidRDefault="002F07D4" w:rsidP="002F07D4">
      <w:pPr>
        <w:shd w:val="clear" w:color="auto" w:fill="FFFFFF"/>
        <w:spacing w:line="240" w:lineRule="auto"/>
        <w:jc w:val="both"/>
        <w:rPr>
          <w:rFonts w:ascii="Times New Roman" w:hAnsi="Times New Roman" w:cs="Times New Roman"/>
          <w:sz w:val="24"/>
          <w:szCs w:val="24"/>
        </w:rPr>
      </w:pPr>
      <w:r w:rsidRPr="00445A6E">
        <w:rPr>
          <w:rFonts w:ascii="Times New Roman" w:hAnsi="Times New Roman" w:cs="Times New Roman"/>
          <w:sz w:val="24"/>
          <w:szCs w:val="24"/>
        </w:rPr>
        <w:t>Cuando la crisis económica más profunda de nuestra vida continúa en su séptimo año, la mayoría de los países de la OCDE siguen obteniendo resultados insuficientes. En este año, se espera que el crecimiento del PIB de las economías avanzadas del mundo ascienda por término medio a un dos por ciento, frente al 3,2 por ciento a escala mundial, y 2016 no se presenta mejor, con un aumento de la producción de la OCDE de 2,5 por ciento, mientras que la tasa de crecimiento del PIB del resto del mundo es de 3,8 por ciento, próxima a la media del período anterior a la crisis.</w:t>
      </w:r>
    </w:p>
    <w:p w:rsidR="002F07D4" w:rsidRPr="00445A6E" w:rsidRDefault="002F07D4" w:rsidP="002F07D4">
      <w:pPr>
        <w:shd w:val="clear" w:color="auto" w:fill="FFFFFF"/>
        <w:spacing w:line="240" w:lineRule="auto"/>
        <w:jc w:val="both"/>
        <w:rPr>
          <w:rFonts w:ascii="Times New Roman" w:hAnsi="Times New Roman" w:cs="Times New Roman"/>
          <w:sz w:val="24"/>
          <w:szCs w:val="24"/>
        </w:rPr>
      </w:pPr>
      <w:r w:rsidRPr="00445A6E">
        <w:rPr>
          <w:rFonts w:ascii="Times New Roman" w:hAnsi="Times New Roman" w:cs="Times New Roman"/>
          <w:sz w:val="24"/>
          <w:szCs w:val="24"/>
        </w:rPr>
        <w:t>Pero las perspectivas económicas a largo plazo de la economía mundial en conjunto parecen sombrías. Cuando las sociedades de muchos de los países de la OCDE envejecen y se espera que el crecimiento convergente se reduzca de su media anual de 3,6 por ciento en el período 2010-2020 al 2,4 por ciento, aproximadamente, en el período 2050-2060.</w:t>
      </w:r>
    </w:p>
    <w:p w:rsidR="002F07D4" w:rsidRDefault="002F07D4" w:rsidP="002F07D4">
      <w:pPr>
        <w:shd w:val="clear" w:color="auto" w:fill="FFFFFF"/>
        <w:spacing w:line="240" w:lineRule="auto"/>
        <w:jc w:val="both"/>
        <w:rPr>
          <w:rFonts w:ascii="Times New Roman" w:hAnsi="Times New Roman" w:cs="Times New Roman"/>
          <w:sz w:val="24"/>
          <w:szCs w:val="24"/>
        </w:rPr>
      </w:pPr>
      <w:r w:rsidRPr="00445A6E">
        <w:rPr>
          <w:rFonts w:ascii="Times New Roman" w:hAnsi="Times New Roman" w:cs="Times New Roman"/>
          <w:sz w:val="24"/>
          <w:szCs w:val="24"/>
        </w:rPr>
        <w:t>Ese bajón puede ser inevitable, pero se puede mitigar. La aplicación de políticas encaminadas a facilitar y recompensar  las inversiones a largo plazo será decisiva para salir de la crisis actual e impulsar el potencial de crecimiento mundial. (</w:t>
      </w:r>
      <w:r w:rsidRPr="007C6E02">
        <w:rPr>
          <w:rFonts w:ascii="Times New Roman" w:hAnsi="Times New Roman" w:cs="Times New Roman"/>
          <w:sz w:val="24"/>
          <w:szCs w:val="24"/>
          <w:u w:val="single"/>
        </w:rPr>
        <w:t>El imperativo de la inversión a largo plazo</w:t>
      </w:r>
      <w:r>
        <w:rPr>
          <w:rFonts w:ascii="Times New Roman" w:hAnsi="Times New Roman" w:cs="Times New Roman"/>
          <w:sz w:val="24"/>
          <w:szCs w:val="24"/>
        </w:rPr>
        <w:t xml:space="preserve"> - Project Syndicate - </w:t>
      </w:r>
      <w:r w:rsidRPr="004E325F">
        <w:rPr>
          <w:rFonts w:ascii="Times New Roman" w:hAnsi="Times New Roman" w:cs="Times New Roman"/>
          <w:sz w:val="24"/>
          <w:szCs w:val="24"/>
        </w:rPr>
        <w:t>10/6/15</w:t>
      </w:r>
      <w:r>
        <w:rPr>
          <w:rFonts w:ascii="Times New Roman" w:hAnsi="Times New Roman" w:cs="Times New Roman"/>
          <w:sz w:val="24"/>
          <w:szCs w:val="24"/>
        </w:rPr>
        <w:t>)</w:t>
      </w:r>
    </w:p>
    <w:p w:rsidR="002F07D4" w:rsidRDefault="002F07D4" w:rsidP="002F07D4">
      <w:pPr>
        <w:spacing w:line="240" w:lineRule="auto"/>
        <w:jc w:val="both"/>
        <w:rPr>
          <w:rFonts w:ascii="Times New Roman" w:hAnsi="Times New Roman" w:cs="Times New Roman"/>
          <w:sz w:val="24"/>
          <w:szCs w:val="24"/>
        </w:rPr>
      </w:pPr>
      <w:r w:rsidRPr="007318D2">
        <w:rPr>
          <w:rFonts w:ascii="Times New Roman" w:eastAsia="Times New Roman" w:hAnsi="Times New Roman" w:cs="Times New Roman"/>
          <w:sz w:val="24"/>
          <w:szCs w:val="24"/>
          <w:lang w:eastAsia="es-ES"/>
        </w:rPr>
        <w:t>Durante milenios, el comercio internacional se ha centrado en el intercambio de bienes físicos (incluidas las personas durante la esclavitud). En los últimos años, los servicios se han convertido en un componente cada vez más importante de las economías avanzadas y el comercio mundial. Esta tendencia continuará y traerá consigo una mayor complejidad para el establecimiento de reglas y la negociación de acuerdos.</w:t>
      </w:r>
      <w:r w:rsidRPr="00233FD4">
        <w:rPr>
          <w:rFonts w:ascii="Times New Roman" w:hAnsi="Times New Roman" w:cs="Times New Roman"/>
          <w:sz w:val="24"/>
          <w:szCs w:val="24"/>
          <w:u w:val="single"/>
        </w:rPr>
        <w:t>El comercio refleja los cambios en la estructura de poder global</w:t>
      </w:r>
      <w:r>
        <w:rPr>
          <w:rFonts w:ascii="Times New Roman" w:hAnsi="Times New Roman" w:cs="Times New Roman"/>
          <w:sz w:val="24"/>
          <w:szCs w:val="24"/>
        </w:rPr>
        <w:t xml:space="preserve">(The Wall Street Journal - </w:t>
      </w:r>
      <w:r w:rsidRPr="007318D2">
        <w:rPr>
          <w:rFonts w:ascii="Times New Roman" w:hAnsi="Times New Roman" w:cs="Times New Roman"/>
          <w:sz w:val="24"/>
          <w:szCs w:val="24"/>
        </w:rPr>
        <w:t>3/6/15</w:t>
      </w:r>
      <w:r>
        <w:rPr>
          <w:rFonts w:ascii="Times New Roman" w:hAnsi="Times New Roman" w:cs="Times New Roman"/>
          <w:sz w:val="24"/>
          <w:szCs w:val="24"/>
        </w:rPr>
        <w:t>)</w:t>
      </w:r>
    </w:p>
    <w:p w:rsidR="002F07D4" w:rsidRDefault="002F07D4" w:rsidP="002F07D4">
      <w:pPr>
        <w:spacing w:line="240" w:lineRule="auto"/>
        <w:jc w:val="both"/>
        <w:rPr>
          <w:rFonts w:ascii="Times New Roman" w:eastAsia="Times New Roman" w:hAnsi="Times New Roman" w:cs="Times New Roman"/>
          <w:sz w:val="24"/>
          <w:szCs w:val="24"/>
          <w:lang w:eastAsia="es-ES"/>
        </w:rPr>
      </w:pPr>
      <w:r w:rsidRPr="00233FD4">
        <w:rPr>
          <w:rFonts w:ascii="Times New Roman" w:hAnsi="Times New Roman" w:cs="Times New Roman"/>
          <w:sz w:val="24"/>
          <w:szCs w:val="24"/>
        </w:rPr>
        <w:t>El libre flujo de ideas será fundamental; pero ¿cuáles serán las normas? y ¿quién dictará las pautas?</w:t>
      </w:r>
      <w:r w:rsidRPr="007318D2">
        <w:rPr>
          <w:rFonts w:ascii="Times New Roman" w:eastAsia="Times New Roman" w:hAnsi="Times New Roman" w:cs="Times New Roman"/>
          <w:sz w:val="24"/>
          <w:szCs w:val="24"/>
          <w:lang w:eastAsia="es-ES"/>
        </w:rPr>
        <w:t>¿Cómo responderá la sociedad a un mundo que recompensa generosamente a los innovadores educados e ignora la creciente desigualdad de ingresos? La simple verdad es que la proliferación de las tecnologías disruptivas no creará muchos puestos de trabajo bien remunerados. Las destrezas de alta tecnología serán más valoradas y les darán más poder a algunos, pero muchos puestos de trabajo de alta calificación serán más automatizados.</w:t>
      </w:r>
    </w:p>
    <w:p w:rsidR="002F07D4" w:rsidRDefault="002F07D4" w:rsidP="002F07D4">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Mientras las personas que perdieron sus empleos manufactureros en los países avanzados (ahora en vías de subdesarrollo)  esperan el tsunami de inversiones productivas que prometieron los líderes de plastilina y jalearon los palmeros del “nuevo paradigma”, para volver al mercado de trabajo, lo único constatable es el tsunami digital (que no alcanza para muchos -ni siquiera para los más cualificados) y de inversiones especulativas (que solo sirven para incrementar la brecha social). </w:t>
      </w:r>
    </w:p>
    <w:p w:rsidR="002F07D4" w:rsidRPr="00D03842" w:rsidRDefault="002F07D4" w:rsidP="002F07D4">
      <w:pPr>
        <w:shd w:val="clear" w:color="auto" w:fill="FFFFFF"/>
        <w:spacing w:line="240" w:lineRule="auto"/>
        <w:jc w:val="both"/>
      </w:pPr>
      <w:r w:rsidRPr="00041778">
        <w:rPr>
          <w:rFonts w:ascii="Times New Roman" w:hAnsi="Times New Roman" w:cs="Times New Roman"/>
          <w:sz w:val="24"/>
          <w:szCs w:val="24"/>
        </w:rPr>
        <w:lastRenderedPageBreak/>
        <w:t>Según un sondeo de la Fed realizado en 2013, el 10 por ciento de la población cuenta con un valor medio de 282.000 dólares invertidos en bolsa mientras que la clase media sólo llega a los 14.000 dólares. En el caso del 20 por ciento de la población con menos ingresos, la media expuesta a la renta variable ronda los 6.000 dólares. De ahí que el rally bursátil de los últimos años haya beneficiado enormemente a una pequeña parte de la sociedad estadounidense.</w:t>
      </w:r>
      <w:r w:rsidRPr="00C46019">
        <w:rPr>
          <w:rFonts w:ascii="Times New Roman" w:hAnsi="Times New Roman" w:cs="Times New Roman"/>
          <w:color w:val="000000"/>
          <w:sz w:val="24"/>
          <w:szCs w:val="24"/>
        </w:rPr>
        <w:t>¿</w:t>
      </w:r>
      <w:r w:rsidRPr="00C46019">
        <w:rPr>
          <w:rFonts w:ascii="Times New Roman" w:hAnsi="Times New Roman" w:cs="Times New Roman"/>
          <w:color w:val="000000"/>
          <w:sz w:val="24"/>
          <w:szCs w:val="24"/>
          <w:u w:val="single"/>
        </w:rPr>
        <w:t>Burbuja? El valor de los activos en manos de los estadounidenses alcanza los 99 billones de dólares</w:t>
      </w:r>
      <w:r>
        <w:rPr>
          <w:rFonts w:ascii="Times New Roman" w:hAnsi="Times New Roman" w:cs="Times New Roman"/>
          <w:color w:val="000000"/>
          <w:sz w:val="24"/>
          <w:szCs w:val="24"/>
        </w:rPr>
        <w:t xml:space="preserve"> (El Economista - </w:t>
      </w:r>
      <w:r w:rsidRPr="00C46019">
        <w:rPr>
          <w:rFonts w:ascii="Times New Roman" w:hAnsi="Times New Roman" w:cs="Times New Roman"/>
          <w:b/>
          <w:color w:val="000000"/>
          <w:sz w:val="24"/>
          <w:szCs w:val="24"/>
        </w:rPr>
        <w:t>11/6/15</w:t>
      </w:r>
      <w:r>
        <w:rPr>
          <w:rFonts w:ascii="Times New Roman" w:hAnsi="Times New Roman" w:cs="Times New Roman"/>
          <w:color w:val="000000"/>
          <w:sz w:val="24"/>
          <w:szCs w:val="24"/>
        </w:rPr>
        <w:t>)</w:t>
      </w:r>
    </w:p>
    <w:p w:rsidR="002F07D4" w:rsidRDefault="002F07D4" w:rsidP="002F07D4">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moraleja de la “nueva normalidad”: a los que “perdieron la fe” en Detroit, se unen los que “entierran la esperanza” en Silicon Valley. Entre secretos y mentiras, ni las manufacturas han regresado (des-deslocalización), ni las nuevas tecnologías alcanzan para todos (factoría de ficciones).</w:t>
      </w:r>
    </w:p>
    <w:p w:rsidR="002F07D4" w:rsidRDefault="002F07D4" w:rsidP="002F07D4">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“mundo de fantasías” (chucherías, aplicaciones triviales, juegos insignificantes, mensajitos frívolos, “streappers” caseros, pérdidas de privacidad, inseguridad, manipulación, siervos voluntarios, nuevos esclavos de la era digital…). Desnudos en la red (la civilización del espectáculo): un “declinismo” feliz. Mientras los “Zucks” se forran de lo lindo y los “Golmans”, repiten la jugada. Del planeta web, a agarrados por los web. ¡Tonto el último!</w:t>
      </w:r>
    </w:p>
    <w:p w:rsidR="002F07D4" w:rsidRPr="00041778" w:rsidRDefault="002F07D4" w:rsidP="002F07D4">
      <w:pPr>
        <w:spacing w:line="240" w:lineRule="auto"/>
        <w:jc w:val="both"/>
        <w:rPr>
          <w:rFonts w:ascii="Times New Roman" w:eastAsia="Times New Roman" w:hAnsi="Times New Roman" w:cs="Times New Roman"/>
          <w:sz w:val="24"/>
          <w:szCs w:val="24"/>
          <w:u w:val="single"/>
          <w:lang w:eastAsia="es-ES"/>
        </w:rPr>
      </w:pPr>
      <w:r w:rsidRPr="00041778">
        <w:rPr>
          <w:rFonts w:ascii="Times New Roman" w:eastAsia="Times New Roman" w:hAnsi="Times New Roman" w:cs="Times New Roman"/>
          <w:sz w:val="24"/>
          <w:szCs w:val="24"/>
          <w:u w:val="single"/>
          <w:lang w:eastAsia="es-ES"/>
        </w:rPr>
        <w:t>No Comment</w:t>
      </w:r>
      <w:r>
        <w:rPr>
          <w:rFonts w:ascii="Times New Roman" w:eastAsia="Times New Roman" w:hAnsi="Times New Roman" w:cs="Times New Roman"/>
          <w:sz w:val="24"/>
          <w:szCs w:val="24"/>
          <w:u w:val="single"/>
          <w:lang w:eastAsia="es-ES"/>
        </w:rPr>
        <w:t xml:space="preserve"> (Si esto pide el FMI, ¡cómo estará el patio!; el que quiera entender que entienda)</w:t>
      </w:r>
    </w:p>
    <w:p w:rsidR="002F07D4" w:rsidRDefault="002F07D4" w:rsidP="002F07D4">
      <w:pPr>
        <w:pStyle w:val="NormalWeb"/>
        <w:shd w:val="clear" w:color="auto" w:fill="FFFFFF"/>
        <w:jc w:val="both"/>
        <w:rPr>
          <w:color w:val="000000"/>
        </w:rPr>
      </w:pPr>
      <w:r w:rsidRPr="008932FE">
        <w:rPr>
          <w:color w:val="000000"/>
        </w:rPr>
        <w:t>Bruselas.-</w:t>
      </w:r>
      <w:r>
        <w:rPr>
          <w:i/>
          <w:color w:val="000000"/>
        </w:rPr>
        <w:t>“</w:t>
      </w:r>
      <w:r w:rsidRPr="00041778">
        <w:rPr>
          <w:i/>
          <w:color w:val="000000"/>
        </w:rPr>
        <w:t>La directora gerente del Fondo Monetario Internacional, Christine Lagarde, pidió el miércoles a los dirigentes de todo el mundo que modifiquen los regímenes fiscales, que controlen la corrupción y adopten medidas para reducir la desigualdad de los ingresos, que están lastrando el crecimiento mundial</w:t>
      </w:r>
      <w:r>
        <w:rPr>
          <w:i/>
          <w:color w:val="000000"/>
        </w:rPr>
        <w:t>”..</w:t>
      </w:r>
      <w:r w:rsidRPr="00041778">
        <w:rPr>
          <w:i/>
          <w:color w:val="000000"/>
        </w:rPr>
        <w:t xml:space="preserve">. </w:t>
      </w:r>
      <w:r w:rsidRPr="00915A3E">
        <w:rPr>
          <w:color w:val="000000"/>
          <w:u w:val="single"/>
        </w:rPr>
        <w:t>El FMI hace un llamado a los gobiernos para que reduzcan la desigualdad</w:t>
      </w:r>
      <w:r>
        <w:rPr>
          <w:color w:val="000000"/>
        </w:rPr>
        <w:t xml:space="preserve"> (The Wall Street Journal - </w:t>
      </w:r>
      <w:r w:rsidRPr="00915A3E">
        <w:rPr>
          <w:b/>
          <w:color w:val="000000"/>
        </w:rPr>
        <w:t>21/6/15</w:t>
      </w:r>
      <w:r>
        <w:rPr>
          <w:color w:val="000000"/>
        </w:rPr>
        <w:t>)</w:t>
      </w:r>
    </w:p>
    <w:p w:rsidR="002F07D4" w:rsidRPr="00041778" w:rsidRDefault="002F07D4" w:rsidP="002F07D4">
      <w:pPr>
        <w:pStyle w:val="NormalWeb"/>
        <w:shd w:val="clear" w:color="auto" w:fill="FFFFFF"/>
        <w:jc w:val="both"/>
      </w:pPr>
      <w:r w:rsidRPr="00041778">
        <w:t xml:space="preserve">“Las clases baja y media son los principales motores del crecimiento”, afirmó Lagarde durante un discurso en Bruselas. “Lamentablemente, estos motores se han parado”. </w:t>
      </w:r>
    </w:p>
    <w:p w:rsidR="002F07D4" w:rsidRPr="00041778" w:rsidRDefault="002F07D4" w:rsidP="002F07D4">
      <w:pPr>
        <w:pStyle w:val="NormalWeb"/>
        <w:shd w:val="clear" w:color="auto" w:fill="FFFFFF"/>
        <w:jc w:val="both"/>
      </w:pPr>
      <w:r w:rsidRPr="00041778">
        <w:t xml:space="preserve">Lagarde responsabilizó al sobredimensionado sector financiero en las grandes economías como Estados Unidos y Japón, así como al acceso desigual a la tecnología y la educación, y a la baja movilidad social en todo el mundo de llevar a una “economía de exclusión”, citando un término utilizado por el papa Francisco. </w:t>
      </w:r>
    </w:p>
    <w:p w:rsidR="002F07D4" w:rsidRPr="00041778" w:rsidRDefault="002F07D4" w:rsidP="002F07D4">
      <w:pPr>
        <w:pStyle w:val="NormalWeb"/>
        <w:shd w:val="clear" w:color="auto" w:fill="FFFFFF"/>
        <w:jc w:val="both"/>
      </w:pPr>
      <w:r w:rsidRPr="00041778">
        <w:t xml:space="preserve">Aumentar la proporción de recursos que se destina a las clases baja y media en un punto porcentual puede acelerar el crecimiento económico de un país en hasta 0,38 puntos porcentuales en cinco años, mientras que incrementar la proporción de la clase alta parece reducir ligeramente el crecimiento local, dijo Lagarde citando datos del FMI. </w:t>
      </w:r>
    </w:p>
    <w:p w:rsidR="002F07D4" w:rsidRPr="00041778" w:rsidRDefault="002F07D4" w:rsidP="002F07D4">
      <w:pPr>
        <w:pStyle w:val="NormalWeb"/>
        <w:shd w:val="clear" w:color="auto" w:fill="FFFFFF"/>
        <w:jc w:val="both"/>
      </w:pPr>
      <w:r w:rsidRPr="00041778">
        <w:t xml:space="preserve">“No hay que ser un altruista para apoyar políticas que aumenten los ingresos de la clase media y baja”, dijo. “Reducir la desigualdad excesiva no es solo moral y políticamente correcto, sino que es una buena economía”. </w:t>
      </w:r>
    </w:p>
    <w:p w:rsidR="002F07D4" w:rsidRPr="00041778" w:rsidRDefault="002F07D4" w:rsidP="002F07D4">
      <w:pPr>
        <w:pStyle w:val="NormalWeb"/>
        <w:shd w:val="clear" w:color="auto" w:fill="FFFFFF"/>
        <w:jc w:val="both"/>
      </w:pPr>
      <w:r w:rsidRPr="00041778">
        <w:t xml:space="preserve">Los países deben adoptar primero medidas para asegurar un crecimiento estable con una corrupción mínima para que los menos ricos tengan la posibilidad de luchar, dijo. </w:t>
      </w:r>
    </w:p>
    <w:p w:rsidR="002F07D4" w:rsidRDefault="002F07D4" w:rsidP="002F07D4">
      <w:pPr>
        <w:pStyle w:val="NormalWeb"/>
        <w:shd w:val="clear" w:color="auto" w:fill="FFFFFF"/>
        <w:jc w:val="both"/>
      </w:pPr>
      <w:r w:rsidRPr="00041778">
        <w:lastRenderedPageBreak/>
        <w:t>En cuanto a la política fiscal, los gobiernos deberían eliminar desgravaciones fiscales populares que principalmente benefician a los ricos, como las deducciones de los intereses de las hipotecas, o las ventajas fiscales en las plusvalías y las opciones sobre acciones, dijo. Los países europeos deberían reducir los impuestos relacionados con los trabajadores, incluidas las contribuciones a la seguridad social, para ayudar a crear más empleos a jornada completa. Además, deberían invertir más en educación y salud, agregó.</w:t>
      </w:r>
    </w:p>
    <w:p w:rsidR="00D03842" w:rsidRDefault="00D03842" w:rsidP="002F07D4">
      <w:pPr>
        <w:pStyle w:val="NormalWeb"/>
        <w:shd w:val="clear" w:color="auto" w:fill="FFFFFF"/>
        <w:jc w:val="both"/>
      </w:pPr>
    </w:p>
    <w:p w:rsidR="002F07D4" w:rsidRPr="00DC0341" w:rsidRDefault="002F07D4" w:rsidP="002F07D4">
      <w:pPr>
        <w:pStyle w:val="NormalWeb"/>
        <w:shd w:val="clear" w:color="auto" w:fill="FFFFFF"/>
        <w:jc w:val="both"/>
      </w:pPr>
      <w:r w:rsidRPr="00DC0341">
        <w:rPr>
          <w:b/>
        </w:rPr>
        <w:t>Un TAC de la crisis, en 30 gráficos (antes que nos borren la memoria)</w:t>
      </w:r>
    </w:p>
    <w:p w:rsidR="002F07D4" w:rsidRDefault="002F07D4" w:rsidP="002F07D4">
      <w:pPr>
        <w:jc w:val="both"/>
        <w:rPr>
          <w:rFonts w:ascii="Times New Roman" w:hAnsi="Times New Roman" w:cs="Times New Roman"/>
          <w:sz w:val="24"/>
          <w:szCs w:val="24"/>
        </w:rPr>
      </w:pPr>
      <w:r>
        <w:rPr>
          <w:b/>
          <w:noProof/>
          <w:lang w:val="en-GB" w:eastAsia="en-GB"/>
        </w:rPr>
        <w:drawing>
          <wp:inline distT="0" distB="0" distL="0" distR="0">
            <wp:extent cx="4603750" cy="2406650"/>
            <wp:effectExtent l="0" t="0" r="6350" b="0"/>
            <wp:docPr id="364"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3750" cy="24066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r>
        <w:rPr>
          <w:b/>
          <w:noProof/>
          <w:lang w:val="en-GB" w:eastAsia="en-GB"/>
        </w:rPr>
        <w:drawing>
          <wp:inline distT="0" distB="0" distL="0" distR="0">
            <wp:extent cx="4723130" cy="2482850"/>
            <wp:effectExtent l="0" t="0" r="1270" b="0"/>
            <wp:docPr id="36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3130" cy="24828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noProof/>
          <w:lang w:val="en-GB" w:eastAsia="en-GB"/>
        </w:rPr>
        <w:lastRenderedPageBreak/>
        <w:drawing>
          <wp:inline distT="0" distB="0" distL="0" distR="0">
            <wp:extent cx="5391150" cy="2667000"/>
            <wp:effectExtent l="0" t="0" r="0" b="0"/>
            <wp:docPr id="36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266700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b/>
          <w:noProof/>
          <w:lang w:val="en-GB" w:eastAsia="en-GB"/>
        </w:rPr>
        <w:drawing>
          <wp:inline distT="0" distB="0" distL="0" distR="0">
            <wp:extent cx="4174490" cy="1924050"/>
            <wp:effectExtent l="0" t="0" r="0" b="0"/>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74490" cy="19240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b/>
          <w:noProof/>
          <w:lang w:val="en-GB" w:eastAsia="en-GB"/>
        </w:rPr>
        <w:drawing>
          <wp:inline distT="0" distB="0" distL="0" distR="0">
            <wp:extent cx="4086860" cy="3333750"/>
            <wp:effectExtent l="0" t="0" r="8890" b="0"/>
            <wp:docPr id="367"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6860" cy="33337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b/>
          <w:noProof/>
          <w:lang w:val="en-GB" w:eastAsia="en-GB"/>
        </w:rPr>
        <w:lastRenderedPageBreak/>
        <w:drawing>
          <wp:inline distT="0" distB="0" distL="0" distR="0">
            <wp:extent cx="4150360" cy="2870200"/>
            <wp:effectExtent l="0" t="0" r="2540" b="6350"/>
            <wp:docPr id="368"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0360" cy="287020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noProof/>
          <w:lang w:val="en-GB" w:eastAsia="en-GB"/>
        </w:rPr>
        <w:drawing>
          <wp:inline distT="0" distB="0" distL="0" distR="0">
            <wp:extent cx="5334000" cy="2476500"/>
            <wp:effectExtent l="0" t="0" r="0" b="0"/>
            <wp:docPr id="448" name="Imagen 448" descr="http://www.ecestaticos.com/image/clipping/21bbfa53a73cc21253c6023a05b0a92b/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image/clipping/21bbfa53a73cc21253c6023a05b0a92b/imagen-sin-titulo.jpg"/>
                    <pic:cNvPicPr>
                      <a:picLocks noChangeAspect="1" noChangeArrowheads="1"/>
                    </pic:cNvPicPr>
                  </pic:nvPicPr>
                  <pic:blipFill>
                    <a:blip r:embed="rId2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247650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noProof/>
          <w:lang w:val="en-GB" w:eastAsia="en-GB"/>
        </w:rPr>
        <w:drawing>
          <wp:inline distT="0" distB="0" distL="0" distR="0">
            <wp:extent cx="5391150" cy="3206750"/>
            <wp:effectExtent l="0" t="0" r="0" b="0"/>
            <wp:docPr id="36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2067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noProof/>
          <w:lang w:val="en-GB" w:eastAsia="en-GB"/>
        </w:rPr>
        <w:lastRenderedPageBreak/>
        <w:drawing>
          <wp:inline distT="0" distB="0" distL="0" distR="0">
            <wp:extent cx="5398770" cy="2559050"/>
            <wp:effectExtent l="0" t="0" r="0" b="0"/>
            <wp:docPr id="502" name="Imagen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8770" cy="25590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noProof/>
          <w:lang w:val="en-GB" w:eastAsia="en-GB"/>
        </w:rPr>
        <w:drawing>
          <wp:inline distT="0" distB="0" distL="0" distR="0">
            <wp:extent cx="5391150" cy="2641600"/>
            <wp:effectExtent l="0" t="0" r="0" b="6350"/>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264160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noProof/>
          <w:lang w:val="en-GB" w:eastAsia="en-GB"/>
        </w:rPr>
        <w:drawing>
          <wp:inline distT="0" distB="0" distL="0" distR="0">
            <wp:extent cx="5384165" cy="2971800"/>
            <wp:effectExtent l="0" t="0" r="6985" b="0"/>
            <wp:docPr id="499" name="Imagen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7" cy="2975659"/>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noProof/>
          <w:lang w:val="en-GB" w:eastAsia="en-GB"/>
        </w:rPr>
        <w:lastRenderedPageBreak/>
        <w:drawing>
          <wp:inline distT="0" distB="0" distL="0" distR="0">
            <wp:extent cx="5391150" cy="2597150"/>
            <wp:effectExtent l="0" t="0" r="0" b="0"/>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25971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val="en-GB" w:eastAsia="en-GB"/>
        </w:rPr>
        <w:drawing>
          <wp:inline distT="0" distB="0" distL="0" distR="0">
            <wp:extent cx="5397500" cy="3575050"/>
            <wp:effectExtent l="0" t="0" r="0" b="6350"/>
            <wp:docPr id="370" name="Imagen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8770" cy="3575891"/>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val="en-GB" w:eastAsia="en-GB"/>
        </w:rPr>
        <w:lastRenderedPageBreak/>
        <w:drawing>
          <wp:inline distT="0" distB="0" distL="0" distR="0">
            <wp:extent cx="5396865" cy="4032250"/>
            <wp:effectExtent l="0" t="0" r="0" b="6350"/>
            <wp:docPr id="514" name="Imagen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8774" cy="4033676"/>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val="en-GB" w:eastAsia="en-GB"/>
        </w:rPr>
        <w:drawing>
          <wp:inline distT="0" distB="0" distL="0" distR="0">
            <wp:extent cx="5397500" cy="3206750"/>
            <wp:effectExtent l="0" t="0" r="0" b="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8772" cy="3207506"/>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val="en-GB" w:eastAsia="en-GB"/>
        </w:rPr>
        <w:drawing>
          <wp:inline distT="0" distB="0" distL="0" distR="0">
            <wp:extent cx="5397500" cy="5035550"/>
            <wp:effectExtent l="0" t="0" r="0" b="0"/>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8771" cy="5036736"/>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val="en-GB" w:eastAsia="en-GB"/>
        </w:rPr>
        <w:lastRenderedPageBreak/>
        <w:drawing>
          <wp:inline distT="0" distB="0" distL="0" distR="0">
            <wp:extent cx="5397500" cy="4019550"/>
            <wp:effectExtent l="0" t="0" r="0" b="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0195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 New Roman" w:eastAsia="SymbolMT" w:hAnsi="Times New Roman" w:cs="Times New Roman"/>
          <w:noProof/>
          <w:color w:val="000000"/>
          <w:sz w:val="20"/>
          <w:szCs w:val="20"/>
          <w:lang w:val="en-GB" w:eastAsia="en-GB"/>
        </w:rPr>
        <w:drawing>
          <wp:inline distT="0" distB="0" distL="0" distR="0">
            <wp:extent cx="5398135" cy="4133850"/>
            <wp:effectExtent l="0" t="0" r="0" b="0"/>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8135" cy="41338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 New Roman" w:eastAsia="SymbolMT" w:hAnsi="Times New Roman" w:cs="Times New Roman"/>
          <w:noProof/>
          <w:color w:val="000000"/>
          <w:sz w:val="20"/>
          <w:szCs w:val="20"/>
          <w:lang w:val="en-GB" w:eastAsia="en-GB"/>
        </w:rPr>
        <w:lastRenderedPageBreak/>
        <w:drawing>
          <wp:inline distT="0" distB="0" distL="0" distR="0">
            <wp:extent cx="5398011" cy="4387850"/>
            <wp:effectExtent l="0" t="0" r="0" b="0"/>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814" cy="4390129"/>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 New Roman" w:eastAsia="SymbolMT" w:hAnsi="Times New Roman" w:cs="Times New Roman"/>
          <w:noProof/>
          <w:color w:val="000000"/>
          <w:sz w:val="20"/>
          <w:szCs w:val="20"/>
          <w:lang w:val="en-GB" w:eastAsia="en-GB"/>
        </w:rPr>
        <w:drawing>
          <wp:inline distT="0" distB="0" distL="0" distR="0">
            <wp:extent cx="5398135" cy="3035300"/>
            <wp:effectExtent l="0" t="0" r="0" b="0"/>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8772" cy="3035658"/>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val="en-GB" w:eastAsia="en-GB"/>
        </w:rPr>
        <w:lastRenderedPageBreak/>
        <w:drawing>
          <wp:inline distT="0" distB="0" distL="0" distR="0">
            <wp:extent cx="5391150" cy="4229100"/>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422910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3829050"/>
            <wp:effectExtent l="0" t="0" r="0" b="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8290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 New Roman" w:hAnsi="Times New Roman" w:cs="Times New Roman"/>
          <w:b/>
          <w:noProof/>
          <w:sz w:val="24"/>
          <w:szCs w:val="24"/>
          <w:lang w:val="en-GB" w:eastAsia="en-GB"/>
        </w:rPr>
        <w:lastRenderedPageBreak/>
        <w:drawing>
          <wp:inline distT="0" distB="0" distL="0" distR="0">
            <wp:extent cx="5397500" cy="2927350"/>
            <wp:effectExtent l="0" t="0" r="0" b="635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9273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NRMTStd-Regular" w:hAnsi="TimesNRMTStd-Regular" w:cs="TimesNRMTStd-Regular"/>
          <w:noProof/>
          <w:sz w:val="23"/>
          <w:szCs w:val="23"/>
          <w:lang w:val="en-GB" w:eastAsia="en-GB"/>
        </w:rPr>
        <w:drawing>
          <wp:inline distT="0" distB="0" distL="0" distR="0">
            <wp:extent cx="5391150" cy="2368550"/>
            <wp:effectExtent l="0" t="0" r="0" b="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236855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r>
        <w:rPr>
          <w:rFonts w:ascii="TimesNRMTStd-Regular" w:hAnsi="TimesNRMTStd-Regular" w:cs="TimesNRMTStd-Regular"/>
          <w:noProof/>
          <w:sz w:val="23"/>
          <w:szCs w:val="23"/>
          <w:lang w:val="en-GB" w:eastAsia="en-GB"/>
        </w:rPr>
        <w:drawing>
          <wp:inline distT="0" distB="0" distL="0" distR="0">
            <wp:extent cx="5391150" cy="2628900"/>
            <wp:effectExtent l="0" t="0" r="0" b="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262890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97500" cy="6019800"/>
            <wp:effectExtent l="0" t="0" r="0" b="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019800"/>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NRMTStd-Regular" w:hAnsi="TimesNRMTStd-Regular" w:cs="TimesNRMTStd-Regular"/>
          <w:noProof/>
          <w:sz w:val="23"/>
          <w:szCs w:val="23"/>
          <w:lang w:eastAsia="es-ES"/>
        </w:rPr>
      </w:pPr>
    </w:p>
    <w:p w:rsidR="002F07D4" w:rsidRDefault="002F07D4" w:rsidP="002F07D4">
      <w:pPr>
        <w:jc w:val="both"/>
        <w:rPr>
          <w:rFonts w:ascii="TimesNRMTStd-Regular" w:hAnsi="TimesNRMTStd-Regular" w:cs="TimesNRMTStd-Regular"/>
          <w:noProof/>
          <w:sz w:val="23"/>
          <w:szCs w:val="23"/>
          <w:lang w:eastAsia="es-ES"/>
        </w:rPr>
      </w:pPr>
    </w:p>
    <w:p w:rsidR="002F07D4" w:rsidRDefault="002F07D4" w:rsidP="002F07D4">
      <w:pPr>
        <w:jc w:val="both"/>
        <w:rPr>
          <w:rFonts w:ascii="Times New Roman" w:hAnsi="Times New Roman" w:cs="Times New Roman"/>
          <w:sz w:val="24"/>
          <w:szCs w:val="24"/>
        </w:rPr>
      </w:pPr>
      <w:r>
        <w:rPr>
          <w:rFonts w:ascii="TimesNRMTStd-Regular" w:hAnsi="TimesNRMTStd-Regular" w:cs="TimesNRMTStd-Regular"/>
          <w:noProof/>
          <w:sz w:val="23"/>
          <w:szCs w:val="23"/>
          <w:lang w:val="en-GB" w:eastAsia="en-GB"/>
        </w:rPr>
        <w:drawing>
          <wp:inline distT="0" distB="0" distL="0" distR="0">
            <wp:extent cx="5400040" cy="6044255"/>
            <wp:effectExtent l="0" t="0" r="0" b="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6044255"/>
                    </a:xfrm>
                    <a:prstGeom prst="rect">
                      <a:avLst/>
                    </a:prstGeom>
                    <a:noFill/>
                    <a:ln>
                      <a:noFill/>
                    </a:ln>
                  </pic:spPr>
                </pic:pic>
              </a:graphicData>
            </a:graphic>
          </wp:inline>
        </w:drawing>
      </w: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Default="002F07D4" w:rsidP="002F07D4">
      <w:pPr>
        <w:jc w:val="both"/>
        <w:rPr>
          <w:rFonts w:ascii="Times New Roman" w:hAnsi="Times New Roman" w:cs="Times New Roman"/>
          <w:sz w:val="24"/>
          <w:szCs w:val="24"/>
        </w:rPr>
      </w:pPr>
    </w:p>
    <w:p w:rsidR="002F07D4" w:rsidRPr="00CF3FED" w:rsidRDefault="002F07D4" w:rsidP="002F07D4">
      <w:pPr>
        <w:jc w:val="both"/>
        <w:rPr>
          <w:rFonts w:ascii="Times New Roman" w:hAnsi="Times New Roman" w:cs="Times New Roman"/>
          <w:sz w:val="24"/>
          <w:szCs w:val="24"/>
        </w:rPr>
      </w:pPr>
      <w:r>
        <w:rPr>
          <w:rFonts w:ascii="TimesNRMTStd-Regular" w:hAnsi="TimesNRMTStd-Regular" w:cs="TimesNRMTStd-Regular"/>
          <w:noProof/>
          <w:color w:val="000000"/>
          <w:sz w:val="23"/>
          <w:szCs w:val="23"/>
          <w:lang w:val="en-GB" w:eastAsia="en-GB"/>
        </w:rPr>
        <w:drawing>
          <wp:inline distT="0" distB="0" distL="0" distR="0">
            <wp:extent cx="5016500" cy="6470650"/>
            <wp:effectExtent l="0" t="0" r="0" b="635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16500" cy="6470650"/>
                    </a:xfrm>
                    <a:prstGeom prst="rect">
                      <a:avLst/>
                    </a:prstGeom>
                    <a:noFill/>
                    <a:ln>
                      <a:noFill/>
                    </a:ln>
                  </pic:spPr>
                </pic:pic>
              </a:graphicData>
            </a:graphic>
          </wp:inline>
        </w:drawing>
      </w:r>
    </w:p>
    <w:p w:rsidR="002F07D4" w:rsidRDefault="002F07D4" w:rsidP="002F07D4">
      <w:pPr>
        <w:spacing w:line="240" w:lineRule="auto"/>
        <w:jc w:val="both"/>
        <w:rPr>
          <w:rFonts w:ascii="Times New Roman" w:eastAsia="Times New Roman" w:hAnsi="Times New Roman" w:cs="Times New Roman"/>
          <w:b/>
          <w:sz w:val="24"/>
          <w:szCs w:val="24"/>
          <w:lang w:eastAsia="es-ES"/>
        </w:rPr>
      </w:pPr>
    </w:p>
    <w:p w:rsidR="002F07D4" w:rsidRDefault="002F07D4" w:rsidP="002F07D4">
      <w:pPr>
        <w:spacing w:line="240" w:lineRule="auto"/>
        <w:jc w:val="both"/>
        <w:rPr>
          <w:rFonts w:ascii="Times New Roman" w:hAnsi="Times New Roman" w:cs="Times New Roman"/>
          <w:sz w:val="24"/>
          <w:szCs w:val="24"/>
        </w:rPr>
      </w:pPr>
    </w:p>
    <w:p w:rsidR="002F07D4" w:rsidRPr="005771CD" w:rsidRDefault="002F07D4" w:rsidP="002F07D4">
      <w:pPr>
        <w:spacing w:line="240" w:lineRule="auto"/>
        <w:jc w:val="both"/>
        <w:rPr>
          <w:rFonts w:ascii="Times New Roman" w:hAnsi="Times New Roman"/>
          <w:b/>
          <w:sz w:val="24"/>
          <w:szCs w:val="24"/>
        </w:rPr>
      </w:pPr>
    </w:p>
    <w:p w:rsidR="002F07D4" w:rsidRPr="00BB2A04" w:rsidRDefault="002F07D4" w:rsidP="002F07D4">
      <w:pPr>
        <w:spacing w:line="240" w:lineRule="auto"/>
        <w:jc w:val="both"/>
        <w:rPr>
          <w:rFonts w:ascii="Times New Roman" w:hAnsi="Times New Roman"/>
          <w:b/>
          <w:sz w:val="24"/>
          <w:szCs w:val="24"/>
        </w:rPr>
      </w:pPr>
      <w:r w:rsidRPr="00BB2A04">
        <w:rPr>
          <w:rFonts w:ascii="Times New Roman" w:hAnsi="Times New Roman"/>
          <w:b/>
          <w:sz w:val="24"/>
          <w:szCs w:val="24"/>
        </w:rPr>
        <w:lastRenderedPageBreak/>
        <w:t xml:space="preserve">Un sistema en el que se socializan las pérdidas y se privatizan las ganancias, no es el capitalismo </w:t>
      </w:r>
    </w:p>
    <w:p w:rsidR="002F07D4" w:rsidRPr="00EE061E" w:rsidRDefault="002F07D4" w:rsidP="002F07D4">
      <w:pPr>
        <w:spacing w:line="240" w:lineRule="auto"/>
        <w:jc w:val="both"/>
        <w:rPr>
          <w:rFonts w:ascii="Times New Roman" w:hAnsi="Times New Roman"/>
          <w:i/>
          <w:sz w:val="24"/>
          <w:szCs w:val="24"/>
        </w:rPr>
      </w:pPr>
      <w:r w:rsidRPr="00EE061E">
        <w:rPr>
          <w:rFonts w:ascii="Times New Roman" w:hAnsi="Times New Roman"/>
          <w:i/>
          <w:sz w:val="24"/>
          <w:szCs w:val="24"/>
        </w:rPr>
        <w:t>“Lo que podemos hacer, lo que deberíamos hacer, es reconocer que limitar los intereses en la inversión de capital propio de los bancos comerciales es en el interés de la competencia abierta y justa, así como de la protección de la provisión de servicios financieros esenciales”…</w:t>
      </w:r>
    </w:p>
    <w:p w:rsidR="002F07D4" w:rsidRPr="00EE061E" w:rsidRDefault="002F07D4" w:rsidP="002F07D4">
      <w:pPr>
        <w:spacing w:line="240" w:lineRule="auto"/>
        <w:jc w:val="both"/>
        <w:rPr>
          <w:rFonts w:ascii="Times New Roman" w:hAnsi="Times New Roman"/>
          <w:i/>
          <w:sz w:val="24"/>
          <w:szCs w:val="24"/>
        </w:rPr>
      </w:pPr>
      <w:r w:rsidRPr="00EE061E">
        <w:rPr>
          <w:rFonts w:ascii="Times New Roman" w:hAnsi="Times New Roman"/>
          <w:i/>
          <w:sz w:val="24"/>
          <w:szCs w:val="24"/>
        </w:rPr>
        <w:t>“Deberíamos imponer límites a las negociaciones de valores con capital propio por parte de los bancos y los holding bancarios, así como restricciones a la propiedad o auspicio de fondos de cobertura o fondos de capital privado de inversión”…</w:t>
      </w:r>
    </w:p>
    <w:p w:rsidR="002F07D4" w:rsidRPr="00EE061E" w:rsidRDefault="002F07D4" w:rsidP="002F07D4">
      <w:pPr>
        <w:spacing w:line="240" w:lineRule="auto"/>
        <w:jc w:val="both"/>
        <w:rPr>
          <w:rFonts w:ascii="Times New Roman" w:hAnsi="Times New Roman"/>
          <w:i/>
          <w:sz w:val="24"/>
          <w:szCs w:val="24"/>
        </w:rPr>
      </w:pPr>
      <w:r w:rsidRPr="00EE061E">
        <w:rPr>
          <w:rFonts w:ascii="Times New Roman" w:hAnsi="Times New Roman"/>
          <w:i/>
          <w:sz w:val="24"/>
          <w:szCs w:val="24"/>
        </w:rPr>
        <w:t>“Cuando un banco es de hecho un cliente al negociar su propia cuenta, “inevitablemente se encontrarán a sí mismos consciente o inadvertidamente, actuando en fines cruzados para los intereses de cliente comercial no relacionado de un banco”…</w:t>
      </w:r>
    </w:p>
    <w:p w:rsidR="002F07D4" w:rsidRPr="00EE061E" w:rsidRDefault="002F07D4" w:rsidP="002F07D4">
      <w:pPr>
        <w:spacing w:line="240" w:lineRule="auto"/>
        <w:jc w:val="both"/>
        <w:rPr>
          <w:rFonts w:ascii="Times New Roman" w:hAnsi="Times New Roman"/>
          <w:i/>
          <w:sz w:val="24"/>
          <w:szCs w:val="24"/>
        </w:rPr>
      </w:pPr>
      <w:r w:rsidRPr="00EE061E">
        <w:rPr>
          <w:rFonts w:ascii="Times New Roman" w:hAnsi="Times New Roman"/>
          <w:i/>
          <w:sz w:val="24"/>
          <w:szCs w:val="24"/>
        </w:rPr>
        <w:t>“Los bancos no deben ser hedge funds”… “La red de seguridad que el Gobierno ofrece a los bancos a través del Fondo de Garantía de Depósitos (FDIC) y de los rescates de emergencia de 2008, no debe amparar las actividades de alto riesgo que han provocado la crisis. Es decir, esta protección debe aplicarse a los depositantes, no a los especuladores”…</w:t>
      </w:r>
    </w:p>
    <w:p w:rsidR="002F07D4" w:rsidRPr="00EE061E" w:rsidRDefault="002F07D4" w:rsidP="002F07D4">
      <w:pPr>
        <w:spacing w:line="240" w:lineRule="auto"/>
        <w:jc w:val="both"/>
        <w:rPr>
          <w:rFonts w:ascii="Times New Roman" w:hAnsi="Times New Roman"/>
          <w:i/>
          <w:sz w:val="24"/>
          <w:szCs w:val="24"/>
        </w:rPr>
      </w:pPr>
      <w:r w:rsidRPr="00EE061E">
        <w:rPr>
          <w:rFonts w:ascii="Times New Roman" w:hAnsi="Times New Roman"/>
          <w:i/>
          <w:sz w:val="24"/>
          <w:szCs w:val="24"/>
        </w:rPr>
        <w:t>“La primera regla de esta reforma sea que los bancos no pueden poseer ni operar hedge funds… Aunque no pretende prohibir estos vehículos, como tampoco el capital riesgo; lo que no se quiere es que ni ellos ni los bancos que actúan como ellos operen con una red pagada con dinero público”... “Estos vehículos son, y deben ser, libres para operar, innovar, invertir... y quebrar”…</w:t>
      </w:r>
    </w:p>
    <w:p w:rsidR="002F07D4" w:rsidRPr="00EE061E" w:rsidRDefault="002F07D4" w:rsidP="002F07D4">
      <w:pPr>
        <w:spacing w:line="240" w:lineRule="auto"/>
        <w:jc w:val="both"/>
        <w:rPr>
          <w:rFonts w:ascii="Times New Roman" w:hAnsi="Times New Roman"/>
          <w:i/>
          <w:sz w:val="24"/>
          <w:szCs w:val="24"/>
        </w:rPr>
      </w:pPr>
      <w:r w:rsidRPr="00EE061E">
        <w:rPr>
          <w:rFonts w:ascii="Times New Roman" w:hAnsi="Times New Roman"/>
          <w:i/>
          <w:sz w:val="24"/>
          <w:szCs w:val="24"/>
        </w:rPr>
        <w:t>Se trata, de imponer los métodos para minimizar estas quiebras en “las fábricas básicas de los mercados financieros”. “La necesidad esencial es protegernos contra el exceso de apalancamiento, e insistir en los niveles de capital y liquidez adecuados”…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(Paul Volcker (82 años) ex presidente de la Reserva Federal en los años 80 y antecesor de Alan Greenspan representa a la mano de hierro de la política monetaria, más cercano a las tesis ortodoxas y restrictivas del Bundesbank, que a la fiesta de tipos bajos y dinero gratis desencadenada por sus sucesores en la última década) </w:t>
      </w:r>
    </w:p>
    <w:p w:rsidR="002F07D4" w:rsidRPr="006C6150" w:rsidRDefault="002F07D4" w:rsidP="002F07D4">
      <w:pPr>
        <w:pStyle w:val="NormalWeb"/>
        <w:jc w:val="both"/>
        <w:rPr>
          <w:u w:val="single"/>
        </w:rPr>
      </w:pPr>
      <w:r w:rsidRPr="006C6150">
        <w:rPr>
          <w:u w:val="single"/>
        </w:rPr>
        <w:t>La Volcker “rule” (como Gary Cooper: “sólo ante al peligro”)</w:t>
      </w:r>
    </w:p>
    <w:p w:rsidR="002F07D4" w:rsidRPr="00AA577D"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¿Se puede reformar el sistema financiero global?</w:t>
      </w:r>
      <w:r w:rsidRPr="00AA577D">
        <w:rPr>
          <w:rFonts w:ascii="Times New Roman" w:hAnsi="Times New Roman"/>
          <w:sz w:val="24"/>
          <w:szCs w:val="24"/>
        </w:rPr>
        <w:t xml:space="preserve">(Project Syndicate - </w:t>
      </w:r>
      <w:r w:rsidRPr="00AA577D">
        <w:rPr>
          <w:rFonts w:ascii="Times New Roman" w:hAnsi="Times New Roman"/>
          <w:b/>
          <w:sz w:val="24"/>
          <w:szCs w:val="24"/>
        </w:rPr>
        <w:t>4/6/12</w:t>
      </w:r>
      <w:r w:rsidRPr="00AA577D">
        <w:rPr>
          <w:rFonts w:ascii="Times New Roman" w:hAnsi="Times New Roman"/>
          <w:sz w:val="24"/>
          <w:szCs w:val="24"/>
        </w:rPr>
        <w:t xml:space="preserve">) </w:t>
      </w:r>
    </w:p>
    <w:p w:rsidR="002F07D4" w:rsidRPr="00AA577D" w:rsidRDefault="002F07D4" w:rsidP="002F07D4">
      <w:pPr>
        <w:spacing w:line="240" w:lineRule="auto"/>
        <w:jc w:val="both"/>
        <w:rPr>
          <w:rFonts w:ascii="Times New Roman" w:hAnsi="Times New Roman"/>
          <w:sz w:val="24"/>
          <w:szCs w:val="24"/>
        </w:rPr>
      </w:pPr>
      <w:r w:rsidRPr="00AA577D">
        <w:rPr>
          <w:rFonts w:ascii="Times New Roman" w:hAnsi="Times New Roman"/>
          <w:sz w:val="24"/>
          <w:szCs w:val="24"/>
        </w:rPr>
        <w:t xml:space="preserve">(Por Paul Volcker)                                                                            </w:t>
      </w:r>
      <w:r>
        <w:rPr>
          <w:rFonts w:ascii="Times New Roman" w:hAnsi="Times New Roman"/>
          <w:sz w:val="24"/>
          <w:szCs w:val="24"/>
        </w:rPr>
        <w:t>Lectura</w:t>
      </w:r>
      <w:r w:rsidRPr="00AA577D">
        <w:rPr>
          <w:rFonts w:ascii="Times New Roman" w:hAnsi="Times New Roman"/>
          <w:sz w:val="24"/>
          <w:szCs w:val="24"/>
        </w:rPr>
        <w:t xml:space="preserve"> recomendada</w:t>
      </w:r>
    </w:p>
    <w:p w:rsidR="002F07D4" w:rsidRDefault="002F07D4" w:rsidP="002F07D4">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Hong Kong.- </w:t>
      </w:r>
      <w:r>
        <w:rPr>
          <w:rFonts w:ascii="Times New Roman" w:hAnsi="Times New Roman"/>
          <w:color w:val="FF0000"/>
          <w:sz w:val="24"/>
          <w:szCs w:val="24"/>
          <w:u w:val="single"/>
        </w:rPr>
        <w:t>En la actualidad hay abundantes pruebas de que los sistemas financieros pueden dejar de funcionar correctamente, de lo que sirven como ejemplo Asia en los noventa y Estados Unidos y Europa una década después. Cuando ello ocurre, se paga un costo intolerable en la forma de interrupción del crecimiento y desempleo.</w:t>
      </w:r>
    </w:p>
    <w:p w:rsidR="002F07D4" w:rsidRDefault="002F07D4" w:rsidP="002F07D4">
      <w:pPr>
        <w:spacing w:line="240" w:lineRule="auto"/>
        <w:jc w:val="both"/>
        <w:rPr>
          <w:rFonts w:ascii="Times New Roman" w:hAnsi="Times New Roman"/>
          <w:sz w:val="24"/>
          <w:szCs w:val="24"/>
          <w:u w:val="single"/>
        </w:rPr>
      </w:pPr>
      <w:r>
        <w:rPr>
          <w:rFonts w:ascii="Times New Roman" w:hAnsi="Times New Roman"/>
          <w:sz w:val="24"/>
          <w:szCs w:val="24"/>
        </w:rPr>
        <w:t xml:space="preserve">Pero una reforma del sistema no será posible, o resultará muy endeble, a menos que se alcance un consenso internacional en torno a ciertos temas clave. </w:t>
      </w:r>
      <w:r>
        <w:rPr>
          <w:rFonts w:ascii="Times New Roman" w:hAnsi="Times New Roman"/>
          <w:sz w:val="24"/>
          <w:szCs w:val="24"/>
          <w:u w:val="single"/>
        </w:rPr>
        <w:t>La libertad del dinero, de los mercados financieros y de las personas para trasladarse de un lugar a otro</w:t>
      </w:r>
      <w:r>
        <w:rPr>
          <w:rFonts w:ascii="Times New Roman" w:hAnsi="Times New Roman"/>
          <w:sz w:val="24"/>
          <w:szCs w:val="24"/>
        </w:rPr>
        <w:t xml:space="preserve"> (y, de ese modo, eludir reglamentaciones e impuestos) </w:t>
      </w:r>
      <w:r>
        <w:rPr>
          <w:rFonts w:ascii="Times New Roman" w:hAnsi="Times New Roman"/>
          <w:sz w:val="24"/>
          <w:szCs w:val="24"/>
          <w:u w:val="single"/>
        </w:rPr>
        <w:t xml:space="preserve">puede ser un freno aceptable e incluso </w:t>
      </w:r>
      <w:r>
        <w:rPr>
          <w:rFonts w:ascii="Times New Roman" w:hAnsi="Times New Roman"/>
          <w:sz w:val="24"/>
          <w:szCs w:val="24"/>
          <w:u w:val="single"/>
        </w:rPr>
        <w:lastRenderedPageBreak/>
        <w:t>constructivo al exceso de intervención oficial, pero no cuando eso da pie a una competencia desregulatoria entre países que impide la adopción de normas éticas y prudenciales necesarias.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u w:val="single"/>
        </w:rPr>
        <w:t>Tal vez lo primero en lo que habría que pensar sea adoptar un enfoque coherente y uniforme para enfrentar las situaciones de quiebra inminente de instituciones de “importancia sistémica”.</w:t>
      </w:r>
      <w:r>
        <w:rPr>
          <w:rFonts w:ascii="Times New Roman" w:hAnsi="Times New Roman"/>
          <w:sz w:val="24"/>
          <w:szCs w:val="24"/>
        </w:rPr>
        <w:t xml:space="preserve"> Tanto los contribuyentes como los gobiernos están cansados de salvar instituciones financieras por temor a una sucesión de quiebras en cadena con efecto destructivo, sabiendo que la posibilidad de rescate alienta a los acreedores a asumir riesgos desmesurados.</w:t>
      </w:r>
    </w:p>
    <w:p w:rsidR="002F07D4" w:rsidRDefault="002F07D4" w:rsidP="002F07D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Estados Unidos, la legislación ha instaurado nuevos métodos que sustituyen a los procedimientos de quiebra vigentes y exigen la disolución (y no el rescate) de las empresas en bancarrota, sea por venta, fusión o liquidación. Pero para que esta iniciativa tenga éxito será necesario que la acompañen medidas complementarias en otras partes del mundo, especialmente en el Reino Unido y otros centros financieros clave.</w:t>
      </w:r>
    </w:p>
    <w:p w:rsidR="002F07D4" w:rsidRDefault="002F07D4" w:rsidP="002F07D4">
      <w:pPr>
        <w:spacing w:line="240" w:lineRule="auto"/>
        <w:jc w:val="both"/>
        <w:rPr>
          <w:rFonts w:ascii="Times New Roman" w:hAnsi="Times New Roman"/>
          <w:sz w:val="24"/>
          <w:szCs w:val="24"/>
          <w:u w:val="single"/>
        </w:rPr>
      </w:pPr>
      <w:r>
        <w:rPr>
          <w:rFonts w:ascii="Times New Roman" w:hAnsi="Times New Roman"/>
          <w:sz w:val="24"/>
          <w:szCs w:val="24"/>
        </w:rPr>
        <w:t xml:space="preserve">Esto no implica necesariamente una estricta uniformidad regulatoria. Por ejemplo, respecto de la protección de la banca comercial contra los riesgos de la inversión con fondos propios, de carácter más especulativo, puede ser que los tipos de políticas que emplean el Reino Unido y Estados Unidos sean diferentes, pero el temor que las inspira es bastante similar; a su vez, este problema tal vez no sea tan acuciante en otros países que siguen otras tradiciones y donde las operaciones de inversión están más limitadas. Pero aun así, </w:t>
      </w:r>
      <w:r>
        <w:rPr>
          <w:rFonts w:ascii="Times New Roman" w:hAnsi="Times New Roman"/>
          <w:sz w:val="24"/>
          <w:szCs w:val="24"/>
          <w:u w:val="single"/>
        </w:rPr>
        <w:t>una jurisdicción no debería tomar medidas que con el fin de competir menoscaben las restricciones impuestas por otra.</w:t>
      </w:r>
    </w:p>
    <w:p w:rsidR="002F07D4" w:rsidRDefault="002F07D4" w:rsidP="002F07D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Hay otra reforma estrechamente relacionada, que es la del sistema monetario internacional. Incluso podríamos preguntarnos si lo que hay en la actualidad es realmente un “sistema”, al menos en comparación con los acuerdos de Bretton Woods y, más allá en el tiempo, con la aparente simplicidad del patrón oro. Hasta ahora nadie ha sido capaz de ejercer autoridad en forma sistemática y coherente, y no existe una moneda internacional que cuente con aprobación y control internacional.</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Es de suponer que el ideal de tener un régimen monetario internacional bien definido y eficaz se ha vuelto más difícil de llevar a la práctica, ahora que los mercados y los flujos de capitales son muchísimo más grandes e impredecibles que antes. También se dice que la economía mundial creció (y los países emergentes prosperaron) a pesar de no haber un sistema más organizado.</w:t>
      </w:r>
    </w:p>
    <w:p w:rsidR="002F07D4" w:rsidRDefault="002F07D4" w:rsidP="002F07D4">
      <w:pPr>
        <w:spacing w:line="240" w:lineRule="auto"/>
        <w:jc w:val="both"/>
        <w:rPr>
          <w:rFonts w:ascii="Times New Roman" w:hAnsi="Times New Roman"/>
          <w:sz w:val="24"/>
          <w:szCs w:val="24"/>
          <w:u w:val="single"/>
        </w:rPr>
      </w:pPr>
      <w:r>
        <w:rPr>
          <w:rFonts w:ascii="Times New Roman" w:hAnsi="Times New Roman"/>
          <w:sz w:val="24"/>
          <w:szCs w:val="24"/>
        </w:rPr>
        <w:t xml:space="preserve">Pero </w:t>
      </w:r>
      <w:r>
        <w:rPr>
          <w:rFonts w:ascii="Times New Roman" w:hAnsi="Times New Roman"/>
          <w:sz w:val="24"/>
          <w:szCs w:val="24"/>
          <w:u w:val="single"/>
        </w:rPr>
        <w:t>a menudo se pasa por alto que la falta de un orden monetario internacional estuvo en el origen de las sucesivas crisis financieras de los noventa, y que su papel fue incluso más evidente en la crisis que estalló en 2008. En esto se destacan los desequilibrios sostenidos y, en cierto modo, complementarios, de Estados Unidos y Asia.</w:t>
      </w:r>
    </w:p>
    <w:p w:rsidR="002F07D4" w:rsidRDefault="002F07D4" w:rsidP="002F07D4">
      <w:pPr>
        <w:spacing w:line="240" w:lineRule="auto"/>
        <w:jc w:val="both"/>
        <w:rPr>
          <w:rFonts w:ascii="Times New Roman" w:hAnsi="Times New Roman"/>
          <w:sz w:val="24"/>
          <w:szCs w:val="24"/>
          <w:u w:val="single"/>
        </w:rPr>
      </w:pPr>
      <w:r>
        <w:rPr>
          <w:rFonts w:ascii="Times New Roman" w:hAnsi="Times New Roman"/>
          <w:sz w:val="24"/>
          <w:szCs w:val="24"/>
          <w:u w:val="single"/>
        </w:rPr>
        <w:t>Entre 2000 y 2007, Estados Unidos acumuló un déficit de cuenta corriente por valor aproximado de 5,5 billones de dólares, acompañado por aumentos compensatorios casi simétricos en las reservas de China y Japón. A China le convenía mantener un gran superávit comercial y usar la elevada tasa de ahorro interno y el ingreso de inversión extranjera para sostener su industrialización y su veloz crecimiento.</w:t>
      </w:r>
    </w:p>
    <w:p w:rsidR="002F07D4" w:rsidRDefault="002F07D4" w:rsidP="002F07D4">
      <w:pPr>
        <w:spacing w:line="240" w:lineRule="auto"/>
        <w:jc w:val="both"/>
        <w:rPr>
          <w:rFonts w:ascii="Times New Roman" w:hAnsi="Times New Roman"/>
          <w:sz w:val="24"/>
          <w:szCs w:val="24"/>
          <w:u w:val="single"/>
        </w:rPr>
      </w:pPr>
      <w:r>
        <w:rPr>
          <w:rFonts w:ascii="Times New Roman" w:hAnsi="Times New Roman"/>
          <w:sz w:val="24"/>
          <w:szCs w:val="24"/>
          <w:u w:val="single"/>
        </w:rPr>
        <w:t xml:space="preserve">En cambio Estados Unidos, enfrentado al problema del crecimiento lento, se limitó a sostener niveles de consumo excepcionalmente altos en perjuicio del ahorro personal. </w:t>
      </w:r>
      <w:r>
        <w:rPr>
          <w:rFonts w:ascii="Times New Roman" w:hAnsi="Times New Roman"/>
          <w:sz w:val="24"/>
          <w:szCs w:val="24"/>
          <w:u w:val="single"/>
        </w:rPr>
        <w:lastRenderedPageBreak/>
        <w:t>Esto permitió que se formara una enorme burbuja inmobiliaria que al estallar hizo muchísimo ruido (y dejó a todo el mundo muy alterado).</w:t>
      </w:r>
    </w:p>
    <w:p w:rsidR="002F07D4" w:rsidRDefault="002F07D4" w:rsidP="002F07D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lección práctica insoslayable es que cuando se deja a los países aplicar a su arbitrio sus propias herramientas políticas, puede ocurrir que las preferencias de cada uno conduzcan a la aparición de desequilibrios prolongados y a la larga, insostenibles. Antes o después, será necesario un ajuste: si no es a través de una política interna cuidadosa o del buen funcionamiento del sistema monetario internacional, será a través de una crisis financiera.</w:t>
      </w:r>
    </w:p>
    <w:p w:rsidR="002F07D4" w:rsidRDefault="002F07D4" w:rsidP="002F07D4">
      <w:pPr>
        <w:spacing w:line="240" w:lineRule="auto"/>
        <w:jc w:val="both"/>
        <w:rPr>
          <w:rFonts w:ascii="Times New Roman" w:hAnsi="Times New Roman"/>
          <w:sz w:val="24"/>
          <w:szCs w:val="24"/>
          <w:u w:val="single"/>
        </w:rPr>
      </w:pPr>
      <w:r>
        <w:rPr>
          <w:rFonts w:ascii="Times New Roman" w:hAnsi="Times New Roman"/>
          <w:sz w:val="24"/>
          <w:szCs w:val="24"/>
          <w:u w:val="single"/>
        </w:rPr>
        <w:t>No hace mucho tiempo, hallábamos tranquilidad en la teoría de que para mediar los ajustes internacionales en forma oportuna y ordenada era suficiente permitir la flotación de los tipos de cambio. Pero en el mundo real, hay muchos países (sobre todo las pequeñas economías abiertas, pero también otras) para los que sencillamente resulta inviable o indeseable permitir la flotación de sus monedas.</w:t>
      </w:r>
    </w:p>
    <w:p w:rsidR="002F07D4" w:rsidRDefault="002F07D4" w:rsidP="002F07D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conclusión inevitable, por desagradable que sea, es que para formar parte activa de una economía mundial abierta es preciso ceder cierto grado de soberanía económica. O, para expresarlo en términos más positivos, estar dispuestos a una coordinación de políticas más efectiva. Esto admite diversas posibilidades, por ejemplo: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color w:val="FF0000"/>
          <w:sz w:val="24"/>
          <w:szCs w:val="24"/>
        </w:rPr>
        <w:t>Una mayor vigilancia por parte del Fondo Monetario Internacional</w:t>
      </w:r>
      <w:r>
        <w:rPr>
          <w:rFonts w:ascii="Times New Roman" w:hAnsi="Times New Roman"/>
          <w:sz w:val="24"/>
          <w:szCs w:val="24"/>
        </w:rPr>
        <w:t xml:space="preserve"> y un compromiso más firme de los países a respetar las “buenas prácticas” y las normas acordadas.</w:t>
      </w:r>
    </w:p>
    <w:p w:rsidR="002F07D4" w:rsidRDefault="002F07D4" w:rsidP="002F07D4">
      <w:pPr>
        <w:spacing w:line="240" w:lineRule="auto"/>
        <w:jc w:val="both"/>
        <w:rPr>
          <w:rFonts w:ascii="Times New Roman" w:hAnsi="Times New Roman" w:cs="Calibri"/>
          <w:sz w:val="24"/>
          <w:szCs w:val="24"/>
        </w:rPr>
      </w:pPr>
      <w:r>
        <w:rPr>
          <w:rFonts w:ascii="Times New Roman" w:hAnsi="Times New Roman"/>
          <w:sz w:val="24"/>
          <w:szCs w:val="24"/>
        </w:rPr>
        <w:t xml:space="preserve">·  </w:t>
      </w:r>
      <w:r>
        <w:rPr>
          <w:rFonts w:ascii="Times New Roman" w:hAnsi="Times New Roman"/>
          <w:color w:val="FF0000"/>
          <w:sz w:val="24"/>
          <w:szCs w:val="24"/>
        </w:rPr>
        <w:t>Un mecanismo de consultas obligatorias</w:t>
      </w:r>
      <w:r>
        <w:rPr>
          <w:rFonts w:ascii="Times New Roman" w:hAnsi="Times New Roman"/>
          <w:sz w:val="24"/>
          <w:szCs w:val="24"/>
        </w:rPr>
        <w:t>, seguidas por la formulación pública y directa de recomendaciones por parte del FMI, el G</w:t>
      </w:r>
      <w:r w:rsidRPr="006C6150">
        <w:rPr>
          <w:rFonts w:ascii="Times New Roman" w:eastAsia="MS Gothic" w:hAnsi="Times New Roman" w:cs="MS Gothic" w:hint="eastAsia"/>
          <w:sz w:val="24"/>
          <w:szCs w:val="24"/>
        </w:rPr>
        <w:noBreakHyphen/>
      </w:r>
      <w:r>
        <w:rPr>
          <w:rFonts w:ascii="Times New Roman" w:hAnsi="Times New Roman" w:cs="Calibri"/>
          <w:sz w:val="24"/>
          <w:szCs w:val="24"/>
        </w:rPr>
        <w:t>20 u otros organismos.</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sz w:val="24"/>
          <w:szCs w:val="24"/>
        </w:rPr>
        <w:t xml:space="preserve">·   </w:t>
      </w:r>
      <w:r>
        <w:rPr>
          <w:rFonts w:ascii="Times New Roman" w:hAnsi="Times New Roman"/>
          <w:color w:val="FF0000"/>
          <w:sz w:val="24"/>
          <w:szCs w:val="24"/>
        </w:rPr>
        <w:t>Un sistema de calificación o descalificación para el uso de fondos del FMI u otras fuentes de financiación</w:t>
      </w:r>
      <w:r>
        <w:rPr>
          <w:rFonts w:ascii="Times New Roman" w:hAnsi="Times New Roman"/>
          <w:sz w:val="24"/>
          <w:szCs w:val="24"/>
        </w:rPr>
        <w:t xml:space="preserve"> (por ejemplo, los acuerdos de intercambio mo</w:t>
      </w:r>
      <w:r w:rsidR="009A6996">
        <w:rPr>
          <w:rFonts w:ascii="Times New Roman" w:hAnsi="Times New Roman"/>
          <w:sz w:val="24"/>
          <w:szCs w:val="24"/>
        </w:rPr>
        <w:t>netario entre bancos centrales (swaps)</w:t>
      </w:r>
      <w:r>
        <w:rPr>
          <w:rFonts w:ascii="Times New Roman" w:hAnsi="Times New Roman"/>
          <w:sz w:val="24"/>
          <w:szCs w:val="24"/>
        </w:rPr>
        <w:t>).</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color w:val="FF0000"/>
          <w:sz w:val="24"/>
          <w:szCs w:val="24"/>
        </w:rPr>
        <w:t>Cobro de intereses u otras multas financieras</w:t>
      </w:r>
      <w:r>
        <w:rPr>
          <w:rFonts w:ascii="Times New Roman" w:hAnsi="Times New Roman"/>
          <w:sz w:val="24"/>
          <w:szCs w:val="24"/>
        </w:rPr>
        <w:t xml:space="preserve"> (en sintonía con las propuestas que se estudian en Europa).</w:t>
      </w:r>
    </w:p>
    <w:p w:rsidR="002F07D4" w:rsidRDefault="002F07D4" w:rsidP="002F07D4">
      <w:pPr>
        <w:spacing w:line="240" w:lineRule="auto"/>
        <w:jc w:val="both"/>
        <w:rPr>
          <w:rFonts w:ascii="Times New Roman" w:hAnsi="Times New Roman"/>
          <w:sz w:val="24"/>
          <w:szCs w:val="24"/>
        </w:rPr>
      </w:pPr>
      <w:r>
        <w:rPr>
          <w:rFonts w:ascii="Times New Roman" w:hAnsi="Times New Roman"/>
          <w:color w:val="FF0000"/>
          <w:sz w:val="24"/>
          <w:szCs w:val="24"/>
          <w:u w:val="single"/>
        </w:rPr>
        <w:t>Pero si adoptar soluciones que aprovechen las lecciones de los fracasos del pasado no fuera suficientemente efectivo, podría ser más promisorio repensar la idea de la flotación cambiaria. Esto exigiría llegar a algún acuerdo respecto de cuáles son los tipos de cambio de “equilibrio” adecuados, dejando una franja de valores bastante amplia que dé cuenta de la incertidumbre y permita al mercado ejercer su propia disciplina</w:t>
      </w:r>
      <w:r>
        <w:rPr>
          <w:rFonts w:ascii="Times New Roman" w:hAnsi="Times New Roman"/>
          <w:sz w:val="24"/>
          <w:szCs w:val="24"/>
        </w:rPr>
        <w:t>. Pero cada país por separado debería orientar sus intervenciones y sus políticas económicas hacia el objetivo de defender el tipo de cambio de equilibrio; o se podría emplear una modalidad más radical, en la que una autoridad internacional autorizara a los socios comerciales de un país a aplicar medidas contundentes para fomentar la coherencia del sistema.</w:t>
      </w:r>
    </w:p>
    <w:p w:rsidR="002F07D4" w:rsidRDefault="002F07D4" w:rsidP="002F07D4">
      <w:pPr>
        <w:spacing w:line="240" w:lineRule="auto"/>
        <w:jc w:val="both"/>
        <w:rPr>
          <w:rFonts w:ascii="Times New Roman" w:hAnsi="Times New Roman"/>
          <w:sz w:val="24"/>
          <w:szCs w:val="24"/>
        </w:rPr>
      </w:pPr>
      <w:r>
        <w:rPr>
          <w:rFonts w:ascii="Times New Roman" w:hAnsi="Times New Roman"/>
          <w:color w:val="FF0000"/>
          <w:sz w:val="24"/>
          <w:szCs w:val="24"/>
          <w:u w:val="single"/>
        </w:rPr>
        <w:t>Otro tema muy importante es que haya una moneda de reserva apropiada y liquidez internacional suficiente. Por muchos años, la respuesta práctica fue usar para ello el dólar (y hasta cierto punto, otras monedas nacionales), pero esto provocó quejas por el “privilegio excesivo” que se le confería a los Estados Unidos. Sin embargo, a Estados Unidos no lo beneficia acentuar y ampliar su déficit de balanza de pagos en detrimento de una economía con competitividad internacional, fortaleza industrial y restricción del consumo. Y al resto del mundo le conviene la flexibilidad que ofrece la moneda de la economía más grande, más fuerte y más estable del mundo.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lastRenderedPageBreak/>
        <w:t xml:space="preserve">Para que una moneda sirva como medio de reserva, su oferta debe ser limitada, pero también debe tener elasticidad suficiente para satisfacer las necesidades, grandes e impredecibles, que pueden surgir en un mundo financiero turbulento. Y sobre todo, debe ofrecer garantías de estabilidad y disponibilidad, lo cual es un argumento más a favor de la practicidad que supone usar una moneda nacional, o tal vez una canasta de ellas.                    </w:t>
      </w:r>
    </w:p>
    <w:p w:rsidR="002F07D4" w:rsidRDefault="002F07D4" w:rsidP="002F07D4">
      <w:pPr>
        <w:spacing w:line="240" w:lineRule="auto"/>
        <w:jc w:val="both"/>
        <w:rPr>
          <w:rFonts w:ascii="Times New Roman" w:hAnsi="Times New Roman"/>
          <w:sz w:val="24"/>
          <w:szCs w:val="24"/>
          <w:lang w:val="en-US"/>
        </w:rPr>
      </w:pPr>
      <w:r>
        <w:rPr>
          <w:rFonts w:ascii="Times New Roman" w:hAnsi="Times New Roman"/>
          <w:sz w:val="24"/>
          <w:szCs w:val="24"/>
          <w:lang w:val="en-US"/>
        </w:rPr>
        <w:t>(Paul Volcker is a former chairman of the US Federal Reserve Board)</w:t>
      </w:r>
    </w:p>
    <w:p w:rsidR="002F07D4" w:rsidRDefault="002F07D4" w:rsidP="002F07D4">
      <w:pPr>
        <w:spacing w:line="240" w:lineRule="auto"/>
        <w:jc w:val="both"/>
        <w:rPr>
          <w:rFonts w:ascii="Times New Roman" w:hAnsi="Times New Roman"/>
          <w:b/>
          <w:color w:val="FF0000"/>
          <w:sz w:val="24"/>
          <w:szCs w:val="24"/>
        </w:rPr>
      </w:pPr>
      <w:r w:rsidRPr="00BB2A04">
        <w:rPr>
          <w:rFonts w:ascii="Times New Roman" w:hAnsi="Times New Roman"/>
          <w:b/>
          <w:sz w:val="24"/>
          <w:szCs w:val="24"/>
        </w:rPr>
        <w:t>Cuentas y cuentos</w:t>
      </w:r>
    </w:p>
    <w:p w:rsidR="002F07D4" w:rsidRDefault="002F07D4" w:rsidP="002F07D4">
      <w:pPr>
        <w:spacing w:line="240" w:lineRule="auto"/>
        <w:jc w:val="both"/>
        <w:rPr>
          <w:rFonts w:ascii="Times New Roman" w:hAnsi="Times New Roman" w:cs="Times New Roman"/>
          <w:sz w:val="24"/>
          <w:szCs w:val="24"/>
        </w:rPr>
      </w:pPr>
      <w:r w:rsidRPr="008C3F1E">
        <w:rPr>
          <w:rFonts w:ascii="Times New Roman" w:hAnsi="Times New Roman" w:cs="Times New Roman"/>
          <w:sz w:val="24"/>
          <w:szCs w:val="24"/>
        </w:rPr>
        <w:t xml:space="preserve">¿Se ha perdido de confianza en la “economía de mercado”, en los países avanzados? </w:t>
      </w:r>
    </w:p>
    <w:p w:rsidR="002F07D4" w:rsidRDefault="002F07D4" w:rsidP="002F07D4">
      <w:pPr>
        <w:spacing w:line="240" w:lineRule="auto"/>
        <w:jc w:val="both"/>
        <w:rPr>
          <w:rFonts w:ascii="Times New Roman" w:hAnsi="Times New Roman" w:cs="Times New Roman"/>
          <w:sz w:val="24"/>
          <w:szCs w:val="24"/>
        </w:rPr>
      </w:pPr>
      <w:r>
        <w:rPr>
          <w:rFonts w:ascii="Times New Roman" w:hAnsi="Times New Roman" w:cs="Times New Roman"/>
          <w:sz w:val="24"/>
          <w:szCs w:val="24"/>
        </w:rPr>
        <w:t>El escepticismo</w:t>
      </w:r>
      <w:r w:rsidRPr="008C3F1E">
        <w:rPr>
          <w:rFonts w:ascii="Times New Roman" w:hAnsi="Times New Roman" w:cs="Times New Roman"/>
          <w:sz w:val="24"/>
          <w:szCs w:val="24"/>
        </w:rPr>
        <w:t xml:space="preserve"> de las clases medias es, probablemente, la consecuencia política más palmaria de la crisis económica.</w:t>
      </w:r>
      <w:r>
        <w:rPr>
          <w:rFonts w:ascii="Times New Roman" w:hAnsi="Times New Roman" w:cs="Times New Roman"/>
          <w:sz w:val="24"/>
          <w:szCs w:val="24"/>
        </w:rPr>
        <w:t xml:space="preserve"> La cohesión socialque ha</w:t>
      </w:r>
      <w:r w:rsidRPr="008C3F1E">
        <w:rPr>
          <w:rFonts w:ascii="Times New Roman" w:hAnsi="Times New Roman" w:cs="Times New Roman"/>
          <w:sz w:val="24"/>
          <w:szCs w:val="24"/>
        </w:rPr>
        <w:t xml:space="preserve"> permitido mantener </w:t>
      </w:r>
      <w:r>
        <w:rPr>
          <w:rFonts w:ascii="Times New Roman" w:hAnsi="Times New Roman" w:cs="Times New Roman"/>
          <w:sz w:val="24"/>
          <w:szCs w:val="24"/>
        </w:rPr>
        <w:t>a las clases medias dentro del “</w:t>
      </w:r>
      <w:r w:rsidRPr="008C3F1E">
        <w:rPr>
          <w:rFonts w:ascii="Times New Roman" w:hAnsi="Times New Roman" w:cs="Times New Roman"/>
          <w:sz w:val="24"/>
          <w:szCs w:val="24"/>
        </w:rPr>
        <w:t>sistema</w:t>
      </w:r>
      <w:r>
        <w:rPr>
          <w:rFonts w:ascii="Times New Roman" w:hAnsi="Times New Roman" w:cs="Times New Roman"/>
          <w:sz w:val="24"/>
          <w:szCs w:val="24"/>
        </w:rPr>
        <w:t xml:space="preserve"> de economía de mercado” ha</w:t>
      </w:r>
      <w:r w:rsidRPr="008C3F1E">
        <w:rPr>
          <w:rFonts w:ascii="Times New Roman" w:hAnsi="Times New Roman" w:cs="Times New Roman"/>
          <w:sz w:val="24"/>
          <w:szCs w:val="24"/>
        </w:rPr>
        <w:t xml:space="preserve"> saltado por los aires</w:t>
      </w:r>
      <w:r>
        <w:rPr>
          <w:rFonts w:ascii="Times New Roman" w:hAnsi="Times New Roman" w:cs="Times New Roman"/>
          <w:sz w:val="24"/>
          <w:szCs w:val="24"/>
        </w:rPr>
        <w:t>.</w:t>
      </w:r>
    </w:p>
    <w:p w:rsidR="002F07D4" w:rsidRDefault="002F07D4" w:rsidP="002F07D4">
      <w:pPr>
        <w:spacing w:line="240" w:lineRule="auto"/>
        <w:jc w:val="both"/>
        <w:rPr>
          <w:rFonts w:ascii="Times New Roman" w:hAnsi="Times New Roman" w:cs="Times New Roman"/>
          <w:sz w:val="24"/>
          <w:szCs w:val="24"/>
        </w:rPr>
      </w:pPr>
      <w:r w:rsidRPr="008C3F1E">
        <w:rPr>
          <w:rFonts w:ascii="Times New Roman" w:hAnsi="Times New Roman" w:cs="Times New Roman"/>
          <w:sz w:val="24"/>
          <w:szCs w:val="24"/>
        </w:rPr>
        <w:t xml:space="preserve">Está acreditado que a medida que se produce un ensanchamiento de las desigualdades salariales o un deterioro creciente de las condiciones laborales (empleo de usar y </w:t>
      </w:r>
      <w:r>
        <w:rPr>
          <w:rFonts w:ascii="Times New Roman" w:hAnsi="Times New Roman" w:cs="Times New Roman"/>
          <w:sz w:val="24"/>
          <w:szCs w:val="24"/>
        </w:rPr>
        <w:t>tirar), la polarización social</w:t>
      </w:r>
      <w:r w:rsidRPr="008C3F1E">
        <w:rPr>
          <w:rFonts w:ascii="Times New Roman" w:hAnsi="Times New Roman" w:cs="Times New Roman"/>
          <w:sz w:val="24"/>
          <w:szCs w:val="24"/>
        </w:rPr>
        <w:t xml:space="preserve"> tiende a aumentar. La identi</w:t>
      </w:r>
      <w:r>
        <w:rPr>
          <w:rFonts w:ascii="Times New Roman" w:hAnsi="Times New Roman" w:cs="Times New Roman"/>
          <w:sz w:val="24"/>
          <w:szCs w:val="24"/>
        </w:rPr>
        <w:t xml:space="preserve">ficación </w:t>
      </w:r>
      <w:r w:rsidRPr="008C3F1E">
        <w:rPr>
          <w:rFonts w:ascii="Times New Roman" w:hAnsi="Times New Roman" w:cs="Times New Roman"/>
          <w:sz w:val="24"/>
          <w:szCs w:val="24"/>
        </w:rPr>
        <w:t>con el sistema</w:t>
      </w:r>
      <w:r>
        <w:rPr>
          <w:rFonts w:ascii="Times New Roman" w:hAnsi="Times New Roman" w:cs="Times New Roman"/>
          <w:sz w:val="24"/>
          <w:szCs w:val="24"/>
        </w:rPr>
        <w:t xml:space="preserve"> económico se evapora. No hay interés</w:t>
      </w:r>
      <w:r w:rsidRPr="008C3F1E">
        <w:rPr>
          <w:rFonts w:ascii="Times New Roman" w:hAnsi="Times New Roman" w:cs="Times New Roman"/>
          <w:sz w:val="24"/>
          <w:szCs w:val="24"/>
        </w:rPr>
        <w:t xml:space="preserve"> para permanecer dentro.</w:t>
      </w:r>
    </w:p>
    <w:p w:rsidR="002F07D4" w:rsidRDefault="002F07D4" w:rsidP="002F07D4">
      <w:pPr>
        <w:spacing w:line="240" w:lineRule="auto"/>
        <w:jc w:val="both"/>
        <w:rPr>
          <w:rFonts w:ascii="Times New Roman" w:hAnsi="Times New Roman" w:cs="Times New Roman"/>
          <w:sz w:val="24"/>
          <w:szCs w:val="24"/>
        </w:rPr>
      </w:pPr>
      <w:r w:rsidRPr="00B45F26">
        <w:rPr>
          <w:rFonts w:ascii="Times New Roman" w:hAnsi="Times New Roman" w:cs="Times New Roman"/>
          <w:sz w:val="24"/>
          <w:szCs w:val="24"/>
        </w:rPr>
        <w:t>Si el modelo económico y social no es capaz de proteger a los hogares, parece evidente que no hay ninguna razón para creer en él. Sobre todo cuando en paralelo el sistema fiscal se ha apoyado fundamentalmente en los asalariados al tiempo que privilegiaba a quienes obtienen sus rentas de fuentes no salariales</w:t>
      </w:r>
      <w:r>
        <w:rPr>
          <w:rFonts w:ascii="Times New Roman" w:hAnsi="Times New Roman" w:cs="Times New Roman"/>
          <w:sz w:val="24"/>
          <w:szCs w:val="24"/>
        </w:rPr>
        <w:t>.</w:t>
      </w:r>
    </w:p>
    <w:p w:rsidR="002F07D4" w:rsidRPr="00214A86" w:rsidRDefault="002F07D4" w:rsidP="002F07D4">
      <w:pPr>
        <w:pStyle w:val="NormalWeb"/>
        <w:jc w:val="both"/>
      </w:pPr>
      <w:r>
        <w:t xml:space="preserve">Hasta hace muy </w:t>
      </w:r>
      <w:r w:rsidRPr="00214A86">
        <w:t>poco</w:t>
      </w:r>
      <w:r>
        <w:t xml:space="preserve"> tiempo</w:t>
      </w:r>
      <w:r w:rsidRPr="00214A86">
        <w:t xml:space="preserve"> se entendía que la erradicación de la pobreza dependía fundamentalmente de la creación de empleo, pero el nuevo orden ec</w:t>
      </w:r>
      <w:r>
        <w:t xml:space="preserve">onómico internacional </w:t>
      </w:r>
      <w:r w:rsidRPr="00214A86">
        <w:t xml:space="preserve">lo que ha provocado es, en realidad, un </w:t>
      </w:r>
      <w:r w:rsidRPr="00061A93">
        <w:rPr>
          <w:rStyle w:val="Textoennegrita"/>
        </w:rPr>
        <w:t>deterioro sin parangón</w:t>
      </w:r>
      <w:r w:rsidRPr="00214A86">
        <w:t xml:space="preserve"> de las condiciones salariales en los países occidentales, lo que explica que ya no basta con tener una ocupación para escapar de la pobreza. De ahí que muchos gobiernos se vean obligados a echar mano de los impuestos para asegurar un mínimo de supervi</w:t>
      </w:r>
      <w:r>
        <w:t>vencia.</w:t>
      </w:r>
    </w:p>
    <w:p w:rsidR="002F07D4" w:rsidRDefault="002F07D4" w:rsidP="002F07D4">
      <w:pPr>
        <w:pStyle w:val="NormalWeb"/>
        <w:jc w:val="both"/>
      </w:pPr>
      <w:r w:rsidRPr="00214A86">
        <w:t>El problema es que esos recursos salen, precisamente, de otros asalariados con ingresos</w:t>
      </w:r>
      <w:r w:rsidRPr="00061A93">
        <w:rPr>
          <w:rStyle w:val="Textoennegrita"/>
        </w:rPr>
        <w:t>insuficientes</w:t>
      </w:r>
      <w:r w:rsidRPr="00214A86">
        <w:t xml:space="preserve">, lo que provoca un círculo vicioso. Una especie de </w:t>
      </w:r>
      <w:r w:rsidRPr="00061A93">
        <w:rPr>
          <w:rStyle w:val="Textoennegrita"/>
        </w:rPr>
        <w:t>socialización de la pobreza</w:t>
      </w:r>
      <w:r w:rsidRPr="00061A93">
        <w:rPr>
          <w:b/>
        </w:rPr>
        <w:t>.</w:t>
      </w:r>
      <w:r>
        <w:t xml:space="preserve"> S</w:t>
      </w:r>
      <w:r w:rsidRPr="00214A86">
        <w:t>e h</w:t>
      </w:r>
      <w:r>
        <w:t xml:space="preserve">a quebrado </w:t>
      </w:r>
      <w:r w:rsidRPr="00214A86">
        <w:t xml:space="preserve">la creencia de que la historia es una progresión continúa -con altibajos en determinados procesos históricos- en pos de mayores </w:t>
      </w:r>
      <w:r>
        <w:t>cotas de libertad y educación.</w:t>
      </w:r>
    </w:p>
    <w:p w:rsidR="002F07D4" w:rsidRPr="00214A86" w:rsidRDefault="002F07D4" w:rsidP="002F07D4">
      <w:pPr>
        <w:pStyle w:val="NormalWeb"/>
        <w:jc w:val="both"/>
      </w:pPr>
      <w:r w:rsidRPr="00214A86">
        <w:t xml:space="preserve">Millones de hogares que antes tenían sentido de pertenencia a las clases medias se ven hoy muy cerca de la </w:t>
      </w:r>
      <w:r w:rsidRPr="00061A93">
        <w:rPr>
          <w:rStyle w:val="Textoennegrita"/>
        </w:rPr>
        <w:t>pobreza relativa</w:t>
      </w:r>
      <w:r w:rsidRPr="00214A86">
        <w:t xml:space="preserve">. Sin duda, por la eclosión de eso que se ha venido en denominar </w:t>
      </w:r>
      <w:r w:rsidRPr="00061A93">
        <w:rPr>
          <w:rStyle w:val="Textoennegrita"/>
        </w:rPr>
        <w:t>“trabajadores pobres”</w:t>
      </w:r>
      <w:r w:rsidRPr="00214A86">
        <w:t xml:space="preserve">, y que afecta no sólo a los empleados de baja cualificación, sino también a ciudadanos bien formados atrapados por una frustración creciente. </w:t>
      </w:r>
    </w:p>
    <w:p w:rsidR="002F07D4" w:rsidRDefault="002F07D4" w:rsidP="002F07D4">
      <w:pPr>
        <w:pStyle w:val="NormalWeb"/>
        <w:jc w:val="both"/>
      </w:pPr>
      <w:r>
        <w:t xml:space="preserve">Anteriormente, </w:t>
      </w:r>
      <w:r w:rsidRPr="00214A86">
        <w:t xml:space="preserve">el sistema se basaba en que los empresarios pagaban a los trabajadores </w:t>
      </w:r>
      <w:r w:rsidRPr="00061A93">
        <w:rPr>
          <w:rStyle w:val="Textoennegrita"/>
        </w:rPr>
        <w:t>lo suficiente</w:t>
      </w:r>
      <w:r w:rsidRPr="00214A86">
        <w:t xml:space="preserve">para que éstos pudieran comprar lo que sus empresas </w:t>
      </w:r>
      <w:r w:rsidRPr="00061A93">
        <w:rPr>
          <w:rStyle w:val="Textoennegrita"/>
        </w:rPr>
        <w:t>vendían.</w:t>
      </w:r>
      <w:r w:rsidRPr="00214A86">
        <w:t xml:space="preserve"> Ese pacto social es el que se ha quebrado, y de ahí la radicalización de las clases medias, que progresivamente se han visto amenazadas y han ido abandonando su papel de ciudadanos para convertirse en espectadores de una realidad que se cuenta en la televisión como un producto de entretenimiento.</w:t>
      </w:r>
    </w:p>
    <w:p w:rsidR="002F07D4" w:rsidRDefault="002F07D4" w:rsidP="002F07D4">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E</w:t>
      </w:r>
      <w:r w:rsidRPr="008C3F1E">
        <w:rPr>
          <w:rFonts w:ascii="Times New Roman" w:hAnsi="Times New Roman" w:cs="Times New Roman"/>
          <w:sz w:val="24"/>
          <w:szCs w:val="24"/>
        </w:rPr>
        <w:t>l costo de la desigual</w:t>
      </w:r>
      <w:r>
        <w:rPr>
          <w:rFonts w:ascii="Times New Roman" w:hAnsi="Times New Roman" w:cs="Times New Roman"/>
          <w:sz w:val="24"/>
          <w:szCs w:val="24"/>
        </w:rPr>
        <w:t xml:space="preserve">dad y la falta de oportunidades, han acabado por demostrar a las clases medias de los países avanzados, que esa “realidad” que se cuenta por televisión es pura propaganda, y como </w:t>
      </w:r>
      <w:r w:rsidRPr="008C3F1E">
        <w:rPr>
          <w:rFonts w:ascii="Times New Roman" w:eastAsia="Times New Roman" w:hAnsi="Times New Roman" w:cs="Times New Roman"/>
          <w:sz w:val="24"/>
          <w:szCs w:val="24"/>
          <w:lang w:eastAsia="es-ES"/>
        </w:rPr>
        <w:t>lo resumió muy bien George Orwell: “Toda propaganda es mentira, incluso cuando dice la verdad”.</w:t>
      </w:r>
    </w:p>
    <w:p w:rsidR="002F07D4" w:rsidRDefault="002F07D4" w:rsidP="002F07D4">
      <w:pPr>
        <w:pStyle w:val="NormalWeb"/>
        <w:jc w:val="both"/>
      </w:pPr>
      <w:r w:rsidRPr="00FD46AE">
        <w:t>La crisis de las</w:t>
      </w:r>
      <w:r w:rsidRPr="00061A93">
        <w:rPr>
          <w:rStyle w:val="Textoennegrita"/>
        </w:rPr>
        <w:t>clases medias en los países avanzados</w:t>
      </w:r>
      <w:r w:rsidRPr="00FD46AE">
        <w:t>es anterior al estallido de la burbuja del crédito. Su origen hay que encontrarlo en</w:t>
      </w:r>
      <w:r>
        <w:t xml:space="preserve"> l</w:t>
      </w:r>
      <w:r w:rsidRPr="00214A86">
        <w:t xml:space="preserve">a </w:t>
      </w:r>
      <w:r w:rsidRPr="00061A93">
        <w:rPr>
          <w:rStyle w:val="Textoennegrita"/>
        </w:rPr>
        <w:t>insuficiencia</w:t>
      </w:r>
      <w:r w:rsidRPr="00214A86">
        <w:t>de puestos de trabajo (los</w:t>
      </w:r>
      <w:r>
        <w:t xml:space="preserve"> altos</w:t>
      </w:r>
      <w:r w:rsidRPr="00214A86">
        <w:t xml:space="preserve"> niveles d</w:t>
      </w:r>
      <w:r>
        <w:t>e desempleo estructural en muchos países) y</w:t>
      </w:r>
      <w:r w:rsidRPr="00214A86">
        <w:t xml:space="preserve"> el deterioro de algunos </w:t>
      </w:r>
      <w:r w:rsidRPr="00061A93">
        <w:rPr>
          <w:rStyle w:val="Textoennegrita"/>
        </w:rPr>
        <w:t>servicios públicos</w:t>
      </w:r>
      <w:r w:rsidRPr="00214A86">
        <w:t xml:space="preserve"> esenciales (deficiencias de los sistemas educativos</w:t>
      </w:r>
      <w:r>
        <w:t xml:space="preserve"> y sanitarios</w:t>
      </w:r>
      <w:r w:rsidRPr="00214A86">
        <w:t>) que ant</w:t>
      </w:r>
      <w:r>
        <w:t xml:space="preserve">es servían de pararrayos social, </w:t>
      </w:r>
      <w:r w:rsidRPr="00214A86">
        <w:t xml:space="preserve"> Como consecuencia de ello, un número cada vez más relevante de ciudadanos se siente </w:t>
      </w:r>
      <w:r w:rsidRPr="00061A93">
        <w:rPr>
          <w:rStyle w:val="Textoennegrita"/>
        </w:rPr>
        <w:t>extraño</w:t>
      </w:r>
      <w:r>
        <w:t xml:space="preserve"> al sistema económico.</w:t>
      </w:r>
    </w:p>
    <w:p w:rsidR="002F07D4" w:rsidRPr="006822C2" w:rsidRDefault="002F07D4" w:rsidP="002F07D4">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Lo que se ha roto son las certezas y el mundo previsible. El mundo de la seguridad, del que hablaba Stefan Zweig. Hasta hace bien poco, se pensaba que los avances técnicos -y su corolario en términos de productividad- serían suficientes para lograr el progreso social. Hoy ya no es así.</w:t>
      </w:r>
    </w:p>
    <w:p w:rsidR="002F07D4" w:rsidRPr="006822C2" w:rsidRDefault="002F07D4" w:rsidP="002F07D4">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desigual, pero su volumen ya no estará garantizado. Y es aquí cuando surge lo que ha venido a definirse como los “nuevos pobres”. O la nueva pobreza, como se prefiera. Un fenómeno en el que se ven envueltos nuevos colectivos que antes se consideraban protegidos contra las inclemencias económicas: profesionales, empleados públicos, pensionistas, parados de larga duración o estudiantes con dificultades para su inserción laboral.</w:t>
      </w:r>
    </w:p>
    <w:p w:rsidR="002F07D4" w:rsidRDefault="002F07D4" w:rsidP="002F07D4">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Antes el trabajador era necesario para que algunos ganaran, ahora hay gente que gana sin necesidad de que nadie trabaje para ellos. El resultado de esta situación es una profunda desigualdad. Que no solo alcanza a los parados, sino también a una gran parte de los trabajadores asalariados</w:t>
      </w:r>
      <w:r>
        <w:rPr>
          <w:rFonts w:ascii="Times New Roman" w:eastAsia="Times New Roman" w:hAnsi="Times New Roman" w:cs="Times New Roman"/>
          <w:sz w:val="24"/>
          <w:szCs w:val="24"/>
          <w:lang w:eastAsia="es-ES"/>
        </w:rPr>
        <w:t>…</w:t>
      </w:r>
    </w:p>
    <w:p w:rsidR="002F07D4" w:rsidRPr="00BF517F" w:rsidRDefault="002F07D4" w:rsidP="002F07D4">
      <w:pPr>
        <w:spacing w:line="240" w:lineRule="auto"/>
        <w:jc w:val="both"/>
        <w:rPr>
          <w:rFonts w:ascii="Times New Roman" w:hAnsi="Times New Roman" w:cs="Times New Roman"/>
          <w:color w:val="000000"/>
          <w:sz w:val="24"/>
          <w:szCs w:val="24"/>
        </w:rPr>
      </w:pPr>
      <w:r w:rsidRPr="00344F36">
        <w:rPr>
          <w:rFonts w:ascii="Times New Roman" w:hAnsi="Times New Roman" w:cs="Times New Roman"/>
          <w:b/>
          <w:color w:val="000000"/>
          <w:sz w:val="24"/>
          <w:szCs w:val="24"/>
        </w:rPr>
        <w:t>La era del “estancamiento secular”</w:t>
      </w:r>
      <w:r>
        <w:rPr>
          <w:rFonts w:ascii="Times New Roman" w:hAnsi="Times New Roman" w:cs="Times New Roman"/>
          <w:b/>
          <w:color w:val="000000"/>
          <w:sz w:val="24"/>
          <w:szCs w:val="24"/>
        </w:rPr>
        <w:t xml:space="preserve"> (el “lamento” de Larry)</w:t>
      </w:r>
    </w:p>
    <w:p w:rsidR="002F07D4" w:rsidRPr="00966CF7" w:rsidRDefault="002F07D4" w:rsidP="002F07D4">
      <w:pPr>
        <w:shd w:val="clear" w:color="auto" w:fill="FFFFFF"/>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966CF7">
        <w:rPr>
          <w:rFonts w:ascii="Times New Roman" w:hAnsi="Times New Roman" w:cs="Times New Roman"/>
          <w:i/>
          <w:sz w:val="24"/>
          <w:szCs w:val="24"/>
        </w:rPr>
        <w:t>Hoy en día, como la economía mundial está experimentando una transformación fundamental, los trabajadores de todo el mundo están viéndose sometidos a una gran presión. En particular en los países desarrollados, se deben ajustar las políticas sociales para prestar el apoyo que los grupos de menores ingresos necesitan, sin por ello dejar de fomentar el crecimiento y mejorar el bienestar.</w:t>
      </w:r>
    </w:p>
    <w:p w:rsidR="002F07D4" w:rsidRPr="00966CF7" w:rsidRDefault="002F07D4" w:rsidP="002F07D4">
      <w:pPr>
        <w:shd w:val="clear" w:color="auto" w:fill="FFFFFF"/>
        <w:spacing w:line="240" w:lineRule="auto"/>
        <w:jc w:val="both"/>
        <w:rPr>
          <w:rFonts w:ascii="Times New Roman" w:hAnsi="Times New Roman" w:cs="Times New Roman"/>
          <w:i/>
          <w:sz w:val="24"/>
          <w:szCs w:val="24"/>
        </w:rPr>
      </w:pPr>
      <w:r w:rsidRPr="00966CF7">
        <w:rPr>
          <w:rFonts w:ascii="Times New Roman" w:hAnsi="Times New Roman" w:cs="Times New Roman"/>
          <w:i/>
          <w:sz w:val="24"/>
          <w:szCs w:val="24"/>
        </w:rPr>
        <w:t>Dicha presión ha sido implacable e ineludible. En los Estados Unidos, la remuneración real (ajustada a la inflación) para los hombres que sólo tenían el título de bachillerato se redujo en un 21 por ciento de 1979 a 2013. En gran parte de Europa, que brinda una mayor protección a los salarios, el desempleo se ha disparado, en particular desde que comenzó la crisis del euro en 2008. Alemania y algunos países del norte de Europa siguen siendo una excepción, si bien el mercado laboral alemán cuenta con un gran segmento de miniempleos de salario bajo.</w:t>
      </w:r>
    </w:p>
    <w:p w:rsidR="002F07D4" w:rsidRPr="00966CF7" w:rsidRDefault="002F07D4" w:rsidP="002F07D4">
      <w:pPr>
        <w:shd w:val="clear" w:color="auto" w:fill="FFFFFF"/>
        <w:spacing w:line="240" w:lineRule="auto"/>
        <w:jc w:val="both"/>
        <w:rPr>
          <w:rFonts w:ascii="Times New Roman" w:hAnsi="Times New Roman" w:cs="Times New Roman"/>
          <w:i/>
          <w:sz w:val="24"/>
          <w:szCs w:val="24"/>
        </w:rPr>
      </w:pPr>
      <w:r w:rsidRPr="00966CF7">
        <w:rPr>
          <w:rFonts w:ascii="Times New Roman" w:hAnsi="Times New Roman" w:cs="Times New Roman"/>
          <w:i/>
          <w:sz w:val="24"/>
          <w:szCs w:val="24"/>
        </w:rPr>
        <w:t>El motor de esas tendencias es el cambio de la naturaleza del trabajo. Para empezar, los servicios han ido ganando terreno a escala mundial, en particular en las economías desarrolladas. De 1970 a 2012, la proporción de los servicios en el PIB de los países de la OCDE aumentó del 53 por ciento al 71 por ciento.</w:t>
      </w:r>
    </w:p>
    <w:p w:rsidR="002F07D4" w:rsidRPr="00966CF7" w:rsidRDefault="002F07D4" w:rsidP="002F07D4">
      <w:pPr>
        <w:shd w:val="clear" w:color="auto" w:fill="FFFFFF"/>
        <w:spacing w:line="240" w:lineRule="auto"/>
        <w:jc w:val="both"/>
        <w:rPr>
          <w:rFonts w:ascii="Times New Roman" w:hAnsi="Times New Roman" w:cs="Times New Roman"/>
          <w:i/>
          <w:sz w:val="24"/>
          <w:szCs w:val="24"/>
        </w:rPr>
      </w:pPr>
      <w:r w:rsidRPr="00966CF7">
        <w:rPr>
          <w:rFonts w:ascii="Times New Roman" w:hAnsi="Times New Roman" w:cs="Times New Roman"/>
          <w:i/>
          <w:sz w:val="24"/>
          <w:szCs w:val="24"/>
        </w:rPr>
        <w:lastRenderedPageBreak/>
        <w:t>La nueva tecnología y las máquinas “inteligentes” no sólo están desplazando a muchos tipos de trabajadores en los sectores manufacturero y de servicios, sino que, además, están facilitando el ascenso de nuevos modelos empresariales, en los que las personas desempeñan trabajos (la mayoría de servicios con salario bajo) dentro de redes inconexas, en lugar de como empleados entregados por entero a su trabajo en organizaciones estructuradas</w:t>
      </w:r>
    </w:p>
    <w:p w:rsidR="002F07D4" w:rsidRPr="00966CF7" w:rsidRDefault="002F07D4" w:rsidP="002F07D4">
      <w:pPr>
        <w:shd w:val="clear" w:color="auto" w:fill="FFFFFF"/>
        <w:spacing w:line="240" w:lineRule="auto"/>
        <w:jc w:val="both"/>
        <w:rPr>
          <w:rFonts w:ascii="Times New Roman" w:hAnsi="Times New Roman" w:cs="Times New Roman"/>
          <w:i/>
          <w:sz w:val="24"/>
          <w:szCs w:val="24"/>
        </w:rPr>
      </w:pPr>
      <w:r w:rsidRPr="00966CF7">
        <w:rPr>
          <w:rFonts w:ascii="Times New Roman" w:hAnsi="Times New Roman" w:cs="Times New Roman"/>
          <w:i/>
          <w:sz w:val="24"/>
          <w:szCs w:val="24"/>
        </w:rPr>
        <w:t>Por ejemplo, el servicio compartido de transporte de personas Uber tiene 162.000 conductores activos tan sólo en los Estados Unidos y está desplazando los servicios de taxi tradicionales. La empresa incipiente Handy abriga la esperanza de que su app logre un éxito similar conectando a clientes con contratistas independientes que prestan servicios diversos a los hogares. Al acelerarse la tecnología y mundializarse las cadenas de valor, los trabajadores deben adaptarse, ya sea cambiando de trabajo, trasladándose a otras localidades o adquiriendo nuevas aptitudes; imperativo particularmente oneroso para los trabajadores de mayor edad, pero que exige una nueva forma de planificar la vida para todos.</w:t>
      </w:r>
    </w:p>
    <w:p w:rsidR="002F07D4" w:rsidRDefault="002F07D4" w:rsidP="002F07D4">
      <w:pPr>
        <w:shd w:val="clear" w:color="auto" w:fill="FFFFFF"/>
        <w:spacing w:line="240" w:lineRule="auto"/>
        <w:jc w:val="both"/>
        <w:rPr>
          <w:rFonts w:ascii="Times New Roman" w:hAnsi="Times New Roman" w:cs="Times New Roman"/>
          <w:sz w:val="24"/>
          <w:szCs w:val="24"/>
          <w:lang w:val="en-US"/>
        </w:rPr>
      </w:pPr>
      <w:r>
        <w:rPr>
          <w:rFonts w:ascii="Times New Roman" w:hAnsi="Times New Roman" w:cs="Times New Roman"/>
          <w:i/>
          <w:sz w:val="24"/>
          <w:szCs w:val="24"/>
        </w:rPr>
        <w:t>Algunas personas -</w:t>
      </w:r>
      <w:r w:rsidRPr="00966CF7">
        <w:rPr>
          <w:rFonts w:ascii="Times New Roman" w:hAnsi="Times New Roman" w:cs="Times New Roman"/>
          <w:i/>
          <w:sz w:val="24"/>
          <w:szCs w:val="24"/>
        </w:rPr>
        <w:t>en particular, las que adquirieron aptitudes valiosas y flexibles en un momento temprano de la vida, además de quienes ya cuentan con situaciones sólida</w:t>
      </w:r>
      <w:r>
        <w:rPr>
          <w:rFonts w:ascii="Times New Roman" w:hAnsi="Times New Roman" w:cs="Times New Roman"/>
          <w:i/>
          <w:sz w:val="24"/>
          <w:szCs w:val="24"/>
        </w:rPr>
        <w:t>s gracias a la riqueza heredada-</w:t>
      </w:r>
      <w:r w:rsidRPr="00966CF7">
        <w:rPr>
          <w:rFonts w:ascii="Times New Roman" w:hAnsi="Times New Roman" w:cs="Times New Roman"/>
          <w:i/>
          <w:sz w:val="24"/>
          <w:szCs w:val="24"/>
        </w:rPr>
        <w:t xml:space="preserve"> pueden prosperar en esa clase de ec</w:t>
      </w:r>
      <w:r>
        <w:rPr>
          <w:rFonts w:ascii="Times New Roman" w:hAnsi="Times New Roman" w:cs="Times New Roman"/>
          <w:i/>
          <w:sz w:val="24"/>
          <w:szCs w:val="24"/>
        </w:rPr>
        <w:t>onomía. Sin embargo, hay otros -y son millones-</w:t>
      </w:r>
      <w:r w:rsidRPr="00966CF7">
        <w:rPr>
          <w:rFonts w:ascii="Times New Roman" w:hAnsi="Times New Roman" w:cs="Times New Roman"/>
          <w:i/>
          <w:sz w:val="24"/>
          <w:szCs w:val="24"/>
        </w:rPr>
        <w:t xml:space="preserve"> que no están preparados para la nueva era y su ansiedad cada vez mayor es la que está alimentando el ascenso de la política identitaria, cuyos dirigentes y movimientos populistas apelan a la solidaridad étnica o religiosa frente a las impersonales fuerzas del cambio</w:t>
      </w:r>
      <w:r>
        <w:rPr>
          <w:rFonts w:ascii="Times New Roman" w:hAnsi="Times New Roman" w:cs="Times New Roman"/>
          <w:i/>
          <w:sz w:val="24"/>
          <w:szCs w:val="24"/>
        </w:rPr>
        <w:t>”..</w:t>
      </w:r>
      <w:r w:rsidRPr="00966CF7">
        <w:rPr>
          <w:rFonts w:ascii="Times New Roman" w:hAnsi="Times New Roman" w:cs="Times New Roman"/>
          <w:i/>
          <w:sz w:val="24"/>
          <w:szCs w:val="24"/>
        </w:rPr>
        <w:t>.</w:t>
      </w:r>
      <w:r w:rsidRPr="00966CF7">
        <w:rPr>
          <w:rFonts w:ascii="Times New Roman" w:hAnsi="Times New Roman" w:cs="Times New Roman"/>
          <w:sz w:val="24"/>
          <w:szCs w:val="24"/>
          <w:lang w:val="en-US"/>
        </w:rPr>
        <w:t>(</w:t>
      </w:r>
      <w:r>
        <w:rPr>
          <w:rFonts w:ascii="Times New Roman" w:hAnsi="Times New Roman" w:cs="Times New Roman"/>
          <w:sz w:val="24"/>
          <w:szCs w:val="24"/>
          <w:lang w:val="en-US"/>
        </w:rPr>
        <w:t>(</w:t>
      </w:r>
      <w:r w:rsidRPr="00F7551F">
        <w:rPr>
          <w:rFonts w:ascii="Times New Roman" w:hAnsi="Times New Roman" w:cs="Times New Roman"/>
          <w:sz w:val="24"/>
          <w:szCs w:val="24"/>
          <w:lang w:val="en-US"/>
        </w:rPr>
        <w:t>Kemal Derviş, former Minister of Economic Affairs of Turkey and former Administrator for the United Nations Development Program (UNDP), is a vice preside</w:t>
      </w:r>
      <w:r>
        <w:rPr>
          <w:rFonts w:ascii="Times New Roman" w:hAnsi="Times New Roman" w:cs="Times New Roman"/>
          <w:sz w:val="24"/>
          <w:szCs w:val="24"/>
          <w:lang w:val="en-US"/>
        </w:rPr>
        <w:t xml:space="preserve">nt of the Brookings Institution - </w:t>
      </w:r>
      <w:r w:rsidRPr="00966CF7">
        <w:rPr>
          <w:rFonts w:ascii="Times New Roman" w:hAnsi="Times New Roman" w:cs="Times New Roman"/>
          <w:sz w:val="24"/>
          <w:szCs w:val="24"/>
          <w:lang w:val="en-US"/>
        </w:rPr>
        <w:t xml:space="preserve">Project Syndicate - </w:t>
      </w:r>
      <w:r w:rsidRPr="00966CF7">
        <w:rPr>
          <w:rFonts w:ascii="Times New Roman" w:hAnsi="Times New Roman" w:cs="Times New Roman"/>
          <w:b/>
          <w:sz w:val="24"/>
          <w:szCs w:val="24"/>
          <w:lang w:val="en-US"/>
        </w:rPr>
        <w:t>9/6/15</w:t>
      </w:r>
      <w:r>
        <w:rPr>
          <w:rFonts w:ascii="Times New Roman" w:hAnsi="Times New Roman" w:cs="Times New Roman"/>
          <w:sz w:val="24"/>
          <w:szCs w:val="24"/>
          <w:lang w:val="en-US"/>
        </w:rPr>
        <w:t>)</w:t>
      </w:r>
    </w:p>
    <w:p w:rsidR="002F07D4" w:rsidRPr="00716A6D" w:rsidRDefault="002F07D4" w:rsidP="002F07D4">
      <w:pPr>
        <w:shd w:val="clear" w:color="auto" w:fill="FFFFFF"/>
        <w:spacing w:line="240" w:lineRule="auto"/>
        <w:jc w:val="both"/>
        <w:rPr>
          <w:rFonts w:ascii="Times New Roman" w:hAnsi="Times New Roman" w:cs="Times New Roman"/>
          <w:b/>
          <w:sz w:val="24"/>
          <w:szCs w:val="24"/>
          <w:lang w:val="en-US"/>
        </w:rPr>
      </w:pPr>
      <w:r>
        <w:rPr>
          <w:rFonts w:ascii="Times New Roman" w:hAnsi="Times New Roman" w:cs="Times New Roman"/>
          <w:sz w:val="24"/>
          <w:szCs w:val="24"/>
          <w:lang w:val="en-US"/>
        </w:rPr>
        <w:t xml:space="preserve">- </w:t>
      </w:r>
      <w:r w:rsidRPr="00A378B0">
        <w:rPr>
          <w:rFonts w:ascii="Times New Roman" w:hAnsi="Times New Roman" w:cs="Times New Roman"/>
          <w:sz w:val="24"/>
          <w:szCs w:val="24"/>
          <w:u w:val="single"/>
          <w:lang w:val="en-US"/>
        </w:rPr>
        <w:t>Transcript of Larry Summers speech at the IMF Economic Forum</w:t>
      </w:r>
      <w:r w:rsidRPr="00A378B0">
        <w:rPr>
          <w:rFonts w:ascii="Times New Roman" w:hAnsi="Times New Roman" w:cs="Times New Roman"/>
          <w:sz w:val="24"/>
          <w:szCs w:val="24"/>
          <w:lang w:val="en-US"/>
        </w:rPr>
        <w:t xml:space="preserve">, </w:t>
      </w:r>
      <w:r w:rsidRPr="00716A6D">
        <w:rPr>
          <w:rFonts w:ascii="Times New Roman" w:hAnsi="Times New Roman" w:cs="Times New Roman"/>
          <w:b/>
          <w:sz w:val="24"/>
          <w:szCs w:val="24"/>
          <w:lang w:val="en-US"/>
        </w:rPr>
        <w:t>Nov. 8, 2013</w:t>
      </w:r>
    </w:p>
    <w:p w:rsidR="002F07D4" w:rsidRPr="00A378B0" w:rsidRDefault="002F07D4" w:rsidP="002F07D4">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I am very glad for the opportunity to be here. I had an occasion to speak some years ago about Stan's remarkable accomplishments at the IMF, when he left the IMF; and I had an occasion some months ago to speak about his remarkable accomplishments at the Israeli central bank, when he left the Israeli central bank. So I will not speak about either of those accomplishments this afternoon. Instead, the number that is in my mind is a number that I would guess is entirely unfamiliar to most of the people in this room, but is familiar to all of the people on this stage, and that is 14462. That is the course number that Stan Fisher's course in monetary economics at MIT for graduate students was. It was an important part of why I chose to spe</w:t>
      </w:r>
      <w:r>
        <w:rPr>
          <w:rFonts w:ascii="Times New Roman" w:hAnsi="Times New Roman" w:cs="Times New Roman"/>
          <w:sz w:val="24"/>
          <w:szCs w:val="24"/>
          <w:lang w:val="en-US"/>
        </w:rPr>
        <w:t>nd my life as I have -as a macroeconomist</w:t>
      </w:r>
      <w:r w:rsidRPr="00A378B0">
        <w:rPr>
          <w:rFonts w:ascii="Times New Roman" w:hAnsi="Times New Roman" w:cs="Times New Roman"/>
          <w:sz w:val="24"/>
          <w:szCs w:val="24"/>
          <w:lang w:val="en-US"/>
        </w:rPr>
        <w:t>- and I strongly suspect that the same is true for Olivier, and for Ben, and for Ken. It was a remarkable intellectual experience, and it was remarkable also because Stan never lost sight of the fact that this was not just an intellectual game: getting these questions right made a profound difference in the lives of nations and their people. So I will leave it to others to talk about the IMF and Israel and I will say to you, Stan, thank you on behalf of all of us for 14462 and all you have taught us ever since.</w:t>
      </w:r>
    </w:p>
    <w:p w:rsidR="002F07D4" w:rsidRPr="00A378B0" w:rsidRDefault="002F07D4" w:rsidP="002F07D4">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I agree with the vast major</w:t>
      </w:r>
      <w:r>
        <w:rPr>
          <w:rFonts w:ascii="Times New Roman" w:hAnsi="Times New Roman" w:cs="Times New Roman"/>
          <w:sz w:val="24"/>
          <w:szCs w:val="24"/>
          <w:lang w:val="en-US"/>
        </w:rPr>
        <w:t xml:space="preserve">ity of what has just been said </w:t>
      </w:r>
      <w:r w:rsidRPr="00A378B0">
        <w:rPr>
          <w:rFonts w:ascii="Times New Roman" w:hAnsi="Times New Roman" w:cs="Times New Roman"/>
          <w:sz w:val="24"/>
          <w:szCs w:val="24"/>
          <w:lang w:val="en-US"/>
        </w:rPr>
        <w:t xml:space="preserve">- the importance of moving rapidly, the importance of providing liquidity decisively, the importance of not allowing financial problems to languish, the importance of erecting sound and comprehensive frameworks to prevent future crises. Were I a member of the official sector, I would discourse at some length on each of those themes in a sound way, or what I would hope to be a sound way. But I'm not part of the official sector, so I'm not going to talk about </w:t>
      </w:r>
      <w:r w:rsidRPr="00A378B0">
        <w:rPr>
          <w:rFonts w:ascii="Times New Roman" w:hAnsi="Times New Roman" w:cs="Times New Roman"/>
          <w:sz w:val="24"/>
          <w:szCs w:val="24"/>
          <w:lang w:val="en-US"/>
        </w:rPr>
        <w:lastRenderedPageBreak/>
        <w:t xml:space="preserve">that. I'm going to talk about something else that seems to me to be profoundly connected; and that is the nagging concern that finance is too important to leave entirely to financiers. We have all </w:t>
      </w:r>
      <w:r>
        <w:rPr>
          <w:rFonts w:ascii="Times New Roman" w:hAnsi="Times New Roman" w:cs="Times New Roman"/>
          <w:sz w:val="24"/>
          <w:szCs w:val="24"/>
          <w:lang w:val="en-US"/>
        </w:rPr>
        <w:t>agreed</w:t>
      </w:r>
      <w:r w:rsidRPr="00A378B0">
        <w:rPr>
          <w:rFonts w:ascii="Times New Roman" w:hAnsi="Times New Roman" w:cs="Times New Roman"/>
          <w:sz w:val="24"/>
          <w:szCs w:val="24"/>
          <w:lang w:val="en-US"/>
        </w:rPr>
        <w:t>- and I thin</w:t>
      </w:r>
      <w:r>
        <w:rPr>
          <w:rFonts w:ascii="Times New Roman" w:hAnsi="Times New Roman" w:cs="Times New Roman"/>
          <w:sz w:val="24"/>
          <w:szCs w:val="24"/>
          <w:lang w:val="en-US"/>
        </w:rPr>
        <w:t>k our agreement is warranted -</w:t>
      </w:r>
      <w:r w:rsidRPr="00A378B0">
        <w:rPr>
          <w:rFonts w:ascii="Times New Roman" w:hAnsi="Times New Roman" w:cs="Times New Roman"/>
          <w:sz w:val="24"/>
          <w:szCs w:val="24"/>
          <w:lang w:val="en-US"/>
        </w:rPr>
        <w:t>that a remarkable job was done in containing the 2007-2008 crisis; that an event that in the Fall of 2008 w</w:t>
      </w:r>
      <w:r>
        <w:rPr>
          <w:rFonts w:ascii="Times New Roman" w:hAnsi="Times New Roman" w:cs="Times New Roman"/>
          <w:sz w:val="24"/>
          <w:szCs w:val="24"/>
          <w:lang w:val="en-US"/>
        </w:rPr>
        <w:t>as by most of the statistics -</w:t>
      </w:r>
      <w:r w:rsidRPr="00A378B0">
        <w:rPr>
          <w:rFonts w:ascii="Times New Roman" w:hAnsi="Times New Roman" w:cs="Times New Roman"/>
          <w:sz w:val="24"/>
          <w:szCs w:val="24"/>
          <w:lang w:val="en-US"/>
        </w:rPr>
        <w:t>GDP, industrial production, employment, world trade, the stock ma</w:t>
      </w:r>
      <w:r>
        <w:rPr>
          <w:rFonts w:ascii="Times New Roman" w:hAnsi="Times New Roman" w:cs="Times New Roman"/>
          <w:sz w:val="24"/>
          <w:szCs w:val="24"/>
          <w:lang w:val="en-US"/>
        </w:rPr>
        <w:t>rket</w:t>
      </w:r>
      <w:r w:rsidRPr="00A378B0">
        <w:rPr>
          <w:rFonts w:ascii="Times New Roman" w:hAnsi="Times New Roman" w:cs="Times New Roman"/>
          <w:sz w:val="24"/>
          <w:szCs w:val="24"/>
          <w:lang w:val="en-US"/>
        </w:rPr>
        <w:t xml:space="preserve">- worse than the Fall of 1929 and the Winter of 1930, ended up in a way that bears very little resemblance to the Great Depression. That is a huge achievement for which we rightly </w:t>
      </w:r>
      <w:r>
        <w:rPr>
          <w:rFonts w:ascii="Times New Roman" w:hAnsi="Times New Roman" w:cs="Times New Roman"/>
          <w:sz w:val="24"/>
          <w:szCs w:val="24"/>
          <w:lang w:val="en-US"/>
        </w:rPr>
        <w:t>celebrate Ben and many others. (Recording skips)</w:t>
      </w:r>
      <w:r w:rsidRPr="00A378B0">
        <w:rPr>
          <w:rFonts w:ascii="Times New Roman" w:hAnsi="Times New Roman" w:cs="Times New Roman"/>
          <w:sz w:val="24"/>
          <w:szCs w:val="24"/>
          <w:lang w:val="en-US"/>
        </w:rPr>
        <w:t xml:space="preserve"> when there is a panic- and that time will surely come, somewhere and some place.</w:t>
      </w:r>
    </w:p>
    <w:p w:rsidR="002F07D4" w:rsidRPr="00A378B0" w:rsidRDefault="002F07D4" w:rsidP="002F07D4">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But there is, I think, another aspect of the situation that warrants our close attention, and tends to receive insufficient reflection, and it is this: the share of men, or women, or adults, in the United States, who are working today, is essentially the same as it was four years ago. Four years ago, the financial panic had been arrested. The TARP money had been paid back; credit spreads had substantially normalized; there was no panic in the air four years ago. That was a great achievement, how rapidly that happened. But in those four years, the share of adults who are working has not increased at all. GDP has fallen further behind potential, as we would have defined it in the Fall of 2009. And the American experience is not completely unique in this regard, and this experience is not completely unique, as Ken and Carmen's work has documented, in the wake of financial crises. I remember, at the beginning of the Clinton administration, we engaged in a set of long-run global economic projections. Japan's real GDP today is about half of what we believed it would be, what the IMF believed it would be at that time, what the World Bank believed it would be. It is a central pillar of both classical models and Keynesian models that it is all about fluctuations: fluctuations around the given mean, and that what you need to do is have less volatility. I wo</w:t>
      </w:r>
      <w:r>
        <w:rPr>
          <w:rFonts w:ascii="Times New Roman" w:hAnsi="Times New Roman" w:cs="Times New Roman"/>
          <w:sz w:val="24"/>
          <w:szCs w:val="24"/>
          <w:lang w:val="en-US"/>
        </w:rPr>
        <w:t>nder if a set of older ideas -</w:t>
      </w:r>
      <w:r w:rsidRPr="00A378B0">
        <w:rPr>
          <w:rFonts w:ascii="Times New Roman" w:hAnsi="Times New Roman" w:cs="Times New Roman"/>
          <w:sz w:val="24"/>
          <w:szCs w:val="24"/>
          <w:lang w:val="en-US"/>
        </w:rPr>
        <w:t xml:space="preserve">that I have to say were pretty </w:t>
      </w:r>
      <w:r>
        <w:rPr>
          <w:rFonts w:ascii="Times New Roman" w:hAnsi="Times New Roman" w:cs="Times New Roman"/>
          <w:sz w:val="24"/>
          <w:szCs w:val="24"/>
          <w:lang w:val="en-US"/>
        </w:rPr>
        <w:t>firmly rejected in 14462, Stan</w:t>
      </w:r>
      <w:r w:rsidRPr="00A378B0">
        <w:rPr>
          <w:rFonts w:ascii="Times New Roman" w:hAnsi="Times New Roman" w:cs="Times New Roman"/>
          <w:sz w:val="24"/>
          <w:szCs w:val="24"/>
          <w:lang w:val="en-US"/>
        </w:rPr>
        <w:t>- a set of older id</w:t>
      </w:r>
      <w:r>
        <w:rPr>
          <w:rFonts w:ascii="Times New Roman" w:hAnsi="Times New Roman" w:cs="Times New Roman"/>
          <w:sz w:val="24"/>
          <w:szCs w:val="24"/>
          <w:lang w:val="en-US"/>
        </w:rPr>
        <w:t xml:space="preserve">eas that went under the phrase “secular stagnation” </w:t>
      </w:r>
      <w:r w:rsidRPr="00A378B0">
        <w:rPr>
          <w:rFonts w:ascii="Times New Roman" w:hAnsi="Times New Roman" w:cs="Times New Roman"/>
          <w:sz w:val="24"/>
          <w:szCs w:val="24"/>
          <w:lang w:val="en-US"/>
        </w:rPr>
        <w:t>- are not profoundly important in understanding Japan's experience, and may not be without relevance to America's experience.</w:t>
      </w:r>
    </w:p>
    <w:p w:rsidR="002F07D4" w:rsidRDefault="002F07D4" w:rsidP="002F07D4">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Let me say a little bit more about why I'm led to think in those terms. If you go back and you study the economy prior to the crisis, there's something a little bit odd. Many people believe that monetary policy was too easy. Everybody agrees that there was a vast amount of imprudent lending going on. Almost everybody believes that wealth, as it was experienced by households, was in excess of its reality. Too easy money, too much borrowing, too much wealth. Was there a great boom? Capacity utilization wasn't under any great pressure. Unemployment wasn't under any remarkably low level. Inflation was entirely quiescent. So somehow, even a great bubble wasn't enough to produce any excess in aggregate demand.</w:t>
      </w:r>
    </w:p>
    <w:p w:rsidR="002F07D4" w:rsidRPr="00A378B0" w:rsidRDefault="002F07D4" w:rsidP="002F07D4">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 xml:space="preserve">Now think about the period after the financial crisis. You know, I always like to think of these crises as analogous to a power failure, or analogous to what would happen if all the telephones were shut off for a time. The network would collapse, the connections would go away, and output would of course drop very rapidly. There'd be a set of economists who'd sit around explaining that electricity was only four percent of the economy, and so if you lost eighty percent of electricity you couldn't possibly have lost more than three percent of the economy, and there'd be people in Minnesota and Chicago and stuff who'd be writing that paper... but it would be stupid. It would be stupid. And we'd understand that somehow, even if we didn't exactly understand in the model, that when there wasn't any electricity there wasn't really going to be much </w:t>
      </w:r>
      <w:r w:rsidRPr="00A378B0">
        <w:rPr>
          <w:rFonts w:ascii="Times New Roman" w:hAnsi="Times New Roman" w:cs="Times New Roman"/>
          <w:sz w:val="24"/>
          <w:szCs w:val="24"/>
          <w:lang w:val="en-US"/>
        </w:rPr>
        <w:lastRenderedPageBreak/>
        <w:t>economy; and something similar was true with respect to financial flows and financial interconnection, and that's why it's so important to get the lights back on, and that's why it's so important to contain the financials.</w:t>
      </w:r>
    </w:p>
    <w:p w:rsidR="002F07D4" w:rsidRPr="00A378B0" w:rsidRDefault="002F07D4" w:rsidP="002F07D4">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But... imagine my experiment, where for three months, or two months, eighty percent of the electricity went off. GDP would collapse. But then ask yourself, what do you think would happen to the GDP afterwards? You'd kind of expect that there'd be a lot of catch-up: that all the stuff where inventories got run down would get produced much faster, so you'd actually kind of expect that once things normalized, you'd get more GDP tha</w:t>
      </w:r>
      <w:r>
        <w:rPr>
          <w:rFonts w:ascii="Times New Roman" w:hAnsi="Times New Roman" w:cs="Times New Roman"/>
          <w:sz w:val="24"/>
          <w:szCs w:val="24"/>
          <w:lang w:val="en-US"/>
        </w:rPr>
        <w:t xml:space="preserve">n you otherwise would have had </w:t>
      </w:r>
      <w:r w:rsidRPr="00A378B0">
        <w:rPr>
          <w:rFonts w:ascii="Times New Roman" w:hAnsi="Times New Roman" w:cs="Times New Roman"/>
          <w:sz w:val="24"/>
          <w:szCs w:val="24"/>
          <w:lang w:val="en-US"/>
        </w:rPr>
        <w:t>- not that four years later, you'd still be having substantially less than you had before. So there's something odd about financial normalization, if that was what the whole problem was, and then continued slow growth.</w:t>
      </w:r>
    </w:p>
    <w:p w:rsidR="002F07D4" w:rsidRPr="00A378B0" w:rsidRDefault="002F07D4" w:rsidP="002F07D4">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So what's an explanation that would fit both of these observations? Suppose that the short-term real interest rate that was consistent with full employment had fallen to negative two or negative three percent sometime in the middle of the last decade. Then what would happen? Then even with artificial stimulus to demand coming from all this financial imprudence, you wouldn't see any excess demand; and even with a relative resumption of normal credit conditions, you'd have a lot of difficulty getting back to full employment. Yes, it has been demonstrated, absolutely conclusively, that panics are terrible, and that monetary policy can contain them when the interest rate is zero. That has been demonstrated absolutely conclusively. It has been demonstrated, less conclusively, but presumptively, that when short-term interest rates are zero, monetary policy can affect a constellation of other asset prices in ways that support demand, even when the short-term interest rate can't be lowered. Just how large that impact is on demand is less clear, but it is there. But imagine a situation where natural and equilibrium interest rates have fallen significantly below zero. Then, conventional macroeconomic thinking leaves us in a very serious problem; because we all seem to agree that, whereas you can keep the Federal funds rate at a low level forever, it's much harder to do extraordinar</w:t>
      </w:r>
      <w:r>
        <w:rPr>
          <w:rFonts w:ascii="Times New Roman" w:hAnsi="Times New Roman" w:cs="Times New Roman"/>
          <w:sz w:val="24"/>
          <w:szCs w:val="24"/>
          <w:lang w:val="en-US"/>
        </w:rPr>
        <w:t xml:space="preserve">y measures beyond that forever </w:t>
      </w:r>
      <w:r w:rsidRPr="00A378B0">
        <w:rPr>
          <w:rFonts w:ascii="Times New Roman" w:hAnsi="Times New Roman" w:cs="Times New Roman"/>
          <w:sz w:val="24"/>
          <w:szCs w:val="24"/>
          <w:lang w:val="en-US"/>
        </w:rPr>
        <w:t>- but the underlying problem may be there forever. It's much more difficult to say, well, we only needed deficits during the short interval of the crisis if aggregate demand, if equilibrium interest rates, can't be achieved given the prevailing rate of inflation.</w:t>
      </w:r>
    </w:p>
    <w:p w:rsidR="002F07D4" w:rsidRPr="00A378B0" w:rsidRDefault="002F07D4" w:rsidP="002F07D4">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And most of what woul</w:t>
      </w:r>
      <w:r>
        <w:rPr>
          <w:rFonts w:ascii="Times New Roman" w:hAnsi="Times New Roman" w:cs="Times New Roman"/>
          <w:sz w:val="24"/>
          <w:szCs w:val="24"/>
          <w:lang w:val="en-US"/>
        </w:rPr>
        <w:t>d be done under the auspices -if this view is at all correct</w:t>
      </w:r>
      <w:r w:rsidRPr="00A378B0">
        <w:rPr>
          <w:rFonts w:ascii="Times New Roman" w:hAnsi="Times New Roman" w:cs="Times New Roman"/>
          <w:sz w:val="24"/>
          <w:szCs w:val="24"/>
          <w:lang w:val="en-US"/>
        </w:rPr>
        <w:t>- would be done under the aegis of preventing a future crisis would be counterproductive, because it would in one way or other raise the cost of financial intermediation, and therefore operate to lower the equilibrium interest rate that was necessary. Now this may all be madness, and I may not have this right at all; but it does seem to me that four years after the successful combating of crisis, with really no evidence of growth that is restoring equilibrium, one has to be concerned about a policy agenda that is doing less with monetary policy than has been done before, doing less with fiscal policy than has been done before, and taking steps whose basic purpose is to cause there to be less lending, borrowing and inflated asset prices than there was before. So m</w:t>
      </w:r>
      <w:r>
        <w:rPr>
          <w:rFonts w:ascii="Times New Roman" w:hAnsi="Times New Roman" w:cs="Times New Roman"/>
          <w:sz w:val="24"/>
          <w:szCs w:val="24"/>
          <w:lang w:val="en-US"/>
        </w:rPr>
        <w:t>y lesson from this crisis is -</w:t>
      </w:r>
      <w:r w:rsidRPr="00A378B0">
        <w:rPr>
          <w:rFonts w:ascii="Times New Roman" w:hAnsi="Times New Roman" w:cs="Times New Roman"/>
          <w:sz w:val="24"/>
          <w:szCs w:val="24"/>
          <w:lang w:val="en-US"/>
        </w:rPr>
        <w:t>and my overarching lesson, which I have to say I think th</w:t>
      </w:r>
      <w:r>
        <w:rPr>
          <w:rFonts w:ascii="Times New Roman" w:hAnsi="Times New Roman" w:cs="Times New Roman"/>
          <w:sz w:val="24"/>
          <w:szCs w:val="24"/>
          <w:lang w:val="en-US"/>
        </w:rPr>
        <w:t>e world has under-internalized</w:t>
      </w:r>
      <w:r w:rsidRPr="00A378B0">
        <w:rPr>
          <w:rFonts w:ascii="Times New Roman" w:hAnsi="Times New Roman" w:cs="Times New Roman"/>
          <w:sz w:val="24"/>
          <w:szCs w:val="24"/>
          <w:lang w:val="en-US"/>
        </w:rPr>
        <w:t>- is that it is not over until it is over; and that is surely not right now, and cannot be judged relative to the extent of financial panic; and that we may well need, in the years ahead, to think about how we manage an economy in which the zero nominal interest rate is a chronic and systemic inhibitor of economic activity, holding our economies back below their potential.</w:t>
      </w:r>
    </w:p>
    <w:p w:rsidR="002F07D4" w:rsidRPr="00AD49CB" w:rsidRDefault="002F07D4" w:rsidP="002F07D4">
      <w:pPr>
        <w:shd w:val="clear" w:color="auto" w:fill="FFFFFF"/>
        <w:spacing w:line="240" w:lineRule="auto"/>
        <w:jc w:val="both"/>
        <w:rPr>
          <w:rFonts w:ascii="Times New Roman" w:hAnsi="Times New Roman" w:cs="Times New Roman"/>
          <w:sz w:val="24"/>
          <w:szCs w:val="24"/>
          <w:lang w:val="en-US"/>
        </w:rPr>
      </w:pPr>
      <w:r w:rsidRPr="00AD49CB">
        <w:rPr>
          <w:rFonts w:ascii="Times New Roman" w:hAnsi="Times New Roman" w:cs="Times New Roman"/>
          <w:sz w:val="24"/>
          <w:szCs w:val="24"/>
          <w:lang w:val="en-US"/>
        </w:rPr>
        <w:lastRenderedPageBreak/>
        <w:t>Thank you very much.</w:t>
      </w:r>
    </w:p>
    <w:p w:rsidR="002F07D4" w:rsidRPr="005F0D65" w:rsidRDefault="002F07D4" w:rsidP="002F07D4">
      <w:pPr>
        <w:spacing w:line="240" w:lineRule="auto"/>
        <w:jc w:val="both"/>
        <w:rPr>
          <w:rFonts w:ascii="Times New Roman" w:hAnsi="Times New Roman" w:cs="Times New Roman"/>
          <w:sz w:val="24"/>
          <w:szCs w:val="24"/>
          <w:lang/>
        </w:rPr>
      </w:pPr>
      <w:r w:rsidRPr="005F0D65">
        <w:rPr>
          <w:rFonts w:ascii="Times New Roman" w:hAnsi="Times New Roman" w:cs="Times New Roman"/>
          <w:sz w:val="24"/>
          <w:szCs w:val="24"/>
          <w:lang/>
        </w:rPr>
        <w:t>(</w:t>
      </w:r>
      <w:hyperlink r:id="rId265" w:history="1">
        <w:r w:rsidRPr="005F0D65">
          <w:rPr>
            <w:rStyle w:val="relateditemlabel"/>
            <w:rFonts w:ascii="Times New Roman" w:hAnsi="Times New Roman" w:cs="Times New Roman"/>
            <w:sz w:val="24"/>
            <w:szCs w:val="24"/>
            <w:u w:val="single"/>
            <w:lang/>
          </w:rPr>
          <w:t xml:space="preserve">Video: </w:t>
        </w:r>
        <w:r w:rsidRPr="005F0D65">
          <w:rPr>
            <w:rStyle w:val="Hipervnculo"/>
            <w:rFonts w:ascii="Times New Roman" w:hAnsi="Times New Roman" w:cs="Times New Roman"/>
            <w:color w:val="auto"/>
            <w:lang/>
          </w:rPr>
          <w:t>Summers: Long Time Since Rapid, Healthy Growth</w:t>
        </w:r>
      </w:hyperlink>
      <w:r w:rsidRPr="005F0D65">
        <w:rPr>
          <w:rFonts w:ascii="Times New Roman" w:hAnsi="Times New Roman" w:cs="Times New Roman"/>
          <w:sz w:val="24"/>
          <w:szCs w:val="24"/>
          <w:lang/>
        </w:rPr>
        <w:t xml:space="preserve">) </w:t>
      </w:r>
    </w:p>
    <w:p w:rsidR="002F07D4" w:rsidRPr="005F0D65" w:rsidRDefault="002F07D4" w:rsidP="002F07D4">
      <w:pPr>
        <w:shd w:val="clear" w:color="auto" w:fill="FFFFFF"/>
        <w:spacing w:line="240" w:lineRule="auto"/>
        <w:jc w:val="both"/>
        <w:rPr>
          <w:rFonts w:ascii="Times New Roman" w:hAnsi="Times New Roman" w:cs="Times New Roman"/>
          <w:sz w:val="24"/>
          <w:szCs w:val="24"/>
          <w:lang w:val="en-US"/>
        </w:rPr>
      </w:pPr>
      <w:r w:rsidRPr="005F0D65">
        <w:rPr>
          <w:rFonts w:ascii="Times New Roman" w:hAnsi="Times New Roman" w:cs="Times New Roman"/>
          <w:sz w:val="24"/>
          <w:szCs w:val="24"/>
          <w:lang w:val="en-US"/>
        </w:rPr>
        <w:t xml:space="preserve">- </w:t>
      </w:r>
      <w:r w:rsidRPr="005F0D65">
        <w:rPr>
          <w:rFonts w:ascii="Times New Roman" w:hAnsi="Times New Roman" w:cs="Times New Roman"/>
          <w:sz w:val="24"/>
          <w:szCs w:val="24"/>
          <w:u w:val="single"/>
          <w:lang w:val="en-US"/>
        </w:rPr>
        <w:t>Larry Summers Has a Wintry Outlook on the Economy</w:t>
      </w:r>
      <w:r w:rsidRPr="005F0D65">
        <w:rPr>
          <w:rFonts w:ascii="Times New Roman" w:hAnsi="Times New Roman" w:cs="Times New Roman"/>
          <w:sz w:val="24"/>
          <w:szCs w:val="24"/>
          <w:lang w:val="en-US"/>
        </w:rPr>
        <w:t xml:space="preserve"> (Bloomberg Business - </w:t>
      </w:r>
      <w:r w:rsidRPr="005F0D65">
        <w:rPr>
          <w:rFonts w:ascii="Times New Roman" w:hAnsi="Times New Roman" w:cs="Times New Roman"/>
          <w:b/>
          <w:sz w:val="24"/>
          <w:szCs w:val="24"/>
          <w:lang w:val="en-US"/>
        </w:rPr>
        <w:t>18/11/13</w:t>
      </w:r>
      <w:r w:rsidRPr="005F0D65">
        <w:rPr>
          <w:rFonts w:ascii="Times New Roman" w:hAnsi="Times New Roman" w:cs="Times New Roman"/>
          <w:sz w:val="24"/>
          <w:szCs w:val="24"/>
          <w:lang w:val="en-US"/>
        </w:rPr>
        <w:t xml:space="preserve">) </w:t>
      </w:r>
    </w:p>
    <w:p w:rsidR="002F07D4" w:rsidRPr="005F0D65" w:rsidRDefault="002F07D4" w:rsidP="002F07D4">
      <w:pPr>
        <w:shd w:val="clear" w:color="auto" w:fill="FFFFFF"/>
        <w:spacing w:line="240" w:lineRule="auto"/>
        <w:jc w:val="both"/>
        <w:rPr>
          <w:rFonts w:ascii="Times New Roman" w:hAnsi="Times New Roman" w:cs="Times New Roman"/>
          <w:sz w:val="24"/>
          <w:szCs w:val="24"/>
          <w:lang w:val="en-US"/>
        </w:rPr>
      </w:pPr>
      <w:r w:rsidRPr="005F0D65">
        <w:rPr>
          <w:rFonts w:ascii="Times New Roman" w:hAnsi="Times New Roman" w:cs="Times New Roman"/>
          <w:sz w:val="24"/>
          <w:szCs w:val="24"/>
          <w:lang w:val="en-US"/>
        </w:rPr>
        <w:t xml:space="preserve"> (By Peter Coy and Matthew Philips)   </w:t>
      </w:r>
    </w:p>
    <w:p w:rsidR="002F07D4" w:rsidRPr="005F0D65" w:rsidRDefault="002F07D4" w:rsidP="002F07D4">
      <w:pPr>
        <w:pStyle w:val="NormalWeb"/>
        <w:jc w:val="both"/>
        <w:rPr>
          <w:lang/>
        </w:rPr>
      </w:pPr>
      <w:r w:rsidRPr="005F0D65">
        <w:rPr>
          <w:lang/>
        </w:rPr>
        <w:t xml:space="preserve">Larry Summers, the man who was almost chairman of the Federal Reserve, is awfully gloomy about U.S. growth prospects. In a </w:t>
      </w:r>
      <w:hyperlink r:id="rId266" w:tgtFrame="_blank" w:history="1">
        <w:r w:rsidRPr="005F0D65">
          <w:rPr>
            <w:rStyle w:val="Hipervnculo"/>
            <w:rFonts w:eastAsiaTheme="majorEastAsia"/>
            <w:color w:val="auto"/>
            <w:lang/>
          </w:rPr>
          <w:t>Nov. 8 speech</w:t>
        </w:r>
      </w:hyperlink>
      <w:r w:rsidRPr="005F0D65">
        <w:rPr>
          <w:lang/>
        </w:rPr>
        <w:t xml:space="preserve"> at the International Monetary Fund, he suggested the U.S. might be stuck in “secular stagnation” - a slump that is not a product of the business cycle but a more-or-less permanent condition. Summers’s conclusion is deeply pessimistic. If he’s right, the economy is incapable of producing full employment without financial bubbles or massive stimulus, both of which tend to end badly. The collapse of the debt-fueled housing bubble led to the crisis of 2007-09, and some policymakers worry that the Fed’s easy-money approach is setting the economy up for another fall. Witness the Dow Jones industrial average surpassing the </w:t>
      </w:r>
      <w:hyperlink r:id="rId267" w:history="1">
        <w:r w:rsidRPr="005F0D65">
          <w:rPr>
            <w:rStyle w:val="Hipervnculo"/>
            <w:rFonts w:eastAsiaTheme="majorEastAsia"/>
            <w:color w:val="auto"/>
            <w:lang/>
          </w:rPr>
          <w:t>16.000 mark</w:t>
        </w:r>
      </w:hyperlink>
      <w:r w:rsidRPr="005F0D65">
        <w:rPr>
          <w:lang/>
        </w:rPr>
        <w:t xml:space="preserve"> on Nov. 18.</w:t>
      </w:r>
    </w:p>
    <w:p w:rsidR="002F07D4" w:rsidRPr="005F0D65" w:rsidRDefault="002F07D4" w:rsidP="002F07D4">
      <w:pPr>
        <w:pStyle w:val="NormalWeb"/>
        <w:jc w:val="both"/>
        <w:rPr>
          <w:lang/>
        </w:rPr>
      </w:pPr>
      <w:r w:rsidRPr="005F0D65">
        <w:rPr>
          <w:lang/>
        </w:rPr>
        <w:t>The problem, as Summers sees it, is that the economy is being held back by what economists call the “zero lower bound”- interest rates, once cut to zero, can’t be reduced further to stimulate the economy. In a typical slump, the Federal Reserve encourages borrowing by reducing the interest rate to substantially below the rate of inflation, so people are effectively being paid to take out loans. (In econ jargon, that’s a “negative real interest rate”). But interest rates can’t be much below inflation when the inflation rate itself is close to zero, as it is now. Summers speculates that the interest rate would need to be 2 or 3 percentage points lower than the inflation rate to get the economy going. Right now that’s impossible: The Fed’s favored short-term measure of inflation is just 1,2 percent, and the federal funds rate can’t go any lower than its current range of zero to 0,25 percent.</w:t>
      </w:r>
    </w:p>
    <w:p w:rsidR="002F07D4" w:rsidRPr="005F0D65" w:rsidRDefault="002F07D4" w:rsidP="002F07D4">
      <w:pPr>
        <w:pStyle w:val="NormalWeb"/>
        <w:jc w:val="both"/>
        <w:rPr>
          <w:lang/>
        </w:rPr>
      </w:pPr>
      <w:r w:rsidRPr="005F0D65">
        <w:rPr>
          <w:lang/>
        </w:rPr>
        <w:t>That, says Summers, is why the economy is stuck in a rut. “We may need to deal with a world where the zero lower bound is a chronic and systemic inhibitor”. He didn’t offer a solution in his speech, and could not be reached for an interview.</w:t>
      </w:r>
    </w:p>
    <w:p w:rsidR="002F07D4" w:rsidRPr="005F0D65" w:rsidRDefault="002F07D4" w:rsidP="002F07D4">
      <w:pPr>
        <w:pStyle w:val="NormalWeb"/>
        <w:jc w:val="both"/>
        <w:rPr>
          <w:lang/>
        </w:rPr>
      </w:pPr>
      <w:r w:rsidRPr="005F0D65">
        <w:rPr>
          <w:lang/>
        </w:rPr>
        <w:t>Summers, favored by many in the White House to run the Federal Reserve, withdrew from consideration in September, and now Fed Vice Chairman Janet Yellen is the nominee. While critics argued that Summers lacked the proper temperament to lead the Fed, no one has questioned his credentials as an economist. At age 28, he became one of the youngest tenured professors in Harvard University’s history on the strength of his economic research. He’s also been Treasury secretary to President Bill Clinton, president of Harvard, and director of President Obama’s National Economic Council.</w:t>
      </w:r>
    </w:p>
    <w:p w:rsidR="002F07D4" w:rsidRDefault="002F07D4" w:rsidP="002F07D4">
      <w:pPr>
        <w:pStyle w:val="NormalWeb"/>
        <w:jc w:val="both"/>
        <w:rPr>
          <w:lang/>
        </w:rPr>
      </w:pPr>
      <w:r w:rsidRPr="005F0D65">
        <w:rPr>
          <w:lang/>
        </w:rPr>
        <w:t xml:space="preserve">Plenty of economists aren’t persuaded by Summers’s diagnosis of what ails the U.S. economy. “Instead of having more experiments with free money, let’s try the experiment of actually passing a budget. Wouldn’t that be novel?” says David Rosenberg, chief economist at Canadian investment firm Gluskin Sheff. “I fail to see how negative real interest rates are the correct prescription,” he says. “How would you ever encourage the private sector to lend money at negative interest rates?” Adds Douglas Holtz-Eakin, a former director of the Congressional </w:t>
      </w:r>
      <w:r>
        <w:rPr>
          <w:lang/>
        </w:rPr>
        <w:t xml:space="preserve">Budget Office who served </w:t>
      </w:r>
      <w:r>
        <w:rPr>
          <w:lang/>
        </w:rPr>
        <w:lastRenderedPageBreak/>
        <w:t xml:space="preserve">as John McCain’s chief economic adviser during the 2008 presidential campaign: “We’ve had four years of extraordinarily loose monetary policy without satisfactory results, and the only thing they come up with is that we need more?” </w:t>
      </w:r>
    </w:p>
    <w:p w:rsidR="002F07D4" w:rsidRDefault="002F07D4" w:rsidP="002F07D4">
      <w:pPr>
        <w:pStyle w:val="NormalWeb"/>
        <w:jc w:val="both"/>
        <w:rPr>
          <w:lang/>
        </w:rPr>
      </w:pPr>
      <w:r>
        <w:rPr>
          <w:noProof/>
          <w:lang w:val="en-GB" w:eastAsia="en-GB"/>
        </w:rPr>
        <w:drawing>
          <wp:inline distT="0" distB="0" distL="0" distR="0">
            <wp:extent cx="5334000" cy="2711450"/>
            <wp:effectExtent l="0" t="0" r="0" b="0"/>
            <wp:docPr id="371" name="Imagen 371" descr="http://images.bwbx.io/cms/2013-11-21/BW48_feature_kiribati_secondarychart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s.bwbx.io/cms/2013-11-21/BW48_feature_kiribati_secondarychart630.jpg"/>
                    <pic:cNvPicPr>
                      <a:picLocks noChangeAspect="1" noChangeArrowheads="1"/>
                    </pic:cNvPicPr>
                  </pic:nvPicPr>
                  <pic:blipFill>
                    <a:blip r:embed="rId2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2711450"/>
                    </a:xfrm>
                    <a:prstGeom prst="rect">
                      <a:avLst/>
                    </a:prstGeom>
                    <a:noFill/>
                    <a:ln>
                      <a:noFill/>
                    </a:ln>
                  </pic:spPr>
                </pic:pic>
              </a:graphicData>
            </a:graphic>
          </wp:inline>
        </w:drawing>
      </w:r>
    </w:p>
    <w:p w:rsidR="002F07D4" w:rsidRPr="005F0D65" w:rsidRDefault="002F07D4" w:rsidP="002F07D4">
      <w:pPr>
        <w:pStyle w:val="NormalWeb"/>
        <w:jc w:val="both"/>
        <w:rPr>
          <w:lang/>
        </w:rPr>
      </w:pPr>
      <w:r w:rsidRPr="005F0D65">
        <w:rPr>
          <w:lang/>
        </w:rPr>
        <w:t xml:space="preserve">Joseph LaVorgna, chief U.S. economist for </w:t>
      </w:r>
      <w:r w:rsidRPr="005F0D65">
        <w:rPr>
          <w:rStyle w:val="tickerwrap"/>
          <w:lang/>
        </w:rPr>
        <w:t>Deutsche Bank (</w:t>
      </w:r>
      <w:hyperlink r:id="rId269" w:history="1">
        <w:r w:rsidRPr="005F0D65">
          <w:rPr>
            <w:rStyle w:val="Hipervnculo"/>
            <w:rFonts w:eastAsiaTheme="majorEastAsia"/>
            <w:color w:val="auto"/>
            <w:lang/>
          </w:rPr>
          <w:t>DB</w:t>
        </w:r>
      </w:hyperlink>
      <w:r w:rsidRPr="005F0D65">
        <w:rPr>
          <w:rStyle w:val="tickerwrap"/>
          <w:lang/>
        </w:rPr>
        <w:t>)</w:t>
      </w:r>
      <w:r w:rsidRPr="005F0D65">
        <w:rPr>
          <w:lang/>
        </w:rPr>
        <w:t xml:space="preserve">, says the economy doesn’t need extreme measures, because it’s starting to recover on its own. Pushing rates sharply negative -presumably by raising the rate of expected inflation- could rattle investors, LaVorgna says. “It could affect confidence and be a challenge to the animal spirits.” Even some liberals sympathetic to Summers’s arguments aren’t fully on board. “How sure are we that negative real rates would give us the pop we need?” asks </w:t>
      </w:r>
      <w:hyperlink r:id="rId270" w:tgtFrame="_blank" w:history="1">
        <w:r w:rsidRPr="005F0D65">
          <w:rPr>
            <w:rStyle w:val="Hipervnculo"/>
            <w:rFonts w:eastAsiaTheme="majorEastAsia"/>
            <w:color w:val="auto"/>
            <w:lang/>
          </w:rPr>
          <w:t>Jared Bernstein</w:t>
        </w:r>
      </w:hyperlink>
      <w:r w:rsidRPr="005F0D65">
        <w:rPr>
          <w:lang/>
        </w:rPr>
        <w:t xml:space="preserve">, a senior fellow at the Center on Budget and Policy Priorities. “It’s not obvious”. </w:t>
      </w:r>
    </w:p>
    <w:p w:rsidR="002F07D4" w:rsidRPr="005F0D65" w:rsidRDefault="002F07D4" w:rsidP="002F07D4">
      <w:pPr>
        <w:pStyle w:val="NormalWeb"/>
        <w:jc w:val="both"/>
        <w:rPr>
          <w:lang/>
        </w:rPr>
      </w:pPr>
      <w:r w:rsidRPr="005F0D65">
        <w:rPr>
          <w:lang/>
        </w:rPr>
        <w:t>Summers has heard these arguments before. His point is that the conventional wisdom has failed - the medicine that once worked isn’t working anymore. If the economy’s “natural” interest rate is now substantially below zero, he said in the speech, “conventional macroeconomic thinking leaves us in a very serious problem”.</w:t>
      </w:r>
    </w:p>
    <w:p w:rsidR="002F07D4" w:rsidRPr="005F0D65" w:rsidRDefault="002F07D4" w:rsidP="002F07D4">
      <w:pPr>
        <w:pStyle w:val="NormalWeb"/>
        <w:jc w:val="both"/>
        <w:rPr>
          <w:lang/>
        </w:rPr>
      </w:pPr>
      <w:r w:rsidRPr="005F0D65">
        <w:rPr>
          <w:lang/>
        </w:rPr>
        <w:t xml:space="preserve">What are the options if Summers is right? One is to continue monetary and fiscal stimulus. But that inflates the national debt and, possibly, asset bubbles. University of Michigan economist </w:t>
      </w:r>
      <w:hyperlink r:id="rId271" w:tgtFrame="_blank" w:history="1">
        <w:r w:rsidRPr="005F0D65">
          <w:rPr>
            <w:rStyle w:val="Hipervnculo"/>
            <w:rFonts w:eastAsiaTheme="majorEastAsia"/>
            <w:color w:val="auto"/>
            <w:lang/>
          </w:rPr>
          <w:t>Miles Kimball</w:t>
        </w:r>
      </w:hyperlink>
      <w:r w:rsidRPr="005F0D65">
        <w:rPr>
          <w:lang/>
        </w:rPr>
        <w:t xml:space="preserve"> has another </w:t>
      </w:r>
      <w:hyperlink r:id="rId272" w:tgtFrame="_blank" w:history="1">
        <w:r w:rsidRPr="005F0D65">
          <w:rPr>
            <w:rStyle w:val="Hipervnculo"/>
            <w:rFonts w:eastAsiaTheme="majorEastAsia"/>
            <w:color w:val="auto"/>
            <w:lang/>
          </w:rPr>
          <w:t>approach</w:t>
        </w:r>
      </w:hyperlink>
      <w:r w:rsidRPr="005F0D65">
        <w:rPr>
          <w:lang/>
        </w:rPr>
        <w:t>: Break the zero lower bound by placing sharply negative interest rates on deposits - i.e., charging customers for keeping money in the bank. Depositors would normally defeat this tactic by pulling their money out and keeping it in cash. So Kimball proposes devaluing cash itself by tying its value to that of money deposited in the bank. “Paper currency could still continue to exist”, Kimball writes, “but prices would be set in terms of electronic dollars (or abroad, electronic euros or yen), with paper dollars potentially being exchanged at a discount compared to electronic dollars”. In practical terms, shoppers who paid cash would be assessed a surcharge that would grow over time. The pressure on consumers to buy before their money lost value would be intense.</w:t>
      </w:r>
    </w:p>
    <w:p w:rsidR="002F07D4" w:rsidRPr="005F0D65" w:rsidRDefault="002F07D4" w:rsidP="002F07D4">
      <w:pPr>
        <w:pStyle w:val="NormalWeb"/>
        <w:jc w:val="both"/>
      </w:pPr>
      <w:r w:rsidRPr="005F0D65">
        <w:rPr>
          <w:lang/>
        </w:rPr>
        <w:t xml:space="preserve">Money that automatically loses value might seem like an overly risky tactic - unless Summers is right that the U.S. is sinking into a Japanese-style deflationary rut. </w:t>
      </w:r>
      <w:r w:rsidRPr="005F0D65">
        <w:t>In that case, bring on those negative rates.</w:t>
      </w:r>
    </w:p>
    <w:p w:rsidR="002F07D4" w:rsidRPr="00C11B24" w:rsidRDefault="002F07D4" w:rsidP="002F07D4">
      <w:pPr>
        <w:pStyle w:val="NormalWeb"/>
        <w:jc w:val="both"/>
        <w:rPr>
          <w:lang w:val="en-US"/>
        </w:rPr>
      </w:pPr>
      <w:r>
        <w:lastRenderedPageBreak/>
        <w:t xml:space="preserve">- </w:t>
      </w:r>
      <w:r w:rsidRPr="00C11B24">
        <w:rPr>
          <w:u w:val="single"/>
        </w:rPr>
        <w:t>¿Son las burbujas de activos el único camino hacia el crecimiento?</w:t>
      </w:r>
      <w:r w:rsidRPr="00C11B24">
        <w:rPr>
          <w:lang w:val="en-US"/>
        </w:rPr>
        <w:t xml:space="preserve">(The Wall Street Journal - </w:t>
      </w:r>
      <w:r w:rsidRPr="00C11B24">
        <w:rPr>
          <w:b/>
          <w:lang w:val="en-US"/>
        </w:rPr>
        <w:t>18/11/13</w:t>
      </w:r>
      <w:r w:rsidRPr="00C11B24">
        <w:rPr>
          <w:lang w:val="en-US"/>
        </w:rPr>
        <w:t>)</w:t>
      </w:r>
    </w:p>
    <w:p w:rsidR="002F07D4" w:rsidRPr="00C11B24" w:rsidRDefault="002F07D4" w:rsidP="002F07D4">
      <w:pPr>
        <w:pStyle w:val="NormalWeb"/>
        <w:jc w:val="both"/>
        <w:rPr>
          <w:lang w:val="en-US"/>
        </w:rPr>
      </w:pPr>
      <w:r>
        <w:rPr>
          <w:lang w:val="en-US"/>
        </w:rPr>
        <w:t>(</w:t>
      </w:r>
      <w:r w:rsidRPr="00C11B24">
        <w:rPr>
          <w:lang w:val="en-US"/>
        </w:rPr>
        <w:t>Por A</w:t>
      </w:r>
      <w:r>
        <w:rPr>
          <w:lang w:val="en-US"/>
        </w:rPr>
        <w:t xml:space="preserve">len Mattich </w:t>
      </w:r>
      <w:r w:rsidRPr="00C11B24">
        <w:rPr>
          <w:lang w:val="en-US"/>
        </w:rPr>
        <w:t>| Del blog MoneyBeat, de The Wall Street Journal</w:t>
      </w:r>
      <w:r>
        <w:rPr>
          <w:lang w:val="en-US"/>
        </w:rPr>
        <w:t>)</w:t>
      </w:r>
    </w:p>
    <w:p w:rsidR="002F07D4" w:rsidRPr="001C6865" w:rsidRDefault="002F07D4" w:rsidP="002F07D4">
      <w:pPr>
        <w:pStyle w:val="NormalWeb"/>
        <w:jc w:val="both"/>
        <w:rPr>
          <w:color w:val="FF0000"/>
        </w:rPr>
      </w:pPr>
      <w:r w:rsidRPr="001C6865">
        <w:rPr>
          <w:color w:val="FF0000"/>
        </w:rPr>
        <w:t xml:space="preserve">¿Son las burbujas de activos la única manera en que los bancos centrales pueden impulsar la demanda? </w:t>
      </w:r>
    </w:p>
    <w:p w:rsidR="002F07D4" w:rsidRPr="001C6865" w:rsidRDefault="002F07D4" w:rsidP="002F07D4">
      <w:pPr>
        <w:pStyle w:val="NormalWeb"/>
        <w:jc w:val="both"/>
        <w:rPr>
          <w:color w:val="FF0000"/>
          <w:u w:val="single"/>
        </w:rPr>
      </w:pPr>
      <w:r w:rsidRPr="001C6865">
        <w:rPr>
          <w:color w:val="FF0000"/>
          <w:u w:val="single"/>
        </w:rPr>
        <w:t xml:space="preserve">Los principales economistas están empezando a preguntárselo. Y tanto los expertos como los gobernadores de bancos centrales se inclinan claramente a favor de mantener los precios de los activos al alza si esa es la única manera de lograr que la economía siga adelante. </w:t>
      </w:r>
    </w:p>
    <w:p w:rsidR="002F07D4" w:rsidRPr="001C6865" w:rsidRDefault="002F07D4" w:rsidP="002F07D4">
      <w:pPr>
        <w:pStyle w:val="NormalWeb"/>
        <w:jc w:val="both"/>
        <w:rPr>
          <w:color w:val="FF0000"/>
          <w:u w:val="single"/>
        </w:rPr>
      </w:pPr>
      <w:r w:rsidRPr="001C6865">
        <w:rPr>
          <w:color w:val="FF0000"/>
          <w:u w:val="single"/>
        </w:rPr>
        <w:t xml:space="preserve">Esto resultará ser, indudablemente, un error, aunque dadas las limitaciones con las que operan los gobernadores de los bancos centrales, es un error que probablemente crean que no tienen más remedio que cometer. </w:t>
      </w:r>
    </w:p>
    <w:p w:rsidR="002F07D4" w:rsidRDefault="002F07D4" w:rsidP="002F07D4">
      <w:pPr>
        <w:pStyle w:val="NormalWeb"/>
        <w:jc w:val="both"/>
      </w:pPr>
      <w:r>
        <w:t xml:space="preserve">Lo cual sugiere que los mercados de renta variable seguirán saltando de un hito -el lunes, el Promedio Industrial Dow Jones rompió el nivel de 16.000 y el S&amp;P 500 tocó los 1.800- a otro. </w:t>
      </w:r>
    </w:p>
    <w:p w:rsidR="002F07D4" w:rsidRPr="001C6865" w:rsidRDefault="002F07D4" w:rsidP="002F07D4">
      <w:pPr>
        <w:pStyle w:val="NormalWeb"/>
        <w:jc w:val="both"/>
        <w:rPr>
          <w:u w:val="single"/>
        </w:rPr>
      </w:pPr>
      <w:r>
        <w:t xml:space="preserve">El debate, que se ha estado filtrando durante los últimos años, llegó recientemente a lo más alto de la lista de conversaciones gracias a </w:t>
      </w:r>
      <w:r w:rsidRPr="001C6865">
        <w:rPr>
          <w:u w:val="single"/>
        </w:rPr>
        <w:t xml:space="preserve">Larry Summers, ex secretario del Tesoro estadounidense, después de su discurso a principios de noviembre en una conferencia de análisis del FMI. </w:t>
      </w:r>
    </w:p>
    <w:p w:rsidR="002F07D4" w:rsidRDefault="002F07D4" w:rsidP="002F07D4">
      <w:pPr>
        <w:pStyle w:val="NormalWeb"/>
        <w:jc w:val="both"/>
      </w:pPr>
      <w:r>
        <w:t xml:space="preserve">En él, </w:t>
      </w:r>
      <w:r w:rsidRPr="001C6865">
        <w:rPr>
          <w:u w:val="single"/>
        </w:rPr>
        <w:t>Summers hizo dos observaciones fundamentales</w:t>
      </w:r>
      <w:r>
        <w:t xml:space="preserve">. </w:t>
      </w:r>
    </w:p>
    <w:p w:rsidR="002F07D4" w:rsidRPr="001C6865" w:rsidRDefault="002F07D4" w:rsidP="002F07D4">
      <w:pPr>
        <w:pStyle w:val="NormalWeb"/>
        <w:jc w:val="both"/>
        <w:rPr>
          <w:color w:val="FF0000"/>
          <w:u w:val="single"/>
        </w:rPr>
      </w:pPr>
      <w:r w:rsidRPr="001C6865">
        <w:rPr>
          <w:color w:val="FF0000"/>
          <w:u w:val="single"/>
        </w:rPr>
        <w:t xml:space="preserve">Primera: a pesar de la opinión generalizada de que los bancos centrales habían mantenido los tipos de interés en niveles demasiado bajos y habían fomentado las burbujas de activos, no había indicios de sobrecalentamiento económico en los años previos a la crisis financiera en países como Estados Unidos. El desempleo no estaba en mínimos extremos y la inflación se comportaba de manera adecuada. </w:t>
      </w:r>
    </w:p>
    <w:p w:rsidR="002F07D4" w:rsidRPr="001C6865" w:rsidRDefault="002F07D4" w:rsidP="002F07D4">
      <w:pPr>
        <w:pStyle w:val="NormalWeb"/>
        <w:jc w:val="both"/>
        <w:rPr>
          <w:color w:val="FF0000"/>
          <w:u w:val="single"/>
        </w:rPr>
      </w:pPr>
      <w:r w:rsidRPr="001C6865">
        <w:rPr>
          <w:color w:val="FF0000"/>
          <w:u w:val="single"/>
        </w:rPr>
        <w:t xml:space="preserve">Segunda: las escaseces de producción causadas por la crisis financiera y la posterior gran desaceleración mundial no se han recuperado gracias a un repunte sustancial del crecimiento como cabría esperar. </w:t>
      </w:r>
    </w:p>
    <w:p w:rsidR="002F07D4" w:rsidRPr="001C6865" w:rsidRDefault="002F07D4" w:rsidP="002F07D4">
      <w:pPr>
        <w:pStyle w:val="NormalWeb"/>
        <w:jc w:val="both"/>
        <w:rPr>
          <w:u w:val="single"/>
        </w:rPr>
      </w:pPr>
      <w:r w:rsidRPr="001C6865">
        <w:rPr>
          <w:u w:val="single"/>
        </w:rPr>
        <w:t xml:space="preserve">¿Por qué? </w:t>
      </w:r>
    </w:p>
    <w:p w:rsidR="002F07D4" w:rsidRDefault="002F07D4" w:rsidP="002F07D4">
      <w:pPr>
        <w:pStyle w:val="NormalWeb"/>
        <w:jc w:val="both"/>
      </w:pPr>
      <w:r w:rsidRPr="00BF0C60">
        <w:rPr>
          <w:color w:val="FF0000"/>
          <w:u w:val="single"/>
        </w:rPr>
        <w:t>Podría ser que las economías, incluida la estadounidense, hayan caído en el “estancamiento secular”, como lo calificó Summers. En otras palabras, estas economías se han vuelto japonesas</w:t>
      </w:r>
      <w:r w:rsidRPr="00BF0C60">
        <w:t>.</w:t>
      </w:r>
      <w:r w:rsidRPr="00D7190E">
        <w:rPr>
          <w:u w:val="single"/>
        </w:rPr>
        <w:t>Debido al exceso de ahorro mundial y al cambio t</w:t>
      </w:r>
      <w:r>
        <w:rPr>
          <w:u w:val="single"/>
        </w:rPr>
        <w:t>ecnológico, su tipo de interés “natural” a corto plazo -</w:t>
      </w:r>
      <w:r w:rsidRPr="00D7190E">
        <w:rPr>
          <w:u w:val="single"/>
        </w:rPr>
        <w:t>es decir, el interé</w:t>
      </w:r>
      <w:r>
        <w:rPr>
          <w:u w:val="single"/>
        </w:rPr>
        <w:t>s coherente con el pleno empleo-</w:t>
      </w:r>
      <w:r w:rsidRPr="00D7190E">
        <w:rPr>
          <w:u w:val="single"/>
        </w:rPr>
        <w:t xml:space="preserve"> es desde hace tiempo -2% o -3%.</w:t>
      </w:r>
      <w:r>
        <w:t xml:space="preserve"> Pero, como los tipos tienen un límite a la baja de cero, la política monetaria ha sido demasiado endurecedora, en lugar de demasiado laxa. </w:t>
      </w:r>
    </w:p>
    <w:p w:rsidR="002F07D4" w:rsidRPr="00D7190E" w:rsidRDefault="002F07D4" w:rsidP="002F07D4">
      <w:pPr>
        <w:pStyle w:val="NormalWeb"/>
        <w:jc w:val="both"/>
        <w:rPr>
          <w:color w:val="FF0000"/>
          <w:u w:val="single"/>
        </w:rPr>
      </w:pPr>
      <w:r w:rsidRPr="00D7190E">
        <w:rPr>
          <w:color w:val="FF0000"/>
          <w:u w:val="single"/>
        </w:rPr>
        <w:t xml:space="preserve">Desde la crisis, para combatir este límite cero a la baja de los tipos, los bancos centrales han tenido que recurrir a la política monetaria heterodoxa. Especialmente, compras de </w:t>
      </w:r>
      <w:r w:rsidRPr="00D7190E">
        <w:rPr>
          <w:color w:val="FF0000"/>
          <w:u w:val="single"/>
        </w:rPr>
        <w:lastRenderedPageBreak/>
        <w:t xml:space="preserve">bonos y otros activos por parte de los bancos centrales, la llamada relajación cuantitativa, que, en parte, impulsa la demanda al generar efectos de riqueza positivos por el incremento de los precios de los activos. </w:t>
      </w:r>
    </w:p>
    <w:p w:rsidR="002F07D4" w:rsidRPr="00D7190E" w:rsidRDefault="002F07D4" w:rsidP="002F07D4">
      <w:pPr>
        <w:pStyle w:val="NormalWeb"/>
        <w:jc w:val="both"/>
        <w:rPr>
          <w:color w:val="FF0000"/>
          <w:u w:val="single"/>
        </w:rPr>
      </w:pPr>
      <w:r w:rsidRPr="00D7190E">
        <w:rPr>
          <w:color w:val="FF0000"/>
          <w:u w:val="single"/>
        </w:rPr>
        <w:t xml:space="preserve">Los gobernadores de los bancos centrales creen que sólo con lograr impulsar la demanda hasta un cierto nivel se convertirá en autosostenible. La producción aumenta, las inversiones de capital suben, la oferta se expande, la productividad laboral crece y, finalmente, el empleo se incrementa también hasta que se absorbe el exceso de capacidad. Al mismo tiempo, la inversión impulsa las tasas de crecimiento potenciales, o, en otras palabras, revitaliza la reciente trayectoria decepcionante. </w:t>
      </w:r>
    </w:p>
    <w:p w:rsidR="002F07D4" w:rsidRPr="00BF0C60" w:rsidRDefault="002F07D4" w:rsidP="002F07D4">
      <w:pPr>
        <w:pStyle w:val="NormalWeb"/>
        <w:jc w:val="both"/>
        <w:rPr>
          <w:color w:val="FF0000"/>
          <w:u w:val="single"/>
        </w:rPr>
      </w:pPr>
      <w:r w:rsidRPr="00BF0C60">
        <w:rPr>
          <w:color w:val="FF0000"/>
          <w:u w:val="single"/>
        </w:rPr>
        <w:t xml:space="preserve">Si el mecanismo primario para generar este crecimiento inicial pasa por los efectos de la riqueza, forzosamente, los bancos centrales tenderán a inflar burbujas de activos. </w:t>
      </w:r>
    </w:p>
    <w:p w:rsidR="002F07D4" w:rsidRPr="00BF0C60" w:rsidRDefault="002F07D4" w:rsidP="002F07D4">
      <w:pPr>
        <w:pStyle w:val="NormalWeb"/>
        <w:jc w:val="both"/>
        <w:rPr>
          <w:color w:val="FF0000"/>
          <w:u w:val="single"/>
        </w:rPr>
      </w:pPr>
      <w:r w:rsidRPr="00BF0C60">
        <w:rPr>
          <w:color w:val="FF0000"/>
          <w:u w:val="single"/>
        </w:rPr>
        <w:t xml:space="preserve">Esto es así porque la riqueza está distribuida de manera desigual. Debido a que una pequeña minoría de personas posee una gran mayoría de activos y debido a que hay límites en cuánto puede alguien consumir (gran parte de lo que compran los ricos, de hecho, son inversiones más que bienes de consumo), para que el efecto riqueza se traduzca en un aumento general de la demanda hay que aumentar muy sustancialmente los precios de los activos. </w:t>
      </w:r>
    </w:p>
    <w:p w:rsidR="002F07D4" w:rsidRPr="00BF0C60" w:rsidRDefault="002F07D4" w:rsidP="002F07D4">
      <w:pPr>
        <w:pStyle w:val="NormalWeb"/>
        <w:jc w:val="both"/>
        <w:rPr>
          <w:color w:val="FF0000"/>
          <w:u w:val="single"/>
        </w:rPr>
      </w:pPr>
      <w:r w:rsidRPr="00BF0C60">
        <w:rPr>
          <w:color w:val="FF0000"/>
          <w:u w:val="single"/>
        </w:rPr>
        <w:t xml:space="preserve">Y aquí es donde se materializa el problema. </w:t>
      </w:r>
    </w:p>
    <w:p w:rsidR="002F07D4" w:rsidRPr="00D7190E" w:rsidRDefault="002F07D4" w:rsidP="002F07D4">
      <w:pPr>
        <w:pStyle w:val="NormalWeb"/>
        <w:jc w:val="both"/>
        <w:rPr>
          <w:u w:val="single"/>
        </w:rPr>
      </w:pPr>
      <w:r w:rsidRPr="00D7190E">
        <w:rPr>
          <w:u w:val="single"/>
        </w:rPr>
        <w:t xml:space="preserve">La mayoría de la gente normal y corriente se ve obligada entonces a pedir prestado o recurrir a sus ahorros o vender algunos de sus activos para lograr nuevas y mayores tasas de consumo. Vender activos los concentra en manos de los ricos. Los ahorros ya se han gastado. Y como vimos en el último ciclo, el crédito para consumir activos inflados es peligroso, aunque los bancos centrales están haciendo todo lo que pueden para fomentar el crecimiento del crédito. </w:t>
      </w:r>
    </w:p>
    <w:p w:rsidR="002F07D4" w:rsidRPr="00D7190E" w:rsidRDefault="002F07D4" w:rsidP="002F07D4">
      <w:pPr>
        <w:pStyle w:val="NormalWeb"/>
        <w:jc w:val="both"/>
        <w:rPr>
          <w:u w:val="single"/>
        </w:rPr>
      </w:pPr>
      <w:r w:rsidRPr="00D7190E">
        <w:rPr>
          <w:u w:val="single"/>
        </w:rPr>
        <w:t xml:space="preserve">En algún momento, los salarios o los ingresos tienen que crecer hasta donde se justifican los precios inflados de los activos o los precios de los activos bajarán. </w:t>
      </w:r>
    </w:p>
    <w:p w:rsidR="002F07D4" w:rsidRDefault="002F07D4" w:rsidP="002F07D4">
      <w:pPr>
        <w:pStyle w:val="NormalWeb"/>
        <w:jc w:val="both"/>
      </w:pPr>
      <w:r w:rsidRPr="00D7190E">
        <w:rPr>
          <w:u w:val="single"/>
        </w:rPr>
        <w:t>En el último ciclo, los precios de los activos bajaron, lo que provocó la crisis financiera.</w:t>
      </w:r>
      <w:r>
        <w:t xml:space="preserve"> Los gobernadores de los bancos centrales no ven surgir burbujas de activos en este momento porque, según dicen, los actuales precios de los activos se justifican por las expectativas de niveles de crecimiento futuro y esos niveles de crecimiento están dentro del potencial de la economía. </w:t>
      </w:r>
    </w:p>
    <w:p w:rsidR="002F07D4" w:rsidRPr="00BF0C60" w:rsidRDefault="002F07D4" w:rsidP="002F07D4">
      <w:pPr>
        <w:pStyle w:val="NormalWeb"/>
        <w:jc w:val="both"/>
        <w:rPr>
          <w:color w:val="FF0000"/>
          <w:u w:val="single"/>
        </w:rPr>
      </w:pPr>
      <w:r w:rsidRPr="00BF0C60">
        <w:rPr>
          <w:color w:val="FF0000"/>
          <w:u w:val="single"/>
        </w:rPr>
        <w:t xml:space="preserve">Si se equivocan y están sobreestimando el crecimiento futuro, el resultado será demasiada inflación. Pero la inflación erosionará el valor de las deudas existentes y, con ello, justificará los actuales precios de los activos. </w:t>
      </w:r>
    </w:p>
    <w:p w:rsidR="002F07D4" w:rsidRPr="00D7190E" w:rsidRDefault="002F07D4" w:rsidP="002F07D4">
      <w:pPr>
        <w:pStyle w:val="NormalWeb"/>
        <w:jc w:val="both"/>
        <w:rPr>
          <w:color w:val="FF0000"/>
          <w:u w:val="single"/>
        </w:rPr>
      </w:pPr>
      <w:r w:rsidRPr="00D7190E">
        <w:rPr>
          <w:color w:val="FF0000"/>
          <w:u w:val="single"/>
        </w:rPr>
        <w:t xml:space="preserve">Y quizás los gobernadores de los bancos centrales crean que merece la pena correr el riesgo, demasiada inflación en el futuro es menos mala que demasiado poco crecimiento ahora. Ante la falta de una política fiscal lo suficientemente agresiva para compensar la falta de demanda, los responsables de los bancos centrales podrían creer, con toda razón, que están obligados a correr estos riesgos. </w:t>
      </w:r>
    </w:p>
    <w:p w:rsidR="002F07D4" w:rsidRDefault="002F07D4" w:rsidP="002F07D4">
      <w:pPr>
        <w:pStyle w:val="NormalWeb"/>
        <w:jc w:val="both"/>
      </w:pPr>
      <w:r w:rsidRPr="00D7190E">
        <w:rPr>
          <w:color w:val="FF0000"/>
          <w:u w:val="single"/>
        </w:rPr>
        <w:lastRenderedPageBreak/>
        <w:t>Pero todo esto depende de la capacidad de los gobernadores de bancos centrales de mantener precios muy altos de los activos en ausencia de tasas de crecimiento elevadas y continuas</w:t>
      </w:r>
      <w:r>
        <w:t xml:space="preserve">. Aquí se puede uno fijar en Japón. Durante veinte años, los precios de la renta variable y las propiedades japonesas registraron una trayectoria bajista pese a las ingentes cantidades de estímulo fiscal y monetario. Está claro que hubo frecuentes y relativamente prolongados repuntes en esos años, pero la tendencia general fue a la baja. </w:t>
      </w:r>
    </w:p>
    <w:p w:rsidR="002F07D4" w:rsidRPr="00BF0C60" w:rsidRDefault="002F07D4" w:rsidP="002F07D4">
      <w:pPr>
        <w:pStyle w:val="NormalWeb"/>
        <w:jc w:val="both"/>
        <w:rPr>
          <w:color w:val="FF0000"/>
          <w:u w:val="single"/>
        </w:rPr>
      </w:pPr>
      <w:r w:rsidRPr="00BF0C60">
        <w:rPr>
          <w:color w:val="FF0000"/>
          <w:u w:val="single"/>
        </w:rPr>
        <w:t>Antes de la crisis, los gobernadores de bancos centrales se llenaban la boca al hablar de la creación de la Gran Moderación, un período económico de inflación estable y baja y de crecimiento sólido. Resultó que se equivocaban. ¿Se equivocarán igualmente al pensar que pueden generar efectos en la economía real creando precios de los activos ilusorios?</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61717">
        <w:rPr>
          <w:rFonts w:ascii="Times New Roman" w:hAnsi="Times New Roman" w:cs="Times New Roman"/>
          <w:sz w:val="24"/>
          <w:szCs w:val="24"/>
          <w:u w:val="single"/>
        </w:rPr>
        <w:t>El impactante discurso de Larry Summers: ¿y si sólo podemos crecer creando burbujas</w:t>
      </w:r>
      <w:r w:rsidRPr="00A378B0">
        <w:rPr>
          <w:rFonts w:ascii="Times New Roman" w:hAnsi="Times New Roman" w:cs="Times New Roman"/>
          <w:sz w:val="24"/>
          <w:szCs w:val="24"/>
        </w:rPr>
        <w:t>?</w:t>
      </w:r>
      <w:r>
        <w:rPr>
          <w:rFonts w:ascii="Times New Roman" w:hAnsi="Times New Roman" w:cs="Times New Roman"/>
          <w:sz w:val="24"/>
          <w:szCs w:val="24"/>
        </w:rPr>
        <w:t xml:space="preserve"> (Vozpópuli - </w:t>
      </w:r>
      <w:r w:rsidRPr="00856517">
        <w:rPr>
          <w:rFonts w:ascii="Times New Roman" w:hAnsi="Times New Roman" w:cs="Times New Roman"/>
          <w:b/>
          <w:sz w:val="24"/>
          <w:szCs w:val="24"/>
        </w:rPr>
        <w:t>24/11/13</w:t>
      </w:r>
      <w:r>
        <w:rPr>
          <w:rFonts w:ascii="Times New Roman" w:hAnsi="Times New Roman" w:cs="Times New Roman"/>
          <w:sz w:val="24"/>
          <w:szCs w:val="24"/>
        </w:rPr>
        <w:t>)</w:t>
      </w:r>
    </w:p>
    <w:p w:rsidR="002F07D4"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¿Qué pasaría si la crisis simplemente se hubiese acabado y en realidad nos estuviésemos enfrentando a un nuevo escenario en el que el escaso crecimiento es lo normal, una especie de estancamiento secular?, planteó el exsecretario del Tesoro estadounidense y asesor de Obama ante una selecta audiencia en un foro del FMI.</w:t>
      </w:r>
    </w:p>
    <w:p w:rsidR="002F07D4" w:rsidRDefault="002F07D4" w:rsidP="002F07D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(Por Antonio Maqueda)</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Delante de una distinguida audiencia durante una conferencia en el FMI, con personajes de la talla de Ben Bernanke o Martin Feldstein entre los oyentes, el exsecretario del Tesoro estadounidense, excandidato a presidir la Fed y exasesor de Obama, Larry Summers, pronunció hace unos días un discurso que conmocionó a la comunidad de académicos y analistas por radical a la par que convincente y estremecedor: ¿y si la economía estadounidense y por extensión la occidental no es capaz de crecer y crear empleo?, ¿y si sólo puede hacerlo a fuerza de crear burbujas con los consiguientes riesgos? (Puede ver aquí la elocución de 16 minutos en inglés).</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Summers explicó que las autoridades lo hicieron muy bien a la hora de atajar el pánico del 2008-2009. La rapidez con la que suministraron la liquidez consiguió alejar el fantasma de una Gran Depresión y estabilizar las condiciones financieras. Sin embargo, cuatro años más tarde la proporción de gente trabajando no mejora y el crecimiento del PIB en EEUU sigue siendo anémico. Y semejante fenómeno no sólo ocurre en Estados Unidos, también sucede por ejemplo en Japón. ¿Qué pasaría si la crisis simplemente se hubiese acabado y en realidad nos estuviésemos enfrentando a un nuevo escenario en el que el escaso crecimiento es lo normal, una especie de estancamiento secular?, planteó Summers.</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El exsecretario del Tesoro con Bill Clinton, a veces criticado por su papel en la liberalización de los servicios financieros, relató cómo una crisis de origen bancario no es igual que las demás: si por ejemplo ocurre un desastre y se recorta de un día para otro el 80 por ciento de la producción eléctrica, entonces la economía se colapsaría igual que con una crisis financiera y el Producto Interior Bruto se desmoronaría. Sin embargo, a los pocos meses se empezaría a crecer de nuevo. En cambio, la normalización de una crisis bancaria no funciona así. Después de una restricción crediticia o credit crunch, se tarda mucho más en reactivar los canales financieros.</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lastRenderedPageBreak/>
        <w:t>Y para explicar por qué Summers se remonta a la década anterior a la crisis y se pregunta: ¿cómo pudo ser que en los años previos a la debacle hubiese tanta imprudencia financiera, tanto dinero fácil, y aun así todos esos excesos no se tradujesen en un aumento espectacular de la demanda, mayor empleo, un sobrecalentamiento de la economía y, al final, una oleada de inflación rampante? Es decir, incluso con una gran burbuja y todos esos estímulos artificiales, la demanda no se disparó sin control. Supongamos, dice Summers, que los tipos de interés reales descontando la inflación ya fuesen antes negativos, y que ni siquiera así se logró el pleno empleo. ¿Acaso no será entonces que ya antes de la crisis no se podía crecer pero la actividad se mantuvo a fuerza de burbujas?</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Según Summers, cuando los tipos de interés están en positivo éstos se pueden bajar y fomentar la demanda. Incluso con unos tipos a cero, se puede soportar la demanda inyectando dinero e inflando así algunos precios de activos. Pero una vez los tipos de interés</w:t>
      </w:r>
      <w:r>
        <w:rPr>
          <w:rFonts w:ascii="Times New Roman" w:hAnsi="Times New Roman" w:cs="Times New Roman"/>
          <w:sz w:val="24"/>
          <w:szCs w:val="24"/>
        </w:rPr>
        <w:t>,</w:t>
      </w:r>
      <w:r w:rsidRPr="00A378B0">
        <w:rPr>
          <w:rFonts w:ascii="Times New Roman" w:hAnsi="Times New Roman" w:cs="Times New Roman"/>
          <w:sz w:val="24"/>
          <w:szCs w:val="24"/>
        </w:rPr>
        <w:t xml:space="preserve"> descontada la inflación</w:t>
      </w:r>
      <w:r>
        <w:rPr>
          <w:rFonts w:ascii="Times New Roman" w:hAnsi="Times New Roman" w:cs="Times New Roman"/>
          <w:sz w:val="24"/>
          <w:szCs w:val="24"/>
        </w:rPr>
        <w:t>,</w:t>
      </w:r>
      <w:r w:rsidRPr="00A378B0">
        <w:rPr>
          <w:rFonts w:ascii="Times New Roman" w:hAnsi="Times New Roman" w:cs="Times New Roman"/>
          <w:sz w:val="24"/>
          <w:szCs w:val="24"/>
        </w:rPr>
        <w:t xml:space="preserve"> caen por debajo de cero la capacidad de maniobra se limita: aunque se pueden mantener los tipos muy bajos para siempre, resulta mucho más difícil tomar medidas extraordinarias que fomenten la demanda durante mucho tiempo o incluso para siempre. Sin embargo, lamentablemente, “el problema de fondo puede estar ahí para siempre”, afirmó Summers.</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Y de ser correcta esta visión, prosiguió Summers, dado que cuatro años más tarde no hay evidencia de que se haya restaurado el crecimiento, habría que preocuparse en el caso de que la política monetaria reduzca su actividad, se haga menos expansiva y brinde menos estímulos y, en consecuencia, conceda menos crédito. “Podríamos necesitar que en los próximos años se piense sobre cómo se gestiona una economía donde el tipo de interés nominal cero es un inhibidor crónico y sistémico de la actividad económica, manteniendo nuestra economía por debajo de su potencial”, remató Summers.</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¿Y qué significa lo dicho por Summers? Esta intervención se entiende como un aval para las políticas de estímulos justo ahora que la Reserva Federal estudia si debe rebajar sus inyecciones monetarias y que el BCE baraja si tomar o no nuevas medidas para alejar la amenaza de unas inflaciones muy bajas y, por consiguiente, unos crecimientos muy bajos. Si la teoría de Summers se cumple, se trata de escoger entre el riesgo de sufrir la inflación y nuevas burbujas o el de padecer muchos años con altas tasas de desempleo.</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¿Y cómo hemos llegado hasta aquí?</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Occidente pudo crecer hasta me</w:t>
      </w:r>
      <w:r>
        <w:rPr>
          <w:rFonts w:ascii="Times New Roman" w:hAnsi="Times New Roman" w:cs="Times New Roman"/>
          <w:sz w:val="24"/>
          <w:szCs w:val="24"/>
        </w:rPr>
        <w:t>diados de los 80 gracias a los “baby boomers”</w:t>
      </w:r>
      <w:r w:rsidRPr="00A378B0">
        <w:rPr>
          <w:rFonts w:ascii="Times New Roman" w:hAnsi="Times New Roman" w:cs="Times New Roman"/>
          <w:sz w:val="24"/>
          <w:szCs w:val="24"/>
        </w:rPr>
        <w:t xml:space="preserve"> y la incorporación de la mujer al trabajo. A partir de ahí, salvo por algunos momentos en los que se aprovechó la globalización y las nuevas tecnologías, el motor del crecimiento ha sido la deuda y, por ende, las burbujas: la puntocom, la inmobiliaria y la del crédito.</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 xml:space="preserve">Y este proceso comenzó a agudizarse desde la crisis del 98 en los emergentes. Estos países consideran que tuvieron que sufrir la terapia del FMI porque no disponían de reservas con las que responder, y desde entonces empezaron a acumular divisas, sobre todo dólares. Y ello supuso que el precio del dólar se revalorizó y fulminó buena parte de la competitividad estadounidense, lo que a su vez se tradujo en que EEUU alcanzó un déficit comercial del orden del 10 por ciento del PIB. Y para financiar ese déficit todos los años tuvo que entrar en la economía un 10 por ciento del PIB prestado de </w:t>
      </w:r>
      <w:r w:rsidRPr="00A378B0">
        <w:rPr>
          <w:rFonts w:ascii="Times New Roman" w:hAnsi="Times New Roman" w:cs="Times New Roman"/>
          <w:sz w:val="24"/>
          <w:szCs w:val="24"/>
        </w:rPr>
        <w:lastRenderedPageBreak/>
        <w:t xml:space="preserve">fuera. Unos fondos que no se destinaron a inversiones productivas, sino a los mercados financieros e inmobiliarios, creando burbujas.    </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China, Alemania y Japón, los países más volcados con las exportaciones, se convirtieron en los principales suministradores mundiales de crédito, en concreto y sobre todo de Estados Unidos, Reino Unido y la periferia europea. Y ese mar de liquidez provocó que los tipos de interés se mantuviesen artificialmente bajos. La oferta de dinero fue tanta que éste se abarata. Una vez se resta la inflación, los tipos de interés en la práctica eran negativos y había que ser tontos para no endeudarse. Se podía tomar prestado cuanto se quisiera, ya que se podría devolver porque la actividad brindaba réditos mayores.</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Hasta que ocurre el desastre. En una crisis típica, en cuanto se bajan los tipos se reanima la inversión y el empleo. Pero esta vez hay un exceso de capacidad y unos tipos de interés en el entorno de cero que sencillamente no facilitan el crecimiento por varias razones: por un lado, con los tipos tan bajos no se incentiva a la banca a dar crédito, y en lugar de concederlo al sector privado prefiere darlo al público que se califica de más seguro, o simplemente dedicarlo a la especulación financiera.</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Por otro, se anima la toma de riesgos y la inversión concentrada en mercados con expectativas de grandes crecimientos, esto es, en burbujas, distorsionando y finalmente destruyendo el crecimiento. En definitiva, mediante el uso de la deuda se adelanta tanta demanda traída del futuro que llega un momento en el que con un crecimiento extenuado las empresas y familias ya no pueden seguir endeudándose más, consumiendo más y a la vez amortizando sus plazos.</w:t>
      </w:r>
    </w:p>
    <w:p w:rsidR="002F07D4" w:rsidRPr="00A378B0"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De modo que los problemas se acumulan: al tiempo que la austeridad restringe la demanda, todos los países se lanzan a la vez a ganar cuota de mercado exportadora. La población occidental envejece y mengua el crecimiento. Las reformas que mejoran la productividad son lentas y tienen un coste político alto. Y la globalización y la tecnología están causando una redistribución de la riqueza en detrimento de la clase media de los países occidentales y a favor de las naciones más pobres, las multinacionales y las grandes fortunas. Por si fuera poco, las inyecciones monetarias de los bancos centrales también acaban reportando pingües beneficios sobre todo a los más ricos.</w:t>
      </w:r>
    </w:p>
    <w:p w:rsidR="002F07D4" w:rsidRDefault="002F07D4" w:rsidP="002F07D4">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Así las cosas, ¿y si ni siquiera una burbuja es capaz de contrarrestar los cambios estructurales que están ocurriendo?, ¿y si se han terminado los ciclos económicos y sólo podemos crear empleo a fuerza de burbujas financieras o estímulos masivos que siempre suelen acabar muy mal?, ¿cómo vamos a poder reanimar la inversión productiva si ahogados por la deuda no tenemos unas perspectivas de consumo que garanticen los retornos?</w:t>
      </w:r>
      <w:r>
        <w:rPr>
          <w:rFonts w:ascii="Times New Roman" w:hAnsi="Times New Roman" w:cs="Times New Roman"/>
          <w:sz w:val="24"/>
          <w:szCs w:val="24"/>
        </w:rPr>
        <w:t>...</w:t>
      </w:r>
    </w:p>
    <w:p w:rsidR="002F07D4" w:rsidRPr="00C073D3" w:rsidRDefault="002F07D4" w:rsidP="002F07D4">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8D4ABA">
        <w:rPr>
          <w:rFonts w:ascii="Times New Roman" w:hAnsi="Times New Roman"/>
          <w:sz w:val="24"/>
          <w:szCs w:val="24"/>
          <w:u w:val="single"/>
        </w:rPr>
        <w:t>Burbumanía</w:t>
      </w:r>
      <w:r>
        <w:rPr>
          <w:rFonts w:ascii="Times New Roman" w:hAnsi="Times New Roman"/>
          <w:sz w:val="24"/>
          <w:szCs w:val="24"/>
        </w:rPr>
        <w:t xml:space="preserve"> (El Confidencial - </w:t>
      </w:r>
      <w:r w:rsidRPr="008D4ABA">
        <w:rPr>
          <w:rFonts w:ascii="Times New Roman" w:hAnsi="Times New Roman"/>
          <w:b/>
          <w:sz w:val="24"/>
          <w:szCs w:val="24"/>
        </w:rPr>
        <w:t>9/12/13</w:t>
      </w:r>
      <w:r>
        <w:rPr>
          <w:rFonts w:ascii="Times New Roman" w:hAnsi="Times New Roman"/>
          <w:sz w:val="24"/>
          <w:szCs w:val="24"/>
        </w:rPr>
        <w:t>)</w:t>
      </w:r>
    </w:p>
    <w:p w:rsidR="002F07D4" w:rsidRPr="00BF0C60" w:rsidRDefault="002F07D4" w:rsidP="002F07D4">
      <w:pPr>
        <w:pStyle w:val="NormalWeb"/>
        <w:jc w:val="both"/>
        <w:rPr>
          <w:color w:val="FF0000"/>
          <w:u w:val="single"/>
        </w:rPr>
      </w:pPr>
      <w:r w:rsidRPr="00BF0C60">
        <w:rPr>
          <w:color w:val="FF0000"/>
          <w:u w:val="single"/>
        </w:rPr>
        <w:t>Vivimos en un mundo condicionado por una intervención monetaria sin precedentes en tamaño y forma: la Reserva Federal multiplicó por 4 su balance hasta los 4 billones de dólares, y el BCE por su parte lo multiplicó por 3 superando los 3 billones de euros en su punto álgido. Vivimos en un mundo que ha pasado por una crisis de gravedad similar a la del año 1929, e incluso peor si hacemos caso a los </w:t>
      </w:r>
      <w:hyperlink r:id="rId273" w:history="1">
        <w:r w:rsidRPr="00BF0C60">
          <w:rPr>
            <w:rStyle w:val="Hipervnculo"/>
            <w:rFonts w:eastAsiaTheme="majorEastAsia"/>
            <w:color w:val="FF0000"/>
          </w:rPr>
          <w:t>datos mencionados en el famoso discurso de Larry Summers</w:t>
        </w:r>
      </w:hyperlink>
      <w:r w:rsidRPr="00BF0C60">
        <w:rPr>
          <w:color w:val="FF0000"/>
          <w:u w:val="single"/>
        </w:rPr>
        <w:t>. No solo eso, vivimos en un mundo en donde se desconocen los límites y la verdadera estabilidad del sistema financiero creado tras Bretton Woods.</w:t>
      </w:r>
    </w:p>
    <w:p w:rsidR="002F07D4" w:rsidRPr="005F0D65" w:rsidRDefault="002F07D4" w:rsidP="002F07D4">
      <w:pPr>
        <w:pStyle w:val="NormalWeb"/>
        <w:jc w:val="both"/>
      </w:pPr>
      <w:r w:rsidRPr="005F0D65">
        <w:lastRenderedPageBreak/>
        <w:t xml:space="preserve">Tanto es así que dos de los Premios Nobel de Economía de este año, </w:t>
      </w:r>
      <w:r w:rsidRPr="005F0D65">
        <w:rPr>
          <w:rStyle w:val="Textoennegrita"/>
        </w:rPr>
        <w:t>Eugene Fama</w:t>
      </w:r>
      <w:r w:rsidRPr="005F0D65">
        <w:rPr>
          <w:b/>
        </w:rPr>
        <w:t xml:space="preserve"> y </w:t>
      </w:r>
      <w:r w:rsidRPr="005F0D65">
        <w:rPr>
          <w:rStyle w:val="Textoennegrita"/>
        </w:rPr>
        <w:t>Robert Shiller</w:t>
      </w:r>
      <w:r w:rsidRPr="005F0D65">
        <w:t xml:space="preserve">, a pesar de sus discrepancias intelectuales, parecen ponerse de acuerdo en una cosa: </w:t>
      </w:r>
      <w:r w:rsidRPr="005F0D65">
        <w:rPr>
          <w:rStyle w:val="Textoennegrita"/>
        </w:rPr>
        <w:t>existen motivos para preocuparse</w:t>
      </w:r>
      <w:r w:rsidRPr="005F0D65">
        <w:t xml:space="preserve">. El primero, defensor de la Hipótesis de los Mercados Eficientes y por tanto contrario al concepto de “burbuja”, cree que existe riesgo de que los mercados financieros digan “no” a la financiación de los déficits públicos, </w:t>
      </w:r>
      <w:hyperlink r:id="rId274" w:history="1">
        <w:r w:rsidRPr="005F0D65">
          <w:rPr>
            <w:rStyle w:val="Hipervnculo"/>
            <w:rFonts w:eastAsiaTheme="majorEastAsia"/>
            <w:color w:val="auto"/>
          </w:rPr>
          <w:t xml:space="preserve">lo que provocaría una </w:t>
        </w:r>
        <w:r w:rsidRPr="005F0D65">
          <w:rPr>
            <w:rStyle w:val="Textoennegrita"/>
            <w:u w:val="single"/>
          </w:rPr>
          <w:t xml:space="preserve">recesión global </w:t>
        </w:r>
        <w:r w:rsidRPr="005F0D65">
          <w:rPr>
            <w:rStyle w:val="Hipervnculo"/>
            <w:rFonts w:eastAsiaTheme="majorEastAsia"/>
            <w:color w:val="auto"/>
          </w:rPr>
          <w:t>en 2014</w:t>
        </w:r>
      </w:hyperlink>
      <w:r w:rsidRPr="005F0D65">
        <w:t xml:space="preserve">. El segundo, conocido defensor del concepto “burbuja”, dice estar </w:t>
      </w:r>
      <w:hyperlink r:id="rId275" w:history="1">
        <w:r w:rsidRPr="005F0D65">
          <w:rPr>
            <w:rStyle w:val="Hipervnculo"/>
            <w:rFonts w:eastAsiaTheme="majorEastAsia"/>
            <w:color w:val="auto"/>
          </w:rPr>
          <w:t>muy preocupado por el boom vivido por las acciones estadounidenses</w:t>
        </w:r>
      </w:hyperlink>
      <w:r w:rsidRPr="005F0D65">
        <w:t xml:space="preserve"> y por el Real Estate en algunos países.</w:t>
      </w:r>
    </w:p>
    <w:p w:rsidR="002F07D4" w:rsidRPr="00BF0C60" w:rsidRDefault="002F07D4" w:rsidP="002F07D4">
      <w:pPr>
        <w:pStyle w:val="NormalWeb"/>
        <w:jc w:val="both"/>
        <w:rPr>
          <w:color w:val="FF0000"/>
          <w:u w:val="single"/>
        </w:rPr>
      </w:pPr>
      <w:r w:rsidRPr="00BF0C60">
        <w:t xml:space="preserve">Es solo un ejemplo del </w:t>
      </w:r>
      <w:r w:rsidRPr="005F0D65">
        <w:rPr>
          <w:rStyle w:val="Textoennegrita"/>
          <w:color w:val="FF0000"/>
          <w:u w:val="single"/>
        </w:rPr>
        <w:t xml:space="preserve">fenómeno “burbumanía” </w:t>
      </w:r>
      <w:r w:rsidRPr="005F0D65">
        <w:rPr>
          <w:color w:val="FF0000"/>
          <w:u w:val="single"/>
        </w:rPr>
        <w:t>que estamos empezando a vivir.</w:t>
      </w:r>
      <w:r w:rsidRPr="00BF0C60">
        <w:t xml:space="preserve"> Podemos leer artículos sobre </w:t>
      </w:r>
      <w:r w:rsidRPr="005F0D65">
        <w:t xml:space="preserve">la </w:t>
      </w:r>
      <w:hyperlink r:id="rId276" w:anchor="q=%22bitcoin%20bubble%22" w:history="1">
        <w:r w:rsidRPr="005F0D65">
          <w:rPr>
            <w:rStyle w:val="Hipervnculo"/>
            <w:rFonts w:eastAsiaTheme="majorEastAsia"/>
            <w:color w:val="auto"/>
          </w:rPr>
          <w:t>burbuja del bitcoin</w:t>
        </w:r>
      </w:hyperlink>
      <w:r w:rsidRPr="005F0D65">
        <w:t xml:space="preserve">, sobre la burbuja inmobiliaria de diversos países, sobre las malas perspectivas de algunas economías, </w:t>
      </w:r>
      <w:hyperlink r:id="rId277" w:anchor="q=%22stock%20bubble%22" w:history="1">
        <w:r w:rsidRPr="005F0D65">
          <w:rPr>
            <w:rStyle w:val="Hipervnculo"/>
            <w:rFonts w:eastAsiaTheme="majorEastAsia"/>
            <w:color w:val="auto"/>
          </w:rPr>
          <w:t>sobre las acciones</w:t>
        </w:r>
      </w:hyperlink>
      <w:r w:rsidRPr="005F0D65">
        <w:t xml:space="preserve">, bonos, o </w:t>
      </w:r>
      <w:hyperlink r:id="rId278" w:history="1">
        <w:r w:rsidRPr="005F0D65">
          <w:rPr>
            <w:rStyle w:val="Hipervnculo"/>
            <w:rFonts w:eastAsiaTheme="majorEastAsia"/>
            <w:color w:val="auto"/>
          </w:rPr>
          <w:t>sobre prácticamente cualquier cosa</w:t>
        </w:r>
      </w:hyperlink>
      <w:r w:rsidRPr="005F0D65">
        <w:t xml:space="preserve">. Y no lo digo como algo despectivo sino todo lo contrario, pues hoy más que nunca </w:t>
      </w:r>
      <w:r w:rsidRPr="00BF0C60">
        <w:t xml:space="preserve">existen fragilidades en el sistema que justifican dicho análisis. </w:t>
      </w:r>
      <w:r w:rsidRPr="00BF0C60">
        <w:rPr>
          <w:rStyle w:val="Textoennegrita"/>
          <w:color w:val="FF0000"/>
          <w:u w:val="single"/>
        </w:rPr>
        <w:t xml:space="preserve">La pregunta crucial es si esta “burbumanía” es algo “real” y estallará de un momento a otro, o si por la contra es un fenómeno psicológico </w:t>
      </w:r>
      <w:r w:rsidRPr="00BF0C60">
        <w:rPr>
          <w:color w:val="FF0000"/>
          <w:u w:val="single"/>
        </w:rPr>
        <w:t>derivado del shock de la Gran Recesión.</w:t>
      </w:r>
    </w:p>
    <w:p w:rsidR="002F07D4" w:rsidRPr="005C3C94" w:rsidRDefault="002F07D4" w:rsidP="002F07D4">
      <w:pPr>
        <w:pStyle w:val="NormalWeb"/>
        <w:jc w:val="both"/>
        <w:rPr>
          <w:color w:val="FF0000"/>
          <w:u w:val="single"/>
        </w:rPr>
      </w:pPr>
      <w:r>
        <w:t xml:space="preserve">Al igual que fenómenos extremos como un accidente o una gran pérdida pueden causarnos un efecto postraumático, la presente crisis puede condicionar nuestros pensamientos y nuestra forma de actuar. </w:t>
      </w:r>
      <w:r w:rsidRPr="005C3C94">
        <w:rPr>
          <w:color w:val="FF0000"/>
          <w:u w:val="single"/>
        </w:rPr>
        <w:t xml:space="preserve">Tras el shock de la Gran Recesión una persona común será más reacia a endeudarse y valorará más el ahorro, se verá menos tentada por la inversión, y en general será más prudente y tendrá una </w:t>
      </w:r>
      <w:r w:rsidRPr="00BF0C60">
        <w:rPr>
          <w:rStyle w:val="Textoennegrita"/>
          <w:color w:val="FF0000"/>
          <w:u w:val="single"/>
        </w:rPr>
        <w:t>mayor aversión al riesgo</w:t>
      </w:r>
      <w:r w:rsidRPr="005C3C94">
        <w:rPr>
          <w:color w:val="FF0000"/>
          <w:u w:val="single"/>
        </w:rPr>
        <w:t>. Es normal que desconfiemos de las subidas bursátiles y que valoremos escenarios que antes pasábamos por alto, si bien es muy posible que los riesgos que vemos ya estuviesen antes ahí e incluso puede que fuesen mayores. Antes no los veíamos, ahora sí.</w:t>
      </w:r>
    </w:p>
    <w:p w:rsidR="002F07D4" w:rsidRPr="005C3C94" w:rsidRDefault="002F07D4" w:rsidP="002F07D4">
      <w:pPr>
        <w:pStyle w:val="NormalWeb"/>
        <w:jc w:val="both"/>
        <w:rPr>
          <w:u w:val="single"/>
        </w:rPr>
      </w:pPr>
      <w:r>
        <w:t xml:space="preserve">Así es como un PER 17 en el S&amp;P500 hoy nos parece “burbujeante” cuando antes nos parecía “en la media”, como nos preguntamos si una prima de riesgo de 200 puntos es adecuada para España cuando antes éramos casi una segunda Alemania, o que nuestra reacción al ver una gráfica con una subida demasiado pronunciada sea, ¡cuánto más alto más grande será la caída! </w:t>
      </w:r>
      <w:r w:rsidRPr="005C3C94">
        <w:rPr>
          <w:u w:val="single"/>
        </w:rPr>
        <w:t>No hablo de pronósticos correctos o incorrectos sino de que necesitamos encontrar un término medio entre la excesiva asunción de riesgo anterior y la mentalidad condicionada actual. ¿Y eso por qué?</w:t>
      </w:r>
    </w:p>
    <w:p w:rsidR="002F07D4" w:rsidRDefault="002F07D4" w:rsidP="002F07D4">
      <w:pPr>
        <w:pStyle w:val="NormalWeb"/>
        <w:jc w:val="both"/>
      </w:pPr>
      <w:r w:rsidRPr="005C7168">
        <w:rPr>
          <w:color w:val="FF0000"/>
          <w:u w:val="single"/>
        </w:rPr>
        <w:t xml:space="preserve">Pues simplemente porque </w:t>
      </w:r>
      <w:r w:rsidRPr="00BF0C60">
        <w:rPr>
          <w:rStyle w:val="Textoennegrita"/>
          <w:color w:val="FF0000"/>
          <w:u w:val="single"/>
        </w:rPr>
        <w:t>la economía necesita asunción de riesgo para avanzar</w:t>
      </w:r>
      <w:r w:rsidRPr="005C7168">
        <w:rPr>
          <w:color w:val="FF0000"/>
          <w:u w:val="single"/>
        </w:rPr>
        <w:t>. ¿Cómo? ¿Qué? Pues sí, algo tan sencillo como eso. Solemos pensar en la asunción de riesgo como algo negativo y ligado a la “especulación”, pero la asunción de riesgo es mucho más que eso</w:t>
      </w:r>
      <w:r>
        <w:t>. Asunción de riesgo es ese comerciante que se aprovisiona de mercaderías con la esperanza de vendérselas a sus clientes, es ese empresario que contrata a trabajadores ante un eventual aumento de la producción, alguien que decide ampliar sus instalaciones, ese emprendedor que monta su propia compañía, o… ¡todo lo que nos rodea!</w:t>
      </w:r>
    </w:p>
    <w:p w:rsidR="002F07D4" w:rsidRPr="00A270EB" w:rsidRDefault="002F07D4" w:rsidP="002F07D4">
      <w:pPr>
        <w:pStyle w:val="NormalWeb"/>
        <w:jc w:val="both"/>
        <w:rPr>
          <w:b/>
          <w:u w:val="single"/>
        </w:rPr>
      </w:pPr>
      <w:r>
        <w:t xml:space="preserve">Y es que si ahora mismo tenemos una pantalla y un ordenador en el que leer este artículo es porque alguien asumió el riesgo de llevar a cabo un negocio, si ahora vamos vestidos de una determinada manera es porque pudimos comprarlo en una tienda cuya apertura fue fruto de la asunción de riesgo. Es más, si tenemos trabajo será por lo mismo, e incluso si cobramos el paro será porque existen miles de trabajadores pagando </w:t>
      </w:r>
      <w:r>
        <w:lastRenderedPageBreak/>
        <w:t xml:space="preserve">su parte fruto de la asunción de riesgo de alguien. </w:t>
      </w:r>
      <w:r w:rsidRPr="00A270EB">
        <w:rPr>
          <w:rStyle w:val="Textoennegrita"/>
          <w:u w:val="single"/>
        </w:rPr>
        <w:t>Si las personas no nos arriesgásemos de vez en cuando seguiríamos viviendo en las cavernas, ¡para qué intentar algo nuevo!</w:t>
      </w:r>
    </w:p>
    <w:p w:rsidR="002F07D4" w:rsidRPr="00A270EB" w:rsidRDefault="002F07D4" w:rsidP="002F07D4">
      <w:pPr>
        <w:pStyle w:val="NormalWeb"/>
        <w:jc w:val="both"/>
        <w:rPr>
          <w:b/>
          <w:color w:val="FF0000"/>
          <w:u w:val="single"/>
        </w:rPr>
      </w:pPr>
      <w:r>
        <w:t xml:space="preserve">Dicho esto volvamos al momento actual. Hemos pasado de la locura al miedo colectivo, y también de una política monetaria “convencional” (que igualmente puede ser demasiado laxa) a una “heterodoxa”. En un primer momento las políticas aplicadas se entienden para evitar un colapso similar al del año 1929, pero Bernanke va más allá, ¿por qué? Todo parece indicar que los bancos centrales se han agenciado un nuevo rol, más allá del tradicional control de la inflación y otros objetivos como el desempleo. </w:t>
      </w:r>
      <w:r w:rsidRPr="00A270EB">
        <w:rPr>
          <w:rStyle w:val="Textoennegrita"/>
          <w:color w:val="FF0000"/>
          <w:u w:val="single"/>
        </w:rPr>
        <w:t>Los bancos centrales han pasado de fijar los tipos de interés a fijar nuestras expectativas, ya no se trata del precio del dinero y tampoco se limita al “forward guidance”, se trata de modificar nuestra asunción de riesgo</w:t>
      </w:r>
      <w:r w:rsidRPr="00A270EB">
        <w:rPr>
          <w:b/>
          <w:color w:val="FF0000"/>
          <w:u w:val="single"/>
        </w:rPr>
        <w:t>.</w:t>
      </w:r>
    </w:p>
    <w:p w:rsidR="002F07D4" w:rsidRPr="005C7168" w:rsidRDefault="002F07D4" w:rsidP="002F07D4">
      <w:pPr>
        <w:pStyle w:val="NormalWeb"/>
        <w:jc w:val="both"/>
        <w:rPr>
          <w:u w:val="single"/>
        </w:rPr>
      </w:pPr>
      <w:r>
        <w:t xml:space="preserve"> Podemos pensar que eso es también lo que hacían antes, al fin y al cabo rebajando o aumentando el tipo de interés al que la economía puede endeudarse se provoca un cambio en el comportamiento, si bien existe un cambio sustancial. </w:t>
      </w:r>
      <w:r w:rsidRPr="00A270EB">
        <w:rPr>
          <w:rStyle w:val="Textoennegrita"/>
          <w:u w:val="single"/>
        </w:rPr>
        <w:t>Si antes se limitaban a lo financiero, ahora van más allá y quieren llegar hasta la psicología colectiva.</w:t>
      </w:r>
      <w:r w:rsidRPr="005C7168">
        <w:rPr>
          <w:u w:val="single"/>
        </w:rPr>
        <w:t xml:space="preserve">Ya no nos tientan a endeudarnos; nos proyectan el futuro, nos animan cuando estamos tristes y </w:t>
      </w:r>
      <w:hyperlink r:id="rId279" w:history="1">
        <w:r w:rsidRPr="005F0D65">
          <w:rPr>
            <w:rStyle w:val="Hipervnculo"/>
            <w:rFonts w:eastAsiaTheme="majorEastAsia"/>
            <w:color w:val="auto"/>
          </w:rPr>
          <w:t>nos desincentivan cuando creen que estamos eufóricos</w:t>
        </w:r>
      </w:hyperlink>
      <w:r w:rsidRPr="005F0D65">
        <w:rPr>
          <w:u w:val="single"/>
        </w:rPr>
        <w:t xml:space="preserve"> sin mover </w:t>
      </w:r>
      <w:r w:rsidRPr="005C7168">
        <w:rPr>
          <w:u w:val="single"/>
        </w:rPr>
        <w:t>ningún tipo de interés, solo con la palabra, solo con sus acciones y credibilidad. Es el juego con el kit más completo nunca visto.</w:t>
      </w:r>
    </w:p>
    <w:p w:rsidR="002F07D4" w:rsidRDefault="002F07D4" w:rsidP="002F07D4">
      <w:pPr>
        <w:pStyle w:val="NormalWeb"/>
        <w:jc w:val="both"/>
      </w:pPr>
      <w:r>
        <w:t xml:space="preserve">Lo recuerdo como si fuese ayer. Cuando era pequeño tenía una </w:t>
      </w:r>
      <w:r>
        <w:rPr>
          <w:rStyle w:val="nfasis"/>
          <w:rFonts w:eastAsiaTheme="majorEastAsia"/>
        </w:rPr>
        <w:t>bicicleta con rondines</w:t>
      </w:r>
      <w:r>
        <w:t>, de esos que se ponen a ambos lados de la rueda trasera para que no existan problemas de estabilidad. Un día mi padre decidió que era momento de dar el paso y pedalear como un chico mayor, aguantando el equilibrio. Estaba asustado, pero acepté porque dijo que él me agarraría, y así fue... hasta que me soltó.  Comencé a pedalear y casi sin darme cuenta ya iba circulando como los chicos mayores, ¡aguantando el equilibrio! En este caso el empujón a la asunción de riesgo exógena sí funcionó.</w:t>
      </w:r>
    </w:p>
    <w:p w:rsidR="002F07D4" w:rsidRPr="005F0D65" w:rsidRDefault="002F07D4" w:rsidP="002F07D4">
      <w:pPr>
        <w:pStyle w:val="NormalWeb"/>
        <w:jc w:val="both"/>
        <w:rPr>
          <w:color w:val="FF0000"/>
        </w:rPr>
      </w:pPr>
      <w:r>
        <w:t xml:space="preserve">Con esto no quiero decir que los banqueros centrales sean tan sabios como mi padre, algo que me costaría creer, pero sí es lo que pretenden. </w:t>
      </w:r>
      <w:r w:rsidRPr="005C7168">
        <w:rPr>
          <w:u w:val="single"/>
        </w:rPr>
        <w:t xml:space="preserve">Nos están empujando a asumir los riesgos que ellos creen convenientes y normales para que la economía siga girando y avanzando, algo que es necesario pero en su justa medida. </w:t>
      </w:r>
      <w:r w:rsidRPr="00A270EB">
        <w:rPr>
          <w:rStyle w:val="Textoennegrita"/>
          <w:u w:val="single"/>
        </w:rPr>
        <w:t>Es lógico que si nos empujan a ir más allá de lo que nuestra prudencia sugiere veamos burbujas aquí y allá</w:t>
      </w:r>
      <w:r w:rsidRPr="005C7168">
        <w:rPr>
          <w:u w:val="single"/>
        </w:rPr>
        <w:t xml:space="preserve">, a pesar de que las burbujas suelen explotar cuando no se habla demasiado de ellas. </w:t>
      </w:r>
      <w:r w:rsidRPr="005F0D65">
        <w:rPr>
          <w:color w:val="FF0000"/>
          <w:u w:val="single"/>
        </w:rPr>
        <w:t xml:space="preserve">Por tanto en mi opinión </w:t>
      </w:r>
      <w:r w:rsidRPr="005F0D65">
        <w:rPr>
          <w:rStyle w:val="Textoennegrita"/>
          <w:color w:val="FF0000"/>
          <w:u w:val="single"/>
        </w:rPr>
        <w:t>la “burbumanía” es algo humana y psicológicamente esperable</w:t>
      </w:r>
      <w:r w:rsidRPr="005F0D65">
        <w:rPr>
          <w:color w:val="FF0000"/>
          <w:u w:val="single"/>
        </w:rPr>
        <w:t xml:space="preserve"> teniendo en cuenta los antecedentes descritos, si bien eso no quiere decir que el ciudadano prudente y adverso al riesgo tenga menos razón que el banquero central que lo empuja. Eso solo el tiempo lo dirá</w:t>
      </w:r>
      <w:r w:rsidRPr="005F0D65">
        <w:rPr>
          <w:color w:val="FF0000"/>
        </w:rPr>
        <w:t>…</w:t>
      </w:r>
    </w:p>
    <w:p w:rsidR="002F07D4" w:rsidRDefault="002F07D4" w:rsidP="002F07D4">
      <w:pPr>
        <w:pStyle w:val="NormalWeb"/>
        <w:shd w:val="clear" w:color="auto" w:fill="FFFFFF"/>
        <w:jc w:val="both"/>
        <w:rPr>
          <w:b/>
        </w:rPr>
      </w:pPr>
      <w:r w:rsidRPr="004D587D">
        <w:rPr>
          <w:b/>
          <w:iCs/>
        </w:rPr>
        <w:t xml:space="preserve">Welcome to reality!: </w:t>
      </w:r>
      <w:r w:rsidRPr="004D587D">
        <w:rPr>
          <w:b/>
        </w:rPr>
        <w:t>desde la tierra de la fantasía… antes Disneyland y ahora Appleland</w:t>
      </w:r>
    </w:p>
    <w:p w:rsidR="002F07D4" w:rsidRPr="000D1F17" w:rsidRDefault="002F07D4" w:rsidP="002F07D4">
      <w:pPr>
        <w:pStyle w:val="NormalWeb"/>
        <w:shd w:val="clear" w:color="auto" w:fill="FFFFFF"/>
        <w:jc w:val="both"/>
        <w:rPr>
          <w:b/>
        </w:rPr>
      </w:pPr>
      <w:r w:rsidRPr="004D587D">
        <w:rPr>
          <w:b/>
        </w:rPr>
        <w:t>Cuando faltan apenas dos pasitos para que los “países avanzados” (ahora, “en vías de subdesarrollo”) se precipiten definitivamente por el abismo del “</w:t>
      </w:r>
      <w:r w:rsidRPr="004D587D">
        <w:rPr>
          <w:b/>
          <w:iCs/>
        </w:rPr>
        <w:t xml:space="preserve">estancamiento secular”, </w:t>
      </w:r>
      <w:r w:rsidRPr="004D587D">
        <w:rPr>
          <w:b/>
        </w:rPr>
        <w:t xml:space="preserve">todo se fía, de nuevo, a la política monetaria. Se piensa que el “gas de la risa monetario” (como dice Daniel Lacalle) va a compensar las zancadillas </w:t>
      </w:r>
      <w:r w:rsidRPr="004D587D">
        <w:rPr>
          <w:b/>
        </w:rPr>
        <w:lastRenderedPageBreak/>
        <w:t>constantes al consumo y al empleo. Y luego, no pasa. Ni se alcanzan las cifras mágicas que alucinan los “cerebros prematuros” ni se promueve el crecimiento.</w:t>
      </w:r>
    </w:p>
    <w:p w:rsidR="002F07D4" w:rsidRPr="004D587D" w:rsidRDefault="002F07D4" w:rsidP="002F07D4">
      <w:pPr>
        <w:pStyle w:val="NormalWeb"/>
        <w:shd w:val="clear" w:color="auto" w:fill="FFFFFF"/>
        <w:jc w:val="both"/>
        <w:rPr>
          <w:b/>
        </w:rPr>
      </w:pPr>
      <w:r w:rsidRPr="004D587D">
        <w:rPr>
          <w:b/>
        </w:rPr>
        <w:t xml:space="preserve">¿Avanzar retrocediendo? No nos hagamos ilusiones: </w:t>
      </w:r>
      <w:r w:rsidRPr="004D587D">
        <w:rPr>
          <w:b/>
          <w:bCs/>
        </w:rPr>
        <w:t>financierización y lógica, especulación y sentido común, son términos antitéticos</w:t>
      </w:r>
      <w:r w:rsidRPr="004D587D">
        <w:rPr>
          <w:b/>
        </w:rPr>
        <w:t>. Entre tanta inmoralidad y sin razón, esperar que el crecimiento y el bienestar alcancen a un alto porcentaje de la población de Europa o EEUU, es un puro pensamiento ilusorio (</w:t>
      </w:r>
      <w:r w:rsidRPr="004D587D">
        <w:rPr>
          <w:rFonts w:eastAsiaTheme="minorHAnsi"/>
          <w:b/>
          <w:bCs/>
          <w:lang w:eastAsia="en-US"/>
        </w:rPr>
        <w:t>wishful thinking).</w:t>
      </w:r>
    </w:p>
    <w:p w:rsidR="002F07D4" w:rsidRPr="004D587D" w:rsidRDefault="002F07D4" w:rsidP="002F07D4">
      <w:pPr>
        <w:pStyle w:val="NormalWeb"/>
        <w:shd w:val="clear" w:color="auto" w:fill="FFFFFF"/>
        <w:jc w:val="both"/>
        <w:rPr>
          <w:b/>
        </w:rPr>
      </w:pPr>
      <w:r w:rsidRPr="004D587D">
        <w:rPr>
          <w:b/>
        </w:rPr>
        <w:t>No hace falta ser adivino: dentro de cuatro o cinco años, volveremos a lo mismo. Pero como sube la bolsa, no pasa nada.</w:t>
      </w:r>
    </w:p>
    <w:p w:rsidR="002D22ED" w:rsidRDefault="002F07D4" w:rsidP="002F07D4">
      <w:pPr>
        <w:pStyle w:val="NormalWeb"/>
        <w:shd w:val="clear" w:color="auto" w:fill="FFFFFF"/>
        <w:jc w:val="both"/>
        <w:rPr>
          <w:b/>
        </w:rPr>
      </w:pPr>
      <w:r w:rsidRPr="004D587D">
        <w:rPr>
          <w:b/>
          <w:i/>
        </w:rPr>
        <w:t>“Otra victoria como ésta y seremos destruidos”.</w:t>
      </w:r>
      <w:r w:rsidRPr="004D587D">
        <w:rPr>
          <w:b/>
        </w:rPr>
        <w:t xml:space="preserve"> (Pirro, el rey de Epiro)</w:t>
      </w:r>
    </w:p>
    <w:p w:rsidR="002F07D4" w:rsidRPr="004D587D" w:rsidRDefault="002F07D4" w:rsidP="002F07D4">
      <w:pPr>
        <w:pStyle w:val="NormalWeb"/>
        <w:shd w:val="clear" w:color="auto" w:fill="FFFFFF"/>
        <w:jc w:val="both"/>
        <w:rPr>
          <w:b/>
        </w:rPr>
      </w:pPr>
      <w:r>
        <w:rPr>
          <w:color w:val="000000"/>
        </w:rPr>
        <w:t>“</w:t>
      </w:r>
      <w:r>
        <w:rPr>
          <w:b/>
          <w:color w:val="000000"/>
        </w:rPr>
        <w:t>Y mira que se</w:t>
      </w:r>
      <w:r w:rsidRPr="002712DB">
        <w:rPr>
          <w:b/>
          <w:color w:val="000000"/>
        </w:rPr>
        <w:t xml:space="preserve"> lo dijimos</w:t>
      </w:r>
      <w:r>
        <w:rPr>
          <w:b/>
          <w:color w:val="000000"/>
        </w:rPr>
        <w:t>”…</w:t>
      </w:r>
      <w:r w:rsidRPr="002712DB">
        <w:rPr>
          <w:b/>
          <w:color w:val="000000"/>
        </w:rPr>
        <w:t xml:space="preserve"> (antes, durante y después</w:t>
      </w:r>
      <w:r>
        <w:rPr>
          <w:b/>
          <w:color w:val="000000"/>
        </w:rPr>
        <w:t>,</w:t>
      </w:r>
      <w:r w:rsidRPr="002712DB">
        <w:rPr>
          <w:b/>
          <w:color w:val="000000"/>
        </w:rPr>
        <w:t xml:space="preserve"> de</w:t>
      </w:r>
      <w:r>
        <w:rPr>
          <w:b/>
          <w:color w:val="000000"/>
        </w:rPr>
        <w:t>l “lamento” de</w:t>
      </w:r>
      <w:r w:rsidRPr="002712DB">
        <w:rPr>
          <w:b/>
          <w:color w:val="000000"/>
        </w:rPr>
        <w:t xml:space="preserve"> Larry)</w:t>
      </w:r>
    </w:p>
    <w:p w:rsidR="002F07D4" w:rsidRPr="00163CA7" w:rsidRDefault="002F07D4" w:rsidP="002F07D4">
      <w:pPr>
        <w:pStyle w:val="NormalWeb"/>
        <w:jc w:val="both"/>
        <w:rPr>
          <w:b/>
        </w:rPr>
      </w:pPr>
      <w:r>
        <w:t xml:space="preserve">Del Paper - </w:t>
      </w:r>
      <w:r w:rsidRPr="00163CA7">
        <w:rPr>
          <w:b/>
        </w:rPr>
        <w:t xml:space="preserve">El dilema del 2012: Recortes o crecimiento (¿y por qué no, las dos cosas?)  Parte I  </w:t>
      </w:r>
    </w:p>
    <w:p w:rsidR="002F07D4" w:rsidRDefault="002F07D4" w:rsidP="002F07D4">
      <w:pPr>
        <w:pStyle w:val="NormalWeb"/>
        <w:jc w:val="both"/>
        <w:rPr>
          <w:b/>
        </w:rPr>
      </w:pPr>
      <w:r w:rsidRPr="00163CA7">
        <w:rPr>
          <w:b/>
        </w:rPr>
        <w:t>Promulgar nuevas medidas para impulsar el crecimiento o centrarse en reducir el déficit público (¿cómo se ‘pagan’ mejor la ‘deuda’ soberana y… la ‘deuda’ social?)</w:t>
      </w:r>
      <w:r w:rsidRPr="00163CA7">
        <w:t>(15/5/2012)</w:t>
      </w:r>
    </w:p>
    <w:p w:rsidR="002F07D4" w:rsidRPr="004B2C53" w:rsidRDefault="002F07D4" w:rsidP="002F07D4">
      <w:pPr>
        <w:pStyle w:val="NormalWeb"/>
        <w:jc w:val="both"/>
        <w:rPr>
          <w:b/>
        </w:rPr>
      </w:pPr>
      <w:r w:rsidRPr="004B2C53">
        <w:rPr>
          <w:b/>
        </w:rPr>
        <w:t>Sin crecimiento no hay paraíso</w:t>
      </w:r>
    </w:p>
    <w:p w:rsidR="002F07D4" w:rsidRDefault="002F07D4" w:rsidP="002F07D4">
      <w:pPr>
        <w:spacing w:line="240" w:lineRule="auto"/>
        <w:jc w:val="both"/>
        <w:rPr>
          <w:rFonts w:ascii="Times New Roman" w:hAnsi="Times New Roman"/>
          <w:sz w:val="24"/>
          <w:szCs w:val="24"/>
          <w:u w:val="single"/>
        </w:rPr>
      </w:pPr>
      <w:r w:rsidRPr="003A6B88">
        <w:rPr>
          <w:rFonts w:ascii="Times New Roman" w:hAnsi="Times New Roman"/>
          <w:sz w:val="24"/>
          <w:szCs w:val="24"/>
          <w:u w:val="single"/>
        </w:rPr>
        <w:t>Declarac</w:t>
      </w:r>
      <w:r>
        <w:rPr>
          <w:rFonts w:ascii="Times New Roman" w:hAnsi="Times New Roman"/>
          <w:sz w:val="24"/>
          <w:szCs w:val="24"/>
          <w:u w:val="single"/>
        </w:rPr>
        <w:t xml:space="preserve">ión de intenciones (para que </w:t>
      </w:r>
      <w:r w:rsidRPr="003A6B88">
        <w:rPr>
          <w:rFonts w:ascii="Times New Roman" w:hAnsi="Times New Roman"/>
          <w:sz w:val="24"/>
          <w:szCs w:val="24"/>
          <w:u w:val="single"/>
        </w:rPr>
        <w:t>lectore</w:t>
      </w:r>
      <w:r>
        <w:rPr>
          <w:rFonts w:ascii="Times New Roman" w:hAnsi="Times New Roman"/>
          <w:sz w:val="24"/>
          <w:szCs w:val="24"/>
          <w:u w:val="single"/>
        </w:rPr>
        <w:t>s ‘</w:t>
      </w:r>
      <w:r w:rsidRPr="003A6B88">
        <w:rPr>
          <w:rFonts w:ascii="Times New Roman" w:hAnsi="Times New Roman"/>
          <w:sz w:val="24"/>
          <w:szCs w:val="24"/>
          <w:u w:val="single"/>
        </w:rPr>
        <w:t>polí</w:t>
      </w:r>
      <w:r>
        <w:rPr>
          <w:rFonts w:ascii="Times New Roman" w:hAnsi="Times New Roman"/>
          <w:sz w:val="24"/>
          <w:szCs w:val="24"/>
          <w:u w:val="single"/>
        </w:rPr>
        <w:t>ticamente correctos’ dejen a tiempo</w:t>
      </w:r>
      <w:r w:rsidRPr="003A6B88">
        <w:rPr>
          <w:rFonts w:ascii="Times New Roman" w:hAnsi="Times New Roman"/>
          <w:sz w:val="24"/>
          <w:szCs w:val="24"/>
          <w:u w:val="single"/>
        </w:rPr>
        <w:t>)</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Dado que el Primer Mundo se fue al “tercero”, tal vez sea la hora de aplicar las propuestas de desarrollo que en su tiempo se hacían a los países del Tercer Mundo, para sacarlos de su situación de subdesarrollo. O sea, hay que tratar a los países (ex) avanzados como países tercermundistas. ¿Resulta doloroso? Pero es la triste realidad.</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Unos países desarrollados (en vías de subdesarrollo), en manos (cautivos) de los mercaderes (con sus oídos sordos), de los banqueros (con sus valores tóxicos construidos con “bonus” millonarios) y de unos gobiernos demócratas (o tecnócratas), pero tibios (con su vileza y complicidad).</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De las economías de la falsa prosperidad, hemos pasado al despilfarro… de allí a la explosión de la burbuja y el tsunami financiero, que 4 años después sigue replicando por los países más diversos, las costas más lejanas y los deudores más sobrecogidos.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A unos les contagio la deuda (UE), a otros el crecimiento (BRICs) y a muchos la incertidumbre (EEUU + UE + BRICs).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Los causantes de la crisis (banqueros codiciosos, órganos de control cómplices y gobiernos prevaricadores y corruptos), que antes privatizaron las ganancias, luego socializaron las pérdidas, y ahora proclaman (aplican) la austeridad forzada. </w:t>
      </w:r>
    </w:p>
    <w:p w:rsidR="002F07D4" w:rsidRDefault="002F07D4" w:rsidP="002F07D4">
      <w:pPr>
        <w:spacing w:line="240" w:lineRule="auto"/>
        <w:jc w:val="both"/>
        <w:rPr>
          <w:rFonts w:ascii="Times New Roman" w:hAnsi="Times New Roman"/>
          <w:sz w:val="24"/>
          <w:szCs w:val="24"/>
        </w:rPr>
      </w:pPr>
      <w:r w:rsidRPr="006E49A7">
        <w:rPr>
          <w:rFonts w:ascii="Times New Roman" w:hAnsi="Times New Roman"/>
          <w:sz w:val="24"/>
          <w:szCs w:val="24"/>
        </w:rPr>
        <w:t>Las medidas de austeridad emprendidas en Europa como principal, y casi único, caballo de batalla para superar la crisis podrían hacer caer la demanda interna en la eurozona y difi</w:t>
      </w:r>
      <w:r>
        <w:rPr>
          <w:rFonts w:ascii="Times New Roman" w:hAnsi="Times New Roman"/>
          <w:sz w:val="24"/>
          <w:szCs w:val="24"/>
        </w:rPr>
        <w:t>cultar el crecimiento económico. Esto conduce a la Unión Europea</w:t>
      </w:r>
      <w:r w:rsidRPr="00646B11">
        <w:rPr>
          <w:rFonts w:ascii="Times New Roman" w:hAnsi="Times New Roman"/>
          <w:sz w:val="24"/>
          <w:szCs w:val="24"/>
        </w:rPr>
        <w:t xml:space="preserve"> por una carretera sin rumbo, cuesta abajo y a toda velocidad.</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lastRenderedPageBreak/>
        <w:t>Imponen el fin del estado del bienestar, la socialización de la miseria, mientras facilitan las políticas beneficiosas para los acreedores que terminan paralizando la economía real.</w:t>
      </w:r>
    </w:p>
    <w:p w:rsidR="002F07D4" w:rsidRPr="00B7749E" w:rsidRDefault="002F07D4" w:rsidP="002F07D4">
      <w:pPr>
        <w:pStyle w:val="NormalWeb"/>
        <w:jc w:val="both"/>
      </w:pPr>
      <w:r w:rsidRPr="00B7749E">
        <w:t>El año 2011 será recordado como la época en que muchos estadounidenses que siempre habían sido optimistas comenzaron a renunciar a la esperanza. El presidente John F. Kennedy dijo una vez que la marea alta eleva todos los botes. Pero ahora, con la marea</w:t>
      </w:r>
      <w:r>
        <w:t xml:space="preserve"> baja, los estadounidenses no só</w:t>
      </w:r>
      <w:r w:rsidRPr="00B7749E">
        <w:t>lo comienzan a ver que quienes tienen mástiles más altos han sido elevados mucho más, sino que muchos de los botes más pequeños han sido destrozados por el agua.</w:t>
      </w:r>
    </w:p>
    <w:p w:rsidR="002F07D4" w:rsidRDefault="002F07D4" w:rsidP="002F07D4">
      <w:pPr>
        <w:pStyle w:val="NormalWeb"/>
        <w:jc w:val="both"/>
      </w:pPr>
      <w:r>
        <w:t>En ese breve momento en que la marea creciente estaba, efectivamente, subiendo, millones de personas creyeron que tenían buenas probabilidades de cumplir su “sueño americano”. Ahora también esos sueños están retirándose. En 2011, los ahorros de quienes habían perdido sus empleos en 2008 o 2009 ya se habían gastado. El seguro de desempleo se había terminado. Los titulares que anunciaban nuevas contrataciones -aún insuficientes para incorporar a quienes habitualmente se suman a la fuerza laboral- significaban poco para cincuentones con pocas ilusiones de volver a tener un empleo.</w:t>
      </w:r>
    </w:p>
    <w:p w:rsidR="002F07D4" w:rsidRDefault="002F07D4" w:rsidP="002F07D4">
      <w:pPr>
        <w:pStyle w:val="NormalWeb"/>
        <w:jc w:val="both"/>
      </w:pPr>
      <w:r>
        <w:t>De hecho, las personas de mediana edad que pensaron que estarían desempleadas por unos pocos meses, se han dado cuenta a esta altura de que, en realidad, fueron jubiladas a la fuerza. Los jóvenes graduados universitarios con decenas de miles de dólares de deuda en créditos educativos no podían encontrar ningún empleo. La gente se mudó a las casas de sus amigos y parientes, descubriendo -con alarma- que se han convertido -contra su voluntad- en parte de la población “sin techo”. Las casas compradas durante la burbuja inmobiliaria aún están en el mercado, o han sido vendidas con pérdidas. Más de 7 millones de familias estadounidenses han perdido sus hogares.</w:t>
      </w:r>
    </w:p>
    <w:p w:rsidR="002F07D4" w:rsidRDefault="002F07D4" w:rsidP="002F07D4">
      <w:pPr>
        <w:pStyle w:val="NormalWeb"/>
        <w:jc w:val="both"/>
      </w:pPr>
      <w:r w:rsidRPr="00381405">
        <w:t>“Por primera vez en numerosas generaciones, muchas familias no creen que sus hijos vayan a disfrutar de un nivel de vida superior a</w:t>
      </w:r>
      <w:r>
        <w:t xml:space="preserve">l que tuvieron ellos. </w:t>
      </w:r>
      <w:r w:rsidRPr="00381405">
        <w:t xml:space="preserve">Esa nueva sensación de malestar es especialmente aguda en los países industrializados, que históricamente han sido fuente de </w:t>
      </w:r>
      <w:r>
        <w:t>gran confianza e ideas audaces”.</w:t>
      </w:r>
      <w:r w:rsidRPr="00381405">
        <w:t>..</w:t>
      </w:r>
      <w:r>
        <w:t xml:space="preserve"> (</w:t>
      </w:r>
      <w:r w:rsidRPr="00381405">
        <w:t>Lee Howell,</w:t>
      </w:r>
      <w:r>
        <w:t xml:space="preserve"> informe “Riesgos globales” Foro de Davos 2012 - </w:t>
      </w:r>
      <w:r w:rsidRPr="00586616">
        <w:t>Cinco D</w:t>
      </w:r>
      <w:r>
        <w:t>ías - 12/1/12)</w:t>
      </w:r>
    </w:p>
    <w:p w:rsidR="002F07D4" w:rsidRPr="00381405" w:rsidRDefault="002F07D4" w:rsidP="002F07D4">
      <w:pPr>
        <w:pStyle w:val="NormalWeb"/>
        <w:jc w:val="both"/>
      </w:pPr>
      <w:r w:rsidRPr="00381405">
        <w:t xml:space="preserve">En esta línea, el estudio es muy crítico con la situación provocada por la crisis: número creciente de jóvenes con escasas perspectivas, cada vez más jubilados que dependen de prestaciones pagadas por Estados sobreendeudados y mayor brecha entre ricos y pobres. </w:t>
      </w:r>
    </w:p>
    <w:p w:rsidR="002F07D4" w:rsidRPr="00381405" w:rsidRDefault="002F07D4" w:rsidP="002F07D4">
      <w:pPr>
        <w:pStyle w:val="NormalWeb"/>
        <w:jc w:val="both"/>
      </w:pPr>
      <w:r w:rsidRPr="00381405">
        <w:t xml:space="preserve">Es más, el informe se atreve a acuñar el término </w:t>
      </w:r>
      <w:r>
        <w:t>“</w:t>
      </w:r>
      <w:r w:rsidRPr="00381405">
        <w:t>semillas de distopía</w:t>
      </w:r>
      <w:r>
        <w:t>”</w:t>
      </w:r>
      <w:r w:rsidRPr="00381405">
        <w:t>. Entiende por distopía lo contrario de utopía o, lo que es lo mismo, un lugar en el que la vida está repleta de dific</w:t>
      </w:r>
      <w:r>
        <w:t>ultades y no existe esperanza. “</w:t>
      </w:r>
      <w:r w:rsidRPr="00381405">
        <w:t>Describe qué ocurre cuando los esfuerzos por construir un mundo mejor yerran de forma no intencionada. Podría tratarse de economías desarrolladas en las que los ciudadanos lamentan la pérdida de derechos sociales o de economías emergentes incapaces de d</w:t>
      </w:r>
      <w:r>
        <w:t>ar oportunidades a su población”</w:t>
      </w:r>
      <w:r w:rsidRPr="00381405">
        <w:t>, añade el Foro.</w:t>
      </w:r>
    </w:p>
    <w:p w:rsidR="002F07D4" w:rsidRPr="00924AC2" w:rsidRDefault="002F07D4" w:rsidP="002F07D4">
      <w:pPr>
        <w:pStyle w:val="NormalWeb"/>
        <w:jc w:val="both"/>
      </w:pPr>
      <w:r w:rsidRPr="00381405">
        <w:t>Por tanto, concluye que una sociedad que siembre continuamente semillas de distopía -al no abordar el envejecimiento demográfico, el desempleo juvenil o los desequilibrios fiscales- está condenada a la inestabilidad en los próximos años, lo que frenará su progreso. Todo un reto ahora en tiempos de ajustes y reformas.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lastRenderedPageBreak/>
        <w:t>Estamos ante el fin del Contrato Social. Una economía de manos libres. Una economía de “castas” (política, empresaria, funcionarial…).  Un regreso a la edad media (los siervos de la gleba, el derecho de pernada…). Una fórmula siniestra (maldita) que planta las “semillas de la discordia”.</w:t>
      </w:r>
    </w:p>
    <w:p w:rsidR="002F07D4" w:rsidRPr="003A6B88" w:rsidRDefault="002F07D4" w:rsidP="002F07D4">
      <w:pPr>
        <w:spacing w:line="240" w:lineRule="auto"/>
        <w:jc w:val="both"/>
        <w:rPr>
          <w:rFonts w:ascii="Times New Roman" w:hAnsi="Times New Roman"/>
          <w:sz w:val="24"/>
          <w:szCs w:val="24"/>
        </w:rPr>
      </w:pPr>
      <w:r>
        <w:rPr>
          <w:rFonts w:ascii="Times New Roman" w:hAnsi="Times New Roman"/>
          <w:sz w:val="24"/>
          <w:szCs w:val="24"/>
        </w:rPr>
        <w:t>¿Es necesario sacrificar el empleo, aumentar la inaceptable brecha social, el crecimiento… y el futuro, para seguir financiando el “monopoly” (casino) de unos irresponsables, avariciosos, insensatos, que deberían estar en el paro (despedidos) o (mejor) en la cárcel? Entonces… ¿quién despilfarra los recursos?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¿Para qué sirve la economía si no se produce, se crece, hay trabajo, hay inclusión social… en definitiva, hay una mejor asignación de los recursos escasos para atender necesidades ilimitadas? ¿O acaso es mejor seguir alentando (tolerando) el negocio del “humo”, la economía de casino, donde cada vez menos ganan más y más ganan menos?</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Ahora hay que equilibrar la austeridad con el crecimiento económico. Hay que ir más allá del corto plazo. Hay que pensar en el largo plazo. Tal vez haya que gastar diferente (y menos) y crecer diferente (y mejor).</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Austeridad, “siempre”, pero sabiendo con qué objeto (en qué y para qué). ¿Qué tal si se practica la frugalidad y el crecimiento? Consumo sostenible (menor consumo), con distribución de la riqueza (mayor igualdad).</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Si no hay crecimiento ¿cómo se resolverá el problema de la “deuda” y más grave aún (si cabe), cómo se resolverá el problema de la “desigualdad” económica (entre personas y países)? Esta ha sido (y continúa siendo) la problemática constante del Tercer Mundo y que ahora se traslada al (ex) Primer Mundo. Curiosa (grotesca) paradoja. </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Hasta dónde debe seguirse “soportando” el “dogma del librecambio”: ¿hay que “empobrecerse a uno mismo”, para no “empobrecer al vecino”? </w:t>
      </w:r>
    </w:p>
    <w:p w:rsidR="002F07D4" w:rsidRPr="00884610" w:rsidRDefault="002F07D4" w:rsidP="002F07D4">
      <w:pPr>
        <w:spacing w:line="240" w:lineRule="auto"/>
        <w:jc w:val="both"/>
        <w:rPr>
          <w:rFonts w:ascii="Times New Roman" w:hAnsi="Times New Roman"/>
          <w:sz w:val="24"/>
          <w:szCs w:val="24"/>
        </w:rPr>
      </w:pPr>
      <w:r w:rsidRPr="00884610">
        <w:rPr>
          <w:rFonts w:ascii="Times New Roman" w:hAnsi="Times New Roman"/>
          <w:sz w:val="24"/>
          <w:szCs w:val="24"/>
        </w:rPr>
        <w:t>Si es cierto que los americanos y europeos nos vendamos casi todo a nosotros mi</w:t>
      </w:r>
      <w:r>
        <w:rPr>
          <w:rFonts w:ascii="Times New Roman" w:hAnsi="Times New Roman"/>
          <w:sz w:val="24"/>
          <w:szCs w:val="24"/>
        </w:rPr>
        <w:t>smos qué</w:t>
      </w:r>
      <w:r w:rsidRPr="00884610">
        <w:rPr>
          <w:rFonts w:ascii="Times New Roman" w:hAnsi="Times New Roman"/>
          <w:sz w:val="24"/>
          <w:szCs w:val="24"/>
        </w:rPr>
        <w:t xml:space="preserve"> sentido tien</w:t>
      </w:r>
      <w:r>
        <w:rPr>
          <w:rFonts w:ascii="Times New Roman" w:hAnsi="Times New Roman"/>
          <w:sz w:val="24"/>
          <w:szCs w:val="24"/>
        </w:rPr>
        <w:t>e continuar obsequiando el mercado</w:t>
      </w:r>
      <w:r w:rsidRPr="00884610">
        <w:rPr>
          <w:rFonts w:ascii="Times New Roman" w:hAnsi="Times New Roman"/>
          <w:sz w:val="24"/>
          <w:szCs w:val="24"/>
        </w:rPr>
        <w:t xml:space="preserve"> a terceros países en detrimento del empleo propio.</w:t>
      </w:r>
      <w:r>
        <w:rPr>
          <w:rFonts w:ascii="Times New Roman" w:hAnsi="Times New Roman"/>
          <w:sz w:val="24"/>
          <w:szCs w:val="24"/>
        </w:rPr>
        <w:t xml:space="preserve"> ¿Desempleo por librecambio? Difícil de explicar. Imposible de tolerar.</w:t>
      </w:r>
    </w:p>
    <w:p w:rsidR="002F07D4" w:rsidRPr="00884610" w:rsidRDefault="002F07D4" w:rsidP="002F07D4">
      <w:pPr>
        <w:spacing w:line="240" w:lineRule="auto"/>
        <w:jc w:val="both"/>
        <w:rPr>
          <w:rFonts w:ascii="Times New Roman" w:hAnsi="Times New Roman"/>
          <w:sz w:val="24"/>
          <w:szCs w:val="24"/>
        </w:rPr>
      </w:pPr>
      <w:r>
        <w:rPr>
          <w:rFonts w:ascii="Times New Roman" w:hAnsi="Times New Roman"/>
          <w:sz w:val="24"/>
          <w:szCs w:val="24"/>
        </w:rPr>
        <w:t>¿El único futuro posible es consumir como chinos, para continuar siendo gobernados como americanos o europeos? ¿O ser gobernados como chinos para continuar consumiendo como americanos o europeos? ¿U</w:t>
      </w:r>
      <w:r w:rsidRPr="00884610">
        <w:rPr>
          <w:rFonts w:ascii="Times New Roman" w:hAnsi="Times New Roman"/>
          <w:sz w:val="24"/>
          <w:szCs w:val="24"/>
        </w:rPr>
        <w:t>n libre mercad</w:t>
      </w:r>
      <w:r>
        <w:rPr>
          <w:rFonts w:ascii="Times New Roman" w:hAnsi="Times New Roman"/>
          <w:sz w:val="24"/>
          <w:szCs w:val="24"/>
        </w:rPr>
        <w:t>o de planificación central? ¿U</w:t>
      </w:r>
      <w:r w:rsidRPr="00884610">
        <w:rPr>
          <w:rFonts w:ascii="Times New Roman" w:hAnsi="Times New Roman"/>
          <w:sz w:val="24"/>
          <w:szCs w:val="24"/>
        </w:rPr>
        <w:t>n socialismo de mercado?</w:t>
      </w:r>
      <w:r>
        <w:rPr>
          <w:rFonts w:ascii="Times New Roman" w:hAnsi="Times New Roman"/>
          <w:sz w:val="24"/>
          <w:szCs w:val="24"/>
        </w:rPr>
        <w:t xml:space="preserve"> Difícil de explicar. Imposible de tolerar.</w:t>
      </w:r>
    </w:p>
    <w:p w:rsidR="002F07D4" w:rsidRDefault="002F07D4" w:rsidP="002F07D4">
      <w:pPr>
        <w:pStyle w:val="NormalWeb"/>
        <w:jc w:val="both"/>
      </w:pPr>
      <w:r>
        <w:t>“</w:t>
      </w:r>
      <w:r w:rsidRPr="0058272F">
        <w:t>El aumento de la desigualdad, debido en parte a la reestructuración corporativa que ha eliminado empleos, está reduciendo más aún la demanda agregada, porque los hogares, los más pobres y quienes perciben ingresos laborales tienen una mayor propensión marginal a gastar que las empresas, los hogares más ricos y quienes perciben rentas de capital. Por otra parte, a medida que la desigualdad impulsa protestas en todo el mundo, la inestabilidad social y política podría representar un riesgo adicional para el desempeño económico</w:t>
      </w:r>
      <w:r>
        <w:t>”..</w:t>
      </w:r>
      <w:r w:rsidRPr="0058272F">
        <w:t>.</w:t>
      </w:r>
      <w:r>
        <w:t xml:space="preserve"> (Nouriel Roubini - Expansión - 7/1/12)</w:t>
      </w:r>
    </w:p>
    <w:p w:rsidR="002F07D4" w:rsidRPr="00382189" w:rsidRDefault="002F07D4" w:rsidP="002F07D4">
      <w:pPr>
        <w:spacing w:line="240" w:lineRule="auto"/>
        <w:jc w:val="both"/>
        <w:rPr>
          <w:rFonts w:ascii="Times New Roman" w:hAnsi="Times New Roman"/>
          <w:sz w:val="24"/>
          <w:szCs w:val="24"/>
          <w:u w:val="single"/>
        </w:rPr>
      </w:pPr>
      <w:r w:rsidRPr="00382189">
        <w:rPr>
          <w:rFonts w:ascii="Times New Roman" w:hAnsi="Times New Roman"/>
          <w:sz w:val="24"/>
          <w:szCs w:val="24"/>
          <w:u w:val="single"/>
        </w:rPr>
        <w:t>Cuentas y cuentos (algunas preguntas, “políticamente incorrectas”,</w:t>
      </w:r>
      <w:r>
        <w:rPr>
          <w:rFonts w:ascii="Times New Roman" w:hAnsi="Times New Roman"/>
          <w:sz w:val="24"/>
          <w:szCs w:val="24"/>
          <w:u w:val="single"/>
        </w:rPr>
        <w:t xml:space="preserve"> aún</w:t>
      </w:r>
      <w:r w:rsidRPr="00382189">
        <w:rPr>
          <w:rFonts w:ascii="Times New Roman" w:hAnsi="Times New Roman"/>
          <w:sz w:val="24"/>
          <w:szCs w:val="24"/>
          <w:u w:val="single"/>
        </w:rPr>
        <w:t xml:space="preserve"> sin respuesta)</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¿El “cuento” de la austeridad no será una fórmula (desesperada) de la casta política como garantía para los acreedores y en beneficio de ellos mismos (que salvan su culo y </w:t>
      </w:r>
      <w:r>
        <w:rPr>
          <w:rFonts w:ascii="Times New Roman" w:hAnsi="Times New Roman"/>
          <w:sz w:val="24"/>
          <w:szCs w:val="24"/>
        </w:rPr>
        <w:lastRenderedPageBreak/>
        <w:t>preservan su coto)? Exigencias de unos y más de los mismo de otros. Algo hay que cambiar para que nada cambie… El vals del Gatopardo.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¿Y si todo esto es una estrategia de empobrecimiento del Primer Mundo para que cuando en China (y otros BRICs, que funcionan como “bandera de conveniencia”), se desestabilice (explote la burbuja), las empresas deslocalizadas puedan volver a la base (EEUU, UE) con costos del Tercer Mundo? Por favor, Bob Esponja, por piedad, “bórrame” de la mente estos malos pensamientos. </w:t>
      </w:r>
    </w:p>
    <w:p w:rsidR="002F07D4" w:rsidRPr="00382189" w:rsidRDefault="002F07D4" w:rsidP="002F07D4">
      <w:pPr>
        <w:spacing w:line="240" w:lineRule="auto"/>
        <w:jc w:val="both"/>
        <w:rPr>
          <w:rFonts w:ascii="Times New Roman" w:hAnsi="Times New Roman"/>
          <w:sz w:val="24"/>
          <w:szCs w:val="24"/>
          <w:u w:val="single"/>
        </w:rPr>
      </w:pPr>
      <w:r w:rsidRPr="00382189">
        <w:rPr>
          <w:rFonts w:ascii="Times New Roman" w:hAnsi="Times New Roman"/>
          <w:sz w:val="24"/>
          <w:szCs w:val="24"/>
          <w:u w:val="single"/>
        </w:rPr>
        <w:t>Terra incognita (propuesta</w:t>
      </w:r>
      <w:r>
        <w:rPr>
          <w:rFonts w:ascii="Times New Roman" w:hAnsi="Times New Roman"/>
          <w:sz w:val="24"/>
          <w:szCs w:val="24"/>
          <w:u w:val="single"/>
        </w:rPr>
        <w:t>s preliminares</w:t>
      </w:r>
      <w:r w:rsidRPr="00382189">
        <w:rPr>
          <w:rFonts w:ascii="Times New Roman" w:hAnsi="Times New Roman"/>
          <w:sz w:val="24"/>
          <w:szCs w:val="24"/>
          <w:u w:val="single"/>
        </w:rPr>
        <w:t>)</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Hay que crecer… pero de otro modo (en forma más sostenible, de manera más igualitaria y con una mejor distribución de los ingresos).</w:t>
      </w:r>
    </w:p>
    <w:p w:rsidR="002F07D4" w:rsidRPr="00AE3CD1" w:rsidRDefault="002F07D4" w:rsidP="002F07D4">
      <w:pPr>
        <w:spacing w:line="240" w:lineRule="auto"/>
        <w:jc w:val="both"/>
        <w:rPr>
          <w:rFonts w:ascii="Times New Roman" w:hAnsi="Times New Roman"/>
          <w:sz w:val="24"/>
          <w:szCs w:val="24"/>
        </w:rPr>
      </w:pPr>
      <w:r w:rsidRPr="00AE3CD1">
        <w:rPr>
          <w:rFonts w:ascii="Times New Roman" w:hAnsi="Times New Roman"/>
          <w:sz w:val="24"/>
          <w:szCs w:val="24"/>
        </w:rPr>
        <w:t>Aunque incomode a los lectores “polacamente correctos” (si es que aún queda alguno leyendo mi escrito) la experiencia indica que el cambio tecnológico que genera ahorros de mano de obra y la integración de varios cientos de millones de nuevos trabajadores en los mercados globalesha afectado la distribución del ingreso, la rentabilidad de la educación y las oportunidades de empleo en casi todo el mundo.</w:t>
      </w:r>
    </w:p>
    <w:p w:rsidR="002F07D4" w:rsidRDefault="002F07D4" w:rsidP="002F07D4">
      <w:pPr>
        <w:pStyle w:val="NormalWeb"/>
        <w:jc w:val="both"/>
      </w:pPr>
      <w:r>
        <w:t xml:space="preserve">Pero la ortodoxia vigente en ambos lados del Atlántico, pero especialmente en EEUU, no permitirá que nada de esto cambie. La fijación en el déficit inducirá recortes en el gasto social, empeorando la desigualdad. De igual manera, la persistente atracción hacia la economía de oferta, a pesar de toda la evidencia en contra (especialmente en períodos de alto desempleo), evitará que se aumenten los impuestos a quienes más tienen. </w:t>
      </w:r>
    </w:p>
    <w:p w:rsidR="002F07D4" w:rsidRDefault="002F07D4" w:rsidP="002F07D4">
      <w:pPr>
        <w:pStyle w:val="NormalWeb"/>
        <w:jc w:val="both"/>
      </w:pPr>
      <w:r w:rsidRPr="00AE3CD1">
        <w:t>Reorientar los marcos de políticas hacia horizontes de tiempo más largos, con un enfoque más equilibrado y orientados al futuro en términos de estabilidad y equidad (sin perder de vista la eficiencia y la innovación) parece esencial para satisfacer las necesidades, esperanzas y expectativas de las personas.</w:t>
      </w:r>
    </w:p>
    <w:p w:rsidR="002F07D4" w:rsidRPr="00382189" w:rsidRDefault="002F07D4" w:rsidP="002F07D4">
      <w:pPr>
        <w:pStyle w:val="NormalWeb"/>
        <w:jc w:val="both"/>
      </w:pPr>
      <w:r w:rsidRPr="00382189">
        <w:t>¿Será el tiempo democrático demasiado lento para reaccionar ante las crisis y demasiado corto para hacer planes a largo plazo?</w:t>
      </w:r>
    </w:p>
    <w:p w:rsidR="002F07D4" w:rsidRDefault="002F07D4" w:rsidP="002F07D4">
      <w:pPr>
        <w:spacing w:line="240" w:lineRule="auto"/>
        <w:jc w:val="both"/>
        <w:rPr>
          <w:rFonts w:ascii="Times New Roman" w:hAnsi="Times New Roman"/>
          <w:sz w:val="24"/>
          <w:szCs w:val="24"/>
        </w:rPr>
      </w:pPr>
      <w:r w:rsidRPr="00382189">
        <w:rPr>
          <w:rFonts w:ascii="Times New Roman" w:hAnsi="Times New Roman"/>
          <w:sz w:val="24"/>
          <w:szCs w:val="24"/>
        </w:rPr>
        <w:t>No creo que estos líderes políticos vayan a reformarse hasta el punto de pensar por y para nosotros. Lo lógico es que nosotros, ciudadanos, digamos qué objetivos perseguimos y qué tipo de gobierno queremos para alcanzarlos</w:t>
      </w:r>
      <w:r>
        <w:rPr>
          <w:rFonts w:ascii="Times New Roman" w:hAnsi="Times New Roman"/>
          <w:sz w:val="24"/>
          <w:szCs w:val="24"/>
        </w:rPr>
        <w:t>…</w:t>
      </w:r>
    </w:p>
    <w:p w:rsidR="002F07D4" w:rsidRPr="009A44CF"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9A44CF">
        <w:rPr>
          <w:rFonts w:ascii="Times New Roman" w:eastAsia="Times New Roman" w:hAnsi="Times New Roman"/>
          <w:sz w:val="24"/>
          <w:szCs w:val="24"/>
          <w:u w:val="single"/>
          <w:lang w:eastAsia="es-ES"/>
        </w:rPr>
        <w:t>¿Por qué fa</w:t>
      </w:r>
      <w:r>
        <w:rPr>
          <w:rFonts w:ascii="Times New Roman" w:eastAsia="Times New Roman" w:hAnsi="Times New Roman"/>
          <w:sz w:val="24"/>
          <w:szCs w:val="24"/>
          <w:u w:val="single"/>
          <w:lang w:eastAsia="es-ES"/>
        </w:rPr>
        <w:t>lla la máquina de empleos?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Las empresas producen y ganan más, pero no aumentan su personal                                                               </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He aquí algunos números del desempeño de las empresas y el mercado laboral en Estados Unidos que sirven de barómetros clave de la economía del país. En los últimos 10 años: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 producción de bienes y servicios se ha expandido 19%.</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Las ganancias de las empresas que no pertenecen al sector financiero han aumentado 85%.</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lastRenderedPageBreak/>
        <w:t>- La fuerza laboral ha crecido en 10,1 millones de empleos.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El número de puestos de trabajo del sector privado, sin embargo, se ha reducido en casi dos millones.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Y el porcentaje de adultos estadounidenses con trabajo se ha reducido a 58,2%, un nivel que no se había visto desde 1983.</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gran parte, eso ocurre porque la economía crece demasiado despacio o como para absorber la fuerza laboral disponible, y los sectores que suelen contratar en las primeras etapas de la recuperación -como la construcción y la pequeña empresa- se vieron paralizados por el descalabro del crédito.</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También hay que considerar el factor de la confianza. Si los empleadores estuvieran seguros de que podrían vender más, contratarían a más personas. Si estuvieran menos inseguros de la durabilidad de la recuperación y otros factores, estarían más inclinados a incrementar sus niveles de contratación.</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Hay, además, un fenómeno que precede a la recesión y que ha persistido a lo largo de ella. Se trata de los cambios en la forma en que funciona el mercado y cómo los empleadores ven a su fuerza laboral.</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Los ejecutivos lo llaman “reducción estructural de costos” o “flexibilidad”. El economista Robert Gordon, de la Universidad de Northwestern, lo llama el surgimiento de “los trabajadores desechables”, una abreviación de una estrategia de las empresas para reducir costos laborales dondequiera que puedan, a un nivel sin precedentes.</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El economista Alan Krueger, de la Universidad de Princeton, calcula que 70% de la escasez de trabajo actual es simplemente cíclica, el resultado de una decepcionante recuperación de una profunda recesión. Sin embargo, atribuye 30% a cambios en el mercado laboral que comenzaron una década atrás o más.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Consideremos lo siguiente:</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la recesión más reciente y en las dos anteriores -1990-91 y 2001- los empleadores han sido más rápidos a la hora de despedir empleados y recortar sus horas de trabajo que en las recesiones que las habían precedido. Muchos de ellos también fueron más lentos para volver a contratar. Como resultado, la “recuperación sin empleo” se ha convertido en la norma.</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el pasado, cuando los negocios se desplomaban, las empresas reducían personal y aceptaban menos trabajo por empleado. Durante la profunda recesión de principios de la década del 70, la producción estadounidense de bienes y servicios se redujo en 5% y el empleo en 2,5%. Los economistas trataban de comprender el “acaparamiento laboral”, la tendencia de las empresas a retener a los empleados que no necesitaban.</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Pero ya nadie piensa así. Entre finales de 2007 (cuando el empleo estadounidense alcanzó su mayor pico) y finales de 2009 (cuando tocó fondo), la producción estadounidense de bienes y servicios disminuyó 4,5%, pero el número de trabajadores se redujo mucho más: 8,3%. El rompecabezas de hoy es entonces: ¿cómo y por qué los </w:t>
      </w:r>
      <w:r w:rsidRPr="00C94C72">
        <w:rPr>
          <w:rFonts w:ascii="Times New Roman" w:eastAsia="Times New Roman" w:hAnsi="Times New Roman"/>
          <w:sz w:val="24"/>
          <w:szCs w:val="24"/>
          <w:lang w:eastAsia="es-ES"/>
        </w:rPr>
        <w:lastRenderedPageBreak/>
        <w:t>empleadores lograron aumentar la productividad, o la producción por hora de trabajo, como nunca antes durante la peor recesión en décadas?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una época anterior, cuando más estadounidenses trabajaban en líneas de ensamblaje, muchos despidos eran temporales. Cuando el negocio se recuperaba, los trabajadores volvían a ser convocados, a menudo debido a garantías sindicales.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el peor momento de la recesión de 1980-82, uno de cada cinco desempleados correspondía a un “despido temporal”. En la reciente recesión, la proporción de despidos temporales nunca fue superior a uno de cada 10. Eso se debe en parte a que menos estadounidenses trabajan en fábricas. Hoy, en cambio, si un restaurante no tiene suficientes clientes, quiebra.</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“Cuando los despidos son temporales, las recontrataciones pueden realizarse muy rápido”, comentan los economistas Erica Groshen y Simon Potter, de la Reserva Federal de Nueva York. Cuando los despidos son permanentes, la recuperación del empleo es lenta, añaden. Si el empleador quiere contratar, debe embarcarse en la tarea de revisar currículos, lo que consume mucho tiempo.</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Las empresas, con sus ojos fijos en el precio de las acciones y en las ganancias, valoran más que nunca la flexibilidad encima de la estabilidad. La recesión les demostró que podían hacer más con menos trabajadores de lo que muchos de ellos creían.</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una encuesta a 2.000 empresas a principios de este año, McKinsey Global Institute, el centro de estudios de la enorme empresa de consultoría, encontró que 58% de los empleadores esperaba tener más trabajadores a tiempo parcial, temporales o subcontratados en los próximos cinco años y más de 21,5% trabajadores “tercerizados o externos”.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 tecnología”, señala McKinsey, “permite a las empresas gestionar el empleo como un aporte variable. Con el uso de nuevos sistemas de programación de recursos, se pueden proveer de personal sólo cuando lo necesitan, ya sea por un día completo o unas pocas horas”.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Las agencias de ayuda temporal juegan un papel cada vez más importante, desde la provisión de personal fabril y administrativo hasta enfermeras e ingenieros.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También facilitan volver a recortar en tiempos difíciles. Los trabajadores, en pocas palabras, ahora pueden ser contratados “en el momento preciso”. Y aparentemente, muchos empleadores no creen que todavía sea el momento. Debido a que “pueden contratar personal temporal casi al instante, hay poca necesidad de contratar a la espera de una recuperación en los negocios”.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Cuando sí reclutan personal, las grandes empresas multinacionales con sede en EEUU están en mejor condición de y más dispuestas a contratar en el exterior, en parte porque los salarios son a menudo más baratos, pero también porque es allí donde están sus clientes.</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En la década de los 90, las multinacionales incorporaron en EEUU casi dos puestos de trabajo por cada nuevo empleo fuera del país; en tanto que en la década siguiente, </w:t>
      </w:r>
      <w:r w:rsidRPr="00C94C72">
        <w:rPr>
          <w:rFonts w:ascii="Times New Roman" w:eastAsia="Times New Roman" w:hAnsi="Times New Roman"/>
          <w:sz w:val="24"/>
          <w:szCs w:val="24"/>
          <w:lang w:eastAsia="es-ES"/>
        </w:rPr>
        <w:lastRenderedPageBreak/>
        <w:t>recortaron 2,9 millones de empleos estadounidenses, mientras que aumentaron 2,4 millones en el extranjero, de acuerdo con el Departamento de Comercio de EEUU.</w:t>
      </w:r>
    </w:p>
    <w:p w:rsidR="002F07D4" w:rsidRPr="00C94C72"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Hal Sirkin, de Boston Consulting Group (BCG), afirma que el aumento de los salarios en China resta un poco de atractivo al país. En 2000, los salarios de los trabajadores chinos promediaron 3% de los de sus contrapartes estadounidenses. Hoy en día, representan 9%, y la firma de consultoría espera que la cifra llegue a 15% en 2015. Sirkin predice que ello impulsará a muchos fabricantes a devolver el trabajo a EEUU. ¿Cuántos? Sirkin todavía trabaja en un cálculo. </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Aun cuando el gobierno cuenta 4,68 trabajadores desempleados por cada puesto que se abre, algunos empleadores insisten en que no pueden encontrar empleados con las habilidades que necesitan a </w:t>
      </w:r>
      <w:r>
        <w:rPr>
          <w:rFonts w:ascii="Times New Roman" w:eastAsia="Times New Roman" w:hAnsi="Times New Roman"/>
          <w:sz w:val="24"/>
          <w:szCs w:val="24"/>
          <w:lang w:eastAsia="es-ES"/>
        </w:rPr>
        <w:t xml:space="preserve">los salarios que pueden pagar. </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u w:val="single"/>
          <w:lang w:eastAsia="es-ES"/>
        </w:rPr>
      </w:pPr>
      <w:r w:rsidRPr="00A861EC">
        <w:rPr>
          <w:rFonts w:ascii="Times New Roman" w:eastAsia="Times New Roman" w:hAnsi="Times New Roman"/>
          <w:sz w:val="24"/>
          <w:szCs w:val="24"/>
          <w:u w:val="single"/>
          <w:lang w:eastAsia="es-ES"/>
        </w:rPr>
        <w:t>Realidad o ficción</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En toda Europa, Asia y América, las corporaciones nadan en efectivo, mientras su implacable búsqueda de eficiencia sigue generando enormes ganancias. Sin embargo, la porción de la torta que les corresponde a los trabajadores se está reduciendo, gracias al alto desempleo, a las jornadas reducidas de trabajo y a los salarios estancados.</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Estados Unidos en los años 70, tenían 20 millones de empleos manufactureros, con una población tot</w:t>
      </w:r>
      <w:r>
        <w:rPr>
          <w:rFonts w:ascii="Times New Roman" w:eastAsia="Times New Roman" w:hAnsi="Times New Roman"/>
          <w:sz w:val="24"/>
          <w:szCs w:val="24"/>
          <w:lang w:eastAsia="es-ES"/>
        </w:rPr>
        <w:t>al de unos 220 millones. A principios del año 2011</w:t>
      </w:r>
      <w:r w:rsidRPr="00A861EC">
        <w:rPr>
          <w:rFonts w:ascii="Times New Roman" w:eastAsia="Times New Roman" w:hAnsi="Times New Roman"/>
          <w:sz w:val="24"/>
          <w:szCs w:val="24"/>
          <w:lang w:eastAsia="es-ES"/>
        </w:rPr>
        <w:t>, sólo se mantienen 12 millones de empleos en las fábricas norteamericanas, pero con una población total de 320 millones de habitantes. En los años 70, Estados Unidos controlaba el 28% de la fabricación mundial d</w:t>
      </w:r>
      <w:r>
        <w:rPr>
          <w:rFonts w:ascii="Times New Roman" w:eastAsia="Times New Roman" w:hAnsi="Times New Roman"/>
          <w:sz w:val="24"/>
          <w:szCs w:val="24"/>
          <w:lang w:eastAsia="es-ES"/>
        </w:rPr>
        <w:t>e bienes y China sólo el 4%. En enero de 2011</w:t>
      </w:r>
      <w:r w:rsidRPr="00A861EC">
        <w:rPr>
          <w:rFonts w:ascii="Times New Roman" w:eastAsia="Times New Roman" w:hAnsi="Times New Roman"/>
          <w:sz w:val="24"/>
          <w:szCs w:val="24"/>
          <w:lang w:eastAsia="es-ES"/>
        </w:rPr>
        <w:t xml:space="preserve"> Estados Unidos produce el 20% mundial y China el 19%.</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En enero</w:t>
      </w:r>
      <w:r>
        <w:rPr>
          <w:rFonts w:ascii="Times New Roman" w:eastAsia="Times New Roman" w:hAnsi="Times New Roman"/>
          <w:sz w:val="24"/>
          <w:szCs w:val="24"/>
          <w:lang w:eastAsia="es-ES"/>
        </w:rPr>
        <w:t xml:space="preserve"> (2011)</w:t>
      </w:r>
      <w:r w:rsidRPr="00A861EC">
        <w:rPr>
          <w:rFonts w:ascii="Times New Roman" w:eastAsia="Times New Roman" w:hAnsi="Times New Roman"/>
          <w:sz w:val="24"/>
          <w:szCs w:val="24"/>
          <w:lang w:eastAsia="es-ES"/>
        </w:rPr>
        <w:t>, 2,</w:t>
      </w:r>
      <w:r>
        <w:rPr>
          <w:rFonts w:ascii="Times New Roman" w:eastAsia="Times New Roman" w:hAnsi="Times New Roman"/>
          <w:sz w:val="24"/>
          <w:szCs w:val="24"/>
          <w:lang w:eastAsia="es-ES"/>
        </w:rPr>
        <w:t>8 millones de personas estaban “marginalmente ligadas”</w:t>
      </w:r>
      <w:r w:rsidRPr="00A861EC">
        <w:rPr>
          <w:rFonts w:ascii="Times New Roman" w:eastAsia="Times New Roman" w:hAnsi="Times New Roman"/>
          <w:sz w:val="24"/>
          <w:szCs w:val="24"/>
          <w:lang w:eastAsia="es-ES"/>
        </w:rPr>
        <w:t xml:space="preserve"> a la fuerza laboral, frente a los 2,5 millones de enero del año anterior</w:t>
      </w:r>
      <w:r>
        <w:rPr>
          <w:rFonts w:ascii="Times New Roman" w:eastAsia="Times New Roman" w:hAnsi="Times New Roman"/>
          <w:sz w:val="24"/>
          <w:szCs w:val="24"/>
          <w:lang w:eastAsia="es-ES"/>
        </w:rPr>
        <w:t xml:space="preserve"> (2010)</w:t>
      </w:r>
      <w:r w:rsidRPr="00A861EC">
        <w:rPr>
          <w:rFonts w:ascii="Times New Roman" w:eastAsia="Times New Roman" w:hAnsi="Times New Roman"/>
          <w:sz w:val="24"/>
          <w:szCs w:val="24"/>
          <w:lang w:eastAsia="es-ES"/>
        </w:rPr>
        <w:t>. Dentro de este grupo se encuentra la gente que ha buscado empleo en los últimos</w:t>
      </w:r>
      <w:r>
        <w:rPr>
          <w:rFonts w:ascii="Times New Roman" w:eastAsia="Times New Roman" w:hAnsi="Times New Roman"/>
          <w:sz w:val="24"/>
          <w:szCs w:val="24"/>
          <w:lang w:eastAsia="es-ES"/>
        </w:rPr>
        <w:t xml:space="preserve"> 12 meses, pero no en el último</w:t>
      </w:r>
      <w:r w:rsidRPr="00A861EC">
        <w:rPr>
          <w:rFonts w:ascii="Times New Roman" w:eastAsia="Times New Roman" w:hAnsi="Times New Roman"/>
          <w:sz w:val="24"/>
          <w:szCs w:val="24"/>
          <w:lang w:eastAsia="es-ES"/>
        </w:rPr>
        <w:t xml:space="preserve"> mes. </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De ellos, casi 1 millón no cree que encontrará empleo (cifra que baja desde 1,3 millones en diciembre</w:t>
      </w:r>
      <w:r>
        <w:rPr>
          <w:rFonts w:ascii="Times New Roman" w:eastAsia="Times New Roman" w:hAnsi="Times New Roman"/>
          <w:sz w:val="24"/>
          <w:szCs w:val="24"/>
          <w:lang w:eastAsia="es-ES"/>
        </w:rPr>
        <w:t xml:space="preserve"> 2010</w:t>
      </w:r>
      <w:r w:rsidRPr="00A861EC">
        <w:rPr>
          <w:rFonts w:ascii="Times New Roman" w:eastAsia="Times New Roman" w:hAnsi="Times New Roman"/>
          <w:sz w:val="24"/>
          <w:szCs w:val="24"/>
          <w:lang w:eastAsia="es-ES"/>
        </w:rPr>
        <w:t>) y el resto, 1,8 millones, no han buscado trabajo en las últimas cuatro semanas por razones como estudios o responsabilidades familiares, explica el Departamento de Trabajo.</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La tasa de paro que incluye a estas personas, así como a aquellos que se han visto forzados a trabajar a tiempo parcial , denominada U-6, se redujo al 16,1% desde el 16,7% de diciembre</w:t>
      </w:r>
      <w:r>
        <w:rPr>
          <w:rFonts w:ascii="Times New Roman" w:eastAsia="Times New Roman" w:hAnsi="Times New Roman"/>
          <w:sz w:val="24"/>
          <w:szCs w:val="24"/>
          <w:lang w:eastAsia="es-ES"/>
        </w:rPr>
        <w:t xml:space="preserve"> (2010)</w:t>
      </w:r>
      <w:r w:rsidRPr="00A861EC">
        <w:rPr>
          <w:rFonts w:ascii="Times New Roman" w:eastAsia="Times New Roman" w:hAnsi="Times New Roman"/>
          <w:sz w:val="24"/>
          <w:szCs w:val="24"/>
          <w:lang w:eastAsia="es-ES"/>
        </w:rPr>
        <w:t>.</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El número de desempleados de larga duración, aquellos que llevan en el paro al menos 27 semanas, se redujo a 6,2 millones y supuso el 43,8% de los desempleados.</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Paradójicamente, la realidad es que las mediciones de desigualdad de ingresos y riqueza entre países están cayendo, gracias a un crecimiento robusto constante en los mercados emergentes. Pero a la mayoría de la gente le importa más lo bien que le va en relación a sus vecinos que a ciudadanos de tierras lejanas. </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lastRenderedPageBreak/>
        <w:t xml:space="preserve">A los ricos les </w:t>
      </w:r>
      <w:r>
        <w:rPr>
          <w:rFonts w:ascii="Times New Roman" w:eastAsia="Times New Roman" w:hAnsi="Times New Roman"/>
          <w:sz w:val="24"/>
          <w:szCs w:val="24"/>
          <w:lang w:eastAsia="es-ES"/>
        </w:rPr>
        <w:t>está yendo esencialmente bien. A enero de 2011, l</w:t>
      </w:r>
      <w:r w:rsidRPr="00A861EC">
        <w:rPr>
          <w:rFonts w:ascii="Times New Roman" w:eastAsia="Times New Roman" w:hAnsi="Times New Roman"/>
          <w:sz w:val="24"/>
          <w:szCs w:val="24"/>
          <w:lang w:eastAsia="es-ES"/>
        </w:rPr>
        <w:t xml:space="preserve">os mercados bursátiles globales se recuperaron. Muchos países son testigos de un crecimiento vigoroso de los precios de la vivienda, de las propiedades comerciales o de ambos. Los renacientes precios de las materias primas están creando enormes ingresos para los dueños de minas y pozos petroleros, incluso a pesar de que las subas de precios de los alimentos básicos están desatando disturbios, si no completas revoluciones, en el mundo en desarrollo. Internet y el sector financiero siguen desovando nuevos millonarios y hasta multimillonarios a un ritmo asombroso. </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Las causas de la creciente desigualdad en el interior de los países son bien entendibles,</w:t>
      </w:r>
      <w:r>
        <w:rPr>
          <w:rFonts w:ascii="Times New Roman" w:eastAsia="Times New Roman" w:hAnsi="Times New Roman"/>
          <w:sz w:val="24"/>
          <w:szCs w:val="24"/>
          <w:lang w:eastAsia="es-ES"/>
        </w:rPr>
        <w:t xml:space="preserve"> y  ya han sido señaladas anteriormente</w:t>
      </w:r>
      <w:r w:rsidRPr="00A861EC">
        <w:rPr>
          <w:rFonts w:ascii="Times New Roman" w:eastAsia="Times New Roman" w:hAnsi="Times New Roman"/>
          <w:sz w:val="24"/>
          <w:szCs w:val="24"/>
          <w:lang w:eastAsia="es-ES"/>
        </w:rPr>
        <w:t xml:space="preserve">. Vivimos en una época en la que la globalización expande el mercado para los individuos ultra talentosos, pero hace que la competencia deje afuera a los empleados comunes. La competencia entre países por individuos calificados e industrias rentables, a su vez, limita la capacidad de los gobiernos de mantener impuestos elevados a los ricos. La movilidad social está aún más afectada porque los ricos les brindan a sus hijos una educación privada y ayuda post-escolar, mientras que los más pobres en muchos países no pueden permitirse ni siquiera que sus hijos sigan yendo a la escuela. </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En el siglo XIX, Ka</w:t>
      </w:r>
      <w:r>
        <w:rPr>
          <w:rFonts w:ascii="Times New Roman" w:eastAsia="Times New Roman" w:hAnsi="Times New Roman"/>
          <w:sz w:val="24"/>
          <w:szCs w:val="24"/>
          <w:lang w:eastAsia="es-ES"/>
        </w:rPr>
        <w:t>rl Marx observó inteligentemente</w:t>
      </w:r>
      <w:r w:rsidRPr="00A861EC">
        <w:rPr>
          <w:rFonts w:ascii="Times New Roman" w:eastAsia="Times New Roman" w:hAnsi="Times New Roman"/>
          <w:sz w:val="24"/>
          <w:szCs w:val="24"/>
          <w:lang w:eastAsia="es-ES"/>
        </w:rPr>
        <w:t xml:space="preserve"> las tendencias de desigualdad en sus días y concluyó que el capitalismo no podía sustentarse políticamente de manera indefinida. Llegado el caso, los trabajadores se levantarían y derrocarían el sistema. Transcurrida la primera década del siglo XXI, aún se espera que llegue el caso… Mientras, fuera de Cuba, Corea del Norte y unas pocas universidades de izquierda en todo el mundo, ya nadie se toma en serio a Marx.</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Sin embargo, en un momento en que la desigualdad alcanza niveles similares a los de hace 100 años, el statu quo tiene que ser vulnerable. La inestabilidad puede expresarse en cualquier parte. Fue apenas hace poco más de cuatro décadas que los disturbios urbanos y las manifestaciones masivas sacudieron al mundo desarrollado, catalizando en definitiva reformas sociales y políticas de amplio alcance. </w:t>
      </w:r>
    </w:p>
    <w:p w:rsidR="002F07D4" w:rsidRPr="00A861EC"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Sin embargo, sería un grave error suponer que la enorme desigualdad es estable siempre que surja a través de la innovación y el crecimiento.</w:t>
      </w:r>
    </w:p>
    <w:p w:rsidR="002F07D4" w:rsidRDefault="002F07D4" w:rsidP="002F07D4">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Lo que resulta evidente es que la desigualdad no es sólo una cuestión de largo plazo. Las preocupaciones sobre el impacto de la desigualdad de ingresos ya están constriñendo la política fiscal y monetaria en países desarrollados y en desarrollo por igual, a la vez que intentan abandonar las políticas de híper estimulación adoptadas durante la crisis financiera</w:t>
      </w:r>
      <w:r>
        <w:rPr>
          <w:rFonts w:ascii="Times New Roman" w:eastAsia="Times New Roman" w:hAnsi="Times New Roman"/>
          <w:sz w:val="24"/>
          <w:szCs w:val="24"/>
          <w:lang w:eastAsia="es-ES"/>
        </w:rPr>
        <w:t>…</w:t>
      </w:r>
    </w:p>
    <w:p w:rsidR="002F07D4" w:rsidRPr="00597688" w:rsidRDefault="002F07D4" w:rsidP="002F07D4">
      <w:pPr>
        <w:pStyle w:val="NormalWeb"/>
        <w:jc w:val="both"/>
        <w:rPr>
          <w:u w:val="single"/>
        </w:rPr>
      </w:pPr>
      <w:r w:rsidRPr="00950ED4">
        <w:rPr>
          <w:u w:val="single"/>
        </w:rPr>
        <w:t>La bomba de tiempo del desempleo juvenil</w:t>
      </w:r>
    </w:p>
    <w:p w:rsidR="002F07D4" w:rsidRPr="009408CC" w:rsidRDefault="002F07D4" w:rsidP="002F07D4">
      <w:pPr>
        <w:pStyle w:val="NormalWeb"/>
        <w:jc w:val="both"/>
      </w:pPr>
      <w:r>
        <w:t>El mundo, dicen, está “</w:t>
      </w:r>
      <w:r w:rsidRPr="009408CC">
        <w:t>sentado sobre una bomb</w:t>
      </w:r>
      <w:r>
        <w:t>a de tiempo, social y económica”</w:t>
      </w:r>
      <w:r w:rsidRPr="009408CC">
        <w:t>. El mundo está plagado de desempleo juvenil.</w:t>
      </w:r>
    </w:p>
    <w:p w:rsidR="002F07D4" w:rsidRPr="009408CC" w:rsidRDefault="002F07D4" w:rsidP="002F07D4">
      <w:pPr>
        <w:pStyle w:val="NormalWeb"/>
        <w:jc w:val="both"/>
      </w:pPr>
      <w:r w:rsidRPr="009408CC">
        <w:t xml:space="preserve">Los números son duros. En algunos países del mundo árabe hasta el 90% de los jóvenes en edades comprendidas entre los 16 y </w:t>
      </w:r>
      <w:r>
        <w:t>24 años está desempleado. En EEUU</w:t>
      </w:r>
      <w:r w:rsidRPr="009408CC">
        <w:t xml:space="preserve"> el desempleo juvenil llega a 23%, en España al casi 50% y en el Reino Unido al 22%.</w:t>
      </w:r>
    </w:p>
    <w:p w:rsidR="002F07D4" w:rsidRDefault="002F07D4" w:rsidP="002F07D4">
      <w:pPr>
        <w:pStyle w:val="NormalWeb"/>
        <w:jc w:val="both"/>
      </w:pPr>
      <w:r w:rsidRPr="009408CC">
        <w:lastRenderedPageBreak/>
        <w:t>En todo el mundo hay 200 millones de desempleados. 75 millones tienen edades entre los 16 y 24 años, y cada año cerca de 40 millones de jóvenes están listos para entrar al mercado laboral.</w:t>
      </w:r>
    </w:p>
    <w:p w:rsidR="002F07D4" w:rsidRPr="009408CC" w:rsidRDefault="002F07D4" w:rsidP="002F07D4">
      <w:pPr>
        <w:pStyle w:val="NormalWeb"/>
        <w:jc w:val="both"/>
      </w:pPr>
      <w:r w:rsidRPr="009408CC">
        <w:t>Los líderes empresariales reunidos en el Foro Económico Mundial (enero 2012) saben que las cifras son importantes: los jóvenes que estuvieron desempleados por mucho tiempo ganaran menos dinero durante toda su vida.</w:t>
      </w:r>
    </w:p>
    <w:p w:rsidR="002F07D4" w:rsidRPr="009408CC" w:rsidRDefault="002F07D4" w:rsidP="002F07D4">
      <w:pPr>
        <w:pStyle w:val="NormalWeb"/>
        <w:jc w:val="both"/>
      </w:pPr>
      <w:r w:rsidRPr="009408CC">
        <w:t>Tendrán menos probabilidades de ser empleados. No tendrán las habilidades que las empresas necesitan. Es más probable que tengan problemas de salud a largo plazo. Y la situación puede degenerar en descontento social.</w:t>
      </w:r>
    </w:p>
    <w:p w:rsidR="002F07D4" w:rsidRPr="009408CC" w:rsidRDefault="002F07D4" w:rsidP="002F07D4">
      <w:pPr>
        <w:pStyle w:val="NormalWeb"/>
        <w:jc w:val="both"/>
      </w:pPr>
      <w:r w:rsidRPr="009408CC">
        <w:t>Hay un término para eso: la generación perdida. O como dice un profesor de una escuela de negocios “El desempleo es una porquería. El desempleo juvenil es peor aún. Los jóvenes perdieron la línea de visión hacia el futuro”.</w:t>
      </w:r>
    </w:p>
    <w:p w:rsidR="002F07D4" w:rsidRDefault="002F07D4" w:rsidP="002F07D4">
      <w:pPr>
        <w:pStyle w:val="NormalWeb"/>
        <w:jc w:val="both"/>
      </w:pPr>
      <w:r>
        <w:t>Cifras duras</w:t>
      </w:r>
    </w:p>
    <w:p w:rsidR="002F07D4" w:rsidRDefault="002F07D4" w:rsidP="002F07D4">
      <w:pPr>
        <w:pStyle w:val="NormalWeb"/>
        <w:jc w:val="both"/>
      </w:pPr>
      <w:r>
        <w:t>•200 millones de desempleados a nivel mundial</w:t>
      </w:r>
    </w:p>
    <w:p w:rsidR="002F07D4" w:rsidRDefault="002F07D4" w:rsidP="002F07D4">
      <w:pPr>
        <w:pStyle w:val="NormalWeb"/>
        <w:jc w:val="both"/>
      </w:pPr>
      <w:r>
        <w:t>•75 millones con edades entre 16 y 24 años.</w:t>
      </w:r>
    </w:p>
    <w:p w:rsidR="002F07D4" w:rsidRDefault="002F07D4" w:rsidP="002F07D4">
      <w:pPr>
        <w:pStyle w:val="NormalWeb"/>
        <w:jc w:val="both"/>
      </w:pPr>
      <w:r>
        <w:t>•90% de los jóvenes en países árabes no tienen trabajo.</w:t>
      </w:r>
    </w:p>
    <w:p w:rsidR="002F07D4" w:rsidRDefault="002F07D4" w:rsidP="002F07D4">
      <w:pPr>
        <w:pStyle w:val="NormalWeb"/>
        <w:jc w:val="both"/>
      </w:pPr>
      <w:r>
        <w:t>•23% desempleo juvenil en EEUU.</w:t>
      </w:r>
    </w:p>
    <w:p w:rsidR="002F07D4" w:rsidRDefault="002F07D4" w:rsidP="002F07D4">
      <w:pPr>
        <w:pStyle w:val="NormalWeb"/>
        <w:jc w:val="both"/>
      </w:pPr>
      <w:r>
        <w:t>•22% en Reino Unido</w:t>
      </w:r>
    </w:p>
    <w:p w:rsidR="002F07D4" w:rsidRDefault="002F07D4" w:rsidP="002F07D4">
      <w:pPr>
        <w:pStyle w:val="NormalWeb"/>
        <w:jc w:val="both"/>
      </w:pPr>
      <w:r>
        <w:t>•50% en España</w:t>
      </w:r>
    </w:p>
    <w:p w:rsidR="002F07D4" w:rsidRDefault="002F07D4" w:rsidP="002F07D4">
      <w:pPr>
        <w:pStyle w:val="NormalWeb"/>
        <w:jc w:val="both"/>
      </w:pPr>
      <w:r>
        <w:t>•Cada año 40 millones de jóvenes ingresan al mercado laboral.</w:t>
      </w:r>
    </w:p>
    <w:p w:rsidR="002F07D4" w:rsidRDefault="002F07D4" w:rsidP="002F07D4">
      <w:pPr>
        <w:pStyle w:val="NormalWeb"/>
        <w:jc w:val="both"/>
      </w:pPr>
      <w:r>
        <w:t>A los jefes les preocupan estas cosas, hasta a los de corazón más frío, porque todo lo mencionado arriba cuesta dinero.</w:t>
      </w:r>
    </w:p>
    <w:p w:rsidR="002F07D4" w:rsidRDefault="002F07D4" w:rsidP="002F07D4">
      <w:pPr>
        <w:pStyle w:val="NormalWeb"/>
        <w:jc w:val="both"/>
      </w:pPr>
      <w:r>
        <w:t>Indirectamente, porque hay un menor demanda para sus productos y servicios; directamente, en costos de entrenamiento y de salud, e impuestos más altos.</w:t>
      </w:r>
    </w:p>
    <w:p w:rsidR="002F07D4" w:rsidRDefault="002F07D4" w:rsidP="002F07D4">
      <w:pPr>
        <w:pStyle w:val="NormalWeb"/>
        <w:jc w:val="both"/>
      </w:pPr>
      <w:r>
        <w:t>Luego tenemos la parte demográfica. En Jordania cerca del 70% de la población tiene menos de 30 años. Si los jóvenes no están preparados para el trabajo, el país se quedará pronto sin talento, dijo un participante.</w:t>
      </w:r>
    </w:p>
    <w:p w:rsidR="002F07D4" w:rsidRDefault="002F07D4" w:rsidP="002F07D4">
      <w:pPr>
        <w:pStyle w:val="NormalWeb"/>
        <w:jc w:val="both"/>
      </w:pPr>
      <w:r>
        <w:t>Para los políticos, la Primavera Árabe es algo que sigue fresca en la mente de la gente. Los levantamientos comenzaron en Túnez cuando Mohamed Bouazizi se inmoló.</w:t>
      </w:r>
    </w:p>
    <w:p w:rsidR="002F07D4" w:rsidRDefault="002F07D4" w:rsidP="002F07D4">
      <w:pPr>
        <w:pStyle w:val="NormalWeb"/>
        <w:jc w:val="both"/>
      </w:pPr>
      <w:r>
        <w:t>“Se mató no porque quería hacer una protesta política. Se mató porque no tenía un empleo”, dijo un gerente de fondos de inversión de Pakistán. La falta de oportunidades para los jóvenes fue uno de los catalizadores de la llamada Primavera Árabe.</w:t>
      </w:r>
    </w:p>
    <w:p w:rsidR="002F07D4" w:rsidRDefault="002F07D4" w:rsidP="002F07D4">
      <w:pPr>
        <w:pStyle w:val="NormalWeb"/>
        <w:jc w:val="both"/>
      </w:pPr>
      <w:r>
        <w:lastRenderedPageBreak/>
        <w:t>Los organizadores del Foro Económico Mundial de Davos quieren demostrar que su inmensa red -una combinación única de grandes empresas, gobiernos, activistas sociales y organizaciones no gubernamentales- puede hacer una diferencia.</w:t>
      </w:r>
    </w:p>
    <w:p w:rsidR="002F07D4" w:rsidRDefault="002F07D4" w:rsidP="002F07D4">
      <w:pPr>
        <w:pStyle w:val="NormalWeb"/>
        <w:jc w:val="both"/>
      </w:pPr>
      <w:r>
        <w:t>Se organizó un taller para identificar qué causa el desempleo juvenil y si puede existir alguna solución rápida para atacar el problema, para quienes hablaron era obvio que el problema desafía las soluciones simples.</w:t>
      </w:r>
    </w:p>
    <w:p w:rsidR="002F07D4" w:rsidRPr="00081339" w:rsidRDefault="002F07D4" w:rsidP="002F07D4">
      <w:pPr>
        <w:pStyle w:val="NormalWeb"/>
        <w:jc w:val="both"/>
      </w:pPr>
      <w:r w:rsidRPr="00081339">
        <w:t>Claro que todo desempleo tiene una cosa en común: la falta de demanda de trabajadores. Pero cada país, cada región tiene problemas diferentes.</w:t>
      </w:r>
    </w:p>
    <w:p w:rsidR="002F07D4" w:rsidRPr="00081339" w:rsidRDefault="002F07D4" w:rsidP="002F07D4">
      <w:pPr>
        <w:pStyle w:val="NormalWeb"/>
        <w:jc w:val="both"/>
      </w:pPr>
      <w:r w:rsidRPr="00081339">
        <w:t>La automatización reemplaza muchos trabajos rutinarios, no sólo en los países desarrollados.</w:t>
      </w:r>
    </w:p>
    <w:p w:rsidR="002F07D4" w:rsidRPr="00081339" w:rsidRDefault="002F07D4" w:rsidP="002F07D4">
      <w:pPr>
        <w:pStyle w:val="NormalWeb"/>
        <w:jc w:val="both"/>
      </w:pPr>
      <w:r w:rsidRPr="00081339">
        <w:t>Hay problemas estructurales, por ejemplo cuando es muy burocratizado contratar a alguien.</w:t>
      </w:r>
    </w:p>
    <w:p w:rsidR="002F07D4" w:rsidRPr="00081339" w:rsidRDefault="002F07D4" w:rsidP="002F07D4">
      <w:pPr>
        <w:pStyle w:val="NormalWeb"/>
        <w:jc w:val="both"/>
      </w:pPr>
      <w:r w:rsidRPr="00081339">
        <w:t>También puede achacársele alguna culpa al sistema educativo, que falla en darles a los jóvenes las destrezas que se necesitan para trabajos en economías avanzadas.</w:t>
      </w:r>
    </w:p>
    <w:p w:rsidR="002F07D4" w:rsidRPr="00081339" w:rsidRDefault="002F07D4" w:rsidP="002F07D4">
      <w:pPr>
        <w:pStyle w:val="NormalWeb"/>
        <w:jc w:val="both"/>
      </w:pPr>
      <w:r w:rsidRPr="00081339">
        <w:t>En Corea del Sur es al contrario. Hay tantos graduados universitarios que el país se está quedando sin gente para llenar trabajos de obreros.</w:t>
      </w:r>
    </w:p>
    <w:p w:rsidR="002F07D4" w:rsidRDefault="002F07D4" w:rsidP="002F07D4">
      <w:pPr>
        <w:pStyle w:val="NormalWeb"/>
        <w:jc w:val="both"/>
      </w:pPr>
      <w:r w:rsidRPr="00081339">
        <w:t>Además están las destrezas vitales o la falta de ellas. Algunos jóvenes no conocen lo básico, desde vincularse con compañeros de trabajo hasta tener las habilidades empresariales fundamentales.</w:t>
      </w:r>
    </w:p>
    <w:p w:rsidR="002F07D4" w:rsidRPr="00081339" w:rsidRDefault="002F07D4" w:rsidP="002F07D4">
      <w:pPr>
        <w:pStyle w:val="NormalWeb"/>
        <w:jc w:val="both"/>
      </w:pPr>
      <w:r w:rsidRPr="00081339">
        <w:t>Pero a veces una mejor educación podría aportar una solución: en China, muchos repartidores de correspondencia sólo pueden leer chino, lo que les impide trabajar en compañías logísticas internacionales que distribuyen correos y paquetería llegada del mundo entero.</w:t>
      </w:r>
    </w:p>
    <w:p w:rsidR="002F07D4" w:rsidRPr="00081339" w:rsidRDefault="002F07D4" w:rsidP="002F07D4">
      <w:pPr>
        <w:pStyle w:val="NormalWeb"/>
        <w:jc w:val="both"/>
      </w:pPr>
      <w:r w:rsidRPr="00081339">
        <w:t>También hay problemas culturales. Algunos países gradúan grandes cantidades de mujeres en la educación universitaria, sólo para negarles las oportunidades de trabajo, con lo que desperdician sus talentos.</w:t>
      </w:r>
    </w:p>
    <w:p w:rsidR="002F07D4" w:rsidRDefault="002F07D4" w:rsidP="002F07D4">
      <w:pPr>
        <w:pStyle w:val="NormalWeb"/>
        <w:jc w:val="both"/>
      </w:pPr>
      <w:r>
        <w:t>¿Qué hacer?</w:t>
      </w:r>
    </w:p>
    <w:p w:rsidR="002F07D4" w:rsidRPr="00081339" w:rsidRDefault="002F07D4" w:rsidP="002F07D4">
      <w:pPr>
        <w:pStyle w:val="NormalWeb"/>
        <w:jc w:val="both"/>
      </w:pPr>
      <w:r w:rsidRPr="00081339">
        <w:t>Es un tema que se presenta una y otra vez: negocios, universidades y escuelas, gobiernos y organizaciones no gubernamentales, no logran comunicarse sobre qué es lo que necesitan y qué es lo que pueden lograr.</w:t>
      </w:r>
    </w:p>
    <w:p w:rsidR="002F07D4" w:rsidRPr="00081339" w:rsidRDefault="002F07D4" w:rsidP="002F07D4">
      <w:pPr>
        <w:pStyle w:val="NormalWeb"/>
        <w:jc w:val="both"/>
      </w:pPr>
      <w:r w:rsidRPr="00081339">
        <w:t>“El sector privado podría ser un elemento de cambio”, afirmó un participante, un activista de izquierda que trabaja en una campaña educativa.</w:t>
      </w:r>
    </w:p>
    <w:p w:rsidR="002F07D4" w:rsidRPr="00081339" w:rsidRDefault="002F07D4" w:rsidP="002F07D4">
      <w:pPr>
        <w:pStyle w:val="NormalWeb"/>
        <w:jc w:val="both"/>
      </w:pPr>
      <w:r w:rsidRPr="00081339">
        <w:t>“Las universidades son simplemente muy lentas”, dice un industrial, “Si les digo que necesito graduados con diferentes destrezas, les toma dos o más años cambiar sus cursos. Para ese entonces la tecnología estará cambiando de nuevo”.</w:t>
      </w:r>
    </w:p>
    <w:p w:rsidR="002F07D4" w:rsidRDefault="002F07D4" w:rsidP="002F07D4">
      <w:pPr>
        <w:pStyle w:val="NormalWeb"/>
        <w:jc w:val="both"/>
      </w:pPr>
      <w:r w:rsidRPr="00081339">
        <w:lastRenderedPageBreak/>
        <w:t>Pero de todos modos, otro empresario advirtió que “una buena educación ya no te garantiza una buena vida”.</w:t>
      </w:r>
    </w:p>
    <w:p w:rsidR="002F07D4" w:rsidRPr="00081339" w:rsidRDefault="002F07D4" w:rsidP="002F07D4">
      <w:pPr>
        <w:pStyle w:val="NormalWeb"/>
        <w:jc w:val="both"/>
      </w:pPr>
      <w:r w:rsidRPr="00081339">
        <w:t>Sean del mundo árabe, de América del Norte o de América Latina o Asia, muchos ejecutivos lamentaron la falta de impulso empresarial y de destrezas básicas de negocios y la necesidad de una cultura donde el fracaso no sea celebrado.</w:t>
      </w:r>
    </w:p>
    <w:p w:rsidR="002F07D4" w:rsidRDefault="002F07D4" w:rsidP="002F07D4">
      <w:pPr>
        <w:pStyle w:val="NormalWeb"/>
        <w:jc w:val="both"/>
      </w:pPr>
      <w:r w:rsidRPr="00081339">
        <w:t>Un hombre que está a cargo de una empresa con varios cientos de miles de empleados en todo el mundo se quejaba de que “vivimos en un mundo en el que la creación de la riqueza no va paralela a la creación de trabajo. Esa otrora cercana conexión está rota”.</w:t>
      </w:r>
    </w:p>
    <w:p w:rsidR="002F07D4" w:rsidRDefault="002F07D4" w:rsidP="002F07D4">
      <w:pPr>
        <w:pStyle w:val="NormalWeb"/>
        <w:jc w:val="both"/>
      </w:pPr>
      <w:r w:rsidRPr="00081339">
        <w:t>Mientras algunos sugieren la creación de grandes programas, con una inversión de US$ 50.000 millones en los próximos diez años para adiestrar gente en todo el mundo, otros proponen pasos más pequeños con mayor garantía de éxito</w:t>
      </w:r>
      <w:r>
        <w:t>…</w:t>
      </w:r>
    </w:p>
    <w:p w:rsidR="002F07D4" w:rsidRPr="007A74A3" w:rsidRDefault="002F07D4" w:rsidP="002F07D4">
      <w:pPr>
        <w:spacing w:line="240" w:lineRule="auto"/>
        <w:jc w:val="both"/>
        <w:rPr>
          <w:rFonts w:ascii="Times New Roman" w:hAnsi="Times New Roman"/>
          <w:b/>
          <w:sz w:val="24"/>
          <w:szCs w:val="24"/>
        </w:rPr>
      </w:pPr>
      <w:r w:rsidRPr="007A74A3">
        <w:rPr>
          <w:rFonts w:ascii="Times New Roman" w:hAnsi="Times New Roman"/>
          <w:b/>
          <w:sz w:val="24"/>
          <w:szCs w:val="24"/>
        </w:rPr>
        <w:t>(Junio 2015)</w:t>
      </w:r>
      <w:r>
        <w:rPr>
          <w:rFonts w:ascii="Times New Roman" w:hAnsi="Times New Roman"/>
          <w:b/>
          <w:sz w:val="24"/>
          <w:szCs w:val="24"/>
        </w:rPr>
        <w:t xml:space="preserve"> Mientras las “apuestas perdidas” se continúan saldando con “vidas robadas”</w:t>
      </w:r>
    </w:p>
    <w:p w:rsidR="002F07D4" w:rsidRDefault="002F07D4" w:rsidP="002F07D4">
      <w:pPr>
        <w:spacing w:line="240" w:lineRule="auto"/>
        <w:jc w:val="both"/>
        <w:rPr>
          <w:rFonts w:ascii="Times New Roman" w:hAnsi="Times New Roman" w:cs="Times New Roman"/>
          <w:b/>
          <w:sz w:val="24"/>
          <w:szCs w:val="24"/>
        </w:rPr>
      </w:pPr>
      <w:r w:rsidRPr="004F357F">
        <w:rPr>
          <w:rFonts w:ascii="Times New Roman" w:hAnsi="Times New Roman" w:cs="Times New Roman"/>
          <w:b/>
          <w:sz w:val="24"/>
          <w:szCs w:val="24"/>
        </w:rPr>
        <w:t>La interacción entre la desigualdad y la manipulación de las reglas políticas</w:t>
      </w:r>
      <w:r>
        <w:rPr>
          <w:rFonts w:ascii="Times New Roman" w:hAnsi="Times New Roman" w:cs="Times New Roman"/>
          <w:b/>
          <w:sz w:val="24"/>
          <w:szCs w:val="24"/>
        </w:rPr>
        <w:t>:e</w:t>
      </w:r>
      <w:r w:rsidRPr="004F357F">
        <w:rPr>
          <w:rFonts w:ascii="Times New Roman" w:hAnsi="Times New Roman" w:cs="Times New Roman"/>
          <w:b/>
          <w:sz w:val="24"/>
          <w:szCs w:val="24"/>
        </w:rPr>
        <w:t>n medio del malestar económico de la mayoría de la población (en Estados Unidos y la Unión Europea) se les asegura que estarían peor sin el “relajamiento cuantitativo” (lanzar billetes desde el helicóptero) de la Reserva Federal o del Banco Central Europeo. Cuando la triste realidad es que utilizan la política monetaria</w:t>
      </w:r>
      <w:r>
        <w:rPr>
          <w:rFonts w:ascii="Times New Roman" w:hAnsi="Times New Roman" w:cs="Times New Roman"/>
          <w:b/>
          <w:sz w:val="24"/>
          <w:szCs w:val="24"/>
        </w:rPr>
        <w:t>,</w:t>
      </w:r>
      <w:r w:rsidRPr="004F357F">
        <w:rPr>
          <w:rFonts w:ascii="Times New Roman" w:hAnsi="Times New Roman" w:cs="Times New Roman"/>
          <w:b/>
          <w:sz w:val="24"/>
          <w:szCs w:val="24"/>
        </w:rPr>
        <w:t xml:space="preserve"> para validar los precios de las acciones alcanzados en plena burbuja (la </w:t>
      </w:r>
      <w:r>
        <w:rPr>
          <w:rFonts w:ascii="Times New Roman" w:hAnsi="Times New Roman" w:cs="Times New Roman"/>
          <w:b/>
          <w:sz w:val="24"/>
          <w:szCs w:val="24"/>
        </w:rPr>
        <w:t>“</w:t>
      </w:r>
      <w:r w:rsidRPr="004F357F">
        <w:rPr>
          <w:rFonts w:ascii="Times New Roman" w:hAnsi="Times New Roman" w:cs="Times New Roman"/>
          <w:b/>
          <w:sz w:val="24"/>
          <w:szCs w:val="24"/>
        </w:rPr>
        <w:t>opción</w:t>
      </w:r>
      <w:r>
        <w:rPr>
          <w:rFonts w:ascii="Times New Roman" w:hAnsi="Times New Roman" w:cs="Times New Roman"/>
          <w:b/>
          <w:sz w:val="24"/>
          <w:szCs w:val="24"/>
        </w:rPr>
        <w:t>”</w:t>
      </w:r>
      <w:r w:rsidRPr="004F357F">
        <w:rPr>
          <w:rFonts w:ascii="Times New Roman" w:hAnsi="Times New Roman" w:cs="Times New Roman"/>
          <w:b/>
          <w:sz w:val="24"/>
          <w:szCs w:val="24"/>
        </w:rPr>
        <w:t xml:space="preserve"> Greenspan -el Tartufo-, que siguió con </w:t>
      </w:r>
      <w:r>
        <w:rPr>
          <w:rFonts w:ascii="Times New Roman" w:hAnsi="Times New Roman" w:cs="Times New Roman"/>
          <w:b/>
          <w:sz w:val="24"/>
          <w:szCs w:val="24"/>
        </w:rPr>
        <w:t>“</w:t>
      </w:r>
      <w:r w:rsidRPr="004F357F">
        <w:rPr>
          <w:rFonts w:ascii="Times New Roman" w:hAnsi="Times New Roman" w:cs="Times New Roman"/>
          <w:b/>
          <w:sz w:val="24"/>
          <w:szCs w:val="24"/>
        </w:rPr>
        <w:t>obediencia debida</w:t>
      </w:r>
      <w:r>
        <w:rPr>
          <w:rFonts w:ascii="Times New Roman" w:hAnsi="Times New Roman" w:cs="Times New Roman"/>
          <w:b/>
          <w:sz w:val="24"/>
          <w:szCs w:val="24"/>
        </w:rPr>
        <w:t>” Bernanke -el A</w:t>
      </w:r>
      <w:r w:rsidRPr="004F357F">
        <w:rPr>
          <w:rFonts w:ascii="Times New Roman" w:hAnsi="Times New Roman" w:cs="Times New Roman"/>
          <w:b/>
          <w:sz w:val="24"/>
          <w:szCs w:val="24"/>
        </w:rPr>
        <w:t xml:space="preserve">gradador-). </w:t>
      </w:r>
    </w:p>
    <w:p w:rsidR="002F07D4" w:rsidRDefault="002F07D4" w:rsidP="002F07D4">
      <w:pPr>
        <w:pStyle w:val="NormalWeb"/>
        <w:jc w:val="both"/>
        <w:rPr>
          <w:color w:val="000000"/>
        </w:rPr>
      </w:pPr>
      <w:r w:rsidRPr="006329C5">
        <w:rPr>
          <w:b/>
        </w:rPr>
        <w:t xml:space="preserve">En los últimos cinco años los países del </w:t>
      </w:r>
      <w:r w:rsidRPr="006329C5">
        <w:rPr>
          <w:rStyle w:val="Textoennegrita"/>
        </w:rPr>
        <w:t>G7 han añadido casi 18 billones de dólares de deuda</w:t>
      </w:r>
      <w:r w:rsidRPr="006329C5">
        <w:rPr>
          <w:b/>
        </w:rPr>
        <w:t xml:space="preserve"> hasta un récord de 140 billones, con casi cinco billones de expansión del balance de sus bancos centrales para generar solamente un billón de dólares de PIB nominal. Es decir, en cinco años, para generar u</w:t>
      </w:r>
      <w:r>
        <w:rPr>
          <w:b/>
        </w:rPr>
        <w:t>n dólar de crecimiento, se han “gastado”</w:t>
      </w:r>
      <w:r w:rsidRPr="006329C5">
        <w:rPr>
          <w:b/>
        </w:rPr>
        <w:t xml:space="preserve"> 18 dólares, un 30% de ellos de los bancos centrales. Todo ello manteniendo la </w:t>
      </w:r>
      <w:r w:rsidRPr="006329C5">
        <w:rPr>
          <w:rStyle w:val="Textoennegrita"/>
        </w:rPr>
        <w:t>deuda total consolidada del sistema en el 440% del PIB.</w:t>
      </w:r>
      <w:r w:rsidRPr="006329C5">
        <w:rPr>
          <w:b/>
        </w:rPr>
        <w:t>La inversión en crecimiento que se supone que se consigue con los déficits astronómicos, deuda y expansión agresiva de los bancos centrales simplemente no da fruto.</w:t>
      </w:r>
      <w:r w:rsidRPr="00EF10FE">
        <w:rPr>
          <w:color w:val="000000"/>
        </w:rPr>
        <w:t>¿</w:t>
      </w:r>
      <w:r w:rsidRPr="00EF10FE">
        <w:rPr>
          <w:color w:val="000000"/>
          <w:u w:val="single"/>
        </w:rPr>
        <w:t>Cómo salimos de una política monetaria expansiva</w:t>
      </w:r>
      <w:r w:rsidRPr="00EF10FE">
        <w:rPr>
          <w:color w:val="000000"/>
        </w:rPr>
        <w:t>?</w:t>
      </w:r>
      <w:r>
        <w:rPr>
          <w:color w:val="000000"/>
        </w:rPr>
        <w:t xml:space="preserve"> (Daniel Lacalle - El Confidencial - </w:t>
      </w:r>
      <w:r w:rsidRPr="00EF10FE">
        <w:rPr>
          <w:b/>
          <w:color w:val="000000"/>
        </w:rPr>
        <w:t>27/6/15</w:t>
      </w:r>
      <w:r>
        <w:rPr>
          <w:color w:val="000000"/>
        </w:rPr>
        <w:t xml:space="preserve">) </w:t>
      </w:r>
    </w:p>
    <w:p w:rsidR="002F07D4" w:rsidRDefault="002F07D4" w:rsidP="002F07D4">
      <w:pPr>
        <w:pStyle w:val="NormalWeb"/>
        <w:jc w:val="both"/>
        <w:rPr>
          <w:color w:val="000000"/>
        </w:rPr>
      </w:pPr>
      <w:r w:rsidRPr="008820CC">
        <w:rPr>
          <w:b/>
        </w:rPr>
        <w:t xml:space="preserve">Según un informe de Swiss Re, “la política monetaria y las compras de activos de los bancos centrales han agravado la desigualdad económica a través de una inflación de los precios de las acciones”. El 1% superior de los hogares de Estados Unidos se beneficiaron con un alza del 50% en su riqueza financiera, mientras que el 90% inferior obtuvo apenas una ganancia del 12%. El 20% inferior probablemente no se haya beneficiado en absoluto. </w:t>
      </w:r>
      <w:r>
        <w:t>(</w:t>
      </w:r>
      <w:r w:rsidRPr="00D15B01">
        <w:rPr>
          <w:color w:val="000000"/>
        </w:rPr>
        <w:t>¿</w:t>
      </w:r>
      <w:r w:rsidRPr="00D15B01">
        <w:rPr>
          <w:color w:val="000000"/>
          <w:u w:val="single"/>
        </w:rPr>
        <w:t>La represión financiera llegó para quedarse</w:t>
      </w:r>
      <w:r w:rsidRPr="00D15B01">
        <w:rPr>
          <w:color w:val="000000"/>
        </w:rPr>
        <w:t>?</w:t>
      </w:r>
      <w:r>
        <w:rPr>
          <w:color w:val="000000"/>
        </w:rPr>
        <w:t xml:space="preserve"> (</w:t>
      </w:r>
      <w:r w:rsidRPr="008820CC">
        <w:rPr>
          <w:color w:val="000000"/>
        </w:rPr>
        <w:t xml:space="preserve">Howard Davies </w:t>
      </w:r>
      <w:r>
        <w:rPr>
          <w:color w:val="000000"/>
        </w:rPr>
        <w:t xml:space="preserve">- Project Syndicate - </w:t>
      </w:r>
      <w:r>
        <w:rPr>
          <w:b/>
          <w:color w:val="000000"/>
        </w:rPr>
        <w:t>23</w:t>
      </w:r>
      <w:r w:rsidRPr="00D15B01">
        <w:rPr>
          <w:b/>
          <w:color w:val="000000"/>
        </w:rPr>
        <w:t>/6/15</w:t>
      </w:r>
      <w:r>
        <w:rPr>
          <w:color w:val="000000"/>
        </w:rPr>
        <w:t>)</w:t>
      </w:r>
    </w:p>
    <w:p w:rsidR="002F07D4" w:rsidRPr="003C58FC" w:rsidRDefault="002F07D4" w:rsidP="002F07D4">
      <w:pPr>
        <w:pStyle w:val="NormalWeb"/>
        <w:jc w:val="both"/>
        <w:rPr>
          <w:color w:val="000000"/>
        </w:rPr>
      </w:pPr>
      <w:r w:rsidRPr="008A5CDE">
        <w:rPr>
          <w:b/>
        </w:rPr>
        <w:t>Sic transit gloria mundi</w:t>
      </w:r>
      <w:r>
        <w:rPr>
          <w:b/>
        </w:rPr>
        <w:t>… (que Dios nos pille confesados)</w:t>
      </w:r>
    </w:p>
    <w:p w:rsidR="002F07D4" w:rsidRDefault="002F07D4" w:rsidP="002F07D4">
      <w:pPr>
        <w:spacing w:line="240" w:lineRule="auto"/>
        <w:jc w:val="both"/>
        <w:rPr>
          <w:rFonts w:ascii="Times New Roman" w:eastAsia="Times New Roman" w:hAnsi="Times New Roman" w:cs="Times New Roman"/>
          <w:sz w:val="24"/>
          <w:szCs w:val="24"/>
          <w:lang w:eastAsia="es-ES"/>
        </w:rPr>
      </w:pPr>
    </w:p>
    <w:p w:rsidR="002D22ED" w:rsidRDefault="002D22ED" w:rsidP="002F07D4">
      <w:pPr>
        <w:spacing w:line="240" w:lineRule="auto"/>
        <w:jc w:val="both"/>
        <w:rPr>
          <w:rFonts w:ascii="Times New Roman" w:eastAsia="Times New Roman" w:hAnsi="Times New Roman" w:cs="Times New Roman"/>
          <w:sz w:val="24"/>
          <w:szCs w:val="24"/>
          <w:lang w:eastAsia="es-ES"/>
        </w:rPr>
      </w:pPr>
    </w:p>
    <w:p w:rsidR="002F07D4" w:rsidRPr="003C58FC" w:rsidRDefault="002D22ED" w:rsidP="002F07D4">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002F07D4">
        <w:rPr>
          <w:rFonts w:ascii="Times New Roman" w:hAnsi="Times New Roman" w:cs="Times New Roman"/>
          <w:b/>
          <w:sz w:val="24"/>
          <w:szCs w:val="24"/>
        </w:rPr>
        <w:t>Fracaso político: pérdida de credibilidad, avance del populismo y el nacionalismo</w:t>
      </w:r>
    </w:p>
    <w:p w:rsidR="002F07D4" w:rsidRPr="00F3796B" w:rsidRDefault="002F07D4" w:rsidP="002F07D4">
      <w:pPr>
        <w:pStyle w:val="NormalWeb"/>
        <w:spacing w:after="0"/>
        <w:jc w:val="both"/>
      </w:pPr>
      <w:r>
        <w:t xml:space="preserve">- </w:t>
      </w:r>
      <w:r w:rsidRPr="00F3796B">
        <w:rPr>
          <w:u w:val="single"/>
        </w:rPr>
        <w:t>Desigualdad, empobrecimiento y política: la crisis desata la ira del votante</w:t>
      </w:r>
      <w:r>
        <w:t xml:space="preserve"> (El Economista - </w:t>
      </w:r>
      <w:r w:rsidRPr="00F3796B">
        <w:rPr>
          <w:b/>
        </w:rPr>
        <w:t>26/3/16</w:t>
      </w:r>
      <w:r>
        <w:t>)                                                                       Lectura recomendada</w:t>
      </w:r>
    </w:p>
    <w:p w:rsidR="002F07D4" w:rsidRPr="005F0D65" w:rsidRDefault="002F07D4" w:rsidP="002F07D4">
      <w:pPr>
        <w:pStyle w:val="NormalWeb"/>
        <w:shd w:val="clear" w:color="auto" w:fill="FFFFFF"/>
        <w:spacing w:before="0" w:beforeAutospacing="0" w:after="0" w:afterAutospacing="0"/>
        <w:jc w:val="both"/>
        <w:textAlignment w:val="baseline"/>
      </w:pPr>
      <w:r w:rsidRPr="005F0D65">
        <w:t>Es una tendencia que traza una línea entre Donald Trump, Podemos, el Brexit, la ruptura del euro y la independencia de Cataluña. La pérdida de poder de la clase media, la desigualdad y la percibida inoperancia de los políticos en Occidente han creado una ola de enfado de los votantes de consecuencias imprevisibles. Una falta de soluciones para afrontar una salida digna de una crisis,</w:t>
      </w:r>
      <w:r w:rsidRPr="005F0D65">
        <w:rPr>
          <w:rStyle w:val="apple-converted-space"/>
        </w:rPr>
        <w:t> </w:t>
      </w:r>
      <w:hyperlink r:id="rId280" w:history="1">
        <w:r w:rsidRPr="005F0D65">
          <w:rPr>
            <w:rStyle w:val="Hipervnculo"/>
            <w:rFonts w:eastAsiaTheme="minorEastAsia"/>
            <w:color w:val="auto"/>
            <w:bdr w:val="none" w:sz="0" w:space="0" w:color="auto" w:frame="1"/>
          </w:rPr>
          <w:t>la peor desde la II Guerra Mundial</w:t>
        </w:r>
      </w:hyperlink>
      <w:r w:rsidRPr="005F0D65">
        <w:t>, que ha provocado un shock político sin precedentes entre las democracias consolidadas.</w:t>
      </w:r>
    </w:p>
    <w:p w:rsidR="002F07D4" w:rsidRPr="005F0D65" w:rsidRDefault="002F07D4" w:rsidP="002F07D4">
      <w:pPr>
        <w:pStyle w:val="NormalWeb"/>
        <w:shd w:val="clear" w:color="auto" w:fill="FFFFFF"/>
        <w:spacing w:before="0" w:beforeAutospacing="0" w:after="0" w:afterAutospacing="0"/>
        <w:jc w:val="both"/>
        <w:textAlignment w:val="baseline"/>
      </w:pPr>
    </w:p>
    <w:p w:rsidR="002F07D4" w:rsidRPr="005F0D65" w:rsidRDefault="002F07D4" w:rsidP="002F07D4">
      <w:pPr>
        <w:pStyle w:val="NormalWeb"/>
        <w:shd w:val="clear" w:color="auto" w:fill="FFFFFF"/>
        <w:spacing w:before="0" w:beforeAutospacing="0" w:after="0" w:afterAutospacing="0"/>
        <w:jc w:val="both"/>
        <w:textAlignment w:val="baseline"/>
      </w:pPr>
      <w:r w:rsidRPr="005F0D65">
        <w:t>De fondo, a la ansiedad del ciudadano medio se suman dos factores clave:</w:t>
      </w:r>
      <w:r w:rsidRPr="005F0D65">
        <w:rPr>
          <w:rStyle w:val="apple-converted-space"/>
        </w:rPr>
        <w:t> </w:t>
      </w:r>
      <w:hyperlink r:id="rId281" w:history="1">
        <w:r w:rsidRPr="005F0D65">
          <w:rPr>
            <w:rStyle w:val="Hipervnculo"/>
            <w:rFonts w:eastAsiaTheme="minorEastAsia"/>
            <w:color w:val="auto"/>
            <w:bdr w:val="none" w:sz="0" w:space="0" w:color="auto" w:frame="1"/>
          </w:rPr>
          <w:t>una revolución tecnológica</w:t>
        </w:r>
      </w:hyperlink>
      <w:r w:rsidRPr="005F0D65">
        <w:rPr>
          <w:rStyle w:val="apple-converted-space"/>
        </w:rPr>
        <w:t> </w:t>
      </w:r>
      <w:r w:rsidRPr="005F0D65">
        <w:t>que amenaza a millones de trabajadores y una oleada de inmigración que está provocando que muchos partidos con ideas desterradas hasta hace poco se hagan con un hueco importante en las principales economías del planeta.</w:t>
      </w:r>
    </w:p>
    <w:p w:rsidR="002F07D4" w:rsidRPr="005F0D65" w:rsidRDefault="002F07D4" w:rsidP="002F07D4">
      <w:pPr>
        <w:pStyle w:val="NormalWeb"/>
        <w:shd w:val="clear" w:color="auto" w:fill="FFFFFF"/>
        <w:spacing w:before="0" w:beforeAutospacing="0" w:after="0" w:afterAutospacing="0"/>
        <w:jc w:val="both"/>
        <w:textAlignment w:val="baseline"/>
      </w:pPr>
    </w:p>
    <w:p w:rsidR="002F07D4" w:rsidRPr="005F0D65" w:rsidRDefault="002F07D4" w:rsidP="002F07D4">
      <w:pPr>
        <w:pStyle w:val="NormalWeb"/>
        <w:shd w:val="clear" w:color="auto" w:fill="FFFFFF"/>
        <w:spacing w:before="0" w:beforeAutospacing="0" w:after="0" w:afterAutospacing="0"/>
        <w:jc w:val="both"/>
        <w:textAlignment w:val="baseline"/>
      </w:pPr>
      <w:r w:rsidRPr="005F0D65">
        <w:t>Los políticos parecen haber abdicado y traspasado la responsabilidad a</w:t>
      </w:r>
      <w:r w:rsidRPr="005F0D65">
        <w:rPr>
          <w:rStyle w:val="apple-converted-space"/>
        </w:rPr>
        <w:t> </w:t>
      </w:r>
      <w:hyperlink r:id="rId282" w:history="1">
        <w:r w:rsidRPr="005F0D65">
          <w:rPr>
            <w:rStyle w:val="Hipervnculo"/>
            <w:rFonts w:eastAsiaTheme="minorEastAsia"/>
            <w:color w:val="auto"/>
            <w:bdr w:val="none" w:sz="0" w:space="0" w:color="auto" w:frame="1"/>
          </w:rPr>
          <w:t>unos bancos centrales que se encuentran al límite</w:t>
        </w:r>
      </w:hyperlink>
      <w:r w:rsidRPr="005F0D65">
        <w:t xml:space="preserve">, sacando cada día nuevos conejos de la chistera para intentar afrontar una situación que no parece arreglarse con la medicina habitual. </w:t>
      </w:r>
      <w:hyperlink r:id="rId283" w:history="1">
        <w:r w:rsidRPr="005F0D65">
          <w:rPr>
            <w:rStyle w:val="Hipervnculo"/>
            <w:rFonts w:eastAsiaTheme="minorEastAsia"/>
            <w:color w:val="auto"/>
            <w:bdr w:val="none" w:sz="0" w:space="0" w:color="auto" w:frame="1"/>
          </w:rPr>
          <w:t>Crecimientos anémicos</w:t>
        </w:r>
      </w:hyperlink>
      <w:r w:rsidRPr="005F0D65">
        <w:t>, alto desempleo (o bajo desempleo pero con poca participación en el mercado laboral o salarios tan bajos que apenas dan para sobrevivir) y una falta de perspectivas, especialmente entre los jóvenes, que alimentan a aquellos que proponen soluciones radicales.</w:t>
      </w:r>
      <w:r w:rsidRPr="005F0D65">
        <w:rPr>
          <w:rStyle w:val="apple-converted-space"/>
        </w:rPr>
        <w:t> </w:t>
      </w:r>
      <w:hyperlink r:id="rId284" w:history="1">
        <w:r w:rsidRPr="005F0D65">
          <w:rPr>
            <w:rStyle w:val="Hipervnculo"/>
            <w:rFonts w:eastAsiaTheme="minorEastAsia"/>
            <w:color w:val="auto"/>
            <w:bdr w:val="none" w:sz="0" w:space="0" w:color="auto" w:frame="1"/>
          </w:rPr>
          <w:t>El contrato social se ha roto.</w:t>
        </w:r>
      </w:hyperlink>
    </w:p>
    <w:p w:rsidR="002F07D4" w:rsidRPr="005F0D65" w:rsidRDefault="002F07D4" w:rsidP="002F07D4">
      <w:pPr>
        <w:pStyle w:val="Ttulo2"/>
        <w:shd w:val="clear" w:color="auto" w:fill="FFFFFF"/>
        <w:spacing w:before="300" w:after="150" w:line="240" w:lineRule="auto"/>
        <w:jc w:val="both"/>
        <w:textAlignment w:val="baseline"/>
        <w:rPr>
          <w:b w:val="0"/>
          <w:bCs w:val="0"/>
          <w:color w:val="auto"/>
          <w:sz w:val="24"/>
          <w:szCs w:val="24"/>
        </w:rPr>
      </w:pPr>
      <w:r w:rsidRPr="005F0D65">
        <w:rPr>
          <w:b w:val="0"/>
          <w:bCs w:val="0"/>
          <w:color w:val="auto"/>
          <w:sz w:val="24"/>
          <w:szCs w:val="24"/>
        </w:rPr>
        <w:t>Una nueva normalidad que cabrea</w:t>
      </w:r>
    </w:p>
    <w:p w:rsidR="002F07D4" w:rsidRPr="005F0D65" w:rsidRDefault="002F07D4" w:rsidP="002F07D4">
      <w:pPr>
        <w:pStyle w:val="NormalWeb"/>
        <w:shd w:val="clear" w:color="auto" w:fill="FFFFFF"/>
        <w:spacing w:before="0" w:beforeAutospacing="0" w:after="0" w:afterAutospacing="0"/>
        <w:jc w:val="both"/>
        <w:textAlignment w:val="baseline"/>
      </w:pPr>
      <w:r w:rsidRPr="005F0D65">
        <w:t xml:space="preserve">Una situación que se puede resumir en algunos gráficos que ha recopilado la agencia </w:t>
      </w:r>
      <w:hyperlink r:id="rId285" w:history="1">
        <w:r w:rsidRPr="005F0D65">
          <w:rPr>
            <w:rStyle w:val="Hipervnculo"/>
            <w:rFonts w:eastAsiaTheme="minorEastAsia"/>
            <w:color w:val="auto"/>
            <w:bdr w:val="none" w:sz="0" w:space="0" w:color="auto" w:frame="1"/>
          </w:rPr>
          <w:t>Bloomberg</w:t>
        </w:r>
      </w:hyperlink>
      <w:r w:rsidRPr="005F0D65">
        <w:rPr>
          <w:rStyle w:val="apple-converted-space"/>
          <w:i/>
          <w:iCs/>
          <w:bdr w:val="none" w:sz="0" w:space="0" w:color="auto" w:frame="1"/>
        </w:rPr>
        <w:t> </w:t>
      </w:r>
      <w:r w:rsidRPr="005F0D65">
        <w:t>y que ponen el foco en muchos de los problemas comunes que comparten el estudiante universitario estadounidense, el parado griego y un padre cualquiera francés.</w:t>
      </w:r>
    </w:p>
    <w:p w:rsidR="002F07D4" w:rsidRPr="005F0D65" w:rsidRDefault="002F07D4" w:rsidP="002F07D4">
      <w:pPr>
        <w:pStyle w:val="NormalWeb"/>
        <w:shd w:val="clear" w:color="auto" w:fill="FFFFFF"/>
        <w:spacing w:before="0" w:beforeAutospacing="0" w:after="0" w:afterAutospacing="0"/>
        <w:jc w:val="both"/>
        <w:textAlignment w:val="baseline"/>
      </w:pPr>
    </w:p>
    <w:p w:rsidR="002F07D4" w:rsidRPr="005F0D65" w:rsidRDefault="002F07D4" w:rsidP="002F07D4">
      <w:pPr>
        <w:pStyle w:val="NormalWeb"/>
        <w:shd w:val="clear" w:color="auto" w:fill="FFFFFF"/>
        <w:spacing w:before="0" w:beforeAutospacing="0" w:after="0" w:afterAutospacing="0"/>
        <w:jc w:val="both"/>
        <w:textAlignment w:val="baseline"/>
      </w:pPr>
      <w:r w:rsidRPr="005F0D65">
        <w:t>Y no parece que a la vista haya una solución ni un panorama más despejado, aunque sí que parece que se impone una idea hasta hace poco tabú:</w:t>
      </w:r>
      <w:r w:rsidRPr="005F0D65">
        <w:rPr>
          <w:rStyle w:val="apple-converted-space"/>
        </w:rPr>
        <w:t> </w:t>
      </w:r>
      <w:hyperlink r:id="rId286" w:history="1">
        <w:r w:rsidRPr="005F0D65">
          <w:rPr>
            <w:rStyle w:val="Hipervnculo"/>
            <w:rFonts w:eastAsiaTheme="minorEastAsia"/>
            <w:color w:val="auto"/>
            <w:bdr w:val="none" w:sz="0" w:space="0" w:color="auto" w:frame="1"/>
          </w:rPr>
          <w:t>alguna clase de renta universal</w:t>
        </w:r>
      </w:hyperlink>
      <w:r w:rsidRPr="005F0D65">
        <w:t>o subsidio por existir, incluida</w:t>
      </w:r>
      <w:r w:rsidRPr="005F0D65">
        <w:rPr>
          <w:rStyle w:val="apple-converted-space"/>
        </w:rPr>
        <w:t> </w:t>
      </w:r>
      <w:hyperlink r:id="rId287" w:history="1">
        <w:r w:rsidRPr="005F0D65">
          <w:rPr>
            <w:rStyle w:val="Hipervnculo"/>
            <w:rFonts w:eastAsiaTheme="minorEastAsia"/>
            <w:color w:val="auto"/>
            <w:bdr w:val="none" w:sz="0" w:space="0" w:color="auto" w:frame="1"/>
          </w:rPr>
          <w:t>la posibilidad de dar dinero directamente al consumidor</w:t>
        </w:r>
      </w:hyperlink>
      <w:r w:rsidRPr="005F0D65">
        <w:t>, para intentar aplacar la ira de un ciudadano que cada vez se siente más pobre, que teme por el futuro de sus hijos y que se angustia ante esta “nueva normalidad”. Y de paso, que consuma más, reduzca su deuda e impulse la economía.</w:t>
      </w:r>
    </w:p>
    <w:p w:rsidR="002F07D4" w:rsidRPr="005F0D65" w:rsidRDefault="002F07D4" w:rsidP="002F07D4">
      <w:pPr>
        <w:pStyle w:val="NormalWeb"/>
        <w:shd w:val="clear" w:color="auto" w:fill="FFFFFF"/>
        <w:spacing w:before="0" w:beforeAutospacing="0" w:after="0" w:afterAutospacing="0"/>
        <w:jc w:val="both"/>
        <w:textAlignment w:val="baseline"/>
      </w:pPr>
    </w:p>
    <w:p w:rsidR="002F07D4" w:rsidRPr="005F0D65" w:rsidRDefault="002F07D4" w:rsidP="002F07D4">
      <w:pPr>
        <w:pStyle w:val="NormalWeb"/>
        <w:shd w:val="clear" w:color="auto" w:fill="FFFFFF"/>
        <w:spacing w:before="0" w:beforeAutospacing="0" w:after="0" w:afterAutospacing="0"/>
        <w:jc w:val="both"/>
        <w:textAlignment w:val="baseline"/>
      </w:pPr>
      <w:r w:rsidRPr="005F0D65">
        <w:t>Este cóctel ha propiciado el surgimiento o crecimientos de partidos radicales como Podemos en España o Syriza en Grecia por la izquierda y</w:t>
      </w:r>
      <w:r w:rsidRPr="005F0D65">
        <w:rPr>
          <w:rStyle w:val="apple-converted-space"/>
        </w:rPr>
        <w:t> </w:t>
      </w:r>
      <w:hyperlink r:id="rId288" w:history="1">
        <w:r w:rsidRPr="005F0D65">
          <w:rPr>
            <w:rStyle w:val="Hipervnculo"/>
            <w:rFonts w:eastAsiaTheme="minorEastAsia"/>
            <w:color w:val="auto"/>
            <w:bdr w:val="none" w:sz="0" w:space="0" w:color="auto" w:frame="1"/>
          </w:rPr>
          <w:t>el AfD en Alemania</w:t>
        </w:r>
      </w:hyperlink>
      <w:r w:rsidRPr="005F0D65">
        <w:rPr>
          <w:rStyle w:val="apple-converted-space"/>
        </w:rPr>
        <w:t> </w:t>
      </w:r>
      <w:r w:rsidRPr="005F0D65">
        <w:t>o el Frente Nacional en Francia por la derecha; la llegada de candidatos tan heterodoxos como el republicano Donald Trump o el demócrata Bernie Sanders y el crecimiento de ideas rupturistas, como la salida de Reino Unido de la Unión Europea o la independencia de Cataluña y Escocia. Todos con algo en común: un desprecio de la política tradicional que ha sabido conectar con el descontento de la población.</w:t>
      </w:r>
    </w:p>
    <w:p w:rsidR="002F07D4" w:rsidRPr="005F0D65" w:rsidRDefault="002F07D4" w:rsidP="002F07D4">
      <w:pPr>
        <w:pStyle w:val="NormalWeb"/>
        <w:shd w:val="clear" w:color="auto" w:fill="FFFFFF"/>
        <w:spacing w:before="0" w:beforeAutospacing="0" w:after="0" w:afterAutospacing="0"/>
        <w:jc w:val="both"/>
        <w:textAlignment w:val="baseline"/>
      </w:pPr>
    </w:p>
    <w:p w:rsidR="002F07D4" w:rsidRPr="005F0D65" w:rsidRDefault="002F07D4" w:rsidP="002F07D4">
      <w:pPr>
        <w:pStyle w:val="NormalWeb"/>
        <w:shd w:val="clear" w:color="auto" w:fill="FFFFFF"/>
        <w:spacing w:before="0" w:beforeAutospacing="0" w:after="300" w:afterAutospacing="0"/>
        <w:jc w:val="both"/>
        <w:textAlignment w:val="baseline"/>
      </w:pPr>
      <w:r w:rsidRPr="005F0D65">
        <w:t xml:space="preserve">En los próximos meses hay varias votaciones que pueden provocar esa chispa que genere un “caos” democrático con consecuencias que podrían ser similares a las revoluciones de otros siglos. Hasta ahora, en el último momento se han evitado la independencia de Escocia y la de Cataluña (aunque podrían reactivarse) o la ruptura del euro, pero quedan varias fechas clave. En primer lugar, el 23 de junio llega la votación </w:t>
      </w:r>
      <w:r w:rsidRPr="005F0D65">
        <w:lastRenderedPageBreak/>
        <w:t>del Brexit; después, en noviembre, las presidenciales de EEUU, y ya en 2017, en mayo en Francia y en verano en Alemania. Mientras, en España, sin gobierno.</w:t>
      </w:r>
    </w:p>
    <w:p w:rsidR="002F07D4" w:rsidRPr="005F0D65" w:rsidRDefault="002F07D4" w:rsidP="002F07D4">
      <w:pPr>
        <w:pStyle w:val="Ttulo2"/>
        <w:shd w:val="clear" w:color="auto" w:fill="FFFFFF"/>
        <w:spacing w:before="300" w:after="150" w:line="240" w:lineRule="auto"/>
        <w:jc w:val="both"/>
        <w:textAlignment w:val="baseline"/>
        <w:rPr>
          <w:b w:val="0"/>
          <w:bCs w:val="0"/>
          <w:color w:val="auto"/>
          <w:sz w:val="24"/>
          <w:szCs w:val="24"/>
        </w:rPr>
      </w:pPr>
      <w:r w:rsidRPr="005F0D65">
        <w:rPr>
          <w:b w:val="0"/>
          <w:bCs w:val="0"/>
          <w:color w:val="auto"/>
          <w:sz w:val="24"/>
          <w:szCs w:val="24"/>
        </w:rPr>
        <w:t>Las clases medias, cada vez más pobres</w:t>
      </w:r>
    </w:p>
    <w:p w:rsidR="002F07D4" w:rsidRPr="005F0D65" w:rsidRDefault="002F07D4" w:rsidP="002F07D4">
      <w:pPr>
        <w:pStyle w:val="NormalWeb"/>
        <w:shd w:val="clear" w:color="auto" w:fill="FFFFFF"/>
        <w:spacing w:before="0" w:beforeAutospacing="0" w:after="300" w:afterAutospacing="0"/>
        <w:jc w:val="both"/>
        <w:textAlignment w:val="baseline"/>
      </w:pPr>
      <w:r w:rsidRPr="005F0D65">
        <w:t>La clase media, de la que siempre se dice que es sustento de la democracia y también de un crecimiento sostenible, cada vez tiene menos parte del “pastel” de la riqueza, una tendencia que además se repite en todo el mundo. </w:t>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noProof/>
          <w:color w:val="000000"/>
          <w:lang w:val="en-GB" w:eastAsia="en-GB"/>
        </w:rPr>
        <w:drawing>
          <wp:inline distT="0" distB="0" distL="0" distR="0">
            <wp:extent cx="5441950" cy="3162300"/>
            <wp:effectExtent l="0" t="0" r="6350" b="0"/>
            <wp:docPr id="282" name="Imagen 282" descr="http://s03.s3c.es/imag/_v0/700x420/e/0/2/Riqueza-clase-me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03.s3c.es/imag/_v0/700x420/e/0/2/Riqueza-clase-media.jpg"/>
                    <pic:cNvPicPr>
                      <a:picLocks noChangeAspect="1" noChangeArrowheads="1"/>
                    </pic:cNvPicPr>
                  </pic:nvPicPr>
                  <pic:blipFill>
                    <a:blip r:embed="rId2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41950" cy="3162300"/>
                    </a:xfrm>
                    <a:prstGeom prst="rect">
                      <a:avLst/>
                    </a:prstGeom>
                    <a:noFill/>
                    <a:ln>
                      <a:noFill/>
                    </a:ln>
                  </pic:spPr>
                </pic:pic>
              </a:graphicData>
            </a:graphic>
          </wp:inline>
        </w:drawing>
      </w:r>
    </w:p>
    <w:p w:rsidR="002F07D4" w:rsidRPr="00F3796B" w:rsidRDefault="002F07D4" w:rsidP="002F07D4">
      <w:pPr>
        <w:spacing w:line="240" w:lineRule="auto"/>
        <w:jc w:val="both"/>
        <w:rPr>
          <w:rFonts w:ascii="Times New Roman" w:hAnsi="Times New Roman" w:cs="Times New Roman"/>
          <w:sz w:val="24"/>
          <w:szCs w:val="24"/>
        </w:rPr>
      </w:pPr>
      <w:r w:rsidRPr="00F3796B">
        <w:rPr>
          <w:rFonts w:ascii="Times New Roman" w:hAnsi="Times New Roman" w:cs="Times New Roman"/>
          <w:color w:val="000000"/>
          <w:sz w:val="24"/>
          <w:szCs w:val="24"/>
          <w:shd w:val="clear" w:color="auto" w:fill="FFFFFF"/>
        </w:rPr>
        <w:t>Fuente: Credit Suisse</w:t>
      </w:r>
    </w:p>
    <w:p w:rsidR="002F07D4" w:rsidRDefault="002F07D4" w:rsidP="002F07D4">
      <w:pPr>
        <w:pStyle w:val="NormalWeb"/>
        <w:shd w:val="clear" w:color="auto" w:fill="FFFFFF"/>
        <w:spacing w:before="0" w:beforeAutospacing="0" w:after="300" w:afterAutospacing="0"/>
        <w:jc w:val="both"/>
        <w:textAlignment w:val="baseline"/>
        <w:rPr>
          <w:color w:val="000000"/>
        </w:rPr>
      </w:pP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color w:val="000000"/>
        </w:rPr>
        <w:t>Mientras, los trabajadores ven como cada vez tienen menos porcentaje de la riqueza y el capital, por lo tanto, cada vez se lleva más. </w:t>
      </w:r>
    </w:p>
    <w:p w:rsidR="002F07D4" w:rsidRPr="002F07D4" w:rsidRDefault="002F07D4" w:rsidP="002F07D4">
      <w:pPr>
        <w:pStyle w:val="NormalWeb"/>
        <w:shd w:val="clear" w:color="auto" w:fill="FFFFFF"/>
        <w:spacing w:before="0" w:beforeAutospacing="0" w:after="300" w:afterAutospacing="0"/>
        <w:jc w:val="both"/>
        <w:textAlignment w:val="baseline"/>
        <w:rPr>
          <w:color w:val="000000"/>
        </w:rPr>
      </w:pPr>
      <w:r w:rsidRPr="00F3796B">
        <w:rPr>
          <w:noProof/>
          <w:color w:val="000000"/>
          <w:lang w:val="en-GB" w:eastAsia="en-GB"/>
        </w:rPr>
        <w:drawing>
          <wp:inline distT="0" distB="0" distL="0" distR="0">
            <wp:extent cx="5441950" cy="2400300"/>
            <wp:effectExtent l="0" t="0" r="6350" b="0"/>
            <wp:docPr id="283" name="Imagen 283" descr="http://s03.s3c.es/imag/_v0/700x420/3/f/b/riqueza-trabajadores-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03.s3c.es/imag/_v0/700x420/3/f/b/riqueza-trabajadores-EEUU.jpg"/>
                    <pic:cNvPicPr>
                      <a:picLocks noChangeAspect="1" noChangeArrowheads="1"/>
                    </pic:cNvPicPr>
                  </pic:nvPicPr>
                  <pic:blipFill>
                    <a:blip r:embed="rId2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41950" cy="2400300"/>
                    </a:xfrm>
                    <a:prstGeom prst="rect">
                      <a:avLst/>
                    </a:prstGeom>
                    <a:noFill/>
                    <a:ln>
                      <a:noFill/>
                    </a:ln>
                  </pic:spPr>
                </pic:pic>
              </a:graphicData>
            </a:graphic>
          </wp:inline>
        </w:drawing>
      </w:r>
      <w:r w:rsidRPr="002F07D4">
        <w:rPr>
          <w:bCs/>
          <w:color w:val="000000"/>
        </w:rPr>
        <w:t>Fuente: Departamento de Trabajo de EEUU</w:t>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color w:val="000000"/>
        </w:rPr>
        <w:lastRenderedPageBreak/>
        <w:t>Por su parte, los ricos son cada vez más ricos, como muestra la diferente evolución entre el 10% más pudiente y el resto de la población.</w:t>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noProof/>
          <w:color w:val="000000"/>
          <w:lang w:val="en-GB" w:eastAsia="en-GB"/>
        </w:rPr>
        <w:drawing>
          <wp:inline distT="0" distB="0" distL="0" distR="0">
            <wp:extent cx="5365750" cy="2679700"/>
            <wp:effectExtent l="0" t="0" r="6350" b="6350"/>
            <wp:docPr id="284" name="Imagen 284" descr="http://s03.s3c.es/imag/_v0/700x420/a/d/b/riqueza-ric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03.s3c.es/imag/_v0/700x420/a/d/b/riqueza-ricos.jpg"/>
                    <pic:cNvPicPr>
                      <a:picLocks noChangeAspect="1" noChangeArrowheads="1"/>
                    </pic:cNvPicPr>
                  </pic:nvPicPr>
                  <pic:blipFill>
                    <a:blip r:embed="rId2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5750" cy="2679700"/>
                    </a:xfrm>
                    <a:prstGeom prst="rect">
                      <a:avLst/>
                    </a:prstGeom>
                    <a:noFill/>
                    <a:ln>
                      <a:noFill/>
                    </a:ln>
                  </pic:spPr>
                </pic:pic>
              </a:graphicData>
            </a:graphic>
          </wp:inline>
        </w:drawing>
      </w:r>
    </w:p>
    <w:p w:rsidR="002F07D4" w:rsidRPr="002F07D4" w:rsidRDefault="002F07D4" w:rsidP="002F07D4">
      <w:pPr>
        <w:pStyle w:val="Ttulo6"/>
        <w:shd w:val="clear" w:color="auto" w:fill="FFFFFF"/>
        <w:spacing w:before="75" w:after="150" w:line="240" w:lineRule="auto"/>
        <w:jc w:val="both"/>
        <w:textAlignment w:val="baseline"/>
        <w:rPr>
          <w:rFonts w:ascii="Times New Roman" w:hAnsi="Times New Roman" w:cs="Times New Roman"/>
          <w:i w:val="0"/>
          <w:color w:val="000000"/>
          <w:sz w:val="24"/>
          <w:szCs w:val="24"/>
        </w:rPr>
      </w:pPr>
      <w:r w:rsidRPr="002F07D4">
        <w:rPr>
          <w:rFonts w:ascii="Times New Roman" w:hAnsi="Times New Roman" w:cs="Times New Roman"/>
          <w:bCs/>
          <w:i w:val="0"/>
          <w:color w:val="000000"/>
          <w:sz w:val="24"/>
          <w:szCs w:val="24"/>
        </w:rPr>
        <w:t>Fuente: World Wealth and Income Database; Piketty, Seaz, Zucman, Alvaredo y Atkinson</w:t>
      </w:r>
    </w:p>
    <w:p w:rsidR="002F07D4" w:rsidRDefault="002F07D4" w:rsidP="002F07D4">
      <w:pPr>
        <w:pStyle w:val="NormalWeb"/>
        <w:shd w:val="clear" w:color="auto" w:fill="FFFFFF"/>
        <w:spacing w:before="0" w:beforeAutospacing="0" w:after="300" w:afterAutospacing="0"/>
        <w:jc w:val="both"/>
        <w:textAlignment w:val="baseline"/>
        <w:rPr>
          <w:color w:val="000000"/>
        </w:rPr>
      </w:pP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color w:val="000000"/>
        </w:rPr>
        <w:t>Los salarios en los países más azotados por la crisis han caído con fuerza, mientras que en los más sólidos crecen, aunque poco.</w:t>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noProof/>
          <w:color w:val="000000"/>
          <w:lang w:val="en-GB" w:eastAsia="en-GB"/>
        </w:rPr>
        <w:drawing>
          <wp:inline distT="0" distB="0" distL="0" distR="0">
            <wp:extent cx="5365750" cy="2844800"/>
            <wp:effectExtent l="0" t="0" r="6350" b="0"/>
            <wp:docPr id="285" name="Imagen 285" descr="http://s03.s3c.es/imag/_v0/700x420/0/c/3/Ingresos-Sur-Euro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03.s3c.es/imag/_v0/700x420/0/c/3/Ingresos-Sur-Europa.jpg"/>
                    <pic:cNvPicPr>
                      <a:picLocks noChangeAspect="1" noChangeArrowheads="1"/>
                    </pic:cNvPicPr>
                  </pic:nvPicPr>
                  <pic:blipFill>
                    <a:blip r:embed="rId2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5750" cy="2844800"/>
                    </a:xfrm>
                    <a:prstGeom prst="rect">
                      <a:avLst/>
                    </a:prstGeom>
                    <a:noFill/>
                    <a:ln>
                      <a:noFill/>
                    </a:ln>
                  </pic:spPr>
                </pic:pic>
              </a:graphicData>
            </a:graphic>
          </wp:inline>
        </w:drawing>
      </w:r>
    </w:p>
    <w:p w:rsidR="002F07D4" w:rsidRPr="000C4836" w:rsidRDefault="002F07D4" w:rsidP="002F07D4">
      <w:pPr>
        <w:pStyle w:val="Ttulo6"/>
        <w:shd w:val="clear" w:color="auto" w:fill="FFFFFF"/>
        <w:spacing w:before="75" w:after="150" w:line="240" w:lineRule="auto"/>
        <w:jc w:val="both"/>
        <w:textAlignment w:val="baseline"/>
        <w:rPr>
          <w:rFonts w:ascii="Times New Roman" w:hAnsi="Times New Roman" w:cs="Times New Roman"/>
          <w:i w:val="0"/>
          <w:color w:val="000000"/>
          <w:sz w:val="24"/>
          <w:szCs w:val="24"/>
        </w:rPr>
      </w:pPr>
      <w:r w:rsidRPr="000C4836">
        <w:rPr>
          <w:rFonts w:ascii="Times New Roman" w:hAnsi="Times New Roman" w:cs="Times New Roman"/>
          <w:bCs/>
          <w:i w:val="0"/>
          <w:color w:val="000000"/>
          <w:sz w:val="24"/>
          <w:szCs w:val="24"/>
        </w:rPr>
        <w:t>Fuente: OCDE</w:t>
      </w:r>
    </w:p>
    <w:p w:rsidR="002F07D4" w:rsidRPr="005F0D65" w:rsidRDefault="002F07D4" w:rsidP="002F07D4">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5F0D65">
        <w:rPr>
          <w:rFonts w:ascii="Times New Roman" w:hAnsi="Times New Roman" w:cs="Times New Roman"/>
          <w:b w:val="0"/>
          <w:bCs w:val="0"/>
          <w:color w:val="000000"/>
          <w:sz w:val="24"/>
          <w:szCs w:val="24"/>
        </w:rPr>
        <w:t>El negro futuro de la juventud occidental</w:t>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color w:val="000000"/>
        </w:rPr>
        <w:t>El desempleo de la juventud es todavía más grave, con especial impacto en el sur de Europa.</w:t>
      </w:r>
    </w:p>
    <w:p w:rsidR="002F07D4" w:rsidRPr="000C4836" w:rsidRDefault="002F07D4" w:rsidP="002F07D4">
      <w:pPr>
        <w:pStyle w:val="NormalWeb"/>
        <w:shd w:val="clear" w:color="auto" w:fill="FFFFFF"/>
        <w:spacing w:before="0" w:beforeAutospacing="0" w:after="300" w:afterAutospacing="0"/>
        <w:jc w:val="both"/>
        <w:textAlignment w:val="baseline"/>
        <w:rPr>
          <w:color w:val="000000"/>
        </w:rPr>
      </w:pPr>
      <w:r w:rsidRPr="00F3796B">
        <w:rPr>
          <w:noProof/>
          <w:color w:val="000000"/>
          <w:lang w:val="en-GB" w:eastAsia="en-GB"/>
        </w:rPr>
        <w:lastRenderedPageBreak/>
        <w:drawing>
          <wp:inline distT="0" distB="0" distL="0" distR="0">
            <wp:extent cx="5372100" cy="3098800"/>
            <wp:effectExtent l="0" t="0" r="0" b="6350"/>
            <wp:docPr id="286" name="Imagen 286" descr="http://s03.s3c.es/imag/_v0/700x420/6/c/7/Jovenes-desempleo-euro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03.s3c.es/imag/_v0/700x420/6/c/7/Jovenes-desempleo-europa.jpg"/>
                    <pic:cNvPicPr>
                      <a:picLocks noChangeAspect="1" noChangeArrowheads="1"/>
                    </pic:cNvPicPr>
                  </pic:nvPicPr>
                  <pic:blipFill>
                    <a:blip r:embed="rId2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3098800"/>
                    </a:xfrm>
                    <a:prstGeom prst="rect">
                      <a:avLst/>
                    </a:prstGeom>
                    <a:noFill/>
                    <a:ln>
                      <a:noFill/>
                    </a:ln>
                  </pic:spPr>
                </pic:pic>
              </a:graphicData>
            </a:graphic>
          </wp:inline>
        </w:drawing>
      </w:r>
      <w:r w:rsidRPr="000C4836">
        <w:rPr>
          <w:bCs/>
          <w:color w:val="000000"/>
        </w:rPr>
        <w:t>Fuente: Eurostat</w:t>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color w:val="000000"/>
        </w:rPr>
        <w:t>La deuda de los estudiantes de EEUU se ha disparado exponencialmente, pero los ingresoso de los recién graduados apenas se han movido.</w:t>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noProof/>
          <w:color w:val="000000"/>
          <w:lang w:val="en-GB" w:eastAsia="en-GB"/>
        </w:rPr>
        <w:drawing>
          <wp:inline distT="0" distB="0" distL="0" distR="0">
            <wp:extent cx="5321300" cy="2806700"/>
            <wp:effectExtent l="0" t="0" r="0" b="0"/>
            <wp:docPr id="287" name="Imagen 287" descr="http://s03.s3c.es/imag/_v0/700x420/4/c/5/Deuda-estudiantes-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03.s3c.es/imag/_v0/700x420/4/c/5/Deuda-estudiantes-EEUU.jpg"/>
                    <pic:cNvPicPr>
                      <a:picLocks noChangeAspect="1" noChangeArrowheads="1"/>
                    </pic:cNvPicPr>
                  </pic:nvPicPr>
                  <pic:blipFill>
                    <a:blip r:embed="rId2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1300" cy="2806700"/>
                    </a:xfrm>
                    <a:prstGeom prst="rect">
                      <a:avLst/>
                    </a:prstGeom>
                    <a:noFill/>
                    <a:ln>
                      <a:noFill/>
                    </a:ln>
                  </pic:spPr>
                </pic:pic>
              </a:graphicData>
            </a:graphic>
          </wp:inline>
        </w:drawing>
      </w:r>
    </w:p>
    <w:p w:rsidR="002F07D4" w:rsidRPr="000C4836" w:rsidRDefault="002F07D4" w:rsidP="002F07D4">
      <w:pPr>
        <w:pStyle w:val="Ttulo6"/>
        <w:shd w:val="clear" w:color="auto" w:fill="FFFFFF"/>
        <w:spacing w:before="75" w:after="150" w:line="240" w:lineRule="auto"/>
        <w:jc w:val="both"/>
        <w:textAlignment w:val="baseline"/>
        <w:rPr>
          <w:rFonts w:ascii="Times New Roman" w:hAnsi="Times New Roman" w:cs="Times New Roman"/>
          <w:i w:val="0"/>
          <w:color w:val="000000"/>
          <w:sz w:val="24"/>
          <w:szCs w:val="24"/>
        </w:rPr>
      </w:pPr>
      <w:r w:rsidRPr="000C4836">
        <w:rPr>
          <w:rFonts w:ascii="Times New Roman" w:hAnsi="Times New Roman" w:cs="Times New Roman"/>
          <w:bCs/>
          <w:i w:val="0"/>
          <w:color w:val="000000"/>
          <w:sz w:val="24"/>
          <w:szCs w:val="24"/>
        </w:rPr>
        <w:t>Fuente: Reserva Federal de Nueva York, US Bureau of Labor Statistics</w:t>
      </w:r>
    </w:p>
    <w:p w:rsidR="002F07D4" w:rsidRDefault="002F07D4" w:rsidP="002F07D4">
      <w:pPr>
        <w:pStyle w:val="NormalWeb"/>
        <w:shd w:val="clear" w:color="auto" w:fill="FFFFFF"/>
        <w:spacing w:before="0" w:beforeAutospacing="0" w:after="300" w:afterAutospacing="0"/>
        <w:jc w:val="both"/>
        <w:textAlignment w:val="baseline"/>
        <w:rPr>
          <w:color w:val="000000"/>
        </w:rPr>
      </w:pP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color w:val="000000"/>
        </w:rPr>
        <w:t>La situación de la juventud genera también mucha preocupación en los padres, que ven claramente que sus hijos van a vivir peor que ellos.</w:t>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noProof/>
          <w:color w:val="000000"/>
          <w:lang w:val="en-GB" w:eastAsia="en-GB"/>
        </w:rPr>
        <w:lastRenderedPageBreak/>
        <w:drawing>
          <wp:inline distT="0" distB="0" distL="0" distR="0">
            <wp:extent cx="5537200" cy="3162300"/>
            <wp:effectExtent l="0" t="0" r="6350" b="0"/>
            <wp:docPr id="288" name="Imagen 288" descr="http://s03.s3c.es/imag/_v0/700x420/e/e/4/Padres-preocupacion-hij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03.s3c.es/imag/_v0/700x420/e/e/4/Padres-preocupacion-hijos.jpg"/>
                    <pic:cNvPicPr>
                      <a:picLocks noChangeAspect="1" noChangeArrowheads="1"/>
                    </pic:cNvPicPr>
                  </pic:nvPicPr>
                  <pic:blipFill>
                    <a:blip r:embed="rId2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37200" cy="3162300"/>
                    </a:xfrm>
                    <a:prstGeom prst="rect">
                      <a:avLst/>
                    </a:prstGeom>
                    <a:noFill/>
                    <a:ln>
                      <a:noFill/>
                    </a:ln>
                  </pic:spPr>
                </pic:pic>
              </a:graphicData>
            </a:graphic>
          </wp:inline>
        </w:drawing>
      </w:r>
    </w:p>
    <w:p w:rsidR="002F07D4" w:rsidRPr="000C4836" w:rsidRDefault="002F07D4" w:rsidP="002F07D4">
      <w:pPr>
        <w:pStyle w:val="Ttulo6"/>
        <w:shd w:val="clear" w:color="auto" w:fill="FFFFFF"/>
        <w:spacing w:before="75" w:after="150" w:line="240" w:lineRule="auto"/>
        <w:jc w:val="both"/>
        <w:textAlignment w:val="baseline"/>
        <w:rPr>
          <w:rFonts w:ascii="Times New Roman" w:hAnsi="Times New Roman" w:cs="Times New Roman"/>
          <w:bCs/>
          <w:i w:val="0"/>
          <w:color w:val="000000"/>
          <w:sz w:val="24"/>
          <w:szCs w:val="24"/>
        </w:rPr>
      </w:pPr>
      <w:r w:rsidRPr="000C4836">
        <w:rPr>
          <w:rFonts w:ascii="Times New Roman" w:hAnsi="Times New Roman" w:cs="Times New Roman"/>
          <w:bCs/>
          <w:i w:val="0"/>
          <w:color w:val="000000"/>
          <w:sz w:val="24"/>
          <w:szCs w:val="24"/>
        </w:rPr>
        <w:t>Fuente: Pew Spring 2014 Global Attitudes Survey</w:t>
      </w:r>
    </w:p>
    <w:p w:rsidR="002F07D4" w:rsidRPr="00EA4C3E" w:rsidRDefault="002F07D4" w:rsidP="002F07D4">
      <w:pPr>
        <w:rPr>
          <w:lang w:eastAsia="es-ES"/>
        </w:rPr>
      </w:pPr>
    </w:p>
    <w:p w:rsidR="002F07D4" w:rsidRPr="005F0D65" w:rsidRDefault="002F07D4" w:rsidP="002F07D4">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5F0D65">
        <w:rPr>
          <w:rFonts w:ascii="Times New Roman" w:hAnsi="Times New Roman" w:cs="Times New Roman"/>
          <w:b w:val="0"/>
          <w:bCs w:val="0"/>
          <w:color w:val="000000"/>
          <w:sz w:val="24"/>
          <w:szCs w:val="24"/>
        </w:rPr>
        <w:t>Desconfianza en la política</w:t>
      </w:r>
    </w:p>
    <w:p w:rsidR="002F07D4" w:rsidRDefault="002F07D4" w:rsidP="002F07D4">
      <w:pPr>
        <w:pStyle w:val="NormalWeb"/>
        <w:shd w:val="clear" w:color="auto" w:fill="FFFFFF"/>
        <w:spacing w:before="0" w:beforeAutospacing="0" w:after="300" w:afterAutospacing="0"/>
        <w:jc w:val="both"/>
        <w:textAlignment w:val="baseline"/>
        <w:rPr>
          <w:color w:val="000000"/>
        </w:rPr>
      </w:pPr>
      <w:r w:rsidRPr="00F3796B">
        <w:rPr>
          <w:color w:val="000000"/>
        </w:rPr>
        <w:t>Como primer resultado, una creciente desconfianza en los políticos: en EEUU apenas el 19% de la población confía en su gobierno, mientras que en Europa la cifra también se ha disparado, con España a la cabeza.</w:t>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p>
    <w:p w:rsidR="002F07D4" w:rsidRDefault="002F07D4" w:rsidP="002F07D4">
      <w:pPr>
        <w:pStyle w:val="NormalWeb"/>
        <w:shd w:val="clear" w:color="auto" w:fill="FFFFFF"/>
        <w:spacing w:before="0" w:beforeAutospacing="0" w:after="300" w:afterAutospacing="0"/>
        <w:jc w:val="both"/>
        <w:textAlignment w:val="baseline"/>
        <w:rPr>
          <w:color w:val="000000"/>
        </w:rPr>
      </w:pPr>
      <w:r w:rsidRPr="00F3796B">
        <w:rPr>
          <w:noProof/>
          <w:color w:val="000000"/>
          <w:lang w:val="en-GB" w:eastAsia="en-GB"/>
        </w:rPr>
        <w:drawing>
          <wp:inline distT="0" distB="0" distL="0" distR="0">
            <wp:extent cx="5518150" cy="2901950"/>
            <wp:effectExtent l="0" t="0" r="6350" b="0"/>
            <wp:docPr id="289" name="Imagen 289" descr="http://s03.s3c.es/imag/_v0/700x420/6/1/c/Desconfianza-politica-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03.s3c.es/imag/_v0/700x420/6/1/c/Desconfianza-politica-EEUU.jpg"/>
                    <pic:cNvPicPr>
                      <a:picLocks noChangeAspect="1" noChangeArrowheads="1"/>
                    </pic:cNvPicPr>
                  </pic:nvPicPr>
                  <pic:blipFill>
                    <a:blip r:embed="rId2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18150" cy="2901950"/>
                    </a:xfrm>
                    <a:prstGeom prst="rect">
                      <a:avLst/>
                    </a:prstGeom>
                    <a:noFill/>
                    <a:ln>
                      <a:noFill/>
                    </a:ln>
                  </pic:spPr>
                </pic:pic>
              </a:graphicData>
            </a:graphic>
          </wp:inline>
        </w:drawing>
      </w:r>
    </w:p>
    <w:p w:rsidR="002F07D4" w:rsidRPr="00F3796B" w:rsidRDefault="002F07D4" w:rsidP="002F07D4">
      <w:pPr>
        <w:pStyle w:val="NormalWeb"/>
        <w:shd w:val="clear" w:color="auto" w:fill="FFFFFF"/>
        <w:spacing w:before="0" w:beforeAutospacing="0" w:after="300" w:afterAutospacing="0"/>
        <w:jc w:val="both"/>
        <w:textAlignment w:val="baseline"/>
        <w:rPr>
          <w:color w:val="000000"/>
        </w:rPr>
      </w:pPr>
      <w:r w:rsidRPr="00F3796B">
        <w:rPr>
          <w:noProof/>
          <w:color w:val="000000"/>
          <w:lang w:val="en-GB" w:eastAsia="en-GB"/>
        </w:rPr>
        <w:lastRenderedPageBreak/>
        <w:drawing>
          <wp:inline distT="0" distB="0" distL="0" distR="0">
            <wp:extent cx="5410200" cy="2470150"/>
            <wp:effectExtent l="0" t="0" r="0" b="6350"/>
            <wp:docPr id="290" name="Imagen 290" descr="http://s03.s3c.es/imag/_v0/700x420/4/7/7/Desconfianza-politica-Euro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03.s3c.es/imag/_v0/700x420/4/7/7/Desconfianza-politica-Europa.jpg"/>
                    <pic:cNvPicPr>
                      <a:picLocks noChangeAspect="1" noChangeArrowheads="1"/>
                    </pic:cNvPicPr>
                  </pic:nvPicPr>
                  <pic:blipFill>
                    <a:blip r:embed="rId2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0200" cy="2470150"/>
                    </a:xfrm>
                    <a:prstGeom prst="rect">
                      <a:avLst/>
                    </a:prstGeom>
                    <a:noFill/>
                    <a:ln>
                      <a:noFill/>
                    </a:ln>
                  </pic:spPr>
                </pic:pic>
              </a:graphicData>
            </a:graphic>
          </wp:inline>
        </w:drawing>
      </w:r>
    </w:p>
    <w:p w:rsidR="002F07D4" w:rsidRPr="000C4836" w:rsidRDefault="002F07D4" w:rsidP="002F07D4">
      <w:pPr>
        <w:pStyle w:val="Ttulo6"/>
        <w:shd w:val="clear" w:color="auto" w:fill="FFFFFF"/>
        <w:spacing w:before="75" w:after="150" w:line="240" w:lineRule="auto"/>
        <w:jc w:val="both"/>
        <w:textAlignment w:val="baseline"/>
        <w:rPr>
          <w:rFonts w:ascii="Times New Roman" w:hAnsi="Times New Roman" w:cs="Times New Roman"/>
          <w:bCs/>
          <w:i w:val="0"/>
          <w:color w:val="000000"/>
          <w:sz w:val="24"/>
          <w:szCs w:val="24"/>
        </w:rPr>
      </w:pPr>
      <w:r w:rsidRPr="000C4836">
        <w:rPr>
          <w:rFonts w:ascii="Times New Roman" w:hAnsi="Times New Roman" w:cs="Times New Roman"/>
          <w:bCs/>
          <w:i w:val="0"/>
          <w:color w:val="000000"/>
          <w:sz w:val="24"/>
          <w:szCs w:val="24"/>
        </w:rPr>
        <w:t>Fuente: Pew Research, Comisión Europea</w:t>
      </w:r>
    </w:p>
    <w:p w:rsidR="002F07D4" w:rsidRDefault="002F07D4" w:rsidP="002F07D4">
      <w:pPr>
        <w:pStyle w:val="NormalWeb"/>
        <w:spacing w:after="0"/>
        <w:jc w:val="both"/>
        <w:textAlignment w:val="baseline"/>
      </w:pPr>
      <w:r>
        <w:t xml:space="preserve">- </w:t>
      </w:r>
      <w:r>
        <w:rPr>
          <w:u w:val="single"/>
        </w:rPr>
        <w:t>En EE</w:t>
      </w:r>
      <w:r w:rsidRPr="00F530DC">
        <w:rPr>
          <w:u w:val="single"/>
        </w:rPr>
        <w:t>U</w:t>
      </w:r>
      <w:r>
        <w:rPr>
          <w:u w:val="single"/>
        </w:rPr>
        <w:t>U</w:t>
      </w:r>
      <w:r w:rsidRPr="00F530DC">
        <w:rPr>
          <w:u w:val="single"/>
        </w:rPr>
        <w:t>, el trauma de la crisis dejó cicatrices financieras y psicológicas</w:t>
      </w:r>
      <w:r>
        <w:t xml:space="preserve"> (The Wall Street Journal - </w:t>
      </w:r>
      <w:r w:rsidRPr="00F530DC">
        <w:rPr>
          <w:b/>
        </w:rPr>
        <w:t>10/5/16</w:t>
      </w:r>
      <w:r>
        <w:t>)</w:t>
      </w:r>
      <w:r w:rsidR="000C4836">
        <w:t xml:space="preserve">                                                                   Lectura recomendada</w:t>
      </w:r>
    </w:p>
    <w:p w:rsidR="002F07D4" w:rsidRPr="00F530DC" w:rsidRDefault="002F07D4" w:rsidP="002F07D4">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bdr w:val="none" w:sz="0" w:space="0" w:color="auto" w:frame="1"/>
        </w:rPr>
        <w:t>(</w:t>
      </w:r>
      <w:r w:rsidRPr="00F530DC">
        <w:rPr>
          <w:rFonts w:ascii="Times New Roman" w:hAnsi="Times New Roman"/>
          <w:sz w:val="24"/>
          <w:szCs w:val="24"/>
          <w:bdr w:val="none" w:sz="0" w:space="0" w:color="auto" w:frame="1"/>
        </w:rPr>
        <w:t>Por</w:t>
      </w:r>
      <w:r>
        <w:rPr>
          <w:rFonts w:ascii="Times New Roman" w:hAnsi="Times New Roman"/>
          <w:sz w:val="24"/>
          <w:szCs w:val="24"/>
          <w:bdr w:val="none" w:sz="0" w:space="0" w:color="auto" w:frame="1"/>
        </w:rPr>
        <w:t xml:space="preserve"> Ben Leubsdorf)</w:t>
      </w:r>
      <w:r w:rsidRPr="00F530DC">
        <w:rPr>
          <w:rStyle w:val="apple-converted-space"/>
          <w:rFonts w:ascii="Times New Roman" w:hAnsi="Times New Roman"/>
          <w:sz w:val="24"/>
          <w:szCs w:val="24"/>
        </w:rPr>
        <w:t> </w:t>
      </w:r>
    </w:p>
    <w:p w:rsidR="002F07D4" w:rsidRPr="00DA702A" w:rsidRDefault="002F07D4" w:rsidP="002F07D4">
      <w:pPr>
        <w:pStyle w:val="NormalWeb"/>
        <w:shd w:val="clear" w:color="auto" w:fill="FFFFFF"/>
        <w:spacing w:before="0" w:beforeAutospacing="0" w:after="270" w:afterAutospacing="0"/>
        <w:jc w:val="both"/>
        <w:textAlignment w:val="baseline"/>
        <w:rPr>
          <w:u w:val="single"/>
        </w:rPr>
      </w:pPr>
      <w:r w:rsidRPr="00DA702A">
        <w:rPr>
          <w:u w:val="single"/>
        </w:rPr>
        <w:t>Gary Reece</w:t>
      </w:r>
      <w:r w:rsidRPr="00DA702A">
        <w:rPr>
          <w:rStyle w:val="apple-converted-space"/>
          <w:u w:val="single"/>
        </w:rPr>
        <w:t> </w:t>
      </w:r>
      <w:r w:rsidRPr="00DA702A">
        <w:rPr>
          <w:u w:val="single"/>
        </w:rPr>
        <w:t>ganaba más de US$100.000 al año cuando perdió su empleo en una firma tecnológica en 2000. En 2008, cuando fue despedido de su siguiente empleo, ganaba la mitad. Ahora, a los 61 años, sigue desocupado y dejó a su familia en San José, California, para asistir por unos meses a la universidad y terminar sus estudios.</w:t>
      </w:r>
    </w:p>
    <w:p w:rsidR="002F07D4" w:rsidRPr="00DA702A" w:rsidRDefault="002F07D4" w:rsidP="002F07D4">
      <w:pPr>
        <w:pStyle w:val="NormalWeb"/>
        <w:shd w:val="clear" w:color="auto" w:fill="FFFFFF"/>
        <w:spacing w:before="0" w:beforeAutospacing="0" w:after="270" w:afterAutospacing="0"/>
        <w:jc w:val="both"/>
        <w:textAlignment w:val="baseline"/>
        <w:rPr>
          <w:color w:val="FF0000"/>
          <w:u w:val="single"/>
        </w:rPr>
      </w:pPr>
      <w:r w:rsidRPr="00DA702A">
        <w:rPr>
          <w:color w:val="FF0000"/>
          <w:u w:val="single"/>
        </w:rPr>
        <w:t>“Donde quiera que vaya, la gente pregunta, ‘¿A qué te dedicas?’”, cuenta. “Uno no tiene mucha identidad si tiene que contestar: ‘No me dedico a nada’”.</w:t>
      </w:r>
    </w:p>
    <w:p w:rsidR="002F07D4" w:rsidRPr="00DA702A" w:rsidRDefault="002F07D4" w:rsidP="002F07D4">
      <w:pPr>
        <w:pStyle w:val="NormalWeb"/>
        <w:shd w:val="clear" w:color="auto" w:fill="FFFFFF"/>
        <w:spacing w:before="0" w:beforeAutospacing="0" w:after="270" w:afterAutospacing="0"/>
        <w:jc w:val="both"/>
        <w:textAlignment w:val="baseline"/>
        <w:rPr>
          <w:color w:val="FF0000"/>
          <w:u w:val="single"/>
        </w:rPr>
      </w:pPr>
      <w:r w:rsidRPr="00DA702A">
        <w:rPr>
          <w:color w:val="FF0000"/>
          <w:u w:val="single"/>
        </w:rPr>
        <w:t>La recesión en Estados Unidos terminó hace siete años, pero el desempleo y el subempleo han socavado la posterior expansión económica. Una creciente cantidad de estudios sugiere que el trauma económico ha dejado profundas cicatrices financieras y psicológicas, que podrían perdurar por décadas.</w:t>
      </w:r>
    </w:p>
    <w:p w:rsidR="002F07D4" w:rsidRPr="00DA702A" w:rsidRDefault="002F07D4" w:rsidP="002F07D4">
      <w:pPr>
        <w:pStyle w:val="NormalWeb"/>
        <w:shd w:val="clear" w:color="auto" w:fill="FFFFFF"/>
        <w:spacing w:before="0" w:beforeAutospacing="0" w:after="270" w:afterAutospacing="0"/>
        <w:jc w:val="both"/>
        <w:textAlignment w:val="baseline"/>
        <w:rPr>
          <w:color w:val="FF0000"/>
          <w:u w:val="single"/>
        </w:rPr>
      </w:pPr>
      <w:r w:rsidRPr="00DA702A">
        <w:rPr>
          <w:color w:val="FF0000"/>
          <w:u w:val="single"/>
        </w:rPr>
        <w:t xml:space="preserve">Aproximadamente uno </w:t>
      </w:r>
      <w:r>
        <w:rPr>
          <w:color w:val="FF0000"/>
          <w:u w:val="single"/>
        </w:rPr>
        <w:t>de cada seis trabajadores en EEUU</w:t>
      </w:r>
      <w:r w:rsidRPr="00DA702A">
        <w:rPr>
          <w:color w:val="FF0000"/>
          <w:u w:val="single"/>
        </w:rPr>
        <w:t xml:space="preserve"> perdió su empleo durante la recesión que abarcó de 2007 a 2009. Hoy, casi 14 millones de personas buscan trabajo o tienen uno de medio tiempo.</w:t>
      </w:r>
    </w:p>
    <w:p w:rsidR="002F07D4" w:rsidRPr="00DA702A" w:rsidRDefault="002F07D4" w:rsidP="002F07D4">
      <w:pPr>
        <w:pStyle w:val="NormalWeb"/>
        <w:shd w:val="clear" w:color="auto" w:fill="FFFFFF"/>
        <w:spacing w:before="0" w:beforeAutospacing="0" w:after="270" w:afterAutospacing="0"/>
        <w:jc w:val="both"/>
        <w:textAlignment w:val="baseline"/>
        <w:rPr>
          <w:color w:val="FF0000"/>
          <w:u w:val="single"/>
        </w:rPr>
      </w:pPr>
      <w:r w:rsidRPr="00DA702A">
        <w:rPr>
          <w:color w:val="FF0000"/>
          <w:u w:val="single"/>
        </w:rPr>
        <w:t>Las investigaciones sugieren que incluso para los millones que volvieron a tener empleo, los efectos de haberlo perdido perduran por años. Ganarán menos durante años y tendrán menos probabilidades de comprar una vivienda. Muchos sufrirán problemas psicológicos y sus hijos tendrán un peor rendimiento en el colegio y ganarán menos en su vida laboral.</w:t>
      </w:r>
    </w:p>
    <w:p w:rsidR="002F07D4" w:rsidRPr="0074636A" w:rsidRDefault="002F07D4" w:rsidP="002F07D4">
      <w:pPr>
        <w:pStyle w:val="NormalWeb"/>
        <w:shd w:val="clear" w:color="auto" w:fill="FFFFFF"/>
        <w:spacing w:before="0" w:beforeAutospacing="0" w:after="270" w:afterAutospacing="0"/>
        <w:jc w:val="both"/>
        <w:textAlignment w:val="baseline"/>
        <w:rPr>
          <w:u w:val="single"/>
        </w:rPr>
      </w:pPr>
      <w:r w:rsidRPr="0074636A">
        <w:rPr>
          <w:u w:val="single"/>
        </w:rPr>
        <w:t>“Los efectos promedio son severos y de muy larga duración”,</w:t>
      </w:r>
      <w:r w:rsidRPr="00F530DC">
        <w:t xml:space="preserve"> dijoJennie Brand,</w:t>
      </w:r>
      <w:r w:rsidRPr="00F530DC">
        <w:rPr>
          <w:rStyle w:val="apple-converted-space"/>
        </w:rPr>
        <w:t> </w:t>
      </w:r>
      <w:r w:rsidRPr="00F530DC">
        <w:t xml:space="preserve">socióloga de la Universidad de California en Los Ángeles. </w:t>
      </w:r>
      <w:r w:rsidRPr="0074636A">
        <w:rPr>
          <w:u w:val="single"/>
        </w:rPr>
        <w:t>“No hay una recuperación rápida”.</w:t>
      </w:r>
    </w:p>
    <w:p w:rsidR="002F07D4" w:rsidRPr="0074636A" w:rsidRDefault="002F07D4" w:rsidP="002F07D4">
      <w:pPr>
        <w:pStyle w:val="NormalWeb"/>
        <w:shd w:val="clear" w:color="auto" w:fill="FFFFFF"/>
        <w:spacing w:before="0" w:beforeAutospacing="0" w:after="0" w:afterAutospacing="0"/>
        <w:jc w:val="both"/>
        <w:textAlignment w:val="baseline"/>
        <w:rPr>
          <w:u w:val="single"/>
        </w:rPr>
      </w:pPr>
      <w:r w:rsidRPr="0074636A">
        <w:rPr>
          <w:u w:val="single"/>
        </w:rPr>
        <w:lastRenderedPageBreak/>
        <w:t xml:space="preserve">Según estimaciones de la Oficina de Presupuesto </w:t>
      </w:r>
      <w:r>
        <w:rPr>
          <w:u w:val="single"/>
        </w:rPr>
        <w:t>del Congreso, la economía de EEUU</w:t>
      </w:r>
      <w:r w:rsidRPr="0074636A">
        <w:rPr>
          <w:u w:val="single"/>
        </w:rPr>
        <w:t xml:space="preserve"> sigue obstinadamente por debajo de su potencial y muchos estadounidenses probablemente no se habrán recuperado del todo cuando llegue la próxima recesión. Economistas de</w:t>
      </w:r>
      <w:r w:rsidRPr="0074636A">
        <w:rPr>
          <w:rStyle w:val="apple-converted-space"/>
          <w:u w:val="single"/>
        </w:rPr>
        <w:t> </w:t>
      </w:r>
      <w:hyperlink r:id="rId298" w:history="1">
        <w:r w:rsidRPr="005F0D65">
          <w:rPr>
            <w:rStyle w:val="Hipervnculo"/>
            <w:color w:val="auto"/>
          </w:rPr>
          <w:t>J.P. Morgan Chase</w:t>
        </w:r>
      </w:hyperlink>
      <w:r w:rsidRPr="005F0D65">
        <w:rPr>
          <w:rStyle w:val="apple-converted-space"/>
          <w:u w:val="single"/>
        </w:rPr>
        <w:t> </w:t>
      </w:r>
      <w:r w:rsidRPr="005F0D65">
        <w:rPr>
          <w:u w:val="single"/>
        </w:rPr>
        <w:t>&amp;</w:t>
      </w:r>
      <w:r w:rsidRPr="0074636A">
        <w:rPr>
          <w:u w:val="single"/>
        </w:rPr>
        <w:t xml:space="preserve"> Co. predijeron que es más probable que una nueva recesión ocurra dentro de los próximos tres años a que no ocurra.</w:t>
      </w:r>
    </w:p>
    <w:p w:rsidR="002F07D4" w:rsidRPr="00F530DC" w:rsidRDefault="002F07D4" w:rsidP="002F07D4">
      <w:pPr>
        <w:pStyle w:val="NormalWeb"/>
        <w:shd w:val="clear" w:color="auto" w:fill="FFFFFF"/>
        <w:spacing w:before="0" w:beforeAutospacing="0" w:after="0" w:afterAutospacing="0"/>
        <w:jc w:val="both"/>
        <w:textAlignment w:val="baseline"/>
      </w:pPr>
    </w:p>
    <w:p w:rsidR="002F07D4" w:rsidRDefault="002F07D4" w:rsidP="002F07D4">
      <w:pPr>
        <w:pStyle w:val="NormalWeb"/>
        <w:shd w:val="clear" w:color="auto" w:fill="FFFFFF"/>
        <w:spacing w:before="0" w:beforeAutospacing="0" w:after="0" w:afterAutospacing="0"/>
        <w:jc w:val="both"/>
        <w:textAlignment w:val="baseline"/>
        <w:rPr>
          <w:u w:val="single"/>
        </w:rPr>
      </w:pPr>
      <w:r w:rsidRPr="0074636A">
        <w:rPr>
          <w:color w:val="FF0000"/>
          <w:u w:val="single"/>
        </w:rPr>
        <w:t>La ira por el estancamiento de los salarios, entre otros factores, ha contribuido a impulsar las candidaturas presidenciales de</w:t>
      </w:r>
      <w:r w:rsidRPr="0074636A">
        <w:rPr>
          <w:rStyle w:val="apple-converted-space"/>
          <w:color w:val="FF0000"/>
          <w:u w:val="single"/>
        </w:rPr>
        <w:t> </w:t>
      </w:r>
      <w:hyperlink r:id="rId299" w:history="1">
        <w:r w:rsidRPr="0074636A">
          <w:rPr>
            <w:rStyle w:val="Hipervnculo"/>
            <w:color w:val="FF0000"/>
          </w:rPr>
          <w:t>Donald Trump</w:t>
        </w:r>
      </w:hyperlink>
      <w:r w:rsidRPr="0074636A">
        <w:rPr>
          <w:rStyle w:val="apple-converted-space"/>
          <w:color w:val="FF0000"/>
          <w:u w:val="single"/>
        </w:rPr>
        <w:t> </w:t>
      </w:r>
      <w:r w:rsidRPr="0074636A">
        <w:rPr>
          <w:color w:val="FF0000"/>
          <w:u w:val="single"/>
        </w:rPr>
        <w:t>y</w:t>
      </w:r>
      <w:r w:rsidRPr="0074636A">
        <w:rPr>
          <w:rStyle w:val="apple-converted-space"/>
          <w:color w:val="FF0000"/>
          <w:u w:val="single"/>
        </w:rPr>
        <w:t> </w:t>
      </w:r>
      <w:r w:rsidRPr="0074636A">
        <w:rPr>
          <w:color w:val="FF0000"/>
          <w:u w:val="single"/>
        </w:rPr>
        <w:t>Bernie Sanders</w:t>
      </w:r>
      <w:r w:rsidRPr="00F530DC">
        <w:t>.</w:t>
      </w:r>
      <w:r w:rsidRPr="00F530DC">
        <w:rPr>
          <w:rStyle w:val="apple-converted-space"/>
        </w:rPr>
        <w:t> </w:t>
      </w:r>
      <w:r w:rsidRPr="00F530DC">
        <w:t xml:space="preserve">Justo después de la recesión que comenzó en diciembre de 2007 y terminó en junio de 2009, el Centro J. Heldrich John para el Desarrollo de la Fuerza Laboral de la Universidad de Rutgers </w:t>
      </w:r>
      <w:r w:rsidRPr="0074636A">
        <w:rPr>
          <w:u w:val="single"/>
        </w:rPr>
        <w:t>hizo una encuesta sobre las causas del alto desempleo. Las principales respuestas que obtuvo fueron: mano de obra extranjera barata, inmigrantes ilegales y banqueros de Wall Street.</w:t>
      </w:r>
    </w:p>
    <w:p w:rsidR="002F07D4" w:rsidRDefault="002F07D4" w:rsidP="002F07D4">
      <w:pPr>
        <w:pStyle w:val="NormalWeb"/>
        <w:shd w:val="clear" w:color="auto" w:fill="FFFFFF"/>
        <w:spacing w:before="0" w:beforeAutospacing="0" w:after="0" w:afterAutospacing="0"/>
        <w:jc w:val="both"/>
        <w:textAlignment w:val="baseline"/>
        <w:rPr>
          <w:u w:val="single"/>
        </w:rPr>
      </w:pPr>
    </w:p>
    <w:p w:rsidR="002F07D4" w:rsidRPr="0074636A" w:rsidRDefault="002F07D4" w:rsidP="002F07D4">
      <w:pPr>
        <w:pStyle w:val="NormalWeb"/>
        <w:shd w:val="clear" w:color="auto" w:fill="FFFFFF"/>
        <w:spacing w:before="0" w:beforeAutospacing="0" w:after="270" w:afterAutospacing="0"/>
        <w:jc w:val="both"/>
        <w:textAlignment w:val="baseline"/>
        <w:rPr>
          <w:color w:val="FF0000"/>
          <w:u w:val="single"/>
        </w:rPr>
      </w:pPr>
      <w:r w:rsidRPr="0074636A">
        <w:rPr>
          <w:color w:val="FF0000"/>
          <w:u w:val="single"/>
        </w:rPr>
        <w:t>Cerca de 40 millones de personas perdieron sus empleos durante la recesión, según e</w:t>
      </w:r>
      <w:r w:rsidR="002D0480">
        <w:rPr>
          <w:color w:val="FF0000"/>
          <w:u w:val="single"/>
        </w:rPr>
        <w:t>l Departamento de Trabajo de EEUU</w:t>
      </w:r>
      <w:r w:rsidRPr="0074636A">
        <w:rPr>
          <w:color w:val="FF0000"/>
          <w:u w:val="single"/>
        </w:rPr>
        <w:t xml:space="preserve"> y la tasa de desocupación alcanzó el 10%.</w:t>
      </w:r>
      <w:r w:rsidRPr="0074636A">
        <w:rPr>
          <w:rStyle w:val="apple-converted-space"/>
          <w:color w:val="FF0000"/>
          <w:u w:val="single"/>
        </w:rPr>
        <w:t> </w:t>
      </w:r>
      <w:r w:rsidRPr="0074636A">
        <w:rPr>
          <w:color w:val="FF0000"/>
          <w:u w:val="single"/>
        </w:rPr>
        <w:t>Henry Farber,</w:t>
      </w:r>
      <w:r w:rsidRPr="0074636A">
        <w:rPr>
          <w:rStyle w:val="apple-converted-space"/>
          <w:color w:val="FF0000"/>
          <w:u w:val="single"/>
        </w:rPr>
        <w:t> </w:t>
      </w:r>
      <w:r w:rsidRPr="0074636A">
        <w:rPr>
          <w:color w:val="FF0000"/>
          <w:u w:val="single"/>
        </w:rPr>
        <w:t>economista de la Universidad de Princeton, calcula que la tasa de pérdida de empleo llegó a 16% entre 2007 y 2009.</w:t>
      </w:r>
    </w:p>
    <w:p w:rsidR="002F07D4" w:rsidRPr="0074636A" w:rsidRDefault="002F07D4" w:rsidP="002F07D4">
      <w:pPr>
        <w:pStyle w:val="NormalWeb"/>
        <w:shd w:val="clear" w:color="auto" w:fill="FFFFFF"/>
        <w:spacing w:before="0" w:beforeAutospacing="0" w:after="270" w:afterAutospacing="0"/>
        <w:jc w:val="both"/>
        <w:textAlignment w:val="baseline"/>
        <w:rPr>
          <w:u w:val="single"/>
        </w:rPr>
      </w:pPr>
      <w:r w:rsidRPr="0074636A">
        <w:rPr>
          <w:u w:val="single"/>
        </w:rPr>
        <w:t xml:space="preserve">Al igual que en recesiones anteriores, millones enfrentaron un fenómeno que los economistas denominan </w:t>
      </w:r>
      <w:r w:rsidRPr="0074636A">
        <w:rPr>
          <w:color w:val="FF0000"/>
          <w:u w:val="single"/>
        </w:rPr>
        <w:t>“cicatriz salarial”</w:t>
      </w:r>
      <w:r w:rsidRPr="0074636A">
        <w:rPr>
          <w:u w:val="single"/>
        </w:rPr>
        <w:t>. Cuando una persona que pierde su trabajo regresa al mercado laboral a menudo acepta un recorte salarial como</w:t>
      </w:r>
      <w:r w:rsidR="000C4836">
        <w:rPr>
          <w:u w:val="single"/>
        </w:rPr>
        <w:t xml:space="preserve"> precio para volver a trabajar.</w:t>
      </w:r>
    </w:p>
    <w:p w:rsidR="002F07D4" w:rsidRPr="00F530DC" w:rsidRDefault="002F07D4" w:rsidP="002F07D4">
      <w:pPr>
        <w:shd w:val="clear" w:color="auto" w:fill="FFFFFF"/>
        <w:spacing w:line="240" w:lineRule="auto"/>
        <w:jc w:val="both"/>
        <w:textAlignment w:val="baseline"/>
        <w:rPr>
          <w:rFonts w:ascii="Times New Roman" w:hAnsi="Times New Roman"/>
          <w:sz w:val="24"/>
          <w:szCs w:val="24"/>
        </w:rPr>
      </w:pPr>
      <w:r>
        <w:rPr>
          <w:rFonts w:ascii="Times New Roman" w:hAnsi="Times New Roman"/>
          <w:noProof/>
          <w:sz w:val="24"/>
          <w:szCs w:val="24"/>
          <w:lang w:val="en-GB" w:eastAsia="en-GB"/>
        </w:rPr>
        <w:drawing>
          <wp:inline distT="0" distB="0" distL="0" distR="0">
            <wp:extent cx="5238750" cy="3149600"/>
            <wp:effectExtent l="0" t="0" r="0" b="0"/>
            <wp:docPr id="291" name="Imagen 291" descr="https://si.wsj.net/public/resources/images/AO-AA986_wsjamd_NS_2016051019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https://si.wsj.net/public/resources/images/AO-AA986_wsjamd_NS_20160510190909.jpg"/>
                    <pic:cNvPicPr>
                      <a:picLocks noChangeAspect="1" noChangeArrowheads="1"/>
                    </pic:cNvPicPr>
                  </pic:nvPicPr>
                  <pic:blipFill>
                    <a:blip r:embed="rId3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0" cy="3149600"/>
                    </a:xfrm>
                    <a:prstGeom prst="rect">
                      <a:avLst/>
                    </a:prstGeom>
                    <a:noFill/>
                    <a:ln>
                      <a:noFill/>
                    </a:ln>
                  </pic:spPr>
                </pic:pic>
              </a:graphicData>
            </a:graphic>
          </wp:inline>
        </w:drawing>
      </w:r>
    </w:p>
    <w:p w:rsidR="002F07D4" w:rsidRPr="00F530DC" w:rsidRDefault="002F07D4" w:rsidP="002F07D4">
      <w:pPr>
        <w:pStyle w:val="NormalWeb"/>
        <w:shd w:val="clear" w:color="auto" w:fill="FFFFFF"/>
        <w:spacing w:before="0" w:beforeAutospacing="0" w:after="270" w:afterAutospacing="0"/>
        <w:jc w:val="both"/>
        <w:textAlignment w:val="baseline"/>
      </w:pPr>
      <w:r w:rsidRPr="007F61A6">
        <w:rPr>
          <w:u w:val="single"/>
        </w:rPr>
        <w:t>En esta ocasión, el daño se agrava porque la recuperación del mercado laboral ha sido dolorosamente lenta.</w:t>
      </w:r>
      <w:r w:rsidRPr="00F530DC">
        <w:t xml:space="preserve"> En los últimos años ha habido un número inusualmente alto de personas buscando empleo durante más de seis meses y de trabajadores de medio tiempo. “Les cuesta mucho más encontrar un trabajo, y en particular uno de tiempo completo, lo cual inmediatamente se convierte en un descenso de los ingresos”, dijo Farber.</w:t>
      </w:r>
    </w:p>
    <w:p w:rsidR="002F07D4" w:rsidRPr="007F61A6" w:rsidRDefault="002F07D4" w:rsidP="002F07D4">
      <w:pPr>
        <w:pStyle w:val="NormalWeb"/>
        <w:shd w:val="clear" w:color="auto" w:fill="FFFFFF"/>
        <w:spacing w:before="0" w:beforeAutospacing="0" w:after="270" w:afterAutospacing="0"/>
        <w:jc w:val="both"/>
        <w:textAlignment w:val="baseline"/>
        <w:rPr>
          <w:u w:val="single"/>
        </w:rPr>
      </w:pPr>
      <w:r w:rsidRPr="007F61A6">
        <w:rPr>
          <w:u w:val="single"/>
        </w:rPr>
        <w:lastRenderedPageBreak/>
        <w:t>Reece, el residente de San José, jamás pensó que le costaría tanto. La primera vez que lo despidieron, después de una fusión hacia el final de la burbuja puntocom, ganaba US$120.000 al año, más bonificaciones y opciones sobre acciones, como gerente de una empresa de tecnología. Luego se desempeñó como técnico del departamento de educación del Condado de San Mateo, donde ganaba alrededor de la mitad. Cuando volvió a ser despedido en 2008 buscó empleo, sin suerte. “Empecé a trabajar a los 14 años y nunca imaginé que me quedaría desocupado”, confesó. “Siempre pensé que encontraría un empleo y me desconcertaba no poder hacerlo”.</w:t>
      </w:r>
    </w:p>
    <w:p w:rsidR="002F07D4" w:rsidRPr="00F530DC" w:rsidRDefault="002F07D4" w:rsidP="002F07D4">
      <w:pPr>
        <w:pStyle w:val="NormalWeb"/>
        <w:shd w:val="clear" w:color="auto" w:fill="FFFFFF"/>
        <w:spacing w:before="0" w:beforeAutospacing="0" w:after="270" w:afterAutospacing="0"/>
        <w:jc w:val="both"/>
        <w:textAlignment w:val="baseline"/>
      </w:pPr>
      <w:r w:rsidRPr="007F61A6">
        <w:rPr>
          <w:u w:val="single"/>
        </w:rPr>
        <w:t>Su familia dependió entonces del salario de su esposa y del alquiler de una casa</w:t>
      </w:r>
      <w:r w:rsidRPr="00F530DC">
        <w:t>. Con el tiempo, Reece volvió al Union College de Lincoln, Nebraska, donde había estudiado sin graduarse en los años 70, para completar su licenciatura. Se graduó a principios de mayo y ahora planea reanudar su búsqueda en California.</w:t>
      </w:r>
    </w:p>
    <w:p w:rsidR="002F07D4" w:rsidRPr="00F530DC" w:rsidRDefault="002F07D4" w:rsidP="002F07D4">
      <w:pPr>
        <w:pStyle w:val="NormalWeb"/>
        <w:shd w:val="clear" w:color="auto" w:fill="FFFFFF"/>
        <w:spacing w:before="0" w:beforeAutospacing="0" w:after="270" w:afterAutospacing="0"/>
        <w:jc w:val="both"/>
        <w:textAlignment w:val="baseline"/>
      </w:pPr>
      <w:r w:rsidRPr="007F61A6">
        <w:rPr>
          <w:u w:val="single"/>
        </w:rPr>
        <w:t>A pesar de la tibieza del crecimiento econ</w:t>
      </w:r>
      <w:r>
        <w:rPr>
          <w:u w:val="single"/>
        </w:rPr>
        <w:t>ómico, el mercado laboral de EEUU</w:t>
      </w:r>
      <w:r w:rsidRPr="007F61A6">
        <w:rPr>
          <w:u w:val="single"/>
        </w:rPr>
        <w:t xml:space="preserve"> está en vías de recuperación</w:t>
      </w:r>
      <w:r w:rsidRPr="00F530DC">
        <w:t>. La proporción de la población en edad productiva que tiene un empleo ha subido desde los mínimos tras la recesión. En abril, el desempleo alcanzó 5%, la participación de la fuerza laboral se ha estabilizado y el crecimiento de los salarios parece estar afirmándose.</w:t>
      </w:r>
    </w:p>
    <w:p w:rsidR="002F07D4" w:rsidRPr="007F61A6" w:rsidRDefault="002F07D4" w:rsidP="002F07D4">
      <w:pPr>
        <w:pStyle w:val="NormalWeb"/>
        <w:shd w:val="clear" w:color="auto" w:fill="FFFFFF"/>
        <w:spacing w:before="0" w:beforeAutospacing="0" w:after="270" w:afterAutospacing="0"/>
        <w:jc w:val="both"/>
        <w:textAlignment w:val="baseline"/>
        <w:rPr>
          <w:b/>
          <w:color w:val="FF0000"/>
          <w:u w:val="single"/>
        </w:rPr>
      </w:pPr>
      <w:r w:rsidRPr="007F61A6">
        <w:rPr>
          <w:color w:val="FF0000"/>
          <w:u w:val="single"/>
        </w:rPr>
        <w:t>No obstante, al cabo de cinco años solamente uno de cada cuatro desocupados que vuelven a emplearse gana lo mismo que antes, según Till von Wachter, economista de la Universidad de California en Los Ángeles. La brecha salarial entre quienes sufrieron un lapso de desempleo y quienes no</w:t>
      </w:r>
      <w:r>
        <w:rPr>
          <w:color w:val="FF0000"/>
          <w:u w:val="single"/>
        </w:rPr>
        <w:t>,</w:t>
      </w:r>
      <w:r w:rsidRPr="007F61A6">
        <w:rPr>
          <w:color w:val="FF0000"/>
          <w:u w:val="single"/>
        </w:rPr>
        <w:t xml:space="preserve"> subsiste durante décadas. </w:t>
      </w:r>
      <w:r w:rsidRPr="007F61A6">
        <w:rPr>
          <w:b/>
          <w:color w:val="FF0000"/>
          <w:u w:val="single"/>
        </w:rPr>
        <w:t>Según una estimación, las personas que perdieron su trabajo durante una recesión ganan después de 10 a 20 años entre 15% y 20% menos que los que no lo perdieron.</w:t>
      </w:r>
    </w:p>
    <w:p w:rsidR="002F07D4" w:rsidRPr="007F61A6" w:rsidRDefault="002F07D4" w:rsidP="002F07D4">
      <w:pPr>
        <w:pStyle w:val="NormalWeb"/>
        <w:shd w:val="clear" w:color="auto" w:fill="FFFFFF"/>
        <w:spacing w:before="0" w:beforeAutospacing="0" w:after="270" w:afterAutospacing="0"/>
        <w:jc w:val="both"/>
        <w:textAlignment w:val="baseline"/>
        <w:rPr>
          <w:u w:val="single"/>
        </w:rPr>
      </w:pPr>
      <w:r w:rsidRPr="007F61A6">
        <w:rPr>
          <w:u w:val="single"/>
        </w:rPr>
        <w:t>Luego de la última recesión, uno de cada cuatro estadounidenses dudaba que su calidad de vida mejorara con el tiempo, en comparación con 15% en la década de 2000, según la Encuesta Social General realizada por NORC en la Universidad de Chicago.</w:t>
      </w:r>
    </w:p>
    <w:p w:rsidR="002F07D4" w:rsidRPr="007F61A6" w:rsidRDefault="002F07D4" w:rsidP="002F07D4">
      <w:pPr>
        <w:pStyle w:val="NormalWeb"/>
        <w:shd w:val="clear" w:color="auto" w:fill="FFFFFF"/>
        <w:spacing w:before="0" w:beforeAutospacing="0" w:after="270" w:afterAutospacing="0"/>
        <w:jc w:val="both"/>
        <w:textAlignment w:val="baseline"/>
        <w:rPr>
          <w:color w:val="FF0000"/>
          <w:u w:val="single"/>
        </w:rPr>
      </w:pPr>
      <w:r w:rsidRPr="007F61A6">
        <w:rPr>
          <w:color w:val="FF0000"/>
          <w:u w:val="single"/>
        </w:rPr>
        <w:t>Perder el trabajo tiene consecuencias mayores que las financieras. El desempleo implica a menudo aislamiento, que puede despojar a la gente de su identidad y de la red social basada en los compañeros de trabajo. Los investigadores han relacionado la pérdida de empleo al estrés, la depresión y los sentimientos de desconfianza, ansiedad y vergüenza.</w:t>
      </w:r>
    </w:p>
    <w:p w:rsidR="002F07D4" w:rsidRPr="007F61A6" w:rsidRDefault="002F07D4" w:rsidP="002F07D4">
      <w:pPr>
        <w:pStyle w:val="NormalWeb"/>
        <w:shd w:val="clear" w:color="auto" w:fill="FFFFFF"/>
        <w:spacing w:before="0" w:beforeAutospacing="0" w:after="270" w:afterAutospacing="0"/>
        <w:jc w:val="both"/>
        <w:textAlignment w:val="baseline"/>
        <w:rPr>
          <w:u w:val="single"/>
        </w:rPr>
      </w:pPr>
      <w:r w:rsidRPr="007F61A6">
        <w:rPr>
          <w:u w:val="single"/>
        </w:rPr>
        <w:t>Es probable que la recesión haya exacerbado las alarmantes tendencias que surgieron luego del final de la bonanza económica de los 90. Según una investigación de</w:t>
      </w:r>
      <w:r w:rsidRPr="007F61A6">
        <w:rPr>
          <w:rStyle w:val="apple-converted-space"/>
          <w:u w:val="single"/>
        </w:rPr>
        <w:t> </w:t>
      </w:r>
      <w:r w:rsidRPr="007F61A6">
        <w:rPr>
          <w:u w:val="single"/>
        </w:rPr>
        <w:t>Anne Case</w:t>
      </w:r>
      <w:r w:rsidRPr="007F61A6">
        <w:rPr>
          <w:rStyle w:val="apple-converted-space"/>
          <w:u w:val="single"/>
        </w:rPr>
        <w:t> </w:t>
      </w:r>
      <w:r w:rsidRPr="007F61A6">
        <w:rPr>
          <w:u w:val="single"/>
        </w:rPr>
        <w:t>y</w:t>
      </w:r>
      <w:r w:rsidRPr="007F61A6">
        <w:rPr>
          <w:rStyle w:val="apple-converted-space"/>
          <w:u w:val="single"/>
        </w:rPr>
        <w:t> </w:t>
      </w:r>
      <w:r w:rsidRPr="007F61A6">
        <w:rPr>
          <w:u w:val="single"/>
        </w:rPr>
        <w:t>Angus Deaton, economistas de la Universidad de Princeton, la tasa de mortalidad entre estadounidenses blancos de mediana edad aumentó como consecuencia de suicidios, abuso de sustancias y enfermedades del hígado, dolencias potencialmente vinculadas con penurias económicas.</w:t>
      </w:r>
    </w:p>
    <w:p w:rsidR="002F07D4" w:rsidRPr="007F61A6" w:rsidRDefault="002F07D4" w:rsidP="002F07D4">
      <w:pPr>
        <w:pStyle w:val="NormalWeb"/>
        <w:shd w:val="clear" w:color="auto" w:fill="FFFFFF"/>
        <w:spacing w:before="0" w:beforeAutospacing="0" w:after="270" w:afterAutospacing="0"/>
        <w:jc w:val="both"/>
        <w:textAlignment w:val="baseline"/>
        <w:rPr>
          <w:color w:val="FF0000"/>
          <w:u w:val="single"/>
        </w:rPr>
      </w:pPr>
      <w:r w:rsidRPr="007F61A6">
        <w:rPr>
          <w:color w:val="FF0000"/>
          <w:u w:val="single"/>
        </w:rPr>
        <w:t>Datos que abarcan los años de recesión muestran un vínculo entre el alto desempleo y el aumento del abuso de analgésicos y alucinógenos. Entre 1999 y 2</w:t>
      </w:r>
      <w:r>
        <w:rPr>
          <w:color w:val="FF0000"/>
          <w:u w:val="single"/>
        </w:rPr>
        <w:t>014, la tasa de suicidios en EEUU</w:t>
      </w:r>
      <w:r w:rsidRPr="007F61A6">
        <w:rPr>
          <w:color w:val="FF0000"/>
          <w:u w:val="single"/>
        </w:rPr>
        <w:t xml:space="preserve"> subió 24% y se aceleró desde 2006, según los Centros para el Control y la Prevención de Enfermedades. Un estudio sobre varones de Pensilvania que durante la década de los 80 perdieron trabajos de muchos años, detectó un aumento de la mortalidad después de un despido. </w:t>
      </w:r>
    </w:p>
    <w:p w:rsidR="002F07D4" w:rsidRPr="007F61A6" w:rsidRDefault="002F07D4" w:rsidP="002F07D4">
      <w:pPr>
        <w:pStyle w:val="NormalWeb"/>
        <w:shd w:val="clear" w:color="auto" w:fill="FFFFFF"/>
        <w:spacing w:before="0" w:beforeAutospacing="0" w:after="270" w:afterAutospacing="0"/>
        <w:jc w:val="both"/>
        <w:textAlignment w:val="baseline"/>
        <w:rPr>
          <w:color w:val="FF0000"/>
          <w:u w:val="single"/>
        </w:rPr>
      </w:pPr>
      <w:r w:rsidRPr="007F61A6">
        <w:rPr>
          <w:color w:val="FF0000"/>
          <w:u w:val="single"/>
        </w:rPr>
        <w:lastRenderedPageBreak/>
        <w:t>Los investigadores dicen que los hijos de personas que pierden su empleo tienen peor desempeño en la escuela y mayores probabilidades de repetir curso. El despido de un padre está relacionado con un riesgo sustancialmente mayor de ansiedad y depresión en sus hijos. En un estudio, los hijos de hombres que fueron despedidos ganaban salarios 9% más bajos que personas cuyos padres habían conservado el empleo.</w:t>
      </w:r>
    </w:p>
    <w:p w:rsidR="002F07D4" w:rsidRDefault="002F07D4" w:rsidP="002F07D4">
      <w:pPr>
        <w:pStyle w:val="NormalWeb"/>
        <w:shd w:val="clear" w:color="auto" w:fill="FFFFFF"/>
        <w:spacing w:before="0" w:beforeAutospacing="0" w:after="270" w:afterAutospacing="0"/>
        <w:jc w:val="both"/>
        <w:textAlignment w:val="baseline"/>
        <w:rPr>
          <w:u w:val="single"/>
        </w:rPr>
      </w:pPr>
      <w:r w:rsidRPr="00F530DC">
        <w:t>En 2001, cuando se graduó de abogada,</w:t>
      </w:r>
      <w:r w:rsidRPr="00F530DC">
        <w:rPr>
          <w:rStyle w:val="apple-converted-space"/>
        </w:rPr>
        <w:t> </w:t>
      </w:r>
      <w:r w:rsidRPr="00F530DC">
        <w:t>Elizabeth Train</w:t>
      </w:r>
      <w:r w:rsidRPr="00F530DC">
        <w:rPr>
          <w:rStyle w:val="apple-converted-space"/>
        </w:rPr>
        <w:t> </w:t>
      </w:r>
      <w:r w:rsidRPr="00F530DC">
        <w:t xml:space="preserve">consiguió un trabajo de US$45.000 al año. A principios de 2015, sigue ganando lo mismo, aproximadamente una cuarta parte menos que hace 14 años si se descuenta la inflación. </w:t>
      </w:r>
      <w:r w:rsidRPr="007F61A6">
        <w:rPr>
          <w:u w:val="single"/>
        </w:rPr>
        <w:t>“Yo sé que valgo más”, dijo esta madre soltera de tres hijos. “Pero llega un punto en que una tiene que tomar lo que pueda”.</w:t>
      </w:r>
    </w:p>
    <w:p w:rsidR="002F07D4" w:rsidRPr="005F0D65" w:rsidRDefault="002F07D4" w:rsidP="002F07D4">
      <w:pPr>
        <w:pStyle w:val="Ttulo1"/>
        <w:spacing w:before="300" w:after="150"/>
        <w:jc w:val="both"/>
        <w:textAlignment w:val="baseline"/>
        <w:rPr>
          <w:rFonts w:ascii="Times New Roman" w:hAnsi="Times New Roman" w:cs="Times New Roman"/>
          <w:color w:val="000000"/>
          <w:sz w:val="24"/>
          <w:szCs w:val="24"/>
        </w:rPr>
      </w:pPr>
      <w:r w:rsidRPr="005F0D65">
        <w:rPr>
          <w:rFonts w:ascii="Times New Roman" w:hAnsi="Times New Roman" w:cs="Times New Roman"/>
          <w:color w:val="000000"/>
          <w:sz w:val="24"/>
          <w:szCs w:val="24"/>
        </w:rPr>
        <w:t xml:space="preserve">- </w:t>
      </w:r>
      <w:r w:rsidRPr="005F0D65">
        <w:rPr>
          <w:rFonts w:ascii="Times New Roman" w:hAnsi="Times New Roman" w:cs="Times New Roman"/>
          <w:b w:val="0"/>
          <w:color w:val="000000"/>
          <w:sz w:val="24"/>
          <w:szCs w:val="24"/>
          <w:u w:val="single"/>
        </w:rPr>
        <w:t>Euroskepticism Beyond Brexit</w:t>
      </w:r>
      <w:r w:rsidRPr="005F0D65">
        <w:rPr>
          <w:rFonts w:ascii="Times New Roman" w:hAnsi="Times New Roman" w:cs="Times New Roman"/>
          <w:color w:val="000000"/>
          <w:sz w:val="24"/>
          <w:szCs w:val="24"/>
        </w:rPr>
        <w:t xml:space="preserve"> (</w:t>
      </w:r>
      <w:r w:rsidRPr="005F0D65">
        <w:rPr>
          <w:rFonts w:ascii="Times New Roman" w:hAnsi="Times New Roman" w:cs="Times New Roman"/>
          <w:b w:val="0"/>
          <w:color w:val="000000"/>
          <w:sz w:val="24"/>
          <w:szCs w:val="24"/>
        </w:rPr>
        <w:t>Pew Research Center - Global Attitudes &amp; Trends</w:t>
      </w:r>
      <w:r w:rsidRPr="005F0D65">
        <w:rPr>
          <w:rFonts w:ascii="Times New Roman" w:hAnsi="Times New Roman" w:cs="Times New Roman"/>
          <w:color w:val="000000"/>
          <w:sz w:val="24"/>
          <w:szCs w:val="24"/>
        </w:rPr>
        <w:t xml:space="preserve"> - 7/6/16)</w:t>
      </w:r>
      <w:r w:rsidR="000C4836" w:rsidRPr="000C4836">
        <w:rPr>
          <w:rFonts w:ascii="Times New Roman" w:hAnsi="Times New Roman" w:cs="Times New Roman"/>
          <w:b w:val="0"/>
          <w:color w:val="000000"/>
          <w:sz w:val="24"/>
          <w:szCs w:val="24"/>
        </w:rPr>
        <w:t>Lectura recomendada</w:t>
      </w:r>
    </w:p>
    <w:p w:rsidR="002F07D4" w:rsidRDefault="002F07D4" w:rsidP="002F07D4">
      <w:pPr>
        <w:pStyle w:val="subhead"/>
        <w:spacing w:before="133" w:beforeAutospacing="0" w:after="267" w:afterAutospacing="0"/>
        <w:jc w:val="both"/>
        <w:textAlignment w:val="baseline"/>
        <w:rPr>
          <w:i/>
          <w:iCs/>
          <w:color w:val="000000"/>
        </w:rPr>
      </w:pPr>
      <w:r w:rsidRPr="005F184F">
        <w:rPr>
          <w:i/>
          <w:iCs/>
          <w:color w:val="000000"/>
        </w:rPr>
        <w:t>Significant opposition in key European countries to an ever closer EU</w:t>
      </w:r>
    </w:p>
    <w:p w:rsidR="002F07D4" w:rsidRPr="005F0D65" w:rsidRDefault="002F07D4" w:rsidP="002F07D4">
      <w:pPr>
        <w:pStyle w:val="subhead"/>
        <w:spacing w:before="133" w:beforeAutospacing="0" w:after="267" w:afterAutospacing="0"/>
        <w:jc w:val="both"/>
        <w:textAlignment w:val="baseline"/>
        <w:rPr>
          <w:iCs/>
          <w:color w:val="000000"/>
        </w:rPr>
      </w:pPr>
      <w:r>
        <w:rPr>
          <w:iCs/>
          <w:color w:val="000000"/>
        </w:rPr>
        <w:t>(By Bruce Stokes)</w:t>
      </w:r>
    </w:p>
    <w:p w:rsidR="002F07D4"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4000500" cy="3289300"/>
            <wp:effectExtent l="0" t="0" r="0" b="6350"/>
            <wp:docPr id="297" name="Imagen 297" descr="European views of the EU and potential Brexit">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uropean views of the EU and potential Brexit">
                      <a:hlinkClick r:id="rId301"/>
                    </pic:cNvPr>
                    <pic:cNvPicPr>
                      <a:picLocks noChangeAspect="1" noChangeArrowheads="1"/>
                    </pic:cNvPicPr>
                  </pic:nvPicPr>
                  <pic:blipFill>
                    <a:blip r:embed="rId3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3289300"/>
                    </a:xfrm>
                    <a:prstGeom prst="rect">
                      <a:avLst/>
                    </a:prstGeom>
                    <a:noFill/>
                    <a:ln>
                      <a:noFill/>
                    </a:ln>
                  </pic:spPr>
                </pic:pic>
              </a:graphicData>
            </a:graphic>
          </wp:inline>
        </w:drawing>
      </w:r>
    </w:p>
    <w:p w:rsidR="002F07D4"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color w:val="000000"/>
        </w:rPr>
        <w:t>On June 23, people in the United Kingdom will vote on a referendum on whether to remain in the European Union or to leave the Brussels-based institution, a decision that has come to be called Brexit. The British go to the polls at a time when a new multi-nation survey from Pew Research Center finds that Euroskepticism is on the rise across Europe and that about two-thirds of both the British and the Greeks, along with significant minorities in other key nations, want some powers returned from Brussels to national governments. Whether favorable or not toward Brussels, most Europeans agree that a British exit would harm the 28-member EU.</w:t>
      </w:r>
    </w:p>
    <w:p w:rsidR="002F07D4" w:rsidRPr="005F184F"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color w:val="000000"/>
        </w:rPr>
        <w:t>A median of just 51% across 10 EU countries surveyed have a favorable view of the European Union.</w:t>
      </w:r>
      <w:r w:rsidRPr="005F184F">
        <w:rPr>
          <w:rStyle w:val="apple-converted-space"/>
          <w:rFonts w:eastAsiaTheme="majorEastAsia"/>
          <w:color w:val="000000"/>
        </w:rPr>
        <w:t> </w:t>
      </w:r>
      <w:hyperlink r:id="rId303" w:tgtFrame="_blank" w:history="1">
        <w:r w:rsidRPr="005F184F">
          <w:rPr>
            <w:rStyle w:val="Hipervnculo"/>
            <w:color w:val="000000"/>
            <w:bdr w:val="none" w:sz="0" w:space="0" w:color="auto" w:frame="1"/>
          </w:rPr>
          <w:t>A median of 42% in these 10 nations want more power returned to their national capitals,</w:t>
        </w:r>
      </w:hyperlink>
      <w:r w:rsidRPr="005F184F">
        <w:rPr>
          <w:rStyle w:val="apple-converted-space"/>
          <w:rFonts w:eastAsiaTheme="majorEastAsia"/>
          <w:color w:val="000000"/>
        </w:rPr>
        <w:t> </w:t>
      </w:r>
      <w:r w:rsidRPr="005F184F">
        <w:rPr>
          <w:color w:val="000000"/>
        </w:rPr>
        <w:t xml:space="preserve">while only 19% favor giving Brussels more power and 27% </w:t>
      </w:r>
      <w:r w:rsidRPr="005F184F">
        <w:rPr>
          <w:color w:val="000000"/>
        </w:rPr>
        <w:lastRenderedPageBreak/>
        <w:t>favor the status quo. Nevertheless, a median of 70% in the nine EU nations surveyed that don’t get a vote June 23 believe it would be bad for the EU if the UK decided to depart. Only 16% say it would be a good thing.</w:t>
      </w:r>
    </w:p>
    <w:p w:rsidR="002F07D4" w:rsidRPr="005F184F" w:rsidRDefault="002F07D4" w:rsidP="002F07D4">
      <w:pPr>
        <w:pStyle w:val="selectionshareable"/>
        <w:spacing w:before="0" w:beforeAutospacing="0" w:after="0" w:afterAutospacing="0"/>
        <w:jc w:val="both"/>
        <w:textAlignment w:val="baseline"/>
        <w:rPr>
          <w:color w:val="000000"/>
        </w:rPr>
      </w:pP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European publics are sharply divided along partisan lines on many of these issues. Supporters of Euroskepti</w:t>
      </w:r>
      <w:r>
        <w:rPr>
          <w:color w:val="000000"/>
        </w:rPr>
        <w:t>c parties -</w:t>
      </w:r>
      <w:r w:rsidRPr="005F184F">
        <w:rPr>
          <w:color w:val="000000"/>
        </w:rPr>
        <w:t>especially in France, I</w:t>
      </w:r>
      <w:r>
        <w:rPr>
          <w:color w:val="000000"/>
        </w:rPr>
        <w:t>taly, Poland, Spain and the UK -</w:t>
      </w:r>
      <w:r w:rsidRPr="005F184F">
        <w:rPr>
          <w:color w:val="000000"/>
        </w:rPr>
        <w:t xml:space="preserve"> are much less likely than adherents to other major parties to have a favorable view of the European Union.</w:t>
      </w: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These are among the key findings from a new survey by Pew Research Center, conducted in 10 EU nations among 10,491 respondents from April 4 to May 12, 2016. The survey includes countries that account for 80% of the EU-28 population and 82% of the EU’s GDP.</w:t>
      </w:r>
    </w:p>
    <w:p w:rsidR="002F07D4" w:rsidRPr="005F184F" w:rsidRDefault="002F07D4" w:rsidP="002F07D4">
      <w:pPr>
        <w:pStyle w:val="Ttulo3"/>
        <w:spacing w:before="120" w:after="240" w:line="240" w:lineRule="auto"/>
        <w:jc w:val="both"/>
        <w:textAlignment w:val="baseline"/>
        <w:rPr>
          <w:rFonts w:ascii="Times New Roman" w:hAnsi="Times New Roman" w:cs="Times New Roman"/>
          <w:color w:val="000000"/>
          <w:sz w:val="24"/>
          <w:szCs w:val="24"/>
        </w:rPr>
      </w:pPr>
      <w:r w:rsidRPr="005F184F">
        <w:rPr>
          <w:rFonts w:ascii="Times New Roman" w:hAnsi="Times New Roman" w:cs="Times New Roman"/>
          <w:color w:val="000000"/>
          <w:sz w:val="24"/>
          <w:szCs w:val="24"/>
        </w:rPr>
        <w:t>A double dip in EU favorability</w:t>
      </w:r>
    </w:p>
    <w:p w:rsidR="002F07D4"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4000500" cy="3168650"/>
            <wp:effectExtent l="0" t="0" r="0" b="0"/>
            <wp:docPr id="298" name="Imagen 298" descr="After short-lived rebound, views of the EU on the decline again in key European countries">
              <a:hlinkClick xmlns:a="http://schemas.openxmlformats.org/drawingml/2006/main" r:id="rId3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fter short-lived rebound, views of the EU on the decline again in key European countries">
                      <a:hlinkClick r:id="rId304"/>
                    </pic:cNvPr>
                    <pic:cNvPicPr>
                      <a:picLocks noChangeAspect="1" noChangeArrowheads="1"/>
                    </pic:cNvPicPr>
                  </pic:nvPicPr>
                  <pic:blipFill>
                    <a:blip r:embed="rId3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3168650"/>
                    </a:xfrm>
                    <a:prstGeom prst="rect">
                      <a:avLst/>
                    </a:prstGeom>
                    <a:noFill/>
                    <a:ln>
                      <a:noFill/>
                    </a:ln>
                  </pic:spPr>
                </pic:pic>
              </a:graphicData>
            </a:graphic>
          </wp:inline>
        </w:drawing>
      </w:r>
    </w:p>
    <w:p w:rsidR="002F07D4" w:rsidRDefault="002F07D4" w:rsidP="002F07D4">
      <w:pPr>
        <w:pStyle w:val="selectionshareable"/>
        <w:spacing w:before="0" w:beforeAutospacing="0" w:after="0" w:afterAutospacing="0"/>
        <w:jc w:val="both"/>
        <w:textAlignment w:val="baseline"/>
        <w:rPr>
          <w:color w:val="000000"/>
        </w:rPr>
      </w:pPr>
    </w:p>
    <w:p w:rsidR="002D0480" w:rsidRDefault="002D0480" w:rsidP="002F07D4">
      <w:pPr>
        <w:pStyle w:val="selectionshareable"/>
        <w:spacing w:before="0" w:beforeAutospacing="0" w:after="0" w:afterAutospacing="0"/>
        <w:jc w:val="both"/>
        <w:textAlignment w:val="baseline"/>
        <w:rPr>
          <w:color w:val="000000"/>
        </w:rPr>
      </w:pPr>
    </w:p>
    <w:p w:rsidR="002F07D4" w:rsidRPr="005F184F" w:rsidRDefault="002F07D4" w:rsidP="002F07D4">
      <w:pPr>
        <w:pStyle w:val="selectionshareable"/>
        <w:spacing w:before="0" w:beforeAutospacing="0" w:after="0" w:afterAutospacing="0"/>
        <w:jc w:val="both"/>
        <w:textAlignment w:val="baseline"/>
        <w:rPr>
          <w:color w:val="000000"/>
        </w:rPr>
      </w:pPr>
      <w:r w:rsidRPr="005F184F">
        <w:rPr>
          <w:color w:val="000000"/>
        </w:rPr>
        <w:t>The British are not the only ones with doubts about the European Union. The EU’s image and stature have been on a roller coaster ride in recent years throughout Europe. In a number of nations the portion of the public with a favorable view of the Brussels-based institution fell markedly from 2012 to 2013 as the European economy cratered. It subsequently rebounded in 2014 and 2015. But the EU is again experiencing a sharp dip in public support in a number of its largest member states.</w:t>
      </w:r>
    </w:p>
    <w:p w:rsidR="002F07D4"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lastRenderedPageBreak/>
        <w:drawing>
          <wp:inline distT="0" distB="0" distL="0" distR="0">
            <wp:extent cx="2933700" cy="3086100"/>
            <wp:effectExtent l="0" t="0" r="0" b="0"/>
            <wp:docPr id="299" name="Imagen 299" descr="EU favorability varies widely in Europe">
              <a:hlinkClick xmlns:a="http://schemas.openxmlformats.org/drawingml/2006/main" r:id="rId3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U favorability varies widely in Europe">
                      <a:hlinkClick r:id="rId306"/>
                    </pic:cNvPr>
                    <pic:cNvPicPr>
                      <a:picLocks noChangeAspect="1" noChangeArrowheads="1"/>
                    </pic:cNvPicPr>
                  </pic:nvPicPr>
                  <pic:blipFill>
                    <a:blip r:embed="rId3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3086100"/>
                    </a:xfrm>
                    <a:prstGeom prst="rect">
                      <a:avLst/>
                    </a:prstGeom>
                    <a:noFill/>
                    <a:ln>
                      <a:noFill/>
                    </a:ln>
                  </pic:spPr>
                </pic:pic>
              </a:graphicData>
            </a:graphic>
          </wp:inline>
        </w:drawing>
      </w:r>
    </w:p>
    <w:p w:rsidR="002F07D4"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color w:val="000000"/>
        </w:rPr>
        <w:t>The institution’s strongest backers are the Poles (72%) and the Hungarians (61%). In many other nations, support is tepid. Just 27% of the Greeks, 38% of the French and 47% of the Spanish have a favorable opinion of the EU. Notably, 44% of the British view the EU favorably, including 53% of the Scottish.</w:t>
      </w:r>
    </w:p>
    <w:p w:rsidR="002F07D4" w:rsidRPr="005F184F"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color w:val="000000"/>
        </w:rPr>
        <w:t>EU favorability is</w:t>
      </w:r>
      <w:r w:rsidRPr="005F184F">
        <w:rPr>
          <w:rStyle w:val="apple-converted-space"/>
          <w:rFonts w:eastAsiaTheme="majorEastAsia"/>
          <w:color w:val="000000"/>
        </w:rPr>
        <w:t> </w:t>
      </w:r>
      <w:hyperlink r:id="rId308" w:tgtFrame="_blank" w:history="1">
        <w:r w:rsidRPr="005F184F">
          <w:rPr>
            <w:rStyle w:val="Hipervnculo"/>
            <w:color w:val="000000"/>
            <w:bdr w:val="none" w:sz="0" w:space="0" w:color="auto" w:frame="1"/>
          </w:rPr>
          <w:t>down in five of the six nations surveyed in both 2015 and 2016.</w:t>
        </w:r>
      </w:hyperlink>
      <w:r w:rsidRPr="005F184F">
        <w:rPr>
          <w:color w:val="000000"/>
        </w:rPr>
        <w:t>There has been a double-digit drop in France (down 17 percentage points) and Spain (16 points), and single-digit declines in Germany (8 points), the United Kingdom (7 points) and Italy (6 points).</w:t>
      </w:r>
    </w:p>
    <w:p w:rsidR="002F07D4" w:rsidRPr="005F184F"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2933700" cy="2806700"/>
            <wp:effectExtent l="0" t="0" r="0" b="0"/>
            <wp:docPr id="300" name="Imagen 300" descr="Younger adults much more likely than older ones to favor the EU ">
              <a:hlinkClick xmlns:a="http://schemas.openxmlformats.org/drawingml/2006/main" r:id="rId3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Younger adults much more likely than older ones to favor the EU ">
                      <a:hlinkClick r:id="rId309"/>
                    </pic:cNvPr>
                    <pic:cNvPicPr>
                      <a:picLocks noChangeAspect="1" noChangeArrowheads="1"/>
                    </pic:cNvPicPr>
                  </pic:nvPicPr>
                  <pic:blipFill>
                    <a:blip r:embed="rId3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2806700"/>
                    </a:xfrm>
                    <a:prstGeom prst="rect">
                      <a:avLst/>
                    </a:prstGeom>
                    <a:noFill/>
                    <a:ln>
                      <a:noFill/>
                    </a:ln>
                  </pic:spPr>
                </pic:pic>
              </a:graphicData>
            </a:graphic>
          </wp:inline>
        </w:drawing>
      </w:r>
    </w:p>
    <w:p w:rsidR="002F07D4"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Pr>
          <w:color w:val="000000"/>
        </w:rPr>
        <w:t>Young people -</w:t>
      </w:r>
      <w:r w:rsidRPr="005F184F">
        <w:rPr>
          <w:color w:val="000000"/>
        </w:rPr>
        <w:t>those ages 18 to 34</w:t>
      </w:r>
      <w:r>
        <w:rPr>
          <w:color w:val="000000"/>
        </w:rPr>
        <w:t>-</w:t>
      </w:r>
      <w:r w:rsidRPr="005F184F">
        <w:rPr>
          <w:color w:val="000000"/>
        </w:rPr>
        <w:t xml:space="preserve"> are more favorable toward the European Union than people 50 and older in six of the 10 nations surveyed. The generation gap is most</w:t>
      </w:r>
      <w:r w:rsidRPr="005F184F">
        <w:rPr>
          <w:rStyle w:val="apple-converted-space"/>
          <w:rFonts w:eastAsiaTheme="majorEastAsia"/>
          <w:color w:val="000000"/>
        </w:rPr>
        <w:t> </w:t>
      </w:r>
      <w:hyperlink r:id="rId311" w:tgtFrame="_blank" w:history="1">
        <w:r>
          <w:rPr>
            <w:rStyle w:val="Hipervnculo"/>
            <w:color w:val="000000"/>
            <w:bdr w:val="none" w:sz="0" w:space="0" w:color="auto" w:frame="1"/>
          </w:rPr>
          <w:t>pronounced in France -25 percentage points-</w:t>
        </w:r>
        <w:r w:rsidRPr="005F184F">
          <w:rPr>
            <w:rStyle w:val="Hipervnculo"/>
            <w:color w:val="000000"/>
            <w:bdr w:val="none" w:sz="0" w:space="0" w:color="auto" w:frame="1"/>
          </w:rPr>
          <w:t xml:space="preserve"> with 56% of young people but only 31% of older people having a positive opinion of the EU.</w:t>
        </w:r>
      </w:hyperlink>
      <w:r w:rsidRPr="005F184F">
        <w:rPr>
          <w:rStyle w:val="apple-converted-space"/>
          <w:rFonts w:eastAsiaTheme="majorEastAsia"/>
          <w:color w:val="000000"/>
        </w:rPr>
        <w:t> </w:t>
      </w:r>
      <w:r w:rsidRPr="005F184F">
        <w:rPr>
          <w:color w:val="000000"/>
        </w:rPr>
        <w:t xml:space="preserve">There are similar generation </w:t>
      </w:r>
      <w:r w:rsidRPr="005F184F">
        <w:rPr>
          <w:color w:val="000000"/>
        </w:rPr>
        <w:lastRenderedPageBreak/>
        <w:t>gaps of 19 points in the UK, 16 points in the Netherlands, 14 points in Poland and Germany, and 13 points in Greece.</w:t>
      </w:r>
    </w:p>
    <w:p w:rsidR="002F07D4" w:rsidRPr="005F184F" w:rsidRDefault="002F07D4" w:rsidP="002F07D4">
      <w:pPr>
        <w:pStyle w:val="selectionshareable"/>
        <w:spacing w:before="0" w:beforeAutospacing="0" w:after="0" w:afterAutospacing="0"/>
        <w:jc w:val="both"/>
        <w:textAlignment w:val="baseline"/>
        <w:rPr>
          <w:color w:val="000000"/>
        </w:rPr>
      </w:pP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The drop-off in overall EU support in key countries in the past year has been driven by a fall in favorability among older people in particular. In France, EU backing among those ages 50 and older fell 19 points. In Spain it declined 16 points and in Germany 11 points. In each case this was larger than the decline in support among those ages 18 to 34.</w:t>
      </w:r>
    </w:p>
    <w:p w:rsidR="002F07D4" w:rsidRPr="005F184F"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4000500" cy="4337050"/>
            <wp:effectExtent l="0" t="0" r="0" b="6350"/>
            <wp:docPr id="301" name="Imagen 301" descr="Ideological splits on EU favorability">
              <a:hlinkClick xmlns:a="http://schemas.openxmlformats.org/drawingml/2006/main" r:id="rId3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deological splits on EU favorability">
                      <a:hlinkClick r:id="rId312"/>
                    </pic:cNvPr>
                    <pic:cNvPicPr>
                      <a:picLocks noChangeAspect="1" noChangeArrowheads="1"/>
                    </pic:cNvPicPr>
                  </pic:nvPicPr>
                  <pic:blipFill>
                    <a:blip r:embed="rId3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4337050"/>
                    </a:xfrm>
                    <a:prstGeom prst="rect">
                      <a:avLst/>
                    </a:prstGeom>
                    <a:noFill/>
                    <a:ln>
                      <a:noFill/>
                    </a:ln>
                  </pic:spPr>
                </pic:pic>
              </a:graphicData>
            </a:graphic>
          </wp:inline>
        </w:drawing>
      </w:r>
    </w:p>
    <w:p w:rsidR="002F07D4" w:rsidRDefault="002F07D4" w:rsidP="002F07D4">
      <w:pPr>
        <w:pStyle w:val="selectionshareable"/>
        <w:spacing w:before="0" w:beforeAutospacing="0" w:after="300" w:afterAutospacing="0"/>
        <w:jc w:val="both"/>
        <w:textAlignment w:val="baseline"/>
        <w:rPr>
          <w:color w:val="000000"/>
        </w:rPr>
      </w:pP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Europeans are divided along ideological lines in their views of the EU, but this division is not a simple matter of left versus right in each society. In some nations Euroskepticism is a right-wing issue, in others it is a left-wing cause.</w:t>
      </w: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In the UK, people who place themselves on the left of the ideological spectrum (69%) are 31 percentage points more likely than those on the right of the spectrum (38%) to have a favorable opinion of the EU. There is a similar 23-point ideological gap in Italy, a 16-point divide in the Netherlands and a 12-point difference in Germany. But in Spain people on the right (59%) are more likely than those on the left (35%) to favor the Brussels-based institution by a margin of 24 percentage points. The EU also enjoys stronger backing on the right in Sweden.</w:t>
      </w:r>
    </w:p>
    <w:p w:rsidR="002F07D4" w:rsidRDefault="002F07D4" w:rsidP="002F07D4">
      <w:pPr>
        <w:pStyle w:val="selectionshareable"/>
        <w:spacing w:before="0" w:beforeAutospacing="0" w:after="0" w:afterAutospacing="0"/>
        <w:jc w:val="both"/>
        <w:textAlignment w:val="baseline"/>
        <w:rPr>
          <w:rStyle w:val="Hipervnculo"/>
          <w:color w:val="000000"/>
          <w:bdr w:val="none" w:sz="0" w:space="0" w:color="auto" w:frame="1"/>
        </w:rPr>
      </w:pPr>
      <w:r w:rsidRPr="005F184F">
        <w:rPr>
          <w:color w:val="000000"/>
        </w:rPr>
        <w:t>These ideological differences translate into large partisan divides on the issues. Not surprisingly,</w:t>
      </w:r>
      <w:r w:rsidRPr="005F184F">
        <w:rPr>
          <w:rStyle w:val="apple-converted-space"/>
          <w:rFonts w:eastAsiaTheme="majorEastAsia"/>
          <w:color w:val="000000"/>
        </w:rPr>
        <w:t> </w:t>
      </w:r>
      <w:hyperlink r:id="rId314" w:tgtFrame="_blank" w:history="1">
        <w:r w:rsidRPr="005F184F">
          <w:rPr>
            <w:rStyle w:val="Hipervnculo"/>
            <w:color w:val="000000"/>
            <w:bdr w:val="none" w:sz="0" w:space="0" w:color="auto" w:frame="1"/>
          </w:rPr>
          <w:t xml:space="preserve">in the UK just 13% of those who identify with the Euroskeptic United </w:t>
        </w:r>
        <w:r w:rsidRPr="005F184F">
          <w:rPr>
            <w:rStyle w:val="Hipervnculo"/>
            <w:color w:val="000000"/>
            <w:bdr w:val="none" w:sz="0" w:space="0" w:color="auto" w:frame="1"/>
          </w:rPr>
          <w:lastRenderedPageBreak/>
          <w:t>Kingdom Independence Party (UKIP) hold a favorable opinion of the EU.</w:t>
        </w:r>
      </w:hyperlink>
      <w:r w:rsidRPr="005F184F">
        <w:rPr>
          <w:rStyle w:val="apple-converted-space"/>
          <w:rFonts w:eastAsiaTheme="majorEastAsia"/>
          <w:color w:val="000000"/>
        </w:rPr>
        <w:t> </w:t>
      </w:r>
      <w:r w:rsidRPr="005F184F">
        <w:rPr>
          <w:color w:val="000000"/>
        </w:rPr>
        <w:t>Such views on the EU set UKIP supporters apart from the opinions of Labour Party backers (60% positive about the EU) and Conservative Party stalwarts (43% favorable toward the EU). In France, three-in-ten adherents of the Euroskeptic National Front (30%) are favorably disposed toward the EU. The country’s Republicans supporters (39%) are not much more favorable toward the EU, while about half of France’s Socialist party backers (51%) support the institution. In Spain, just 32% of the left-wing populist Podemos party adherents favor the EU. Not enough Germans identify with the Alternative for Germany (AfD) party to analyze their sentiment, but</w:t>
      </w:r>
      <w:r w:rsidRPr="005F184F">
        <w:rPr>
          <w:rStyle w:val="apple-converted-space"/>
          <w:rFonts w:eastAsiaTheme="majorEastAsia"/>
          <w:color w:val="000000"/>
        </w:rPr>
        <w:t> </w:t>
      </w:r>
      <w:hyperlink r:id="rId315" w:tgtFrame="_blank" w:history="1">
        <w:r w:rsidRPr="005F184F">
          <w:rPr>
            <w:rStyle w:val="Hipervnculo"/>
            <w:color w:val="000000"/>
            <w:bdr w:val="none" w:sz="0" w:space="0" w:color="auto" w:frame="1"/>
          </w:rPr>
          <w:t>among Germans who view the AfD favorably, only a third support the EU.</w:t>
        </w:r>
      </w:hyperlink>
    </w:p>
    <w:p w:rsidR="000C4836" w:rsidRDefault="000C4836" w:rsidP="002F07D4">
      <w:pPr>
        <w:pStyle w:val="selectionshareable"/>
        <w:spacing w:before="0" w:beforeAutospacing="0" w:after="0" w:afterAutospacing="0"/>
        <w:jc w:val="both"/>
        <w:textAlignment w:val="baseline"/>
        <w:rPr>
          <w:rStyle w:val="Hipervnculo"/>
          <w:color w:val="000000"/>
          <w:bdr w:val="none" w:sz="0" w:space="0" w:color="auto" w:frame="1"/>
        </w:rPr>
      </w:pPr>
    </w:p>
    <w:p w:rsidR="000C4836" w:rsidRPr="005F184F" w:rsidRDefault="000C4836"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2946400" cy="3327400"/>
            <wp:effectExtent l="0" t="0" r="6350" b="6350"/>
            <wp:docPr id="302" name="Imagen 302" descr="Overwhelming majorities unhappy with EU’s handling of refugees ">
              <a:hlinkClick xmlns:a="http://schemas.openxmlformats.org/drawingml/2006/main" r:id="rId3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Overwhelming majorities unhappy with EU’s handling of refugees ">
                      <a:hlinkClick r:id="rId316"/>
                    </pic:cNvPr>
                    <pic:cNvPicPr>
                      <a:picLocks noChangeAspect="1" noChangeArrowheads="1"/>
                    </pic:cNvPicPr>
                  </pic:nvPicPr>
                  <pic:blipFill>
                    <a:blip r:embed="rId3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400" cy="3327400"/>
                    </a:xfrm>
                    <a:prstGeom prst="rect">
                      <a:avLst/>
                    </a:prstGeom>
                    <a:noFill/>
                    <a:ln>
                      <a:noFill/>
                    </a:ln>
                  </pic:spPr>
                </pic:pic>
              </a:graphicData>
            </a:graphic>
          </wp:inline>
        </w:drawing>
      </w:r>
    </w:p>
    <w:p w:rsidR="002F07D4"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color w:val="000000"/>
        </w:rPr>
        <w:t>A party’s criticism of the European Union does not, however, necessarily translate into disfavor toward Brussels by the party’s adherents. In Italy, 58% of those who identify with the Euroskeptic Five Star Movement have a positive view of the EU. In Poland, where the ruling Law and Justice (PiS) party is in a feud with the EU on a range of issues, two-thirds (67%) of PiS partisans still have a favorable opinion of the Brussels institution.</w:t>
      </w:r>
    </w:p>
    <w:p w:rsidR="002F07D4" w:rsidRPr="005F184F"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lastRenderedPageBreak/>
        <w:drawing>
          <wp:inline distT="0" distB="0" distL="0" distR="0">
            <wp:extent cx="2946400" cy="3778250"/>
            <wp:effectExtent l="0" t="0" r="6350" b="0"/>
            <wp:docPr id="303" name="Imagen 303" descr="Europeans generally disapprove of EU’s handling of economy ">
              <a:hlinkClick xmlns:a="http://schemas.openxmlformats.org/drawingml/2006/main" r:id="rId3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uropeans generally disapprove of EU’s handling of economy ">
                      <a:hlinkClick r:id="rId318"/>
                    </pic:cNvPr>
                    <pic:cNvPicPr>
                      <a:picLocks noChangeAspect="1" noChangeArrowheads="1"/>
                    </pic:cNvPicPr>
                  </pic:nvPicPr>
                  <pic:blipFill>
                    <a:blip r:embed="rId3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400" cy="3778250"/>
                    </a:xfrm>
                    <a:prstGeom prst="rect">
                      <a:avLst/>
                    </a:prstGeom>
                    <a:noFill/>
                    <a:ln>
                      <a:noFill/>
                    </a:ln>
                  </pic:spPr>
                </pic:pic>
              </a:graphicData>
            </a:graphic>
          </wp:inline>
        </w:drawing>
      </w:r>
    </w:p>
    <w:p w:rsidR="002F07D4" w:rsidRDefault="002F07D4" w:rsidP="002F07D4">
      <w:pPr>
        <w:pStyle w:val="selectionshareable"/>
        <w:spacing w:before="0" w:beforeAutospacing="0" w:after="0" w:afterAutospacing="0"/>
        <w:jc w:val="both"/>
        <w:textAlignment w:val="baseline"/>
        <w:rPr>
          <w:color w:val="000000"/>
        </w:rPr>
      </w:pPr>
    </w:p>
    <w:p w:rsidR="002D0480" w:rsidRDefault="002D0480"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color w:val="000000"/>
        </w:rPr>
        <w:t>Much of the disaffection with the EU among Europeans can be attributed to Brussels’ handling of the refugee issue. In every country surveyed, overwhelming majorities disapprove of how Brussels has dealt with the problem. This includes 94% of Greeks, 88% of Swedes and 77% of Italians. The strongest approval of EU management of the refugee crisis is in the Netherlands, but that backing is a tepid 31%.</w:t>
      </w:r>
    </w:p>
    <w:p w:rsidR="002F07D4" w:rsidRPr="005F184F" w:rsidRDefault="002F07D4" w:rsidP="002F07D4">
      <w:pPr>
        <w:pStyle w:val="selectionshareable"/>
        <w:spacing w:before="0" w:beforeAutospacing="0" w:after="0" w:afterAutospacing="0"/>
        <w:jc w:val="both"/>
        <w:textAlignment w:val="baseline"/>
        <w:rPr>
          <w:color w:val="000000"/>
        </w:rPr>
      </w:pP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The EU’s handling of economic issues is another huge source of disaffection with the institution. About nine-in-ten Greeks (92%) disapprove of how the EU has dealt with the ongoing economic crisis. Roughly two-thirds of the Italians (68%), French (66%) and Spanish (65%) similarly disapprove. (France and Spain are the two nations where the favorability of the EU has recently experienced the largest decline.) Majorities in Sweden (59%) and the UK (55%), including 84% of UKIP supporters, also disapprove of the EU’s job in dealing with economic challenges. The strongest approval of Brussels’ economic efforts is in Poland and Germany (both 47%).</w:t>
      </w:r>
    </w:p>
    <w:p w:rsidR="002F07D4" w:rsidRPr="005F184F" w:rsidRDefault="002F07D4" w:rsidP="002F07D4">
      <w:pPr>
        <w:pStyle w:val="Ttulo3"/>
        <w:spacing w:before="120" w:after="24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An ‘ever closer’ Europe - </w:t>
      </w:r>
      <w:r w:rsidRPr="005F184F">
        <w:rPr>
          <w:rFonts w:ascii="Times New Roman" w:hAnsi="Times New Roman" w:cs="Times New Roman"/>
          <w:color w:val="000000"/>
          <w:sz w:val="24"/>
          <w:szCs w:val="24"/>
        </w:rPr>
        <w:t>or not</w:t>
      </w:r>
    </w:p>
    <w:p w:rsidR="002F07D4"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2946400" cy="3448050"/>
            <wp:effectExtent l="0" t="0" r="6350" b="0"/>
            <wp:docPr id="304" name="Imagen 304" descr="Disagreement on ‘ever closer’ union">
              <a:hlinkClick xmlns:a="http://schemas.openxmlformats.org/drawingml/2006/main" r:id="rId3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isagreement on ‘ever closer’ union">
                      <a:hlinkClick r:id="rId320"/>
                    </pic:cNvPr>
                    <pic:cNvPicPr>
                      <a:picLocks noChangeAspect="1" noChangeArrowheads="1"/>
                    </pic:cNvPicPr>
                  </pic:nvPicPr>
                  <pic:blipFill>
                    <a:blip r:embed="rId3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400" cy="3448050"/>
                    </a:xfrm>
                    <a:prstGeom prst="rect">
                      <a:avLst/>
                    </a:prstGeom>
                    <a:noFill/>
                    <a:ln>
                      <a:noFill/>
                    </a:ln>
                  </pic:spPr>
                </pic:pic>
              </a:graphicData>
            </a:graphic>
          </wp:inline>
        </w:drawing>
      </w:r>
    </w:p>
    <w:p w:rsidR="002F07D4"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color w:val="000000"/>
        </w:rPr>
        <w:t>The 1957 Treaty of Rome, the founding document of what eventually became the European Union, pledges its signatories, and all the nations that later acceded to it, “…to lay the foundations of an ever closer union among the peoples of Europe</w:t>
      </w:r>
      <w:r w:rsidR="00FF0D17">
        <w:rPr>
          <w:color w:val="000000"/>
        </w:rPr>
        <w:t>”.</w:t>
      </w:r>
      <w:r w:rsidRPr="005F184F">
        <w:rPr>
          <w:color w:val="000000"/>
        </w:rPr>
        <w:t xml:space="preserve"> In early 2016, British Prime Minister David Cameron negotiated an agreement with other EU governments that the founding treaty’s “references to ever closer union do n</w:t>
      </w:r>
      <w:r w:rsidR="00FF0D17">
        <w:rPr>
          <w:color w:val="000000"/>
        </w:rPr>
        <w:t>ot apply to the United Kingdom”.</w:t>
      </w:r>
      <w:r w:rsidRPr="005F184F">
        <w:rPr>
          <w:color w:val="000000"/>
        </w:rPr>
        <w:t xml:space="preserve"> Nevertheless, disagreement over whether governance in Europe should be more or less centralized is at the center of the UK referendum debate on whether or not to exit the EU. The Pew Research Center survey finds that in six of 10 countries more people want devolution of EU power than support the status quo or favor giving more power to the Brussels-based institution.</w:t>
      </w:r>
    </w:p>
    <w:p w:rsidR="002F07D4" w:rsidRPr="005F184F" w:rsidRDefault="002F07D4" w:rsidP="002F07D4">
      <w:pPr>
        <w:pStyle w:val="selectionshareable"/>
        <w:spacing w:before="0" w:beforeAutospacing="0" w:after="0" w:afterAutospacing="0"/>
        <w:jc w:val="both"/>
        <w:textAlignment w:val="baseline"/>
        <w:rPr>
          <w:color w:val="000000"/>
        </w:rPr>
      </w:pP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Roughly two-thirds of Greeks (68%) and British (65%) want some EU power returned to Athens and London. This is particularly the view of British ages 50 and older (73%); only 51% of those ages 18-34 agree. Pluralities in Sweden (47%), the Netherlands (44%), Germany (43%) and Italy (39%) also want to curtail EU power.</w:t>
      </w: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Conversely, there is little enthusiasm for transferring more power to Brussels. As the British head to the polls, just 6% of the public in the UK wants such an outcome. And only 8% of Greeks favor more power for the EU. The strongest backing for an ever closer Europe is only 34%, in France. In most countries a quarter or more of the public prefers to keep the current division of power.</w:t>
      </w:r>
    </w:p>
    <w:p w:rsidR="002F07D4" w:rsidRPr="005F184F"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lastRenderedPageBreak/>
        <w:drawing>
          <wp:inline distT="0" distB="0" distL="0" distR="0">
            <wp:extent cx="4000500" cy="6330950"/>
            <wp:effectExtent l="0" t="0" r="0" b="0"/>
            <wp:docPr id="305" name="Imagen 305" descr="In UK, deep ideological rifts on EU division of power">
              <a:hlinkClick xmlns:a="http://schemas.openxmlformats.org/drawingml/2006/main" r:id="rId3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n UK, deep ideological rifts on EU division of power">
                      <a:hlinkClick r:id="rId322"/>
                    </pic:cNvPr>
                    <pic:cNvPicPr>
                      <a:picLocks noChangeAspect="1" noChangeArrowheads="1"/>
                    </pic:cNvPicPr>
                  </pic:nvPicPr>
                  <pic:blipFill>
                    <a:blip r:embed="rId3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6330950"/>
                    </a:xfrm>
                    <a:prstGeom prst="rect">
                      <a:avLst/>
                    </a:prstGeom>
                    <a:noFill/>
                    <a:ln>
                      <a:noFill/>
                    </a:ln>
                  </pic:spPr>
                </pic:pic>
              </a:graphicData>
            </a:graphic>
          </wp:inline>
        </w:drawing>
      </w:r>
    </w:p>
    <w:p w:rsidR="002F07D4" w:rsidRDefault="002F07D4" w:rsidP="002F07D4">
      <w:pPr>
        <w:pStyle w:val="selectionshareable"/>
        <w:spacing w:before="0" w:beforeAutospacing="0" w:after="300" w:afterAutospacing="0"/>
        <w:jc w:val="both"/>
        <w:textAlignment w:val="baseline"/>
        <w:rPr>
          <w:color w:val="000000"/>
        </w:rPr>
      </w:pP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In a number of nations men express stronger opposition than women to an ever closer union. This gender gap is most prominent in the Netherlands (12 percentage points), with 50% of men, but only 38% of women favoring some powers being returned to The Hague. There is also a 10-point divide in the UK (70% of men compared with 60% of women want some powers returned to their country) and Sweden (52% of men vs. 42% of women).</w:t>
      </w:r>
    </w:p>
    <w:p w:rsidR="002F07D4"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lastRenderedPageBreak/>
        <w:drawing>
          <wp:inline distT="0" distB="0" distL="0" distR="0">
            <wp:extent cx="3454400" cy="7600950"/>
            <wp:effectExtent l="0" t="0" r="0" b="0"/>
            <wp:docPr id="306" name="Imagen 306" descr="Party divides on future of EU">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arty divides on future of EU">
                      <a:hlinkClick r:id="rId324"/>
                    </pic:cNvPr>
                    <pic:cNvPicPr>
                      <a:picLocks noChangeAspect="1" noChangeArrowheads="1"/>
                    </pic:cNvPicPr>
                  </pic:nvPicPr>
                  <pic:blipFill>
                    <a:blip r:embed="rId3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4400" cy="7600950"/>
                    </a:xfrm>
                    <a:prstGeom prst="rect">
                      <a:avLst/>
                    </a:prstGeom>
                    <a:noFill/>
                    <a:ln>
                      <a:noFill/>
                    </a:ln>
                  </pic:spPr>
                </pic:pic>
              </a:graphicData>
            </a:graphic>
          </wp:inline>
        </w:drawing>
      </w:r>
    </w:p>
    <w:p w:rsidR="002F07D4"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color w:val="000000"/>
        </w:rPr>
        <w:t xml:space="preserve">The largest ideological gap on European division of powers is in the United Kingdom. Roughly three-quarters (77%) of people who place themselves on the right of the political spectrum favor returning some EU powers to London. Just 40% of people on the left agree. In the Netherlands, a little over half (53%) of people on the right, but only about a third (36%) of Dutch on the left support a less centralized EU. Notably, this right-left divide is reversed in Spain, and is especially large. Half of Spanish leftists, but </w:t>
      </w:r>
      <w:r w:rsidRPr="005F184F">
        <w:rPr>
          <w:color w:val="000000"/>
        </w:rPr>
        <w:lastRenderedPageBreak/>
        <w:t>only about three-in-ten (29%) Spanish rightists want more power brought back to Madrid.</w:t>
      </w:r>
    </w:p>
    <w:p w:rsidR="002F07D4" w:rsidRPr="005F184F" w:rsidRDefault="002F07D4" w:rsidP="002F07D4">
      <w:pPr>
        <w:pStyle w:val="selectionshareable"/>
        <w:spacing w:before="0" w:beforeAutospacing="0" w:after="0" w:afterAutospacing="0"/>
        <w:jc w:val="both"/>
        <w:textAlignment w:val="baseline"/>
        <w:rPr>
          <w:color w:val="000000"/>
        </w:rPr>
      </w:pPr>
    </w:p>
    <w:p w:rsidR="002F07D4" w:rsidRPr="005F184F" w:rsidRDefault="002F07D4" w:rsidP="002F07D4">
      <w:pPr>
        <w:pStyle w:val="selectionshareable"/>
        <w:spacing w:before="0" w:beforeAutospacing="0" w:after="0" w:afterAutospacing="0"/>
        <w:jc w:val="both"/>
        <w:textAlignment w:val="baseline"/>
        <w:rPr>
          <w:color w:val="000000"/>
        </w:rPr>
      </w:pPr>
      <w:r w:rsidRPr="005F184F">
        <w:rPr>
          <w:color w:val="000000"/>
        </w:rPr>
        <w:t>This ideological split also manifests itself in the views of political party adherents. In the United Kingdom,</w:t>
      </w:r>
      <w:hyperlink r:id="rId326" w:tgtFrame="_blank" w:history="1">
        <w:r w:rsidRPr="005F184F">
          <w:rPr>
            <w:rStyle w:val="Hipervnculo"/>
            <w:color w:val="000000"/>
            <w:bdr w:val="none" w:sz="0" w:space="0" w:color="auto" w:frame="1"/>
          </w:rPr>
          <w:t>93% of UKIP supporters think that some powers now held by the EU should be returned to national governments.</w:t>
        </w:r>
      </w:hyperlink>
      <w:r w:rsidRPr="005F184F">
        <w:rPr>
          <w:rStyle w:val="apple-converted-space"/>
          <w:rFonts w:eastAsiaTheme="majorEastAsia"/>
          <w:color w:val="000000"/>
        </w:rPr>
        <w:t> </w:t>
      </w:r>
      <w:r w:rsidRPr="005F184F">
        <w:rPr>
          <w:color w:val="000000"/>
        </w:rPr>
        <w:t>Conservatives (77%) agree with them more than Labour Party (49%) adherents. In Italy, 51% of Five Star supporters want some power to revert to Rome; 37% of Forza Italia partisans and 28% of Democratic Party supporters agree. In Poland, 45% of PiS backers, but only 20% of PO adherents want some power returned to Warsaw. In Spain, 44% of Podemos partisans want some EU power back in Madrid, 37% of supporters of the Spanish Socialist Workers’ Party (PSOE) want this, and 34% of the Ciudadanos and 26% of those identifying with the People’s Party (PP) concur. In France, a plurality of National Front supporters (39%) want Paris to regain some of its power from Brussels. A larger share of Republican backers (43%) want to bring powers home from Brussels, but only 28% of Socialists agree.</w:t>
      </w:r>
    </w:p>
    <w:p w:rsidR="002F07D4" w:rsidRPr="005F184F" w:rsidRDefault="002F07D4" w:rsidP="002F07D4">
      <w:pPr>
        <w:pStyle w:val="Ttulo3"/>
        <w:spacing w:before="120" w:after="240" w:line="240" w:lineRule="auto"/>
        <w:jc w:val="both"/>
        <w:textAlignment w:val="baseline"/>
        <w:rPr>
          <w:rFonts w:ascii="Times New Roman" w:hAnsi="Times New Roman" w:cs="Times New Roman"/>
          <w:color w:val="000000"/>
          <w:sz w:val="24"/>
          <w:szCs w:val="24"/>
        </w:rPr>
      </w:pPr>
      <w:r w:rsidRPr="005F184F">
        <w:rPr>
          <w:rFonts w:ascii="Times New Roman" w:hAnsi="Times New Roman" w:cs="Times New Roman"/>
          <w:color w:val="000000"/>
          <w:sz w:val="24"/>
          <w:szCs w:val="24"/>
        </w:rPr>
        <w:t>Is Brexit bad for the EU?</w:t>
      </w:r>
    </w:p>
    <w:p w:rsidR="002F07D4" w:rsidRDefault="002F07D4" w:rsidP="002F07D4">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2952750" cy="3670300"/>
            <wp:effectExtent l="0" t="0" r="0" b="6350"/>
            <wp:docPr id="307" name="Imagen 307" descr="Europeans overwhelmingly agree that UK departure would hurt EU">
              <a:hlinkClick xmlns:a="http://schemas.openxmlformats.org/drawingml/2006/main" r:id="rId3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uropeans overwhelmingly agree that UK departure would hurt EU">
                      <a:hlinkClick r:id="rId327"/>
                    </pic:cNvPr>
                    <pic:cNvPicPr>
                      <a:picLocks noChangeAspect="1" noChangeArrowheads="1"/>
                    </pic:cNvPicPr>
                  </pic:nvPicPr>
                  <pic:blipFill>
                    <a:blip r:embed="rId3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0" cy="3670300"/>
                    </a:xfrm>
                    <a:prstGeom prst="rect">
                      <a:avLst/>
                    </a:prstGeom>
                    <a:noFill/>
                    <a:ln>
                      <a:noFill/>
                    </a:ln>
                  </pic:spPr>
                </pic:pic>
              </a:graphicData>
            </a:graphic>
          </wp:inline>
        </w:drawing>
      </w:r>
    </w:p>
    <w:p w:rsidR="002F07D4" w:rsidRDefault="002F07D4" w:rsidP="002F07D4">
      <w:pPr>
        <w:pStyle w:val="selectionshareable"/>
        <w:spacing w:before="0" w:beforeAutospacing="0" w:after="0" w:afterAutospacing="0"/>
        <w:jc w:val="both"/>
        <w:textAlignment w:val="baseline"/>
        <w:rPr>
          <w:color w:val="000000"/>
        </w:rPr>
      </w:pPr>
    </w:p>
    <w:p w:rsidR="002F07D4" w:rsidRDefault="002F07D4" w:rsidP="002F07D4">
      <w:pPr>
        <w:pStyle w:val="selectionshareable"/>
        <w:spacing w:before="0" w:beforeAutospacing="0" w:after="0" w:afterAutospacing="0"/>
        <w:jc w:val="both"/>
        <w:textAlignment w:val="baseline"/>
        <w:rPr>
          <w:color w:val="000000"/>
        </w:rPr>
      </w:pPr>
      <w:r w:rsidRPr="005F184F">
        <w:rPr>
          <w:color w:val="000000"/>
        </w:rPr>
        <w:t>There is overwhelming sentiment across Europe that Brexit would be a bad thing for the European institution:</w:t>
      </w:r>
      <w:r w:rsidRPr="005F184F">
        <w:rPr>
          <w:rStyle w:val="apple-converted-space"/>
          <w:rFonts w:eastAsiaTheme="majorEastAsia"/>
          <w:color w:val="000000"/>
        </w:rPr>
        <w:t> </w:t>
      </w:r>
      <w:hyperlink r:id="rId329" w:tgtFrame="_blank" w:history="1">
        <w:r w:rsidRPr="005F184F">
          <w:rPr>
            <w:rStyle w:val="Hipervnculo"/>
            <w:color w:val="000000"/>
            <w:bdr w:val="none" w:sz="0" w:space="0" w:color="auto" w:frame="1"/>
          </w:rPr>
          <w:t>89% in Sweden, 75% in the Netherlands and 74% in Germany say the British leaving would be not good for the EU.</w:t>
        </w:r>
      </w:hyperlink>
    </w:p>
    <w:p w:rsidR="002F07D4" w:rsidRPr="005F184F" w:rsidRDefault="002F07D4" w:rsidP="002F07D4">
      <w:pPr>
        <w:pStyle w:val="selectionshareable"/>
        <w:spacing w:before="0" w:beforeAutospacing="0" w:after="0" w:afterAutospacing="0"/>
        <w:jc w:val="both"/>
        <w:textAlignment w:val="baseline"/>
        <w:rPr>
          <w:color w:val="000000"/>
        </w:rPr>
      </w:pPr>
    </w:p>
    <w:p w:rsidR="002F07D4" w:rsidRPr="005F184F" w:rsidRDefault="002F07D4" w:rsidP="002F07D4">
      <w:pPr>
        <w:pStyle w:val="selectionshareable"/>
        <w:spacing w:before="0" w:beforeAutospacing="0" w:after="300" w:afterAutospacing="0"/>
        <w:jc w:val="both"/>
        <w:textAlignment w:val="baseline"/>
        <w:rPr>
          <w:color w:val="000000"/>
        </w:rPr>
      </w:pPr>
      <w:r w:rsidRPr="005F184F">
        <w:rPr>
          <w:color w:val="000000"/>
        </w:rPr>
        <w:t>France is the only country where more than a quarter (32%) of the public says it would be positive for the EU if the UK departed.</w:t>
      </w:r>
    </w:p>
    <w:p w:rsidR="002F07D4" w:rsidRDefault="002F07D4" w:rsidP="002F07D4">
      <w:pPr>
        <w:pStyle w:val="selectionshareable"/>
        <w:spacing w:before="0" w:beforeAutospacing="0" w:after="300" w:afterAutospacing="0"/>
        <w:jc w:val="both"/>
        <w:textAlignment w:val="baseline"/>
        <w:rPr>
          <w:color w:val="000000"/>
        </w:rPr>
      </w:pPr>
      <w:r w:rsidRPr="005F184F">
        <w:rPr>
          <w:color w:val="000000"/>
        </w:rPr>
        <w:t xml:space="preserve">Notably, in all nine countries where the question was asked, large pluralities of people on the left, in the middle and on the right of the political spectrum say a UK exit from the EU would be a bad thing for the EU. But the breakdown in sentiment by political </w:t>
      </w:r>
      <w:r w:rsidRPr="005F184F">
        <w:rPr>
          <w:color w:val="000000"/>
        </w:rPr>
        <w:lastRenderedPageBreak/>
        <w:t>party is more complex. In France, nearly seven-in-ten (71%) supporters of the Socialist and Republican parties believe it would not be good for the EU if the UK left. However, National Front backers are nearly divided on the topic. And even though the German AfD shares many of the criticisms of the EU with the UK Independence Party, two-thirds of Germans who have a favorable opinion of the AfD think it would be a bad thing for the EU if the UK left.</w:t>
      </w:r>
    </w:p>
    <w:p w:rsidR="002F07D4" w:rsidRPr="006F6055" w:rsidRDefault="002F07D4" w:rsidP="002F07D4">
      <w:pPr>
        <w:spacing w:line="240" w:lineRule="auto"/>
        <w:jc w:val="both"/>
        <w:rPr>
          <w:rFonts w:ascii="Times New Roman" w:hAnsi="Times New Roman"/>
          <w:sz w:val="24"/>
          <w:szCs w:val="24"/>
          <w:lang w:val="en-US"/>
        </w:rPr>
      </w:pPr>
      <w:r w:rsidRPr="006F6055">
        <w:rPr>
          <w:rFonts w:ascii="Times New Roman" w:hAnsi="Times New Roman"/>
          <w:sz w:val="24"/>
          <w:szCs w:val="24"/>
          <w:lang w:val="en-US"/>
        </w:rPr>
        <w:t xml:space="preserve">- </w:t>
      </w:r>
      <w:r>
        <w:rPr>
          <w:rFonts w:ascii="Times New Roman" w:hAnsi="Times New Roman"/>
          <w:sz w:val="24"/>
          <w:szCs w:val="24"/>
          <w:u w:val="single"/>
          <w:lang w:val="en-US"/>
        </w:rPr>
        <w:t>Cómo el auge de China “creó”</w:t>
      </w:r>
      <w:r w:rsidRPr="006F6055">
        <w:rPr>
          <w:rFonts w:ascii="Times New Roman" w:hAnsi="Times New Roman"/>
          <w:sz w:val="24"/>
          <w:szCs w:val="24"/>
          <w:u w:val="single"/>
          <w:lang w:val="en-US"/>
        </w:rPr>
        <w:t xml:space="preserve"> a Donald Trump</w:t>
      </w:r>
      <w:r w:rsidRPr="006F6055">
        <w:rPr>
          <w:rFonts w:ascii="Times New Roman" w:hAnsi="Times New Roman"/>
          <w:sz w:val="24"/>
          <w:szCs w:val="24"/>
          <w:lang w:val="en-US"/>
        </w:rPr>
        <w:t xml:space="preserve"> (The Wall Street Journal - </w:t>
      </w:r>
      <w:r w:rsidRPr="006F6055">
        <w:rPr>
          <w:rFonts w:ascii="Times New Roman" w:hAnsi="Times New Roman"/>
          <w:b/>
          <w:sz w:val="24"/>
          <w:szCs w:val="24"/>
          <w:lang w:val="en-US"/>
        </w:rPr>
        <w:t>11/8/16</w:t>
      </w:r>
      <w:r w:rsidRPr="006F6055">
        <w:rPr>
          <w:rFonts w:ascii="Times New Roman" w:hAnsi="Times New Roman"/>
          <w:sz w:val="24"/>
          <w:szCs w:val="24"/>
          <w:lang w:val="en-US"/>
        </w:rPr>
        <w:t xml:space="preserve">) </w:t>
      </w:r>
      <w:r w:rsidR="000C4836">
        <w:rPr>
          <w:rFonts w:ascii="Times New Roman" w:hAnsi="Times New Roman"/>
          <w:sz w:val="24"/>
          <w:szCs w:val="24"/>
          <w:lang w:val="en-US"/>
        </w:rPr>
        <w:t xml:space="preserve"> Lectura recomendada</w:t>
      </w:r>
    </w:p>
    <w:p w:rsidR="002F07D4" w:rsidRPr="003E7E07" w:rsidRDefault="002F07D4" w:rsidP="002F07D4">
      <w:pPr>
        <w:spacing w:line="240" w:lineRule="auto"/>
        <w:jc w:val="both"/>
        <w:rPr>
          <w:rFonts w:ascii="Times New Roman" w:hAnsi="Times New Roman"/>
          <w:color w:val="FF0000"/>
          <w:sz w:val="24"/>
          <w:szCs w:val="24"/>
        </w:rPr>
      </w:pPr>
      <w:r w:rsidRPr="003E7E07">
        <w:rPr>
          <w:rFonts w:ascii="Times New Roman" w:hAnsi="Times New Roman"/>
          <w:color w:val="FF0000"/>
          <w:sz w:val="24"/>
          <w:szCs w:val="24"/>
        </w:rPr>
        <w:t>Su surgimiento como potencia comercial sacudió a la economía estadounidense con más violencia que la que los economistas y las autoridades fueron capaces de prever</w:t>
      </w:r>
    </w:p>
    <w:p w:rsidR="002F07D4" w:rsidRPr="006F6055" w:rsidRDefault="002F07D4" w:rsidP="002F07D4">
      <w:pPr>
        <w:spacing w:line="240" w:lineRule="auto"/>
        <w:jc w:val="both"/>
        <w:rPr>
          <w:rFonts w:ascii="Times New Roman" w:hAnsi="Times New Roman"/>
          <w:sz w:val="24"/>
          <w:szCs w:val="24"/>
          <w:lang w:val="en-US"/>
        </w:rPr>
      </w:pPr>
      <w:r w:rsidRPr="006F6055">
        <w:rPr>
          <w:rFonts w:ascii="Times New Roman" w:hAnsi="Times New Roman"/>
          <w:sz w:val="24"/>
          <w:szCs w:val="24"/>
          <w:lang w:val="en-US"/>
        </w:rPr>
        <w:t xml:space="preserve">(Bob Davis y Jon Hilsenrath) </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H</w:t>
      </w:r>
      <w:r>
        <w:rPr>
          <w:rFonts w:ascii="Times New Roman" w:hAnsi="Times New Roman"/>
          <w:sz w:val="24"/>
          <w:szCs w:val="24"/>
        </w:rPr>
        <w:t>ickory, Carolina del Nort</w:t>
      </w:r>
      <w:r w:rsidR="00075C88">
        <w:rPr>
          <w:rFonts w:ascii="Times New Roman" w:hAnsi="Times New Roman"/>
          <w:sz w:val="24"/>
          <w:szCs w:val="24"/>
        </w:rPr>
        <w:t>e.</w:t>
      </w:r>
      <w:r>
        <w:rPr>
          <w:rFonts w:ascii="Times New Roman" w:hAnsi="Times New Roman"/>
          <w:sz w:val="24"/>
          <w:szCs w:val="24"/>
        </w:rPr>
        <w:t xml:space="preserve">- </w:t>
      </w:r>
      <w:r w:rsidRPr="006F6055">
        <w:rPr>
          <w:rFonts w:ascii="Times New Roman" w:hAnsi="Times New Roman"/>
          <w:sz w:val="24"/>
          <w:szCs w:val="24"/>
        </w:rPr>
        <w:t>A finales de la década de los 90, este centro de fabricación de muebles parecía estar protegido de las fuerzas destructivas de la globalización. Trabajadores siderúrgicos despedidos de Virginia Occidental, Tennessee y otros estados llegaban aquí para conseguir nuevos trabajos construyendo camas, mesas y sillas para los hogares estadounidenses. La tasa de desempleo era de menos del 2%.</w:t>
      </w:r>
    </w:p>
    <w:p w:rsidR="002F07D4" w:rsidRPr="003E7E07" w:rsidRDefault="002F07D4" w:rsidP="002F07D4">
      <w:pPr>
        <w:spacing w:line="240" w:lineRule="auto"/>
        <w:jc w:val="both"/>
        <w:rPr>
          <w:rFonts w:ascii="Times New Roman" w:hAnsi="Times New Roman"/>
          <w:sz w:val="24"/>
          <w:szCs w:val="24"/>
          <w:u w:val="single"/>
        </w:rPr>
      </w:pPr>
      <w:r w:rsidRPr="006F6055">
        <w:rPr>
          <w:rFonts w:ascii="Times New Roman" w:hAnsi="Times New Roman"/>
          <w:sz w:val="24"/>
          <w:szCs w:val="24"/>
        </w:rPr>
        <w:t xml:space="preserve">Hoy, Hickory aún sufre las consecuencias de una serie de crisis económicas que la afectaron desde entonces, ninguna de ellas más poderosa que </w:t>
      </w:r>
      <w:r w:rsidRPr="003E7E07">
        <w:rPr>
          <w:rFonts w:ascii="Times New Roman" w:hAnsi="Times New Roman"/>
          <w:sz w:val="24"/>
          <w:szCs w:val="24"/>
          <w:u w:val="single"/>
        </w:rPr>
        <w:t>el ascenso de China como potencia exportadora. La invasión de muebles importados hizo quebrar fábricas, eliminó miles de puestos de trabajo y contribuyó a que el desempleo superara el 15% en 2010.</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Stuart Shoun, un obrero de 59 años, se quedó sin empleo tres veces desde 1999. Después de uno de esos despidos, Hickory se puso a estudiar arquitectura en una universidad local, pero no pudo encontrar trabajo y regresó a la industria de los muebles. Ahora gana US$45,000 al año, lo mismo que hace casi 20 años y US$14.000 menos después de ajustar ese valor por inflación.</w:t>
      </w:r>
    </w:p>
    <w:p w:rsidR="002F07D4" w:rsidRPr="003E7E07" w:rsidRDefault="002F07D4" w:rsidP="002F07D4">
      <w:pPr>
        <w:spacing w:line="240" w:lineRule="auto"/>
        <w:jc w:val="both"/>
        <w:rPr>
          <w:rFonts w:ascii="Times New Roman" w:hAnsi="Times New Roman"/>
          <w:sz w:val="24"/>
          <w:szCs w:val="24"/>
          <w:u w:val="single"/>
        </w:rPr>
      </w:pPr>
      <w:r w:rsidRPr="003E7E07">
        <w:rPr>
          <w:rFonts w:ascii="Times New Roman" w:hAnsi="Times New Roman"/>
          <w:sz w:val="24"/>
          <w:szCs w:val="24"/>
          <w:u w:val="single"/>
        </w:rPr>
        <w:t>Su hijo Steven es un tapicero que maneja un depósito de chatarra y que desalienta a su propio hijo, actualmente en la universidad, de trabajar en la industria que dio a Carolina del Norte el mote de “Capital Mundial de los Muebles”. Steven dice que su padre culpa a “la gente que dirige nuestro país y que dirige nuestras empresas” por los padecimientos económicos de Hickory.</w:t>
      </w:r>
    </w:p>
    <w:p w:rsidR="002F07D4" w:rsidRPr="003E7E07" w:rsidRDefault="002F07D4" w:rsidP="002F07D4">
      <w:pPr>
        <w:spacing w:line="240" w:lineRule="auto"/>
        <w:jc w:val="both"/>
        <w:rPr>
          <w:rFonts w:ascii="Times New Roman" w:hAnsi="Times New Roman"/>
          <w:sz w:val="24"/>
          <w:szCs w:val="24"/>
          <w:u w:val="single"/>
        </w:rPr>
      </w:pPr>
      <w:r w:rsidRPr="003E7E07">
        <w:rPr>
          <w:rFonts w:ascii="Times New Roman" w:hAnsi="Times New Roman"/>
          <w:sz w:val="24"/>
          <w:szCs w:val="24"/>
          <w:u w:val="single"/>
        </w:rPr>
        <w:t>Ambos apoyan la candidatura de Donald Trump a la presidencia, a pesar de que no tienen intención de votar. “No creo que un voto haga diferencia”, dice Stuart Shoun.</w:t>
      </w:r>
    </w:p>
    <w:p w:rsidR="002F07D4" w:rsidRPr="003E7E07" w:rsidRDefault="002F07D4" w:rsidP="002F07D4">
      <w:pPr>
        <w:spacing w:line="240" w:lineRule="auto"/>
        <w:jc w:val="both"/>
        <w:rPr>
          <w:rFonts w:ascii="Times New Roman" w:hAnsi="Times New Roman"/>
          <w:color w:val="FF0000"/>
          <w:sz w:val="24"/>
          <w:szCs w:val="24"/>
          <w:u w:val="single"/>
        </w:rPr>
      </w:pPr>
      <w:r w:rsidRPr="003E7E07">
        <w:rPr>
          <w:rFonts w:ascii="Times New Roman" w:hAnsi="Times New Roman"/>
          <w:color w:val="FF0000"/>
          <w:sz w:val="24"/>
          <w:szCs w:val="24"/>
          <w:u w:val="single"/>
        </w:rPr>
        <w:t>Cuando el auge de importaciones de Japón, México y los “Tigres” a</w:t>
      </w:r>
      <w:r>
        <w:rPr>
          <w:rFonts w:ascii="Times New Roman" w:hAnsi="Times New Roman"/>
          <w:color w:val="FF0000"/>
          <w:sz w:val="24"/>
          <w:szCs w:val="24"/>
          <w:u w:val="single"/>
        </w:rPr>
        <w:t>siáticos como Taiwán llegó a EEUU</w:t>
      </w:r>
      <w:r w:rsidRPr="003E7E07">
        <w:rPr>
          <w:rFonts w:ascii="Times New Roman" w:hAnsi="Times New Roman"/>
          <w:color w:val="FF0000"/>
          <w:sz w:val="24"/>
          <w:szCs w:val="24"/>
          <w:u w:val="single"/>
        </w:rPr>
        <w:t>, muchas ciudades y pueblos fueron capaces de adaptarse.</w:t>
      </w:r>
    </w:p>
    <w:p w:rsidR="002F07D4" w:rsidRPr="003E7E07" w:rsidRDefault="002F07D4" w:rsidP="002F07D4">
      <w:pPr>
        <w:spacing w:line="240" w:lineRule="auto"/>
        <w:jc w:val="both"/>
        <w:rPr>
          <w:rFonts w:ascii="Times New Roman" w:hAnsi="Times New Roman"/>
          <w:color w:val="FF0000"/>
          <w:sz w:val="24"/>
          <w:szCs w:val="24"/>
          <w:u w:val="single"/>
        </w:rPr>
      </w:pPr>
      <w:r w:rsidRPr="003E7E07">
        <w:rPr>
          <w:rFonts w:ascii="Times New Roman" w:hAnsi="Times New Roman"/>
          <w:color w:val="FF0000"/>
          <w:sz w:val="24"/>
          <w:szCs w:val="24"/>
          <w:u w:val="single"/>
        </w:rPr>
        <w:t>Pero con China fue un caso diferente. Su surgimiento como potencia comercial sacudió a la economía estadounidense con más violencia que la que los economistas y las autoridades fueron capaces de prever y aun de entender hasta muchos años m</w:t>
      </w:r>
      <w:r>
        <w:rPr>
          <w:rFonts w:ascii="Times New Roman" w:hAnsi="Times New Roman"/>
          <w:color w:val="FF0000"/>
          <w:sz w:val="24"/>
          <w:szCs w:val="24"/>
          <w:u w:val="single"/>
        </w:rPr>
        <w:t>ás tarde. La mano de obra de EEUU</w:t>
      </w:r>
      <w:r w:rsidRPr="003E7E07">
        <w:rPr>
          <w:rFonts w:ascii="Times New Roman" w:hAnsi="Times New Roman"/>
          <w:color w:val="FF0000"/>
          <w:sz w:val="24"/>
          <w:szCs w:val="24"/>
          <w:u w:val="single"/>
        </w:rPr>
        <w:t xml:space="preserve"> se adaptó a los cambios más lentamente de lo que se esperaba.</w:t>
      </w:r>
    </w:p>
    <w:p w:rsidR="002F07D4" w:rsidRPr="003E7E07" w:rsidRDefault="002F07D4" w:rsidP="002F07D4">
      <w:pPr>
        <w:spacing w:line="240" w:lineRule="auto"/>
        <w:jc w:val="both"/>
        <w:rPr>
          <w:rFonts w:ascii="Times New Roman" w:hAnsi="Times New Roman"/>
          <w:color w:val="FF0000"/>
          <w:sz w:val="24"/>
          <w:szCs w:val="24"/>
          <w:u w:val="single"/>
        </w:rPr>
      </w:pPr>
      <w:r w:rsidRPr="003E7E07">
        <w:rPr>
          <w:rFonts w:ascii="Times New Roman" w:hAnsi="Times New Roman"/>
          <w:color w:val="FF0000"/>
          <w:sz w:val="24"/>
          <w:szCs w:val="24"/>
          <w:u w:val="single"/>
        </w:rPr>
        <w:t xml:space="preserve">Lo que ocurrió con las importaciones chinas es un ejemplo de cómo gran parte de la sabiduría económica convencional </w:t>
      </w:r>
      <w:r>
        <w:rPr>
          <w:rFonts w:ascii="Times New Roman" w:hAnsi="Times New Roman"/>
          <w:color w:val="FF0000"/>
          <w:sz w:val="24"/>
          <w:szCs w:val="24"/>
          <w:u w:val="single"/>
        </w:rPr>
        <w:t>que imperaba a finales de 1990 -</w:t>
      </w:r>
      <w:r w:rsidRPr="003E7E07">
        <w:rPr>
          <w:rFonts w:ascii="Times New Roman" w:hAnsi="Times New Roman"/>
          <w:color w:val="FF0000"/>
          <w:sz w:val="24"/>
          <w:szCs w:val="24"/>
          <w:u w:val="single"/>
        </w:rPr>
        <w:t xml:space="preserve">incluyendo el papel </w:t>
      </w:r>
      <w:r w:rsidRPr="003E7E07">
        <w:rPr>
          <w:rFonts w:ascii="Times New Roman" w:hAnsi="Times New Roman"/>
          <w:color w:val="FF0000"/>
          <w:sz w:val="24"/>
          <w:szCs w:val="24"/>
          <w:u w:val="single"/>
        </w:rPr>
        <w:lastRenderedPageBreak/>
        <w:t>del comercio internacional, la te</w:t>
      </w:r>
      <w:r>
        <w:rPr>
          <w:rFonts w:ascii="Times New Roman" w:hAnsi="Times New Roman"/>
          <w:color w:val="FF0000"/>
          <w:sz w:val="24"/>
          <w:szCs w:val="24"/>
          <w:u w:val="single"/>
        </w:rPr>
        <w:t>cnología y los bancos centrales-</w:t>
      </w:r>
      <w:r w:rsidRPr="003E7E07">
        <w:rPr>
          <w:rFonts w:ascii="Times New Roman" w:hAnsi="Times New Roman"/>
          <w:color w:val="FF0000"/>
          <w:sz w:val="24"/>
          <w:szCs w:val="24"/>
          <w:u w:val="single"/>
        </w:rPr>
        <w:t xml:space="preserve"> se ha ido desmantelando lentamente desde entonces.</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Las consecuencias de esta transformación están sembrando un prof</w:t>
      </w:r>
      <w:r>
        <w:rPr>
          <w:rFonts w:ascii="Times New Roman" w:hAnsi="Times New Roman"/>
          <w:color w:val="FF0000"/>
          <w:sz w:val="24"/>
          <w:szCs w:val="24"/>
          <w:u w:val="single"/>
        </w:rPr>
        <w:t>undo descontento político en EEUU</w:t>
      </w:r>
      <w:r w:rsidRPr="00A072ED">
        <w:rPr>
          <w:rFonts w:ascii="Times New Roman" w:hAnsi="Times New Roman"/>
          <w:color w:val="FF0000"/>
          <w:sz w:val="24"/>
          <w:szCs w:val="24"/>
          <w:u w:val="single"/>
        </w:rPr>
        <w:t xml:space="preserve"> en este año electoral. La desilusión con la globalización ha alimentado una de las temporadas políticas menos convencionales de la historia moderna de este país, con Bernie Sanders, y sobre todo Donald Trump, sacando provecho del potente sentimiento adverso al libre comercio.</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Ambos candidatos presidenciales dirigieron gran parte de sus críticas al Tratado de Libre Comercio de América del Norte (TLC o Nafta), de 1994, que impulsó las importaciones desde México. Pero el verdadero culpable, aun en aquel entonces, fue China, dicen hoy los economistas.</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Muchas fábricas que se t</w:t>
      </w:r>
      <w:r>
        <w:rPr>
          <w:rFonts w:ascii="Times New Roman" w:hAnsi="Times New Roman"/>
          <w:sz w:val="24"/>
          <w:szCs w:val="24"/>
        </w:rPr>
        <w:t>rasladaron de EEUU</w:t>
      </w:r>
      <w:r w:rsidRPr="006F6055">
        <w:rPr>
          <w:rFonts w:ascii="Times New Roman" w:hAnsi="Times New Roman"/>
          <w:sz w:val="24"/>
          <w:szCs w:val="24"/>
        </w:rPr>
        <w:t xml:space="preserve"> a México lo hicieron para igualar los precios de China, y algunas de las nuevas fábricas mexicanas ayudaron a mantener empleos al norte de la frontera. </w:t>
      </w:r>
      <w:r>
        <w:rPr>
          <w:rFonts w:ascii="Times New Roman" w:hAnsi="Times New Roman"/>
          <w:sz w:val="24"/>
          <w:szCs w:val="24"/>
        </w:rPr>
        <w:t>Por ejemplo: telas hechas en EEUU</w:t>
      </w:r>
      <w:r w:rsidRPr="006F6055">
        <w:rPr>
          <w:rFonts w:ascii="Times New Roman" w:hAnsi="Times New Roman"/>
          <w:sz w:val="24"/>
          <w:szCs w:val="24"/>
        </w:rPr>
        <w:t xml:space="preserve"> se convierten en prendas de vestir en México que luego son vendidas alrededor del mundo por empresas estadounidenses.</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David Autor, un economista del Instituto Tecnológico de Massachusetts (MIT, por sus siglas en inglés), que estudia las relaciones entre el comercio internacional, los mercados laborales y el cambio tecnológico, llama a la economía de China una “roca de 500 toneladas parada sobre una cornisa”. En algún momento se va a caer y aplastará todo lo que está por debajo de ella. “Simplemente no sabemos cuándo” ocurrirá, dice.</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Los economistas han sostenido durante mucho tiempo que si bien el libre comercio crea ganadores y perdedores, los resultados netos son beneficiosos para la mayoría. Los consumidores estadounidenses ganaron con las importaciones de bajo costo, que les permitieron comprar a bajos precios bicicletas, joyas y utensilios de cocina, entre muchos otros productos. Las empresas estadounidenses ganaron el acceso a los mercados extranjeros.</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Se esperaba que los trabajadores de las industrias expuestas a las importaciones mejoraran su capacitación laboral o se mudaran a alguna parte del país que ofreciera nuevas oportunidades.</w:t>
      </w:r>
    </w:p>
    <w:p w:rsidR="002F07D4" w:rsidRPr="006F6055" w:rsidRDefault="002F07D4" w:rsidP="002F07D4">
      <w:pPr>
        <w:spacing w:line="240" w:lineRule="auto"/>
        <w:jc w:val="both"/>
        <w:rPr>
          <w:rFonts w:ascii="Times New Roman" w:hAnsi="Times New Roman"/>
          <w:sz w:val="24"/>
          <w:szCs w:val="24"/>
        </w:rPr>
      </w:pPr>
      <w:r w:rsidRPr="00A072ED">
        <w:rPr>
          <w:rFonts w:ascii="Times New Roman" w:hAnsi="Times New Roman"/>
          <w:sz w:val="24"/>
          <w:szCs w:val="24"/>
          <w:u w:val="single"/>
        </w:rPr>
        <w:t>En la década de 1970, la invasión japonesa golpeó en gran medida industrias ubicadas en ciudades con grandes bases manufactureras que podían ofrecer otras alternativas a quienes perdían su trabajo</w:t>
      </w:r>
      <w:r w:rsidRPr="006F6055">
        <w:rPr>
          <w:rFonts w:ascii="Times New Roman" w:hAnsi="Times New Roman"/>
          <w:sz w:val="24"/>
          <w:szCs w:val="24"/>
        </w:rPr>
        <w:t>. En Akron, Ohio, tradicional centro de l</w:t>
      </w:r>
      <w:r>
        <w:rPr>
          <w:rFonts w:ascii="Times New Roman" w:hAnsi="Times New Roman"/>
          <w:sz w:val="24"/>
          <w:szCs w:val="24"/>
        </w:rPr>
        <w:t>a industria del neumático de EEUU</w:t>
      </w:r>
      <w:r w:rsidRPr="006F6055">
        <w:rPr>
          <w:rFonts w:ascii="Times New Roman" w:hAnsi="Times New Roman"/>
          <w:sz w:val="24"/>
          <w:szCs w:val="24"/>
        </w:rPr>
        <w:t>, químicos de la universidad local ayudaron a crear una industria de polímeros que hoy emplea a decenas de miles de trabajadores, dijo David Lieberth, ex vicealcalde de Akron que se ha convertido en una suerte de historiador de la ciudad.</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China puso de cabeza muchos de esos supuestos. Ningún otro país se ha acercado a su combinación de vasta población en edad laboral, salarios súper bajos, apoyo del gobierno, moneda barata y aumento de la productividad.</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Las importaciones procedentes de China como porcentaje d</w:t>
      </w:r>
      <w:r w:rsidR="00B61805">
        <w:rPr>
          <w:rFonts w:ascii="Times New Roman" w:hAnsi="Times New Roman"/>
          <w:color w:val="FF0000"/>
          <w:sz w:val="24"/>
          <w:szCs w:val="24"/>
          <w:u w:val="single"/>
        </w:rPr>
        <w:t>e la producción económica de EEUU</w:t>
      </w:r>
      <w:r w:rsidRPr="00A072ED">
        <w:rPr>
          <w:rFonts w:ascii="Times New Roman" w:hAnsi="Times New Roman"/>
          <w:color w:val="FF0000"/>
          <w:sz w:val="24"/>
          <w:szCs w:val="24"/>
          <w:u w:val="single"/>
        </w:rPr>
        <w:t xml:space="preserve"> se duplicaron en los cuatro años siguientes a la incorporación del país a la Organización Mundial del Comercio en 2001. México tardó 12 años en lograr lo mismo después del Nafta. Japón tardó el mismo tiempo después de haberse conver</w:t>
      </w:r>
      <w:r>
        <w:rPr>
          <w:rFonts w:ascii="Times New Roman" w:hAnsi="Times New Roman"/>
          <w:color w:val="FF0000"/>
          <w:sz w:val="24"/>
          <w:szCs w:val="24"/>
          <w:u w:val="single"/>
        </w:rPr>
        <w:t>tido en un gran proveedor de EEUU</w:t>
      </w:r>
      <w:r w:rsidRPr="00A072ED">
        <w:rPr>
          <w:rFonts w:ascii="Times New Roman" w:hAnsi="Times New Roman"/>
          <w:color w:val="FF0000"/>
          <w:sz w:val="24"/>
          <w:szCs w:val="24"/>
          <w:u w:val="single"/>
        </w:rPr>
        <w:t xml:space="preserve"> en 1974.</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lastRenderedPageBreak/>
        <w:t>Al año pasado, las importaciones procedentes de China representaban el equivalente de 2,7% d</w:t>
      </w:r>
      <w:r>
        <w:rPr>
          <w:rFonts w:ascii="Times New Roman" w:hAnsi="Times New Roman"/>
          <w:color w:val="FF0000"/>
          <w:sz w:val="24"/>
          <w:szCs w:val="24"/>
          <w:u w:val="single"/>
        </w:rPr>
        <w:t>el Producto Interno Bruto de EE</w:t>
      </w:r>
      <w:r w:rsidRPr="00A072ED">
        <w:rPr>
          <w:rFonts w:ascii="Times New Roman" w:hAnsi="Times New Roman"/>
          <w:color w:val="FF0000"/>
          <w:sz w:val="24"/>
          <w:szCs w:val="24"/>
          <w:u w:val="single"/>
        </w:rPr>
        <w:t>UU. Esto es un punto porcentual más del máximo logrado por Japón o México.</w:t>
      </w:r>
    </w:p>
    <w:p w:rsidR="002F07D4" w:rsidRPr="006F6055" w:rsidRDefault="002F07D4" w:rsidP="002F07D4">
      <w:pPr>
        <w:spacing w:line="240" w:lineRule="auto"/>
        <w:jc w:val="both"/>
        <w:rPr>
          <w:rFonts w:ascii="Times New Roman" w:hAnsi="Times New Roman"/>
          <w:sz w:val="24"/>
          <w:szCs w:val="24"/>
        </w:rPr>
      </w:pPr>
      <w:r w:rsidRPr="00A072ED">
        <w:rPr>
          <w:rFonts w:ascii="Times New Roman" w:hAnsi="Times New Roman"/>
          <w:color w:val="FF0000"/>
          <w:sz w:val="24"/>
          <w:szCs w:val="24"/>
          <w:u w:val="single"/>
        </w:rPr>
        <w:t>Por otro lado, la ola de importaciones de Japón afectó a un grupo limitado de industrias avanzadas, en su mayoría automóviles, acero y electrónica de consumo. Las importaciones de bajo costo de Chin</w:t>
      </w:r>
      <w:r>
        <w:rPr>
          <w:rFonts w:ascii="Times New Roman" w:hAnsi="Times New Roman"/>
          <w:color w:val="FF0000"/>
          <w:sz w:val="24"/>
          <w:szCs w:val="24"/>
          <w:u w:val="single"/>
        </w:rPr>
        <w:t>a, en cambio, barrieron todo EEUU</w:t>
      </w:r>
      <w:r w:rsidRPr="00A072ED">
        <w:rPr>
          <w:rFonts w:ascii="Times New Roman" w:hAnsi="Times New Roman"/>
          <w:color w:val="FF0000"/>
          <w:sz w:val="24"/>
          <w:szCs w:val="24"/>
          <w:u w:val="single"/>
        </w:rPr>
        <w:t xml:space="preserve"> y afectaron a todo tipo de sectores</w:t>
      </w:r>
      <w:r w:rsidRPr="006F6055">
        <w:rPr>
          <w:rFonts w:ascii="Times New Roman" w:hAnsi="Times New Roman"/>
          <w:sz w:val="24"/>
          <w:szCs w:val="24"/>
        </w:rPr>
        <w:t>, desde los productores de electrónicos en San José, California, los de artículos deportivos en el condado de Orange, California, los de joyería en Providence, Rhode Island, los de zapatos en West Plains, Missouri, los de juguetes en Murray, Kentucky, y los de sillas en Tupelo, Mississippi, entre muchas otras industrias y comunidades.</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w:t>
      </w:r>
      <w:r>
        <w:rPr>
          <w:rFonts w:ascii="Times New Roman" w:hAnsi="Times New Roman"/>
          <w:color w:val="FF0000"/>
          <w:sz w:val="24"/>
          <w:szCs w:val="24"/>
          <w:u w:val="single"/>
        </w:rPr>
        <w:t>Al alentar a China a comerciar (con nosotros)</w:t>
      </w:r>
      <w:r w:rsidRPr="00A072ED">
        <w:rPr>
          <w:rFonts w:ascii="Times New Roman" w:hAnsi="Times New Roman"/>
          <w:color w:val="FF0000"/>
          <w:sz w:val="24"/>
          <w:szCs w:val="24"/>
          <w:u w:val="single"/>
        </w:rPr>
        <w:t>, necesitábamos políticas internas que minimizaran el impacto de lo que iba a suceder”, dice Gordon Hanson, profesor de economía de la Universidad de California, San Diego. La falta de estas políticas, dice, fue “un error catastrófico”.</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Un grupo de economistas que incluye a Hanson y Autor estima que la competencia de China fue responsable de la pérdida de 2,4 millo</w:t>
      </w:r>
      <w:r>
        <w:rPr>
          <w:rFonts w:ascii="Times New Roman" w:hAnsi="Times New Roman"/>
          <w:color w:val="FF0000"/>
          <w:sz w:val="24"/>
          <w:szCs w:val="24"/>
          <w:u w:val="single"/>
        </w:rPr>
        <w:t>nes de puestos de trabajo en EEUU</w:t>
      </w:r>
      <w:r w:rsidRPr="00A072ED">
        <w:rPr>
          <w:rFonts w:ascii="Times New Roman" w:hAnsi="Times New Roman"/>
          <w:color w:val="FF0000"/>
          <w:sz w:val="24"/>
          <w:szCs w:val="24"/>
          <w:u w:val="single"/>
        </w:rPr>
        <w:t xml:space="preserve"> entre 1999 y 2011. En el mismo período, el empleo total en el país creció 2,1 millones, a 132,9 millones.</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Esta región de Carolina del Norte solía ser un motor de crecimiento, pero las importaciones chi</w:t>
      </w:r>
      <w:r>
        <w:rPr>
          <w:rFonts w:ascii="Times New Roman" w:hAnsi="Times New Roman"/>
          <w:sz w:val="24"/>
          <w:szCs w:val="24"/>
        </w:rPr>
        <w:t>nas hundieron la economía local</w:t>
      </w:r>
      <w:r w:rsidRPr="006F6055">
        <w:rPr>
          <w:rFonts w:ascii="Times New Roman" w:hAnsi="Times New Roman"/>
          <w:sz w:val="24"/>
          <w:szCs w:val="24"/>
        </w:rPr>
        <w:t>.En la década de 2000, en los distritos del Congreso donde la competencia de las importaciones chinas aumentó rápidamente, también aumentó la polarización política, dicen ambos investigadores tras examinar el historial de votación. Los candidatos “ideológicamente estridentes” reemplazaron a los moderados, escribieron en un estudio.</w:t>
      </w:r>
    </w:p>
    <w:p w:rsidR="002F07D4" w:rsidRPr="006F6055" w:rsidRDefault="002F07D4" w:rsidP="002F07D4">
      <w:pPr>
        <w:spacing w:line="240" w:lineRule="auto"/>
        <w:jc w:val="both"/>
        <w:rPr>
          <w:rFonts w:ascii="Times New Roman" w:hAnsi="Times New Roman"/>
          <w:sz w:val="24"/>
          <w:szCs w:val="24"/>
        </w:rPr>
      </w:pPr>
      <w:r w:rsidRPr="00A072ED">
        <w:rPr>
          <w:rFonts w:ascii="Times New Roman" w:hAnsi="Times New Roman"/>
          <w:color w:val="FF0000"/>
          <w:sz w:val="24"/>
          <w:szCs w:val="24"/>
          <w:u w:val="single"/>
        </w:rPr>
        <w:t>En las primarias republicanas presidenciales de este año, según un análisis realizado por The Wall Street Journal, Donald Trump ganó en 89 de los 100 condados más afectados por la competencia de China</w:t>
      </w:r>
      <w:r w:rsidRPr="006F6055">
        <w:rPr>
          <w:rFonts w:ascii="Times New Roman" w:hAnsi="Times New Roman"/>
          <w:sz w:val="24"/>
          <w:szCs w:val="24"/>
        </w:rPr>
        <w:t>, entre ellos Catawba, donde se encuentra Hickory. En las primarias de marzo, Trump obtuvo aquí el 44% del voto republicano, imponiéndose a otros 11 candidatos.</w:t>
      </w:r>
    </w:p>
    <w:p w:rsidR="002F07D4" w:rsidRPr="006F6055" w:rsidRDefault="002F07D4" w:rsidP="002F07D4">
      <w:pPr>
        <w:spacing w:line="240" w:lineRule="auto"/>
        <w:jc w:val="both"/>
        <w:rPr>
          <w:rFonts w:ascii="Times New Roman" w:hAnsi="Times New Roman"/>
          <w:sz w:val="24"/>
          <w:szCs w:val="24"/>
        </w:rPr>
      </w:pPr>
      <w:r w:rsidRPr="00A072ED">
        <w:rPr>
          <w:rFonts w:ascii="Times New Roman" w:hAnsi="Times New Roman"/>
          <w:color w:val="FF0000"/>
          <w:sz w:val="24"/>
          <w:szCs w:val="24"/>
          <w:u w:val="single"/>
        </w:rPr>
        <w:t>Sanders ganó las primarias demócratas en 64 de los 100 condados más expuestos en los estados del norte y en el centro del país.</w:t>
      </w:r>
      <w:r w:rsidRPr="006F6055">
        <w:rPr>
          <w:rFonts w:ascii="Times New Roman" w:hAnsi="Times New Roman"/>
          <w:sz w:val="24"/>
          <w:szCs w:val="24"/>
        </w:rPr>
        <w:t xml:space="preserve"> Ese patrón no se mantuvo en el sur, donde Hillary Clinton era fuerte entre los votantes negros.</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Hickory, una ciudad tranquila de cerca de 40.000 habitantes, solía tener un fragante olor a laca de madera. A finales de los 90 era una ciudad en auge. La competencia extranjera desplazó a la industria local de la confección, pero la de los muebles prosperó.</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Los fabricantes de muebles pensaron que estaban relativamente a salvo de las importaciones porque sus productos eran voluminosos, costosos para el envío de larga distancia y a menudo involucraban trabajo artesanal. Pero luego cayeron los costos del transporte, y muchos estadounidenses optaron por los bajos precios por encima de todo lo demás.</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El empleo manufacturero en el condado de Catawba y sus alrededores cayó de 79.000 en 2000 a 38.000 en 2014. Casi la mitad de la caída fue causada por la pérdida de trabajos en la industria del mueble.</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lastRenderedPageBreak/>
        <w:t>El año pasado, las importaciones totales de muebles y accesorios proce</w:t>
      </w:r>
      <w:r>
        <w:rPr>
          <w:rFonts w:ascii="Times New Roman" w:hAnsi="Times New Roman"/>
          <w:sz w:val="24"/>
          <w:szCs w:val="24"/>
        </w:rPr>
        <w:t>dentes de China por parte de EEUU</w:t>
      </w:r>
      <w:r w:rsidRPr="006F6055">
        <w:rPr>
          <w:rFonts w:ascii="Times New Roman" w:hAnsi="Times New Roman"/>
          <w:sz w:val="24"/>
          <w:szCs w:val="24"/>
        </w:rPr>
        <w:t xml:space="preserve"> alcanzaron los US$20.400 millones, frente a US$4.400 millones de 2000, según cálculos de la Oficina del Censo. Entre los estados especialmente afectados se encuentran Carolina del Norte, Virginia, Tennessee, Iowa y Wisconsin.</w:t>
      </w:r>
    </w:p>
    <w:p w:rsidR="002F07D4" w:rsidRPr="006F6055" w:rsidRDefault="002F07D4" w:rsidP="002F07D4">
      <w:pPr>
        <w:spacing w:line="240" w:lineRule="auto"/>
        <w:jc w:val="both"/>
        <w:rPr>
          <w:rFonts w:ascii="Times New Roman" w:hAnsi="Times New Roman"/>
          <w:sz w:val="24"/>
          <w:szCs w:val="24"/>
        </w:rPr>
      </w:pPr>
      <w:r>
        <w:rPr>
          <w:rFonts w:ascii="Times New Roman" w:hAnsi="Times New Roman"/>
          <w:sz w:val="24"/>
          <w:szCs w:val="24"/>
        </w:rPr>
        <w:t>EEUU</w:t>
      </w:r>
      <w:r w:rsidRPr="006F6055">
        <w:rPr>
          <w:rFonts w:ascii="Times New Roman" w:hAnsi="Times New Roman"/>
          <w:sz w:val="24"/>
          <w:szCs w:val="24"/>
        </w:rPr>
        <w:t xml:space="preserve"> importa hoy el 73,5% de todos los muebles que consume, dice Jerry Epperson, un analista del banco de inversiones Mann, Armistead &amp; Epperson Ltd. en Richmond, Virginia. Más de la mitad de ese porcentaje procede de China.</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“Estábamos todos bastante sorprendidos por la velocidad” del cambio, dice Alex Bernhardt Jr., presidente ejecutivo de Bernhardt Furniture Co., un fabricante de propiedad familiar con sede en Lenoir, Carolina del Norte, a unos 30 kilómetros de Hickory.</w:t>
      </w:r>
    </w:p>
    <w:p w:rsidR="002F07D4" w:rsidRPr="00A072ED" w:rsidRDefault="002F07D4" w:rsidP="002F07D4">
      <w:pPr>
        <w:spacing w:line="240" w:lineRule="auto"/>
        <w:jc w:val="both"/>
        <w:rPr>
          <w:rFonts w:ascii="Times New Roman" w:hAnsi="Times New Roman"/>
          <w:sz w:val="24"/>
          <w:szCs w:val="24"/>
          <w:u w:val="single"/>
        </w:rPr>
      </w:pPr>
      <w:r w:rsidRPr="00A072ED">
        <w:rPr>
          <w:rFonts w:ascii="Times New Roman" w:hAnsi="Times New Roman"/>
          <w:sz w:val="24"/>
          <w:szCs w:val="24"/>
          <w:u w:val="single"/>
        </w:rPr>
        <w:t>Bernhardt y otros fabricantes de muebles dicen que sin darse cuenta ayudaron a China cuando enviaron técnicos para ofrecer orientación. Otros fabricantes de muebles enviaron también herramientas, piezas e instrucciones para la fabricación, completamente en máquinas, de muebles con intrincados diseños.</w:t>
      </w:r>
    </w:p>
    <w:p w:rsidR="002F07D4" w:rsidRPr="00A072ED" w:rsidRDefault="002F07D4" w:rsidP="002F07D4">
      <w:pPr>
        <w:spacing w:line="240" w:lineRule="auto"/>
        <w:jc w:val="both"/>
        <w:rPr>
          <w:rFonts w:ascii="Times New Roman" w:hAnsi="Times New Roman"/>
          <w:color w:val="FF0000"/>
          <w:sz w:val="24"/>
          <w:szCs w:val="24"/>
          <w:u w:val="single"/>
        </w:rPr>
      </w:pPr>
      <w:r w:rsidRPr="006F6055">
        <w:rPr>
          <w:rFonts w:ascii="Times New Roman" w:hAnsi="Times New Roman"/>
          <w:sz w:val="24"/>
          <w:szCs w:val="24"/>
        </w:rPr>
        <w:t>Alex Shuford, de 42 años, es el presidente ejecutivo de la empresa familiar RHF Inc., propietaria de Century Furniture, en Hickory</w:t>
      </w:r>
      <w:r w:rsidRPr="00A072ED">
        <w:rPr>
          <w:rFonts w:ascii="Times New Roman" w:hAnsi="Times New Roman"/>
          <w:color w:val="FF0000"/>
          <w:sz w:val="24"/>
          <w:szCs w:val="24"/>
          <w:u w:val="single"/>
        </w:rPr>
        <w:t>. La ayuda estadounidense a los fabricantes chinos, dice, “fue como si Ford hubiera ayudado a Toyota”.</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Century y Bernhardt sobrevivieron gracias a que se concentraron en hacer muebles a pedido, en especial tap</w:t>
      </w:r>
      <w:r>
        <w:rPr>
          <w:rFonts w:ascii="Times New Roman" w:hAnsi="Times New Roman"/>
          <w:sz w:val="24"/>
          <w:szCs w:val="24"/>
        </w:rPr>
        <w:t>izados, para consumidores de EEUU</w:t>
      </w:r>
      <w:r w:rsidRPr="006F6055">
        <w:rPr>
          <w:rFonts w:ascii="Times New Roman" w:hAnsi="Times New Roman"/>
          <w:sz w:val="24"/>
          <w:szCs w:val="24"/>
        </w:rPr>
        <w:t xml:space="preserve"> Bernhardt ahora cuenta con 1.600 empleados en Carolina del Norte, frente a 2.800 que tenía en 2000, mientras que Century redujo los 1.323 trabajadores que empleaba en el estado en 2003 a 845 hoy.</w:t>
      </w:r>
    </w:p>
    <w:p w:rsidR="002F07D4" w:rsidRPr="00A072ED" w:rsidRDefault="002F07D4" w:rsidP="002F07D4">
      <w:pPr>
        <w:spacing w:line="240" w:lineRule="auto"/>
        <w:jc w:val="both"/>
        <w:rPr>
          <w:rFonts w:ascii="Times New Roman" w:hAnsi="Times New Roman"/>
          <w:color w:val="FF0000"/>
          <w:sz w:val="24"/>
          <w:szCs w:val="24"/>
          <w:u w:val="single"/>
        </w:rPr>
      </w:pPr>
      <w:r w:rsidRPr="00A072ED">
        <w:rPr>
          <w:rFonts w:ascii="Times New Roman" w:hAnsi="Times New Roman"/>
          <w:color w:val="FF0000"/>
          <w:sz w:val="24"/>
          <w:szCs w:val="24"/>
          <w:u w:val="single"/>
        </w:rPr>
        <w:t>Las políticas del gobierno para hacer frente a las importaciones chinas fallaron, incluyendo esfuerzos para cobrar derechos de importación. En 2004, una coalición de fabricantes de muebles ganó un caso comercial contra China y recaudó US$309 millones en aranceles.</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St</w:t>
      </w:r>
      <w:r>
        <w:rPr>
          <w:rFonts w:ascii="Times New Roman" w:hAnsi="Times New Roman"/>
          <w:sz w:val="24"/>
          <w:szCs w:val="24"/>
        </w:rPr>
        <w:t>anley Furniture Co.</w:t>
      </w:r>
      <w:r w:rsidRPr="006F6055">
        <w:rPr>
          <w:rFonts w:ascii="Times New Roman" w:hAnsi="Times New Roman" w:cs="Calibri"/>
          <w:sz w:val="24"/>
          <w:szCs w:val="24"/>
        </w:rPr>
        <w:t>, de High Point, Carolina del Norte, recibió la mayor tajada, que ascendió a US$83,5 millones. Pero al año pasado sólo tenía 71 tra</w:t>
      </w:r>
      <w:r w:rsidRPr="006F6055">
        <w:rPr>
          <w:rFonts w:ascii="Times New Roman" w:hAnsi="Times New Roman"/>
          <w:sz w:val="24"/>
          <w:szCs w:val="24"/>
        </w:rPr>
        <w:t>bajadores, en comparación con 2.600 en la década anterior. Stanley invirtió fuertemente en una línea de</w:t>
      </w:r>
      <w:r>
        <w:rPr>
          <w:rFonts w:ascii="Times New Roman" w:hAnsi="Times New Roman"/>
          <w:sz w:val="24"/>
          <w:szCs w:val="24"/>
        </w:rPr>
        <w:t xml:space="preserve"> muebles para niños hecha en EEUU</w:t>
      </w:r>
      <w:r w:rsidRPr="006F6055">
        <w:rPr>
          <w:rFonts w:ascii="Times New Roman" w:hAnsi="Times New Roman"/>
          <w:sz w:val="24"/>
          <w:szCs w:val="24"/>
        </w:rPr>
        <w:t>, pero fracasó.</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Stuart Shoun, el maquinista de Hickory, dice que en 1977, cuando se mudó de Mountain City, Tennessee, a Hickory, era un “hillbilly” (algo así como pueblerino) de 20 años en busca de un trabajo estable. Las rutas que conducían a los trabajos en Hickory eran llamadas Hillbilly Highway, algo así como la Autopista de los Pueblerinos.</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Cuando llegaron los despidos, a Shoun le sorprendió ver que algunos de sus compañeros despedidos le pedían ayuda con las instrucciones para los formularios de ayuda porque no sabían ni leer ni escribir. “¿Cómo podían s</w:t>
      </w:r>
      <w:r>
        <w:rPr>
          <w:rFonts w:ascii="Times New Roman" w:hAnsi="Times New Roman"/>
          <w:sz w:val="24"/>
          <w:szCs w:val="24"/>
        </w:rPr>
        <w:t>iquiera llenar las solicitudes (de trabajo)</w:t>
      </w:r>
      <w:r w:rsidRPr="006F6055">
        <w:rPr>
          <w:rFonts w:ascii="Times New Roman" w:hAnsi="Times New Roman"/>
          <w:sz w:val="24"/>
          <w:szCs w:val="24"/>
        </w:rPr>
        <w:t>?”, recuerda haber pensado.</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Más tarde fue contratado para dirigir una fábrica de muebles en China, con un salario de cerca de US$100.000, casi el doble de lo que ganaba antes. “La oferta decía: ‘Usted tal vez quiera irse de Carolina del Norte a China, porque allí es adónde va la industria’”, dice. Pero no quiso dejar a su familia y rechazó el puesto.</w:t>
      </w:r>
    </w:p>
    <w:p w:rsidR="002F07D4" w:rsidRDefault="002F07D4" w:rsidP="002F07D4">
      <w:pPr>
        <w:spacing w:line="240" w:lineRule="auto"/>
        <w:jc w:val="both"/>
        <w:rPr>
          <w:rFonts w:ascii="Times New Roman" w:hAnsi="Times New Roman" w:cs="Calibri"/>
          <w:sz w:val="24"/>
          <w:szCs w:val="24"/>
        </w:rPr>
      </w:pPr>
      <w:r w:rsidRPr="006F6055">
        <w:rPr>
          <w:rFonts w:ascii="Times New Roman" w:hAnsi="Times New Roman"/>
          <w:sz w:val="24"/>
          <w:szCs w:val="24"/>
        </w:rPr>
        <w:lastRenderedPageBreak/>
        <w:t>Durante las oleadas de importaciones anteriores, ciudades y trabajadores de EE</w:t>
      </w:r>
      <w:r>
        <w:rPr>
          <w:rFonts w:ascii="Times New Roman" w:hAnsi="Times New Roman"/>
          <w:sz w:val="24"/>
          <w:szCs w:val="24"/>
        </w:rPr>
        <w:t>UU</w:t>
      </w:r>
      <w:r w:rsidRPr="006F6055">
        <w:rPr>
          <w:rFonts w:ascii="Times New Roman" w:hAnsi="Times New Roman"/>
          <w:sz w:val="24"/>
          <w:szCs w:val="24"/>
        </w:rPr>
        <w:t xml:space="preserve"> se reinventaron. En la década de los 80, Detroit se recuperó de la competencia japonesa cuando el fabricante de automóviles Chrysler, bajo el liderazgo de Lee Iacocca, emergió como símbolo del renacimiento americano. Chrysler es ahora parte de Fiat C</w:t>
      </w:r>
      <w:r>
        <w:rPr>
          <w:rFonts w:ascii="Times New Roman" w:hAnsi="Times New Roman"/>
          <w:sz w:val="24"/>
          <w:szCs w:val="24"/>
        </w:rPr>
        <w:t>hrysler Automobiles FCAU</w:t>
      </w:r>
      <w:r w:rsidRPr="006F6055">
        <w:rPr>
          <w:rFonts w:ascii="Times New Roman" w:hAnsi="Times New Roman" w:cs="Calibri"/>
          <w:sz w:val="24"/>
          <w:szCs w:val="24"/>
        </w:rPr>
        <w:t>.</w:t>
      </w:r>
    </w:p>
    <w:p w:rsidR="002F07D4" w:rsidRPr="006F6055" w:rsidRDefault="002F07D4" w:rsidP="002F07D4">
      <w:pPr>
        <w:spacing w:line="240" w:lineRule="auto"/>
        <w:jc w:val="both"/>
        <w:rPr>
          <w:rFonts w:ascii="Times New Roman" w:hAnsi="Times New Roman" w:cs="Calibri"/>
          <w:sz w:val="24"/>
          <w:szCs w:val="24"/>
        </w:rPr>
      </w:pPr>
      <w:r>
        <w:rPr>
          <w:rFonts w:ascii="Arial" w:hAnsi="Arial" w:cs="Arial"/>
          <w:noProof/>
          <w:color w:val="333333"/>
          <w:sz w:val="10"/>
          <w:szCs w:val="10"/>
          <w:lang w:val="en-GB" w:eastAsia="en-GB"/>
        </w:rPr>
        <w:drawing>
          <wp:inline distT="0" distB="0" distL="0" distR="0">
            <wp:extent cx="5397500" cy="4451350"/>
            <wp:effectExtent l="19050" t="0" r="0" b="0"/>
            <wp:docPr id="310" name="Imagen 2" descr="https://si.wsj.net/public/resources/images/AO-AB215_wsjamd_NS_20160811191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wsj.net/public/resources/images/AO-AB215_wsjamd_NS_20160811191152.jpg"/>
                    <pic:cNvPicPr>
                      <a:picLocks noChangeAspect="1" noChangeArrowheads="1"/>
                    </pic:cNvPicPr>
                  </pic:nvPicPr>
                  <pic:blipFill>
                    <a:blip r:embed="rId330" cstate="print"/>
                    <a:srcRect/>
                    <a:stretch>
                      <a:fillRect/>
                    </a:stretch>
                  </pic:blipFill>
                  <pic:spPr bwMode="auto">
                    <a:xfrm>
                      <a:off x="0" y="0"/>
                      <a:ext cx="5400040" cy="4453445"/>
                    </a:xfrm>
                    <a:prstGeom prst="rect">
                      <a:avLst/>
                    </a:prstGeom>
                    <a:noFill/>
                    <a:ln w="9525">
                      <a:noFill/>
                      <a:miter lim="800000"/>
                      <a:headEnd/>
                      <a:tailEnd/>
                    </a:ln>
                  </pic:spPr>
                </pic:pic>
              </a:graphicData>
            </a:graphic>
          </wp:inline>
        </w:drawing>
      </w:r>
    </w:p>
    <w:p w:rsidR="002F07D4" w:rsidRPr="00EB3554" w:rsidRDefault="002F07D4" w:rsidP="002F07D4">
      <w:pPr>
        <w:spacing w:line="240" w:lineRule="auto"/>
        <w:jc w:val="both"/>
        <w:rPr>
          <w:rFonts w:ascii="Times New Roman" w:hAnsi="Times New Roman"/>
          <w:color w:val="FF0000"/>
          <w:sz w:val="24"/>
          <w:szCs w:val="24"/>
          <w:u w:val="single"/>
        </w:rPr>
      </w:pPr>
      <w:r w:rsidRPr="00EB3554">
        <w:rPr>
          <w:rFonts w:ascii="Times New Roman" w:hAnsi="Times New Roman"/>
          <w:color w:val="FF0000"/>
          <w:sz w:val="24"/>
          <w:szCs w:val="24"/>
          <w:u w:val="single"/>
        </w:rPr>
        <w:t>Hoy los trabajadores despedidos se ajustan más lentamente al impacto de</w:t>
      </w:r>
      <w:r>
        <w:rPr>
          <w:rFonts w:ascii="Times New Roman" w:hAnsi="Times New Roman"/>
          <w:color w:val="FF0000"/>
          <w:sz w:val="24"/>
          <w:szCs w:val="24"/>
          <w:u w:val="single"/>
        </w:rPr>
        <w:t xml:space="preserve"> China. En Hickory y en todo EEUU</w:t>
      </w:r>
      <w:r w:rsidRPr="00EB3554">
        <w:rPr>
          <w:rFonts w:ascii="Times New Roman" w:hAnsi="Times New Roman"/>
          <w:color w:val="FF0000"/>
          <w:sz w:val="24"/>
          <w:szCs w:val="24"/>
          <w:u w:val="single"/>
        </w:rPr>
        <w:t xml:space="preserve"> hay menos gente dispuesta a desarraigarse para seguir oportunidades de trabajo en otras partes del país, según datos migratorios. Entre los motivos para no mudarse de ciudad, los economistas citan el aumento de familias con dos ingresos, el envejecimiento de la población, la crisis habitacional y el aumento del costo de la vivienda en lugares como San Francisco y Austin, Texas.</w:t>
      </w:r>
    </w:p>
    <w:p w:rsidR="002F07D4" w:rsidRPr="00EB3554" w:rsidRDefault="002F07D4" w:rsidP="002F07D4">
      <w:pPr>
        <w:spacing w:line="240" w:lineRule="auto"/>
        <w:jc w:val="both"/>
        <w:rPr>
          <w:rFonts w:ascii="Times New Roman" w:hAnsi="Times New Roman"/>
          <w:color w:val="FF0000"/>
          <w:sz w:val="24"/>
          <w:szCs w:val="24"/>
          <w:u w:val="single"/>
        </w:rPr>
      </w:pPr>
      <w:r w:rsidRPr="00EB3554">
        <w:rPr>
          <w:rFonts w:ascii="Times New Roman" w:hAnsi="Times New Roman"/>
          <w:color w:val="FF0000"/>
          <w:sz w:val="24"/>
          <w:szCs w:val="24"/>
          <w:u w:val="single"/>
        </w:rPr>
        <w:t>Los esfuerzos del gobierno para ayudar a los trabajadores despedidos no han ayudado mucho. El programa formal de Washington para reentrenar a los trabajadores golpeados por la competencia de las importaciones paga por dos años de matrícula universitaria y extiende los pagos de seguro de desempleo.</w:t>
      </w:r>
    </w:p>
    <w:p w:rsidR="002F07D4" w:rsidRPr="00EB3554" w:rsidRDefault="002F07D4" w:rsidP="002F07D4">
      <w:pPr>
        <w:spacing w:line="240" w:lineRule="auto"/>
        <w:jc w:val="both"/>
        <w:rPr>
          <w:rFonts w:ascii="Times New Roman" w:hAnsi="Times New Roman"/>
          <w:color w:val="FF0000"/>
          <w:sz w:val="24"/>
          <w:szCs w:val="24"/>
          <w:u w:val="single"/>
        </w:rPr>
      </w:pPr>
      <w:r w:rsidRPr="00EB3554">
        <w:rPr>
          <w:rFonts w:ascii="Times New Roman" w:hAnsi="Times New Roman"/>
          <w:color w:val="FF0000"/>
          <w:sz w:val="24"/>
          <w:szCs w:val="24"/>
          <w:u w:val="single"/>
        </w:rPr>
        <w:t>Una evaluación que el Departamento de Trabajo encargó en 2012 halló que los participantes en ese programa, especialmente los mayores de 50 años, por lo general ganan menos cuatro años después de haber comenzado el programa que los que no lo comenzaron nunca. Estos últimos volvieron a trabajar con mayor rapidez.</w:t>
      </w:r>
    </w:p>
    <w:p w:rsidR="002F07D4" w:rsidRPr="00EB3554" w:rsidRDefault="002F07D4" w:rsidP="002F07D4">
      <w:pPr>
        <w:spacing w:line="240" w:lineRule="auto"/>
        <w:jc w:val="both"/>
        <w:rPr>
          <w:rFonts w:ascii="Times New Roman" w:hAnsi="Times New Roman"/>
          <w:color w:val="FF0000"/>
          <w:sz w:val="24"/>
          <w:szCs w:val="24"/>
          <w:u w:val="single"/>
        </w:rPr>
      </w:pPr>
      <w:r w:rsidRPr="00EB3554">
        <w:rPr>
          <w:rFonts w:ascii="Times New Roman" w:hAnsi="Times New Roman"/>
          <w:color w:val="FF0000"/>
          <w:sz w:val="24"/>
          <w:szCs w:val="24"/>
          <w:u w:val="single"/>
        </w:rPr>
        <w:t>Shuford, el presidente ejecutivo de Century, llama a este programa “una curita para una economía que tiene cortada una arteria”.</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lastRenderedPageBreak/>
        <w:t>En Hickory, los trabajadores despedidos fueron a las universidades locales [que también dan títulos vocacionales después de dos años de estudio, y que son consideradas de menos jerarquía que un programa universitario de cuatro años], pero a menudo no pudieron conseguir empleo luego de graduarse. Tras perder su puesto en 2006, Shoun pensó que aprender diseño arquitectónico le ayudaría a conseguir un mejor trabajo. Pero cuando egresó en 2008, el mercado de vivienda se estaba derrumbando, así que volvió al negocio de los muebles.</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Un gabinete de aserradoras en la fábrica de Century Furniture en Hickory. Su ex esposa, Michelle Surratt, que apenas terminó la escuela primaria, perdió su trabajo en 2006 y recurrió a la Asistencia de Ajuste del Comercio Internacional para obtener un diploma de educación secundaria, pero nunca tomó el examen de matemáticas requerido porque le tiene “miedo de los números”, dice. Surratt, de 58 años, gana US$9.69 por hora reparando tapizados. Hace unos 15 años ganaba cerca de US$1 más por hora como operadora de maquinaria en una fábrica.</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Muchos trabajadores suponen que no están hechos para la universidad y recurren a un subsidio por discapacidad de la Seguridad Social después de haber trabajado años en una fábrica. Entre 2000 y 2013, el número de residentes del condado de Catawba con esos subsidios aumentó 86%, en comparación con un aumento del 61% en Caro</w:t>
      </w:r>
      <w:r>
        <w:rPr>
          <w:rFonts w:ascii="Times New Roman" w:hAnsi="Times New Roman"/>
          <w:sz w:val="24"/>
          <w:szCs w:val="24"/>
        </w:rPr>
        <w:t>lina del Norte y 65% en todo EE</w:t>
      </w:r>
      <w:r w:rsidRPr="006F6055">
        <w:rPr>
          <w:rFonts w:ascii="Times New Roman" w:hAnsi="Times New Roman"/>
          <w:sz w:val="24"/>
          <w:szCs w:val="24"/>
        </w:rPr>
        <w:t>UU.</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Anthony “Tony” Crawford, un tapicero, se lesionó una rodilla y la espalda cuando tropezó con marcos de madera apilados en el piso de una fábrica de muebles en 2009. Durante el auge de la industria, ganaba US$29 por hora y trabajaba horas extras. Hoy de 45 años, ahora vive con una fracción de sus antiguos ingresos. “Gané mi dinero con mis manos”, dice. “Volver a la escuela no era una opción”.</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En años recientes, Hickory ha mostrado algunos signos de recuperación. La tasa de desempleo fue en junio de 5%, ligeramente superior al promedio nacional. Gran parte de la mejoría en la tasa de desempleo de Hickory se debe a la reducción de la fuerza laboral en alrededor de 25.000 puestos de trabajo, o 13%, desde 2001. Esto significa que hay menos gente para contar como desempleados.</w:t>
      </w:r>
    </w:p>
    <w:p w:rsidR="002F07D4" w:rsidRPr="006F6055" w:rsidRDefault="002F07D4" w:rsidP="002F07D4">
      <w:pPr>
        <w:spacing w:line="240" w:lineRule="auto"/>
        <w:jc w:val="both"/>
        <w:rPr>
          <w:rFonts w:ascii="Times New Roman" w:hAnsi="Times New Roman"/>
          <w:sz w:val="24"/>
          <w:szCs w:val="24"/>
        </w:rPr>
      </w:pPr>
      <w:r w:rsidRPr="00FD41BD">
        <w:rPr>
          <w:rFonts w:ascii="Times New Roman" w:hAnsi="Times New Roman"/>
          <w:sz w:val="24"/>
          <w:szCs w:val="24"/>
        </w:rPr>
        <w:t xml:space="preserve">Apple Inc., </w:t>
      </w:r>
      <w:r w:rsidRPr="00FD41BD">
        <w:rPr>
          <w:rFonts w:ascii="Times New Roman" w:hAnsi="Times New Roman" w:cs="Calibri"/>
          <w:sz w:val="24"/>
          <w:szCs w:val="24"/>
        </w:rPr>
        <w:t xml:space="preserve">Google, de Alphabet Inc., y Facebook Inc. </w:t>
      </w:r>
      <w:r w:rsidRPr="006F6055">
        <w:rPr>
          <w:rFonts w:ascii="Times New Roman" w:hAnsi="Times New Roman" w:cs="Calibri"/>
          <w:sz w:val="24"/>
          <w:szCs w:val="24"/>
        </w:rPr>
        <w:t>han e</w:t>
      </w:r>
      <w:r w:rsidRPr="006F6055">
        <w:rPr>
          <w:rFonts w:ascii="Times New Roman" w:hAnsi="Times New Roman"/>
          <w:sz w:val="24"/>
          <w:szCs w:val="24"/>
        </w:rPr>
        <w:t>stablecido centros de datos en un tramo de la autopista nacional 321, antiguamente conocida como Furniture Row (algo así como El camino de los muebles). Pero estas plantas no emplean a mucha gente. Bed,</w:t>
      </w:r>
      <w:r>
        <w:rPr>
          <w:rFonts w:ascii="Times New Roman" w:hAnsi="Times New Roman"/>
          <w:sz w:val="24"/>
          <w:szCs w:val="24"/>
        </w:rPr>
        <w:t xml:space="preserve"> Bath &amp; Beyond Inc. </w:t>
      </w:r>
      <w:r w:rsidRPr="006F6055">
        <w:rPr>
          <w:rFonts w:ascii="Times New Roman" w:hAnsi="Times New Roman" w:cs="Calibri"/>
          <w:sz w:val="24"/>
          <w:szCs w:val="24"/>
        </w:rPr>
        <w:t>tiene un centro de da</w:t>
      </w:r>
      <w:r w:rsidRPr="006F6055">
        <w:rPr>
          <w:rFonts w:ascii="Times New Roman" w:hAnsi="Times New Roman"/>
          <w:sz w:val="24"/>
          <w:szCs w:val="24"/>
        </w:rPr>
        <w:t>tos de 4.500 metros cuadrados con 10 trabajadores.</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Frente a la escasez de mano de obra especializada, Bernhardt hace publicidad en los cines pidiendo tapiceros y ofrece bonos de US$1.000 para hacer más atractivo el empleo.</w:t>
      </w:r>
    </w:p>
    <w:p w:rsidR="002F07D4" w:rsidRPr="006F6055" w:rsidRDefault="002F07D4" w:rsidP="002F07D4">
      <w:pPr>
        <w:spacing w:line="240" w:lineRule="auto"/>
        <w:jc w:val="both"/>
        <w:rPr>
          <w:rFonts w:ascii="Times New Roman" w:hAnsi="Times New Roman"/>
          <w:sz w:val="24"/>
          <w:szCs w:val="24"/>
        </w:rPr>
      </w:pPr>
      <w:r w:rsidRPr="00EB3554">
        <w:rPr>
          <w:rFonts w:ascii="Times New Roman" w:hAnsi="Times New Roman"/>
          <w:color w:val="FF0000"/>
          <w:sz w:val="24"/>
          <w:szCs w:val="24"/>
          <w:u w:val="single"/>
        </w:rPr>
        <w:t>Autor, el economista del MIT, dice que ahora que los salarios en China están en alza y que la producción ha empezado a trasladarse a países de costos más bajos, como Vietnam, lo peor probablemente ya ha pasado.</w:t>
      </w:r>
      <w:r w:rsidRPr="006F6055">
        <w:rPr>
          <w:rFonts w:ascii="Times New Roman" w:hAnsi="Times New Roman"/>
          <w:sz w:val="24"/>
          <w:szCs w:val="24"/>
        </w:rPr>
        <w:t xml:space="preserve"> Pero esto es poco consuelo para las víctimas de la industria de los muebles de Hickory. Pocos de ellos podrán recuperar el terreno económico que perdieron.</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t>“Todo lo que oíamos era China, China, China”, dice Lonnie Joiner, ex jefe de Shoun. “Yo culpaba a las grandes corporaciones y a su codicia”.</w:t>
      </w:r>
    </w:p>
    <w:p w:rsidR="002F07D4" w:rsidRPr="006F6055" w:rsidRDefault="002F07D4" w:rsidP="002F07D4">
      <w:pPr>
        <w:spacing w:line="240" w:lineRule="auto"/>
        <w:jc w:val="both"/>
        <w:rPr>
          <w:rFonts w:ascii="Times New Roman" w:hAnsi="Times New Roman"/>
          <w:sz w:val="24"/>
          <w:szCs w:val="24"/>
        </w:rPr>
      </w:pPr>
      <w:r w:rsidRPr="006F6055">
        <w:rPr>
          <w:rFonts w:ascii="Times New Roman" w:hAnsi="Times New Roman"/>
          <w:sz w:val="24"/>
          <w:szCs w:val="24"/>
        </w:rPr>
        <w:lastRenderedPageBreak/>
        <w:t>Joiner dice que apoya a Trump, quien ganó su simpatía con “honestidad cruda y descaro” y con sus duras palabras sobre el comercio internacional.</w:t>
      </w:r>
    </w:p>
    <w:p w:rsidR="002F07D4" w:rsidRPr="00FB03EC"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 </w:t>
      </w:r>
      <w:r w:rsidRPr="00FB03EC">
        <w:rPr>
          <w:rFonts w:ascii="Times New Roman" w:hAnsi="Times New Roman"/>
          <w:sz w:val="24"/>
          <w:szCs w:val="24"/>
          <w:u w:val="single"/>
        </w:rPr>
        <w:t>EEUU, ¿cada vez más de izquierdas?</w:t>
      </w:r>
      <w:r>
        <w:rPr>
          <w:rFonts w:ascii="Times New Roman" w:hAnsi="Times New Roman"/>
          <w:sz w:val="24"/>
          <w:szCs w:val="24"/>
        </w:rPr>
        <w:t xml:space="preserve"> (Libertad Digital - </w:t>
      </w:r>
      <w:r w:rsidRPr="003F000C">
        <w:rPr>
          <w:rFonts w:ascii="Times New Roman" w:hAnsi="Times New Roman"/>
          <w:b/>
          <w:sz w:val="24"/>
          <w:szCs w:val="24"/>
        </w:rPr>
        <w:t>3/9/16</w:t>
      </w:r>
      <w:r>
        <w:rPr>
          <w:rFonts w:ascii="Times New Roman" w:hAnsi="Times New Roman"/>
          <w:sz w:val="24"/>
          <w:szCs w:val="24"/>
        </w:rPr>
        <w:t>)</w:t>
      </w:r>
      <w:r w:rsidR="000C4836">
        <w:rPr>
          <w:rFonts w:ascii="Times New Roman" w:hAnsi="Times New Roman"/>
          <w:sz w:val="24"/>
          <w:szCs w:val="24"/>
        </w:rPr>
        <w:t xml:space="preserve"> Lectura recomendada</w:t>
      </w:r>
    </w:p>
    <w:p w:rsidR="002F07D4" w:rsidRPr="004248F1" w:rsidRDefault="002F07D4" w:rsidP="002F07D4">
      <w:pPr>
        <w:spacing w:line="240" w:lineRule="auto"/>
        <w:jc w:val="both"/>
        <w:rPr>
          <w:rFonts w:ascii="Times New Roman" w:hAnsi="Times New Roman"/>
          <w:color w:val="FF0000"/>
          <w:sz w:val="24"/>
          <w:szCs w:val="24"/>
        </w:rPr>
      </w:pPr>
      <w:r w:rsidRPr="004248F1">
        <w:rPr>
          <w:rFonts w:ascii="Times New Roman" w:hAnsi="Times New Roman"/>
          <w:color w:val="FF0000"/>
          <w:sz w:val="24"/>
          <w:szCs w:val="24"/>
        </w:rPr>
        <w:t>Según una encuesta, que ha realizado la Universidad de Harvard entre personas de 18 a 29 años, el 51% de los jóvenes se opone al capitalismo.</w:t>
      </w:r>
    </w:p>
    <w:p w:rsidR="002F07D4" w:rsidRDefault="002F07D4" w:rsidP="002F07D4">
      <w:pPr>
        <w:spacing w:line="240" w:lineRule="auto"/>
        <w:jc w:val="both"/>
        <w:rPr>
          <w:rFonts w:ascii="Times New Roman" w:hAnsi="Times New Roman"/>
          <w:sz w:val="24"/>
          <w:szCs w:val="24"/>
        </w:rPr>
      </w:pPr>
      <w:r>
        <w:rPr>
          <w:rFonts w:ascii="Times New Roman" w:hAnsi="Times New Roman"/>
          <w:sz w:val="24"/>
          <w:szCs w:val="24"/>
        </w:rPr>
        <w:t xml:space="preserve">(Por </w:t>
      </w:r>
      <w:r w:rsidRPr="00FB03EC">
        <w:rPr>
          <w:rFonts w:ascii="Times New Roman" w:hAnsi="Times New Roman"/>
          <w:sz w:val="24"/>
          <w:szCs w:val="24"/>
        </w:rPr>
        <w:t>Diego Sánchez de la Cruz</w:t>
      </w:r>
      <w:r>
        <w:rPr>
          <w:rFonts w:ascii="Times New Roman" w:hAnsi="Times New Roman"/>
          <w:sz w:val="24"/>
          <w:szCs w:val="24"/>
        </w:rPr>
        <w:t xml:space="preserve">) </w:t>
      </w:r>
    </w:p>
    <w:p w:rsidR="002F07D4" w:rsidRPr="004248F1" w:rsidRDefault="002F07D4" w:rsidP="002F07D4">
      <w:pPr>
        <w:spacing w:line="240" w:lineRule="auto"/>
        <w:jc w:val="both"/>
        <w:rPr>
          <w:rFonts w:ascii="Times New Roman" w:hAnsi="Times New Roman"/>
          <w:sz w:val="24"/>
          <w:szCs w:val="24"/>
          <w:u w:val="single"/>
        </w:rPr>
      </w:pPr>
      <w:r w:rsidRPr="004248F1">
        <w:rPr>
          <w:rFonts w:ascii="Times New Roman" w:hAnsi="Times New Roman"/>
          <w:sz w:val="24"/>
          <w:szCs w:val="24"/>
          <w:u w:val="single"/>
        </w:rPr>
        <w:t>Alarmantes conclusiones las que se deducen de la última edición de la encu</w:t>
      </w:r>
      <w:r>
        <w:rPr>
          <w:rFonts w:ascii="Times New Roman" w:hAnsi="Times New Roman"/>
          <w:sz w:val="24"/>
          <w:szCs w:val="24"/>
          <w:u w:val="single"/>
        </w:rPr>
        <w:t>esta Portrait of America. Este “retrato”</w:t>
      </w:r>
      <w:r w:rsidRPr="004248F1">
        <w:rPr>
          <w:rFonts w:ascii="Times New Roman" w:hAnsi="Times New Roman"/>
          <w:sz w:val="24"/>
          <w:szCs w:val="24"/>
          <w:u w:val="single"/>
        </w:rPr>
        <w:t xml:space="preserve"> estadístico, elaborado por la agencia YouGov, pretende reflejar el sentir de los estadounidenses sobre el rumbo que debe seguir el modelo socioeconómico de su país.</w:t>
      </w:r>
    </w:p>
    <w:p w:rsidR="002F07D4" w:rsidRPr="004248F1" w:rsidRDefault="002F07D4" w:rsidP="002F07D4">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El auge político de figuras como Donald Trump o Bernie Sanders, sumado a los ocho años de gobierno de Barack Obama y a la predecible victoria de Hillary Clinton en las presidenciales de noviembre, apuntan hacia un claro desplazamiento del tablero político hacia postulados más izquierdistas. Esto viene reforzado por las conclusiones de la encuesta de YouGov.</w:t>
      </w:r>
    </w:p>
    <w:p w:rsidR="002F07D4" w:rsidRPr="00FB03EC" w:rsidRDefault="002F07D4" w:rsidP="002F07D4">
      <w:pPr>
        <w:spacing w:line="240" w:lineRule="auto"/>
        <w:jc w:val="both"/>
        <w:rPr>
          <w:rFonts w:ascii="Times New Roman" w:hAnsi="Times New Roman"/>
          <w:sz w:val="24"/>
          <w:szCs w:val="24"/>
        </w:rPr>
      </w:pPr>
      <w:r w:rsidRPr="004248F1">
        <w:rPr>
          <w:rFonts w:ascii="Times New Roman" w:hAnsi="Times New Roman"/>
          <w:color w:val="FF0000"/>
          <w:sz w:val="24"/>
          <w:szCs w:val="24"/>
          <w:u w:val="single"/>
        </w:rPr>
        <w:t>De entrada, un 56% de los estadounidenses cree que los acuerdos de libre comercio no han sido buenos para la prosperidad de su país, frente a un 23% que defiende lo contrario.</w:t>
      </w:r>
      <w:r w:rsidRPr="00FB03EC">
        <w:rPr>
          <w:rFonts w:ascii="Times New Roman" w:hAnsi="Times New Roman"/>
          <w:sz w:val="24"/>
          <w:szCs w:val="24"/>
        </w:rPr>
        <w:t xml:space="preserve"> La oposición al libre comercio ha crecido notablemente entre los republicanos, lo que explica el auge de Trump en las filas de la derecha.</w:t>
      </w:r>
    </w:p>
    <w:p w:rsidR="002F07D4" w:rsidRPr="00FB03EC" w:rsidRDefault="002F07D4" w:rsidP="002F07D4">
      <w:pPr>
        <w:spacing w:line="240" w:lineRule="auto"/>
        <w:jc w:val="both"/>
        <w:rPr>
          <w:rFonts w:ascii="Times New Roman" w:hAnsi="Times New Roman"/>
          <w:sz w:val="24"/>
          <w:szCs w:val="24"/>
        </w:rPr>
      </w:pPr>
      <w:r w:rsidRPr="004248F1">
        <w:rPr>
          <w:rFonts w:ascii="Times New Roman" w:hAnsi="Times New Roman"/>
          <w:color w:val="FF0000"/>
          <w:sz w:val="24"/>
          <w:szCs w:val="24"/>
          <w:u w:val="single"/>
        </w:rPr>
        <w:t>En segundo lugar está la visión que tienen los estadounidenses de Wall Street. Un 65% cree que el corazón fina</w:t>
      </w:r>
      <w:r>
        <w:rPr>
          <w:rFonts w:ascii="Times New Roman" w:hAnsi="Times New Roman"/>
          <w:color w:val="FF0000"/>
          <w:sz w:val="24"/>
          <w:szCs w:val="24"/>
          <w:u w:val="single"/>
        </w:rPr>
        <w:t>nciero del país del Tío Sam es “</w:t>
      </w:r>
      <w:r w:rsidRPr="004248F1">
        <w:rPr>
          <w:rFonts w:ascii="Times New Roman" w:hAnsi="Times New Roman"/>
          <w:color w:val="FF0000"/>
          <w:sz w:val="24"/>
          <w:szCs w:val="24"/>
          <w:u w:val="single"/>
        </w:rPr>
        <w:t>un lugar de codicia que pue</w:t>
      </w:r>
      <w:r>
        <w:rPr>
          <w:rFonts w:ascii="Times New Roman" w:hAnsi="Times New Roman"/>
          <w:color w:val="FF0000"/>
          <w:sz w:val="24"/>
          <w:szCs w:val="24"/>
          <w:u w:val="single"/>
        </w:rPr>
        <w:t>de llevarnos a una nueva crisis”</w:t>
      </w:r>
      <w:r w:rsidRPr="004248F1">
        <w:rPr>
          <w:rFonts w:ascii="Times New Roman" w:hAnsi="Times New Roman"/>
          <w:color w:val="FF0000"/>
          <w:sz w:val="24"/>
          <w:szCs w:val="24"/>
          <w:u w:val="single"/>
        </w:rPr>
        <w:t>, mientras que u</w:t>
      </w:r>
      <w:r>
        <w:rPr>
          <w:rFonts w:ascii="Times New Roman" w:hAnsi="Times New Roman"/>
          <w:color w:val="FF0000"/>
          <w:sz w:val="24"/>
          <w:szCs w:val="24"/>
          <w:u w:val="single"/>
        </w:rPr>
        <w:t>n 22% entiende que hablamos de “</w:t>
      </w:r>
      <w:r w:rsidRPr="004248F1">
        <w:rPr>
          <w:rFonts w:ascii="Times New Roman" w:hAnsi="Times New Roman"/>
          <w:color w:val="FF0000"/>
          <w:sz w:val="24"/>
          <w:szCs w:val="24"/>
          <w:u w:val="single"/>
        </w:rPr>
        <w:t>un sector importante en el que los comportamien</w:t>
      </w:r>
      <w:r>
        <w:rPr>
          <w:rFonts w:ascii="Times New Roman" w:hAnsi="Times New Roman"/>
          <w:color w:val="FF0000"/>
          <w:sz w:val="24"/>
          <w:szCs w:val="24"/>
          <w:u w:val="single"/>
        </w:rPr>
        <w:t>tos deshonestos no son la norma”</w:t>
      </w:r>
      <w:r w:rsidRPr="004248F1">
        <w:rPr>
          <w:rFonts w:ascii="Times New Roman" w:hAnsi="Times New Roman"/>
          <w:color w:val="FF0000"/>
          <w:sz w:val="24"/>
          <w:szCs w:val="24"/>
          <w:u w:val="single"/>
        </w:rPr>
        <w:t>.</w:t>
      </w:r>
      <w:r w:rsidRPr="00FB03EC">
        <w:rPr>
          <w:rFonts w:ascii="Times New Roman" w:hAnsi="Times New Roman"/>
          <w:sz w:val="24"/>
          <w:szCs w:val="24"/>
        </w:rPr>
        <w:t>Trump también está apoyándose en el recelo de los estadounidenses hacia Wall Street, subrayando las conexiones de su rival Hillary Clinton con este sector de la economía.</w:t>
      </w:r>
    </w:p>
    <w:p w:rsidR="002F07D4" w:rsidRPr="004248F1" w:rsidRDefault="002F07D4" w:rsidP="002F07D4">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Otro punto relevante es el que mide la tensión entre liberalizar o intervenir: un 61% quiere más gasto público frente al 44% que pide menos; un 41% quiere que las rentas altas paguen más impuestos frente al 15% que se opone; un 46% aboga por imponer aranceles más altos incluso a África en comparación con el 14% que defiende lo contrario.</w:t>
      </w:r>
    </w:p>
    <w:p w:rsidR="002F07D4" w:rsidRPr="004248F1" w:rsidRDefault="002F07D4" w:rsidP="002F07D4">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De hecho, en la pregunta de respuesta múltiple que mide las principales prioridades de los estadounidenses, ninguna de las opciones se acerca al fuerte nivel de respaldo que recibe la propuesta de mantener intacto el gasto público en sanidad. Un 65% está a favor de esta opción.</w:t>
      </w:r>
    </w:p>
    <w:p w:rsidR="002F07D4" w:rsidRPr="004248F1" w:rsidRDefault="002F07D4" w:rsidP="002F07D4">
      <w:pPr>
        <w:spacing w:line="240" w:lineRule="auto"/>
        <w:jc w:val="both"/>
        <w:rPr>
          <w:rFonts w:ascii="Times New Roman" w:hAnsi="Times New Roman"/>
          <w:sz w:val="24"/>
          <w:szCs w:val="24"/>
          <w:u w:val="single"/>
        </w:rPr>
      </w:pPr>
      <w:r w:rsidRPr="004248F1">
        <w:rPr>
          <w:rFonts w:ascii="Times New Roman" w:hAnsi="Times New Roman"/>
          <w:sz w:val="24"/>
          <w:szCs w:val="24"/>
          <w:u w:val="single"/>
        </w:rPr>
        <w:t>Incluso en el recuerdo de los mejores ex mandatarios, los demócratas obtienen el 54% de las respuestas mientras que los ex presidentes republicanos suman doce puntos porcentuales menos. Eso sí, Ronald Reagan se coloca como el mejor recordado con un abrumador 40%.</w:t>
      </w:r>
    </w:p>
    <w:p w:rsidR="002F07D4" w:rsidRPr="00FB03EC" w:rsidRDefault="002F07D4" w:rsidP="002F07D4">
      <w:pPr>
        <w:spacing w:line="240" w:lineRule="auto"/>
        <w:jc w:val="both"/>
        <w:rPr>
          <w:rFonts w:ascii="Times New Roman" w:hAnsi="Times New Roman"/>
          <w:sz w:val="24"/>
          <w:szCs w:val="24"/>
        </w:rPr>
      </w:pPr>
      <w:r w:rsidRPr="00FB03EC">
        <w:rPr>
          <w:rFonts w:ascii="Times New Roman" w:hAnsi="Times New Roman"/>
          <w:sz w:val="24"/>
          <w:szCs w:val="24"/>
        </w:rPr>
        <w:t>Sube como la espuma el anticapitalismo</w:t>
      </w:r>
    </w:p>
    <w:p w:rsidR="002F07D4" w:rsidRPr="004248F1" w:rsidRDefault="002F07D4" w:rsidP="002F07D4">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 xml:space="preserve">El auge de Bernie Sanders entre los jóvenes alimenta la tesis de un progresivo giro anticapitalista entre los estadounidenses. De hecho, según una encuesta que ha realizado la Universidad de Harvard entre personas de 18 a 29 años, el 51% de los jóvenes se </w:t>
      </w:r>
      <w:r w:rsidRPr="004248F1">
        <w:rPr>
          <w:rFonts w:ascii="Times New Roman" w:hAnsi="Times New Roman"/>
          <w:color w:val="FF0000"/>
          <w:sz w:val="24"/>
          <w:szCs w:val="24"/>
          <w:u w:val="single"/>
        </w:rPr>
        <w:lastRenderedPageBreak/>
        <w:t>opone al capitalismo frente al 42% que cree que es el mejor sistema. De hecho, un 33% de los sondeados habla abiertamente del socialismo como una alternativa superior.</w:t>
      </w:r>
    </w:p>
    <w:p w:rsidR="002F07D4" w:rsidRPr="004248F1" w:rsidRDefault="002F07D4" w:rsidP="002F07D4">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Incluso entre capas más maduras de la sociedad se reproducen también estas ideas. Harvard, también ha pulsado la opinión de los mayores de 30 años y ha encontrado que, para las franjas de edad que van de 30 a 50 años, el rechazo al capitalismo también es mayoritario.</w:t>
      </w:r>
    </w:p>
    <w:p w:rsidR="002F07D4" w:rsidRDefault="002F07D4" w:rsidP="002F07D4">
      <w:pPr>
        <w:spacing w:line="240" w:lineRule="auto"/>
        <w:jc w:val="both"/>
        <w:rPr>
          <w:rFonts w:ascii="Times New Roman" w:hAnsi="Times New Roman"/>
          <w:sz w:val="24"/>
          <w:szCs w:val="24"/>
          <w:u w:val="single"/>
        </w:rPr>
      </w:pPr>
      <w:r w:rsidRPr="004248F1">
        <w:rPr>
          <w:rFonts w:ascii="Times New Roman" w:hAnsi="Times New Roman"/>
          <w:sz w:val="24"/>
          <w:szCs w:val="24"/>
          <w:u w:val="single"/>
        </w:rPr>
        <w:t>John Della Volpe, encargado de estas encuestas, ha señalado que muchas de las críticas al capitalismo nacen del rechazo al mercado, pero que también existe un amplio nivel de descontento</w:t>
      </w:r>
      <w:r>
        <w:rPr>
          <w:rFonts w:ascii="Times New Roman" w:hAnsi="Times New Roman"/>
          <w:sz w:val="24"/>
          <w:szCs w:val="24"/>
          <w:u w:val="single"/>
        </w:rPr>
        <w:t xml:space="preserve"> que se puede ligar al llamado “</w:t>
      </w:r>
      <w:r w:rsidRPr="004248F1">
        <w:rPr>
          <w:rFonts w:ascii="Times New Roman" w:hAnsi="Times New Roman"/>
          <w:sz w:val="24"/>
          <w:szCs w:val="24"/>
          <w:u w:val="single"/>
        </w:rPr>
        <w:t>capitali</w:t>
      </w:r>
      <w:r>
        <w:rPr>
          <w:rFonts w:ascii="Times New Roman" w:hAnsi="Times New Roman"/>
          <w:sz w:val="24"/>
          <w:szCs w:val="24"/>
          <w:u w:val="single"/>
        </w:rPr>
        <w:t>smo de amiguetes”</w:t>
      </w:r>
      <w:r w:rsidRPr="004248F1">
        <w:rPr>
          <w:rFonts w:ascii="Times New Roman" w:hAnsi="Times New Roman"/>
          <w:sz w:val="24"/>
          <w:szCs w:val="24"/>
          <w:u w:val="single"/>
        </w:rPr>
        <w:t>.</w:t>
      </w:r>
    </w:p>
    <w:p w:rsidR="00196C12" w:rsidRDefault="003624B3" w:rsidP="002F07D4">
      <w:pPr>
        <w:spacing w:line="240" w:lineRule="auto"/>
        <w:jc w:val="both"/>
        <w:rPr>
          <w:rFonts w:ascii="Times New Roman" w:hAnsi="Times New Roman"/>
          <w:b/>
          <w:sz w:val="24"/>
          <w:szCs w:val="24"/>
        </w:rPr>
      </w:pPr>
      <w:bookmarkStart w:id="0" w:name="_GoBack"/>
      <w:bookmarkEnd w:id="0"/>
      <w:r w:rsidRPr="00C41607">
        <w:rPr>
          <w:rFonts w:ascii="Times New Roman" w:hAnsi="Times New Roman"/>
          <w:b/>
          <w:color w:val="FF0000"/>
          <w:sz w:val="24"/>
          <w:szCs w:val="24"/>
        </w:rPr>
        <w:t>(</w:t>
      </w:r>
      <w:r w:rsidR="002C503F" w:rsidRPr="00C41607">
        <w:rPr>
          <w:rFonts w:ascii="Times New Roman" w:hAnsi="Times New Roman"/>
          <w:b/>
          <w:color w:val="FF0000"/>
          <w:sz w:val="24"/>
          <w:szCs w:val="24"/>
        </w:rPr>
        <w:t>Septiembre 2016</w:t>
      </w:r>
      <w:r w:rsidRPr="00C41607">
        <w:rPr>
          <w:rFonts w:ascii="Times New Roman" w:hAnsi="Times New Roman"/>
          <w:b/>
          <w:color w:val="FF0000"/>
          <w:sz w:val="24"/>
          <w:szCs w:val="24"/>
        </w:rPr>
        <w:t>)</w:t>
      </w:r>
      <w:r w:rsidR="006D083E">
        <w:rPr>
          <w:rFonts w:ascii="Times New Roman" w:hAnsi="Times New Roman"/>
          <w:b/>
          <w:sz w:val="24"/>
          <w:szCs w:val="24"/>
        </w:rPr>
        <w:t xml:space="preserve"> Cadena de favores (a los </w:t>
      </w:r>
      <w:r w:rsidR="00884027">
        <w:rPr>
          <w:rFonts w:ascii="Times New Roman" w:hAnsi="Times New Roman"/>
          <w:b/>
          <w:sz w:val="24"/>
          <w:szCs w:val="24"/>
        </w:rPr>
        <w:t>“</w:t>
      </w:r>
      <w:r w:rsidR="006D083E">
        <w:rPr>
          <w:rFonts w:ascii="Times New Roman" w:hAnsi="Times New Roman"/>
          <w:b/>
          <w:sz w:val="24"/>
          <w:szCs w:val="24"/>
        </w:rPr>
        <w:t>yonquis</w:t>
      </w:r>
      <w:r w:rsidR="00884027">
        <w:rPr>
          <w:rFonts w:ascii="Times New Roman" w:hAnsi="Times New Roman"/>
          <w:b/>
          <w:sz w:val="24"/>
          <w:szCs w:val="24"/>
        </w:rPr>
        <w:t>”</w:t>
      </w:r>
      <w:r w:rsidR="006D083E">
        <w:rPr>
          <w:rFonts w:ascii="Times New Roman" w:hAnsi="Times New Roman"/>
          <w:b/>
          <w:sz w:val="24"/>
          <w:szCs w:val="24"/>
        </w:rPr>
        <w:t xml:space="preserve"> de dinero)</w:t>
      </w:r>
    </w:p>
    <w:p w:rsidR="002C503F" w:rsidRDefault="006F543A" w:rsidP="002F07D4">
      <w:pPr>
        <w:spacing w:line="240" w:lineRule="auto"/>
        <w:jc w:val="both"/>
        <w:rPr>
          <w:rFonts w:ascii="Times New Roman" w:hAnsi="Times New Roman"/>
          <w:b/>
          <w:sz w:val="24"/>
          <w:szCs w:val="24"/>
        </w:rPr>
      </w:pPr>
      <w:r>
        <w:rPr>
          <w:rFonts w:ascii="Times New Roman" w:hAnsi="Times New Roman"/>
          <w:b/>
          <w:sz w:val="24"/>
          <w:szCs w:val="24"/>
        </w:rPr>
        <w:t>Banqueros ladrones (embusteros y falsificadores</w:t>
      </w:r>
      <w:r w:rsidR="0090226E">
        <w:rPr>
          <w:rFonts w:ascii="Times New Roman" w:hAnsi="Times New Roman"/>
          <w:b/>
          <w:sz w:val="24"/>
          <w:szCs w:val="24"/>
        </w:rPr>
        <w:t>, de imaginación prodigiosa</w:t>
      </w:r>
      <w:r>
        <w:rPr>
          <w:rFonts w:ascii="Times New Roman" w:hAnsi="Times New Roman"/>
          <w:b/>
          <w:sz w:val="24"/>
          <w:szCs w:val="24"/>
        </w:rPr>
        <w:t xml:space="preserve">): dejen alguna “cagada” para que puedan hacerla las futuras generaciones. </w:t>
      </w:r>
    </w:p>
    <w:p w:rsidR="001556A2" w:rsidRDefault="00321FC0" w:rsidP="002F07D4">
      <w:pPr>
        <w:spacing w:line="240" w:lineRule="auto"/>
        <w:jc w:val="both"/>
        <w:rPr>
          <w:rFonts w:ascii="Times New Roman" w:hAnsi="Times New Roman"/>
          <w:b/>
          <w:sz w:val="24"/>
          <w:szCs w:val="24"/>
        </w:rPr>
      </w:pPr>
      <w:r>
        <w:rPr>
          <w:rFonts w:ascii="Times New Roman" w:hAnsi="Times New Roman"/>
          <w:b/>
          <w:sz w:val="24"/>
          <w:szCs w:val="24"/>
        </w:rPr>
        <w:t>Fatuos</w:t>
      </w:r>
      <w:r w:rsidR="00303E2C">
        <w:rPr>
          <w:rFonts w:ascii="Times New Roman" w:hAnsi="Times New Roman"/>
          <w:b/>
          <w:sz w:val="24"/>
          <w:szCs w:val="24"/>
        </w:rPr>
        <w:t xml:space="preserve"> líderes político</w:t>
      </w:r>
      <w:r w:rsidR="001556A2">
        <w:rPr>
          <w:rFonts w:ascii="Times New Roman" w:hAnsi="Times New Roman"/>
          <w:b/>
          <w:sz w:val="24"/>
          <w:szCs w:val="24"/>
        </w:rPr>
        <w:t>s, siervos voluntarios que sienten que no sienten, olvidan su memoria, cierran su mente a todo otro pensamiento</w:t>
      </w:r>
      <w:r w:rsidR="006E1D56">
        <w:rPr>
          <w:rFonts w:ascii="Times New Roman" w:hAnsi="Times New Roman"/>
          <w:b/>
          <w:sz w:val="24"/>
          <w:szCs w:val="24"/>
        </w:rPr>
        <w:t>,</w:t>
      </w:r>
      <w:r w:rsidR="001556A2">
        <w:rPr>
          <w:rFonts w:ascii="Times New Roman" w:hAnsi="Times New Roman"/>
          <w:b/>
          <w:sz w:val="24"/>
          <w:szCs w:val="24"/>
        </w:rPr>
        <w:t xml:space="preserve"> obstinados sin indulgencia, de donde el oficio se torna vicio.</w:t>
      </w:r>
    </w:p>
    <w:p w:rsidR="001556A2" w:rsidRDefault="001556A2" w:rsidP="002F07D4">
      <w:pPr>
        <w:spacing w:line="240" w:lineRule="auto"/>
        <w:jc w:val="both"/>
        <w:rPr>
          <w:rFonts w:ascii="Times New Roman" w:hAnsi="Times New Roman"/>
          <w:b/>
          <w:sz w:val="24"/>
          <w:szCs w:val="24"/>
        </w:rPr>
      </w:pPr>
      <w:r>
        <w:rPr>
          <w:rFonts w:ascii="Times New Roman" w:hAnsi="Times New Roman"/>
          <w:b/>
          <w:sz w:val="24"/>
          <w:szCs w:val="24"/>
        </w:rPr>
        <w:t xml:space="preserve">Fauna perversa, corrompidos, corruptores, truhanes, embusteros, falsarios, </w:t>
      </w:r>
      <w:r w:rsidR="003D690B">
        <w:rPr>
          <w:rFonts w:ascii="Times New Roman" w:hAnsi="Times New Roman"/>
          <w:b/>
          <w:sz w:val="24"/>
          <w:szCs w:val="24"/>
        </w:rPr>
        <w:t>mal entretenidos</w:t>
      </w:r>
      <w:r>
        <w:rPr>
          <w:rFonts w:ascii="Times New Roman" w:hAnsi="Times New Roman"/>
          <w:b/>
          <w:sz w:val="24"/>
          <w:szCs w:val="24"/>
        </w:rPr>
        <w:t>, rufianes…</w:t>
      </w:r>
      <w:r w:rsidR="006E1D56">
        <w:rPr>
          <w:rFonts w:ascii="Times New Roman" w:hAnsi="Times New Roman"/>
          <w:b/>
          <w:sz w:val="24"/>
          <w:szCs w:val="24"/>
        </w:rPr>
        <w:t xml:space="preserve"> grávidos de cosas, materializan</w:t>
      </w:r>
      <w:r w:rsidR="006D083E">
        <w:rPr>
          <w:rFonts w:ascii="Times New Roman" w:hAnsi="Times New Roman"/>
          <w:b/>
          <w:sz w:val="24"/>
          <w:szCs w:val="24"/>
        </w:rPr>
        <w:t xml:space="preserve"> hasta</w:t>
      </w:r>
      <w:r w:rsidR="006E1D56">
        <w:rPr>
          <w:rFonts w:ascii="Times New Roman" w:hAnsi="Times New Roman"/>
          <w:b/>
          <w:sz w:val="24"/>
          <w:szCs w:val="24"/>
        </w:rPr>
        <w:t xml:space="preserve"> el agujero del cero…  </w:t>
      </w:r>
      <w:r w:rsidR="00D03842">
        <w:rPr>
          <w:rFonts w:ascii="Times New Roman" w:hAnsi="Times New Roman"/>
          <w:b/>
          <w:sz w:val="24"/>
          <w:szCs w:val="24"/>
        </w:rPr>
        <w:t>Imprimen</w:t>
      </w:r>
      <w:r w:rsidR="00C83F29">
        <w:rPr>
          <w:rFonts w:ascii="Times New Roman" w:hAnsi="Times New Roman"/>
          <w:b/>
          <w:sz w:val="24"/>
          <w:szCs w:val="24"/>
        </w:rPr>
        <w:t xml:space="preserve"> dinero de la nada. </w:t>
      </w:r>
      <w:r w:rsidR="006E1D56">
        <w:rPr>
          <w:rFonts w:ascii="Times New Roman" w:hAnsi="Times New Roman"/>
          <w:b/>
          <w:sz w:val="24"/>
          <w:szCs w:val="24"/>
        </w:rPr>
        <w:t>N</w:t>
      </w:r>
      <w:r>
        <w:rPr>
          <w:rFonts w:ascii="Times New Roman" w:hAnsi="Times New Roman"/>
          <w:b/>
          <w:sz w:val="24"/>
          <w:szCs w:val="24"/>
        </w:rPr>
        <w:t>i los romanos en la época de su decadencia.</w:t>
      </w:r>
    </w:p>
    <w:p w:rsidR="00196C12" w:rsidRDefault="00196C12" w:rsidP="002F07D4">
      <w:pPr>
        <w:spacing w:line="240" w:lineRule="auto"/>
        <w:jc w:val="both"/>
        <w:rPr>
          <w:rFonts w:ascii="Times New Roman" w:hAnsi="Times New Roman"/>
          <w:b/>
          <w:sz w:val="24"/>
          <w:szCs w:val="24"/>
        </w:rPr>
      </w:pPr>
      <w:r>
        <w:rPr>
          <w:rFonts w:ascii="Times New Roman" w:hAnsi="Times New Roman"/>
          <w:b/>
          <w:sz w:val="24"/>
          <w:szCs w:val="24"/>
        </w:rPr>
        <w:t>Mi gran duda (eterna): ¿será que definitivamente han perdido el sentido de la realidad o, ta</w:t>
      </w:r>
      <w:r w:rsidR="000F5946">
        <w:rPr>
          <w:rFonts w:ascii="Times New Roman" w:hAnsi="Times New Roman"/>
          <w:b/>
          <w:sz w:val="24"/>
          <w:szCs w:val="24"/>
        </w:rPr>
        <w:t xml:space="preserve">l vez, simplemente la decencia? </w:t>
      </w:r>
      <w:r>
        <w:rPr>
          <w:rFonts w:ascii="Times New Roman" w:hAnsi="Times New Roman"/>
          <w:b/>
          <w:sz w:val="24"/>
          <w:szCs w:val="24"/>
        </w:rPr>
        <w:t>Lo más triste (lamentable) es que los banqueros y los políticos nos han robado el futuro, y no les pasa nada.</w:t>
      </w:r>
    </w:p>
    <w:p w:rsidR="006D083E" w:rsidRDefault="00196C12" w:rsidP="002F07D4">
      <w:pPr>
        <w:spacing w:line="240" w:lineRule="auto"/>
        <w:jc w:val="both"/>
        <w:rPr>
          <w:rFonts w:ascii="Times New Roman" w:hAnsi="Times New Roman"/>
          <w:b/>
          <w:sz w:val="24"/>
          <w:szCs w:val="24"/>
        </w:rPr>
      </w:pPr>
      <w:r>
        <w:rPr>
          <w:rFonts w:ascii="Times New Roman" w:hAnsi="Times New Roman"/>
          <w:b/>
          <w:sz w:val="24"/>
          <w:szCs w:val="24"/>
        </w:rPr>
        <w:t>A esta altura del “</w:t>
      </w:r>
      <w:r w:rsidR="005D439A">
        <w:rPr>
          <w:rFonts w:ascii="Times New Roman" w:hAnsi="Times New Roman"/>
          <w:b/>
          <w:sz w:val="24"/>
          <w:szCs w:val="24"/>
        </w:rPr>
        <w:t>espectáculo</w:t>
      </w:r>
      <w:r>
        <w:rPr>
          <w:rFonts w:ascii="Times New Roman" w:hAnsi="Times New Roman"/>
          <w:b/>
          <w:sz w:val="24"/>
          <w:szCs w:val="24"/>
        </w:rPr>
        <w:t xml:space="preserve">”: ¿queda alguien </w:t>
      </w:r>
      <w:r w:rsidR="00814F21">
        <w:rPr>
          <w:rFonts w:ascii="Times New Roman" w:hAnsi="Times New Roman"/>
          <w:b/>
          <w:sz w:val="24"/>
          <w:szCs w:val="24"/>
        </w:rPr>
        <w:t>dispuesto a justificar todo lo “actuado”</w:t>
      </w:r>
      <w:r>
        <w:rPr>
          <w:rFonts w:ascii="Times New Roman" w:hAnsi="Times New Roman"/>
          <w:b/>
          <w:sz w:val="24"/>
          <w:szCs w:val="24"/>
        </w:rPr>
        <w:t xml:space="preserve"> desde la excusa falaz</w:t>
      </w:r>
      <w:r w:rsidR="00814F21">
        <w:rPr>
          <w:rFonts w:ascii="Times New Roman" w:hAnsi="Times New Roman"/>
          <w:b/>
          <w:sz w:val="24"/>
          <w:szCs w:val="24"/>
        </w:rPr>
        <w:t xml:space="preserve"> de “hubiera sido peor”?</w:t>
      </w:r>
      <w:r w:rsidR="00C83F29">
        <w:rPr>
          <w:rFonts w:ascii="Times New Roman" w:hAnsi="Times New Roman"/>
          <w:b/>
          <w:sz w:val="24"/>
          <w:szCs w:val="24"/>
        </w:rPr>
        <w:t xml:space="preserve"> Peor qué: ¿crecimiento? ¿empleo? ¿ingresos? ¿sanidad? ¿educación?...</w:t>
      </w:r>
      <w:r w:rsidR="006D083E">
        <w:rPr>
          <w:rFonts w:ascii="Times New Roman" w:hAnsi="Times New Roman"/>
          <w:b/>
          <w:sz w:val="24"/>
          <w:szCs w:val="24"/>
        </w:rPr>
        <w:t>La idiotez no tiene límites, sobre todo cuando anda a trompicones por los angostos corredores de la mente humana.</w:t>
      </w:r>
    </w:p>
    <w:p w:rsidR="006E1D56" w:rsidRDefault="006E1D56" w:rsidP="002F07D4">
      <w:pPr>
        <w:spacing w:line="240" w:lineRule="auto"/>
        <w:jc w:val="both"/>
        <w:rPr>
          <w:rFonts w:ascii="Times New Roman" w:hAnsi="Times New Roman"/>
          <w:b/>
          <w:sz w:val="24"/>
          <w:szCs w:val="24"/>
        </w:rPr>
      </w:pPr>
      <w:r>
        <w:rPr>
          <w:rFonts w:ascii="Times New Roman" w:hAnsi="Times New Roman"/>
          <w:b/>
          <w:sz w:val="24"/>
          <w:szCs w:val="24"/>
        </w:rPr>
        <w:t>La naturaleza no da esclavos: el hombre corruptor de la naturaleza es quien los produce.</w:t>
      </w:r>
      <w:r w:rsidR="003D690B">
        <w:rPr>
          <w:rFonts w:ascii="Times New Roman" w:hAnsi="Times New Roman"/>
          <w:b/>
          <w:sz w:val="24"/>
          <w:szCs w:val="24"/>
        </w:rPr>
        <w:t xml:space="preserve"> ¿“Fin de la Historia” o desechos de la historia?</w:t>
      </w:r>
      <w:r>
        <w:rPr>
          <w:rFonts w:ascii="Times New Roman" w:hAnsi="Times New Roman"/>
          <w:b/>
          <w:sz w:val="24"/>
          <w:szCs w:val="24"/>
        </w:rPr>
        <w:t>Desaforados, sórdidos, feroces, malignos, no podrán borrar nuestra memoria. En las celdillas de nuestra mente, por fortuna, están guardadas otras voces, otras historias.</w:t>
      </w:r>
    </w:p>
    <w:p w:rsidR="0032575E" w:rsidRDefault="006D083E" w:rsidP="002F07D4">
      <w:pPr>
        <w:spacing w:line="240" w:lineRule="auto"/>
        <w:jc w:val="both"/>
        <w:rPr>
          <w:rFonts w:ascii="Times New Roman" w:hAnsi="Times New Roman"/>
          <w:b/>
          <w:sz w:val="24"/>
          <w:szCs w:val="24"/>
        </w:rPr>
      </w:pPr>
      <w:r>
        <w:rPr>
          <w:rFonts w:ascii="Times New Roman" w:hAnsi="Times New Roman"/>
          <w:b/>
          <w:sz w:val="24"/>
          <w:szCs w:val="24"/>
        </w:rPr>
        <w:t>¿Un laberinto sin salida?</w:t>
      </w:r>
    </w:p>
    <w:p w:rsidR="000F5946" w:rsidRPr="000F5946" w:rsidRDefault="00E130F6" w:rsidP="006D083E">
      <w:pPr>
        <w:pStyle w:val="selectionshareable"/>
        <w:shd w:val="clear" w:color="auto" w:fill="FFFFFF"/>
        <w:spacing w:before="0" w:beforeAutospacing="0" w:after="300" w:afterAutospacing="0"/>
        <w:jc w:val="both"/>
        <w:textAlignment w:val="baseline"/>
      </w:pPr>
      <w:r>
        <w:t>Recordaba</w:t>
      </w:r>
      <w:r w:rsidR="00AD778C">
        <w:t xml:space="preserve"> Ignacio de la Torre sobre</w:t>
      </w:r>
      <w:r w:rsidR="006D083E" w:rsidRPr="000F5946">
        <w:rPr>
          <w:i/>
        </w:rPr>
        <w:t xml:space="preserve"> una escena de la primera versión (en blanco y negro) de la película “Titanic”, </w:t>
      </w:r>
      <w:r w:rsidR="00AD778C">
        <w:rPr>
          <w:i/>
        </w:rPr>
        <w:t xml:space="preserve">en la que </w:t>
      </w:r>
      <w:r w:rsidR="006D083E" w:rsidRPr="000F5946">
        <w:rPr>
          <w:i/>
        </w:rPr>
        <w:t>el ingeniero naval explica cómo el agua había inundado cuatro quintas partes de las bodegas. Afirmaba: “El “Titanic” puede resistir con dos quintas partes inundadas, incluso si me apura con tres quintas partes; sin embargo, con cuatro quintas partes no queda más que el hundimiento”</w:t>
      </w:r>
      <w:r w:rsidR="000F5946" w:rsidRPr="000F5946">
        <w:rPr>
          <w:i/>
        </w:rPr>
        <w:t>…</w:t>
      </w:r>
      <w:r w:rsidR="000F5946">
        <w:t xml:space="preserve"> Q</w:t>
      </w:r>
      <w:r w:rsidR="006D083E" w:rsidRPr="000F5946">
        <w:t>ue un banco central se oriente hacia una política monetaria menos laxa es muy peligroso para el mercado, dadas las irracionales valoraciones alcanzadas. Pero si este proceso ocurre en varios bancos centrales a la vez, entonces las consecuencias son racionalmente aterradoras, ya que corresponderá replantear a la baja el precio de muchos activos, y las implicaciones financieras y económicas pueden ser muy intensas…</w:t>
      </w:r>
      <w:r w:rsidR="000F5946" w:rsidRPr="000F5946">
        <w:rPr>
          <w:b/>
        </w:rPr>
        <w:t>La pregunta reside en los muertos que habrá entre el final del principio y el principio del fin de la mayor burbuja financiera de la historia.</w:t>
      </w:r>
      <w:r w:rsidR="00C501A0">
        <w:rPr>
          <w:b/>
        </w:rPr>
        <w:t xml:space="preserve"> La respuesta, denla</w:t>
      </w:r>
      <w:r w:rsidR="000F5946">
        <w:rPr>
          <w:b/>
        </w:rPr>
        <w:t xml:space="preserve"> ustedes mismos…</w:t>
      </w:r>
    </w:p>
    <w:sectPr w:rsidR="000F5946" w:rsidRPr="000F5946" w:rsidSect="00455939">
      <w:pgSz w:w="11906" w:h="16838"/>
      <w:pgMar w:top="1418" w:right="1701" w:bottom="1418"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TimesNRMTStd-Regular">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246430"/>
    <w:multiLevelType w:val="multilevel"/>
    <w:tmpl w:val="877E5D6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nsid w:val="190E5E57"/>
    <w:multiLevelType w:val="multilevel"/>
    <w:tmpl w:val="0212A9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D2D78B6"/>
    <w:multiLevelType w:val="hybridMultilevel"/>
    <w:tmpl w:val="2C2C23DE"/>
    <w:lvl w:ilvl="0" w:tplc="22407E48">
      <w:start w:val="19"/>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2522457C"/>
    <w:multiLevelType w:val="hybridMultilevel"/>
    <w:tmpl w:val="354884F0"/>
    <w:lvl w:ilvl="0" w:tplc="2C286BA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252F3B06"/>
    <w:multiLevelType w:val="hybridMultilevel"/>
    <w:tmpl w:val="34BEDB0E"/>
    <w:lvl w:ilvl="0" w:tplc="0BAE6B2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2F90580E"/>
    <w:multiLevelType w:val="hybridMultilevel"/>
    <w:tmpl w:val="DADE04C2"/>
    <w:lvl w:ilvl="0" w:tplc="DA9E834E">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398B56EC"/>
    <w:multiLevelType w:val="hybridMultilevel"/>
    <w:tmpl w:val="34B69382"/>
    <w:lvl w:ilvl="0" w:tplc="B142B786">
      <w:start w:val="1744"/>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3B9B5BA8"/>
    <w:multiLevelType w:val="multilevel"/>
    <w:tmpl w:val="2758A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3EE87979"/>
    <w:multiLevelType w:val="hybridMultilevel"/>
    <w:tmpl w:val="43AA5E6E"/>
    <w:lvl w:ilvl="0" w:tplc="D2FA6E34">
      <w:start w:val="1"/>
      <w:numFmt w:val="decimal"/>
      <w:lvlText w:val="%1."/>
      <w:lvlJc w:val="left"/>
      <w:pPr>
        <w:ind w:left="960" w:hanging="360"/>
      </w:pPr>
      <w:rPr>
        <w:rFonts w:hint="default"/>
      </w:rPr>
    </w:lvl>
    <w:lvl w:ilvl="1" w:tplc="0C0A0019" w:tentative="1">
      <w:start w:val="1"/>
      <w:numFmt w:val="lowerLetter"/>
      <w:lvlText w:val="%2."/>
      <w:lvlJc w:val="left"/>
      <w:pPr>
        <w:ind w:left="1680" w:hanging="360"/>
      </w:pPr>
    </w:lvl>
    <w:lvl w:ilvl="2" w:tplc="0C0A001B" w:tentative="1">
      <w:start w:val="1"/>
      <w:numFmt w:val="lowerRoman"/>
      <w:lvlText w:val="%3."/>
      <w:lvlJc w:val="right"/>
      <w:pPr>
        <w:ind w:left="2400" w:hanging="180"/>
      </w:pPr>
    </w:lvl>
    <w:lvl w:ilvl="3" w:tplc="0C0A000F" w:tentative="1">
      <w:start w:val="1"/>
      <w:numFmt w:val="decimal"/>
      <w:lvlText w:val="%4."/>
      <w:lvlJc w:val="left"/>
      <w:pPr>
        <w:ind w:left="3120" w:hanging="360"/>
      </w:pPr>
    </w:lvl>
    <w:lvl w:ilvl="4" w:tplc="0C0A0019" w:tentative="1">
      <w:start w:val="1"/>
      <w:numFmt w:val="lowerLetter"/>
      <w:lvlText w:val="%5."/>
      <w:lvlJc w:val="left"/>
      <w:pPr>
        <w:ind w:left="3840" w:hanging="360"/>
      </w:pPr>
    </w:lvl>
    <w:lvl w:ilvl="5" w:tplc="0C0A001B" w:tentative="1">
      <w:start w:val="1"/>
      <w:numFmt w:val="lowerRoman"/>
      <w:lvlText w:val="%6."/>
      <w:lvlJc w:val="right"/>
      <w:pPr>
        <w:ind w:left="4560" w:hanging="180"/>
      </w:pPr>
    </w:lvl>
    <w:lvl w:ilvl="6" w:tplc="0C0A000F" w:tentative="1">
      <w:start w:val="1"/>
      <w:numFmt w:val="decimal"/>
      <w:lvlText w:val="%7."/>
      <w:lvlJc w:val="left"/>
      <w:pPr>
        <w:ind w:left="5280" w:hanging="360"/>
      </w:pPr>
    </w:lvl>
    <w:lvl w:ilvl="7" w:tplc="0C0A0019" w:tentative="1">
      <w:start w:val="1"/>
      <w:numFmt w:val="lowerLetter"/>
      <w:lvlText w:val="%8."/>
      <w:lvlJc w:val="left"/>
      <w:pPr>
        <w:ind w:left="6000" w:hanging="360"/>
      </w:pPr>
    </w:lvl>
    <w:lvl w:ilvl="8" w:tplc="0C0A001B" w:tentative="1">
      <w:start w:val="1"/>
      <w:numFmt w:val="lowerRoman"/>
      <w:lvlText w:val="%9."/>
      <w:lvlJc w:val="right"/>
      <w:pPr>
        <w:ind w:left="6720" w:hanging="180"/>
      </w:pPr>
    </w:lvl>
  </w:abstractNum>
  <w:abstractNum w:abstractNumId="9">
    <w:nsid w:val="5BA17F2F"/>
    <w:multiLevelType w:val="multilevel"/>
    <w:tmpl w:val="247AE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A126984"/>
    <w:multiLevelType w:val="multilevel"/>
    <w:tmpl w:val="7D1E8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9"/>
  </w:num>
  <w:num w:numId="2">
    <w:abstractNumId w:val="7"/>
  </w:num>
  <w:num w:numId="3">
    <w:abstractNumId w:val="10"/>
  </w:num>
  <w:num w:numId="4">
    <w:abstractNumId w:val="0"/>
  </w:num>
  <w:num w:numId="5">
    <w:abstractNumId w:val="1"/>
  </w:num>
  <w:num w:numId="6">
    <w:abstractNumId w:val="8"/>
  </w:num>
  <w:num w:numId="7">
    <w:abstractNumId w:val="2"/>
  </w:num>
  <w:num w:numId="8">
    <w:abstractNumId w:val="6"/>
  </w:num>
  <w:num w:numId="9">
    <w:abstractNumId w:val="5"/>
  </w:num>
  <w:num w:numId="10">
    <w:abstractNumId w:val="3"/>
  </w:num>
  <w:num w:numId="1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8"/>
  <w:hyphenationZone w:val="425"/>
  <w:characterSpacingControl w:val="doNotCompress"/>
  <w:compat/>
  <w:rsids>
    <w:rsidRoot w:val="00CA6A3A"/>
    <w:rsid w:val="0000638B"/>
    <w:rsid w:val="00075C88"/>
    <w:rsid w:val="00094199"/>
    <w:rsid w:val="000B4467"/>
    <w:rsid w:val="000C185D"/>
    <w:rsid w:val="000C4836"/>
    <w:rsid w:val="000C79B0"/>
    <w:rsid w:val="000D5937"/>
    <w:rsid w:val="000F5946"/>
    <w:rsid w:val="00122697"/>
    <w:rsid w:val="00153623"/>
    <w:rsid w:val="001556A2"/>
    <w:rsid w:val="00182967"/>
    <w:rsid w:val="00193BD2"/>
    <w:rsid w:val="00196C12"/>
    <w:rsid w:val="001971A2"/>
    <w:rsid w:val="001C4DB4"/>
    <w:rsid w:val="002014AD"/>
    <w:rsid w:val="00246AB8"/>
    <w:rsid w:val="00246CE5"/>
    <w:rsid w:val="00257468"/>
    <w:rsid w:val="00264972"/>
    <w:rsid w:val="0027211A"/>
    <w:rsid w:val="0028448A"/>
    <w:rsid w:val="002C503F"/>
    <w:rsid w:val="002D0480"/>
    <w:rsid w:val="002D22ED"/>
    <w:rsid w:val="002F07D4"/>
    <w:rsid w:val="00303E2C"/>
    <w:rsid w:val="00312FBF"/>
    <w:rsid w:val="00321FC0"/>
    <w:rsid w:val="0032575E"/>
    <w:rsid w:val="00332C23"/>
    <w:rsid w:val="003624B3"/>
    <w:rsid w:val="003821FA"/>
    <w:rsid w:val="003D690B"/>
    <w:rsid w:val="003D7A1F"/>
    <w:rsid w:val="003E312E"/>
    <w:rsid w:val="00433D95"/>
    <w:rsid w:val="00455939"/>
    <w:rsid w:val="00456475"/>
    <w:rsid w:val="0046536B"/>
    <w:rsid w:val="004679C4"/>
    <w:rsid w:val="00475B98"/>
    <w:rsid w:val="005337CB"/>
    <w:rsid w:val="00557575"/>
    <w:rsid w:val="0056185F"/>
    <w:rsid w:val="0059399B"/>
    <w:rsid w:val="005A4DA6"/>
    <w:rsid w:val="005A6694"/>
    <w:rsid w:val="005D439A"/>
    <w:rsid w:val="005F0DC2"/>
    <w:rsid w:val="005F2C6F"/>
    <w:rsid w:val="00623AD2"/>
    <w:rsid w:val="00630D74"/>
    <w:rsid w:val="006466B6"/>
    <w:rsid w:val="00655C99"/>
    <w:rsid w:val="006C19F4"/>
    <w:rsid w:val="006D083E"/>
    <w:rsid w:val="006E1B22"/>
    <w:rsid w:val="006E1D56"/>
    <w:rsid w:val="006F543A"/>
    <w:rsid w:val="007C16EA"/>
    <w:rsid w:val="007E1902"/>
    <w:rsid w:val="007F288B"/>
    <w:rsid w:val="007F40A6"/>
    <w:rsid w:val="007F56EB"/>
    <w:rsid w:val="00814F21"/>
    <w:rsid w:val="0088338F"/>
    <w:rsid w:val="00884027"/>
    <w:rsid w:val="008A6AEF"/>
    <w:rsid w:val="008D154E"/>
    <w:rsid w:val="008E379D"/>
    <w:rsid w:val="0090226E"/>
    <w:rsid w:val="0090347C"/>
    <w:rsid w:val="00935561"/>
    <w:rsid w:val="00977509"/>
    <w:rsid w:val="009A6996"/>
    <w:rsid w:val="00A611C0"/>
    <w:rsid w:val="00A82B98"/>
    <w:rsid w:val="00A93470"/>
    <w:rsid w:val="00AC745E"/>
    <w:rsid w:val="00AD0126"/>
    <w:rsid w:val="00AD778C"/>
    <w:rsid w:val="00AE2F49"/>
    <w:rsid w:val="00B23628"/>
    <w:rsid w:val="00B47930"/>
    <w:rsid w:val="00B50437"/>
    <w:rsid w:val="00B5507C"/>
    <w:rsid w:val="00B61805"/>
    <w:rsid w:val="00B73717"/>
    <w:rsid w:val="00BC455A"/>
    <w:rsid w:val="00BE11FC"/>
    <w:rsid w:val="00BE6562"/>
    <w:rsid w:val="00C16842"/>
    <w:rsid w:val="00C173C9"/>
    <w:rsid w:val="00C31EDD"/>
    <w:rsid w:val="00C41607"/>
    <w:rsid w:val="00C501A0"/>
    <w:rsid w:val="00C5164B"/>
    <w:rsid w:val="00C80D8A"/>
    <w:rsid w:val="00C83F29"/>
    <w:rsid w:val="00C85397"/>
    <w:rsid w:val="00CA6A3A"/>
    <w:rsid w:val="00D03842"/>
    <w:rsid w:val="00D06FCF"/>
    <w:rsid w:val="00D50C14"/>
    <w:rsid w:val="00DD64F3"/>
    <w:rsid w:val="00E06B70"/>
    <w:rsid w:val="00E130F6"/>
    <w:rsid w:val="00E25319"/>
    <w:rsid w:val="00E27BFB"/>
    <w:rsid w:val="00E30955"/>
    <w:rsid w:val="00E61FFF"/>
    <w:rsid w:val="00EF79E1"/>
    <w:rsid w:val="00F5326B"/>
    <w:rsid w:val="00F63365"/>
    <w:rsid w:val="00F931BE"/>
    <w:rsid w:val="00FC1EDB"/>
    <w:rsid w:val="00FC4D89"/>
    <w:rsid w:val="00FD69A7"/>
    <w:rsid w:val="00FF0D17"/>
    <w:rsid w:val="00FF49E8"/>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6A3A"/>
  </w:style>
  <w:style w:type="paragraph" w:styleId="Ttulo1">
    <w:name w:val="heading 1"/>
    <w:basedOn w:val="Normal"/>
    <w:next w:val="Normal"/>
    <w:link w:val="Ttulo1Car"/>
    <w:uiPriority w:val="9"/>
    <w:qFormat/>
    <w:rsid w:val="002574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56185F"/>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8D154E"/>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6">
    <w:name w:val="heading 6"/>
    <w:basedOn w:val="Normal"/>
    <w:next w:val="Normal"/>
    <w:link w:val="Ttulo6Car"/>
    <w:uiPriority w:val="9"/>
    <w:semiHidden/>
    <w:unhideWhenUsed/>
    <w:qFormat/>
    <w:rsid w:val="002F07D4"/>
    <w:pPr>
      <w:keepNext/>
      <w:keepLines/>
      <w:spacing w:before="200" w:after="0"/>
      <w:outlineLvl w:val="5"/>
    </w:pPr>
    <w:rPr>
      <w:rFonts w:asciiTheme="majorHAnsi" w:eastAsiaTheme="majorEastAsia" w:hAnsiTheme="majorHAnsi" w:cstheme="majorBidi"/>
      <w:i/>
      <w:iCs/>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CA6A3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CA6A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A6A3A"/>
    <w:rPr>
      <w:rFonts w:ascii="Tahoma" w:hAnsi="Tahoma" w:cs="Tahoma"/>
      <w:sz w:val="16"/>
      <w:szCs w:val="16"/>
    </w:rPr>
  </w:style>
  <w:style w:type="character" w:customStyle="1" w:styleId="apple-converted-space">
    <w:name w:val="apple-converted-space"/>
    <w:basedOn w:val="Fuentedeprrafopredeter"/>
    <w:rsid w:val="00C16842"/>
  </w:style>
  <w:style w:type="character" w:styleId="Textoennegrita">
    <w:name w:val="Strong"/>
    <w:basedOn w:val="Fuentedeprrafopredeter"/>
    <w:uiPriority w:val="22"/>
    <w:qFormat/>
    <w:rsid w:val="00C16842"/>
    <w:rPr>
      <w:b/>
      <w:bCs/>
    </w:rPr>
  </w:style>
  <w:style w:type="character" w:styleId="Hipervnculo">
    <w:name w:val="Hyperlink"/>
    <w:basedOn w:val="Fuentedeprrafopredeter"/>
    <w:uiPriority w:val="99"/>
    <w:unhideWhenUsed/>
    <w:rsid w:val="00655C99"/>
    <w:rPr>
      <w:color w:val="0000FF"/>
      <w:u w:val="single"/>
    </w:rPr>
  </w:style>
  <w:style w:type="character" w:customStyle="1" w:styleId="company-name-type">
    <w:name w:val="company-name-type"/>
    <w:rsid w:val="00655C99"/>
    <w:rPr>
      <w:rFonts w:cs="Times New Roman"/>
    </w:rPr>
  </w:style>
  <w:style w:type="character" w:customStyle="1" w:styleId="Ttulo3Car">
    <w:name w:val="Título 3 Car"/>
    <w:basedOn w:val="Fuentedeprrafopredeter"/>
    <w:link w:val="Ttulo3"/>
    <w:uiPriority w:val="9"/>
    <w:rsid w:val="008D154E"/>
    <w:rPr>
      <w:rFonts w:asciiTheme="majorHAnsi" w:eastAsiaTheme="majorEastAsia" w:hAnsiTheme="majorHAnsi" w:cstheme="majorBidi"/>
      <w:b/>
      <w:bCs/>
      <w:color w:val="4F81BD" w:themeColor="accent1"/>
      <w:lang w:eastAsia="es-ES"/>
    </w:rPr>
  </w:style>
  <w:style w:type="character" w:styleId="nfasis">
    <w:name w:val="Emphasis"/>
    <w:basedOn w:val="Fuentedeprrafopredeter"/>
    <w:uiPriority w:val="20"/>
    <w:qFormat/>
    <w:rsid w:val="008D154E"/>
    <w:rPr>
      <w:i/>
      <w:iCs/>
    </w:rPr>
  </w:style>
  <w:style w:type="paragraph" w:customStyle="1" w:styleId="entradilla">
    <w:name w:val="entradilla"/>
    <w:basedOn w:val="Normal"/>
    <w:rsid w:val="0025746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57468"/>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56185F"/>
    <w:rPr>
      <w:rFonts w:asciiTheme="majorHAnsi" w:eastAsiaTheme="majorEastAsia" w:hAnsiTheme="majorHAnsi" w:cstheme="majorBidi"/>
      <w:b/>
      <w:bCs/>
      <w:color w:val="4F81BD" w:themeColor="accent1"/>
      <w:sz w:val="26"/>
      <w:szCs w:val="26"/>
      <w:lang w:eastAsia="es-ES"/>
    </w:rPr>
  </w:style>
  <w:style w:type="paragraph" w:customStyle="1" w:styleId="selectionshareable">
    <w:name w:val="selectionshareable"/>
    <w:basedOn w:val="Normal"/>
    <w:rsid w:val="0056185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pgrafe1">
    <w:name w:val="Epígrafe1"/>
    <w:basedOn w:val="Normal"/>
    <w:rsid w:val="00BE11F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E3095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dia-captiontext">
    <w:name w:val="media-caption__text"/>
    <w:basedOn w:val="Fuentedeprrafopredeter"/>
    <w:rsid w:val="003821FA"/>
  </w:style>
  <w:style w:type="character" w:customStyle="1" w:styleId="bylinetitle">
    <w:name w:val="byline__title"/>
    <w:basedOn w:val="Fuentedeprrafopredeter"/>
    <w:rsid w:val="003821FA"/>
  </w:style>
  <w:style w:type="paragraph" w:customStyle="1" w:styleId="nssuperimpactfig">
    <w:name w:val="ns_super_impact__fig"/>
    <w:basedOn w:val="Normal"/>
    <w:rsid w:val="003821F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3821FA"/>
  </w:style>
  <w:style w:type="character" w:customStyle="1" w:styleId="Ttulo6Car">
    <w:name w:val="Título 6 Car"/>
    <w:basedOn w:val="Fuentedeprrafopredeter"/>
    <w:link w:val="Ttulo6"/>
    <w:uiPriority w:val="9"/>
    <w:semiHidden/>
    <w:rsid w:val="002F07D4"/>
    <w:rPr>
      <w:rFonts w:asciiTheme="majorHAnsi" w:eastAsiaTheme="majorEastAsia" w:hAnsiTheme="majorHAnsi" w:cstheme="majorBidi"/>
      <w:i/>
      <w:iCs/>
      <w:color w:val="243F60" w:themeColor="accent1" w:themeShade="7F"/>
      <w:lang w:eastAsia="es-ES"/>
    </w:rPr>
  </w:style>
  <w:style w:type="character" w:customStyle="1" w:styleId="name">
    <w:name w:val="name"/>
    <w:basedOn w:val="Fuentedeprrafopredeter"/>
    <w:rsid w:val="002F07D4"/>
  </w:style>
  <w:style w:type="paragraph" w:customStyle="1" w:styleId="Epgrafe2">
    <w:name w:val="Epígrafe2"/>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semiHidden/>
    <w:unhideWhenUsed/>
    <w:rsid w:val="002F07D4"/>
    <w:pPr>
      <w:spacing w:after="0" w:line="240" w:lineRule="auto"/>
    </w:pPr>
    <w:rPr>
      <w:rFonts w:ascii="Times New Roman" w:eastAsia="Times New Roman" w:hAnsi="Times New Roman" w:cs="Times New Roman"/>
      <w:sz w:val="24"/>
      <w:szCs w:val="24"/>
      <w:lang w:eastAsia="es-ES"/>
    </w:rPr>
  </w:style>
  <w:style w:type="character" w:customStyle="1" w:styleId="DireccinHTMLCar">
    <w:name w:val="Dirección HTML Car"/>
    <w:basedOn w:val="Fuentedeprrafopredeter"/>
    <w:link w:val="DireccinHTML"/>
    <w:uiPriority w:val="99"/>
    <w:semiHidden/>
    <w:rsid w:val="002F07D4"/>
    <w:rPr>
      <w:rFonts w:ascii="Times New Roman" w:eastAsia="Times New Roman" w:hAnsi="Times New Roman" w:cs="Times New Roman"/>
      <w:sz w:val="24"/>
      <w:szCs w:val="24"/>
      <w:lang w:eastAsia="es-ES"/>
    </w:rPr>
  </w:style>
  <w:style w:type="paragraph" w:customStyle="1" w:styleId="pre-header">
    <w:name w:val="pre-header"/>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headlinemeta">
    <w:name w:val="headline_meta"/>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2F07D4"/>
    <w:pPr>
      <w:ind w:left="720"/>
      <w:contextualSpacing/>
    </w:pPr>
    <w:rPr>
      <w:rFonts w:ascii="Calibri" w:eastAsia="Calibri" w:hAnsi="Calibri" w:cs="Times New Roman"/>
      <w:lang w:eastAsia="es-ES"/>
    </w:rPr>
  </w:style>
  <w:style w:type="paragraph" w:customStyle="1" w:styleId="subhead">
    <w:name w:val="subhead"/>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yline">
    <w:name w:val="byline"/>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int2">
    <w:name w:val="cint2"/>
    <w:basedOn w:val="Normal"/>
    <w:rsid w:val="002F07D4"/>
    <w:pPr>
      <w:spacing w:before="165" w:after="0" w:line="240" w:lineRule="auto"/>
      <w:ind w:left="120"/>
    </w:pPr>
    <w:rPr>
      <w:rFonts w:ascii="Arial" w:eastAsia="Times New Roman" w:hAnsi="Arial" w:cs="Arial"/>
      <w:b/>
      <w:bCs/>
      <w:sz w:val="17"/>
      <w:szCs w:val="17"/>
      <w:lang w:eastAsia="es-ES"/>
    </w:rPr>
  </w:style>
  <w:style w:type="paragraph" w:customStyle="1" w:styleId="texto4">
    <w:name w:val="texto4"/>
    <w:basedOn w:val="Normal"/>
    <w:rsid w:val="002F07D4"/>
    <w:pPr>
      <w:spacing w:after="0" w:line="315" w:lineRule="atLeast"/>
      <w:ind w:left="120"/>
    </w:pPr>
    <w:rPr>
      <w:rFonts w:ascii="Georgia" w:eastAsia="Times New Roman" w:hAnsi="Georgia" w:cs="Times New Roman"/>
      <w:b/>
      <w:bCs/>
      <w:color w:val="FFFFFF"/>
      <w:sz w:val="30"/>
      <w:szCs w:val="30"/>
      <w:lang w:eastAsia="es-ES"/>
    </w:rPr>
  </w:style>
  <w:style w:type="paragraph" w:customStyle="1" w:styleId="figcaption">
    <w:name w:val="figcaption"/>
    <w:basedOn w:val="Normal"/>
    <w:rsid w:val="002F07D4"/>
    <w:pPr>
      <w:spacing w:after="0" w:line="240" w:lineRule="auto"/>
    </w:pPr>
    <w:rPr>
      <w:rFonts w:ascii="Times New Roman" w:eastAsia="Times New Roman" w:hAnsi="Times New Roman" w:cs="Times New Roman"/>
      <w:sz w:val="24"/>
      <w:szCs w:val="24"/>
      <w:lang w:eastAsia="es-ES"/>
    </w:rPr>
  </w:style>
  <w:style w:type="character" w:customStyle="1" w:styleId="firmafoto2">
    <w:name w:val="firmafoto2"/>
    <w:basedOn w:val="Fuentedeprrafopredeter"/>
    <w:rsid w:val="002F07D4"/>
  </w:style>
  <w:style w:type="paragraph" w:customStyle="1" w:styleId="Default">
    <w:name w:val="Default"/>
    <w:rsid w:val="002F07D4"/>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st1">
    <w:name w:val="st1"/>
    <w:basedOn w:val="Fuentedeprrafopredeter"/>
    <w:rsid w:val="002F07D4"/>
  </w:style>
  <w:style w:type="character" w:customStyle="1" w:styleId="relateditemlabel">
    <w:name w:val="related_item_label"/>
    <w:basedOn w:val="Fuentedeprrafopredeter"/>
    <w:rsid w:val="002F07D4"/>
  </w:style>
  <w:style w:type="character" w:customStyle="1" w:styleId="tickerwrap">
    <w:name w:val="ticker_wrap"/>
    <w:basedOn w:val="Fuentedeprrafopredeter"/>
    <w:rsid w:val="002F07D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6A3A"/>
  </w:style>
  <w:style w:type="paragraph" w:styleId="Ttulo1">
    <w:name w:val="heading 1"/>
    <w:basedOn w:val="Normal"/>
    <w:next w:val="Normal"/>
    <w:link w:val="Ttulo1Car"/>
    <w:uiPriority w:val="9"/>
    <w:qFormat/>
    <w:rsid w:val="002574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56185F"/>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8D154E"/>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6">
    <w:name w:val="heading 6"/>
    <w:basedOn w:val="Normal"/>
    <w:next w:val="Normal"/>
    <w:link w:val="Ttulo6Car"/>
    <w:uiPriority w:val="9"/>
    <w:semiHidden/>
    <w:unhideWhenUsed/>
    <w:qFormat/>
    <w:rsid w:val="002F07D4"/>
    <w:pPr>
      <w:keepNext/>
      <w:keepLines/>
      <w:spacing w:before="200" w:after="0"/>
      <w:outlineLvl w:val="5"/>
    </w:pPr>
    <w:rPr>
      <w:rFonts w:asciiTheme="majorHAnsi" w:eastAsiaTheme="majorEastAsia" w:hAnsiTheme="majorHAnsi" w:cstheme="majorBidi"/>
      <w:i/>
      <w:iCs/>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CA6A3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CA6A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A6A3A"/>
    <w:rPr>
      <w:rFonts w:ascii="Tahoma" w:hAnsi="Tahoma" w:cs="Tahoma"/>
      <w:sz w:val="16"/>
      <w:szCs w:val="16"/>
    </w:rPr>
  </w:style>
  <w:style w:type="character" w:customStyle="1" w:styleId="apple-converted-space">
    <w:name w:val="apple-converted-space"/>
    <w:basedOn w:val="Fuentedeprrafopredeter"/>
    <w:rsid w:val="00C16842"/>
  </w:style>
  <w:style w:type="character" w:styleId="Textoennegrita">
    <w:name w:val="Strong"/>
    <w:basedOn w:val="Fuentedeprrafopredeter"/>
    <w:uiPriority w:val="22"/>
    <w:qFormat/>
    <w:rsid w:val="00C16842"/>
    <w:rPr>
      <w:b/>
      <w:bCs/>
    </w:rPr>
  </w:style>
  <w:style w:type="character" w:styleId="Hipervnculo">
    <w:name w:val="Hyperlink"/>
    <w:basedOn w:val="Fuentedeprrafopredeter"/>
    <w:uiPriority w:val="99"/>
    <w:unhideWhenUsed/>
    <w:rsid w:val="00655C99"/>
    <w:rPr>
      <w:color w:val="0000FF"/>
      <w:u w:val="single"/>
    </w:rPr>
  </w:style>
  <w:style w:type="character" w:customStyle="1" w:styleId="company-name-type">
    <w:name w:val="company-name-type"/>
    <w:rsid w:val="00655C99"/>
    <w:rPr>
      <w:rFonts w:cs="Times New Roman"/>
    </w:rPr>
  </w:style>
  <w:style w:type="character" w:customStyle="1" w:styleId="Ttulo3Car">
    <w:name w:val="Título 3 Car"/>
    <w:basedOn w:val="Fuentedeprrafopredeter"/>
    <w:link w:val="Ttulo3"/>
    <w:uiPriority w:val="9"/>
    <w:rsid w:val="008D154E"/>
    <w:rPr>
      <w:rFonts w:asciiTheme="majorHAnsi" w:eastAsiaTheme="majorEastAsia" w:hAnsiTheme="majorHAnsi" w:cstheme="majorBidi"/>
      <w:b/>
      <w:bCs/>
      <w:color w:val="4F81BD" w:themeColor="accent1"/>
      <w:lang w:eastAsia="es-ES"/>
    </w:rPr>
  </w:style>
  <w:style w:type="character" w:styleId="nfasis">
    <w:name w:val="Emphasis"/>
    <w:basedOn w:val="Fuentedeprrafopredeter"/>
    <w:uiPriority w:val="20"/>
    <w:qFormat/>
    <w:rsid w:val="008D154E"/>
    <w:rPr>
      <w:i/>
      <w:iCs/>
    </w:rPr>
  </w:style>
  <w:style w:type="paragraph" w:customStyle="1" w:styleId="entradilla">
    <w:name w:val="entradilla"/>
    <w:basedOn w:val="Normal"/>
    <w:rsid w:val="0025746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57468"/>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56185F"/>
    <w:rPr>
      <w:rFonts w:asciiTheme="majorHAnsi" w:eastAsiaTheme="majorEastAsia" w:hAnsiTheme="majorHAnsi" w:cstheme="majorBidi"/>
      <w:b/>
      <w:bCs/>
      <w:color w:val="4F81BD" w:themeColor="accent1"/>
      <w:sz w:val="26"/>
      <w:szCs w:val="26"/>
      <w:lang w:eastAsia="es-ES"/>
    </w:rPr>
  </w:style>
  <w:style w:type="paragraph" w:customStyle="1" w:styleId="selectionshareable">
    <w:name w:val="selectionshareable"/>
    <w:basedOn w:val="Normal"/>
    <w:rsid w:val="0056185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pgrafe1">
    <w:name w:val="Epígrafe1"/>
    <w:basedOn w:val="Normal"/>
    <w:rsid w:val="00BE11F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E3095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dia-captiontext">
    <w:name w:val="media-caption__text"/>
    <w:basedOn w:val="Fuentedeprrafopredeter"/>
    <w:rsid w:val="003821FA"/>
  </w:style>
  <w:style w:type="character" w:customStyle="1" w:styleId="bylinetitle">
    <w:name w:val="byline__title"/>
    <w:basedOn w:val="Fuentedeprrafopredeter"/>
    <w:rsid w:val="003821FA"/>
  </w:style>
  <w:style w:type="paragraph" w:customStyle="1" w:styleId="nssuperimpactfig">
    <w:name w:val="ns_super_impact__fig"/>
    <w:basedOn w:val="Normal"/>
    <w:rsid w:val="003821F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3821FA"/>
  </w:style>
  <w:style w:type="character" w:customStyle="1" w:styleId="Ttulo6Car">
    <w:name w:val="Título 6 Car"/>
    <w:basedOn w:val="Fuentedeprrafopredeter"/>
    <w:link w:val="Ttulo6"/>
    <w:uiPriority w:val="9"/>
    <w:semiHidden/>
    <w:rsid w:val="002F07D4"/>
    <w:rPr>
      <w:rFonts w:asciiTheme="majorHAnsi" w:eastAsiaTheme="majorEastAsia" w:hAnsiTheme="majorHAnsi" w:cstheme="majorBidi"/>
      <w:i/>
      <w:iCs/>
      <w:color w:val="243F60" w:themeColor="accent1" w:themeShade="7F"/>
      <w:lang w:eastAsia="es-ES"/>
    </w:rPr>
  </w:style>
  <w:style w:type="character" w:customStyle="1" w:styleId="name">
    <w:name w:val="name"/>
    <w:basedOn w:val="Fuentedeprrafopredeter"/>
    <w:rsid w:val="002F07D4"/>
  </w:style>
  <w:style w:type="paragraph" w:customStyle="1" w:styleId="Epgrafe2">
    <w:name w:val="Epígrafe2"/>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semiHidden/>
    <w:unhideWhenUsed/>
    <w:rsid w:val="002F07D4"/>
    <w:pPr>
      <w:spacing w:after="0" w:line="240" w:lineRule="auto"/>
    </w:pPr>
    <w:rPr>
      <w:rFonts w:ascii="Times New Roman" w:eastAsia="Times New Roman" w:hAnsi="Times New Roman" w:cs="Times New Roman"/>
      <w:sz w:val="24"/>
      <w:szCs w:val="24"/>
      <w:lang w:eastAsia="es-ES"/>
    </w:rPr>
  </w:style>
  <w:style w:type="character" w:customStyle="1" w:styleId="DireccinHTMLCar">
    <w:name w:val="Dirección HTML Car"/>
    <w:basedOn w:val="Fuentedeprrafopredeter"/>
    <w:link w:val="DireccinHTML"/>
    <w:uiPriority w:val="99"/>
    <w:semiHidden/>
    <w:rsid w:val="002F07D4"/>
    <w:rPr>
      <w:rFonts w:ascii="Times New Roman" w:eastAsia="Times New Roman" w:hAnsi="Times New Roman" w:cs="Times New Roman"/>
      <w:sz w:val="24"/>
      <w:szCs w:val="24"/>
      <w:lang w:eastAsia="es-ES"/>
    </w:rPr>
  </w:style>
  <w:style w:type="paragraph" w:customStyle="1" w:styleId="pre-header">
    <w:name w:val="pre-header"/>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headlinemeta">
    <w:name w:val="headline_meta"/>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2F07D4"/>
    <w:pPr>
      <w:ind w:left="720"/>
      <w:contextualSpacing/>
    </w:pPr>
    <w:rPr>
      <w:rFonts w:ascii="Calibri" w:eastAsia="Calibri" w:hAnsi="Calibri" w:cs="Times New Roman"/>
      <w:lang w:eastAsia="es-ES"/>
    </w:rPr>
  </w:style>
  <w:style w:type="paragraph" w:customStyle="1" w:styleId="subhead">
    <w:name w:val="subhead"/>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yline">
    <w:name w:val="byline"/>
    <w:basedOn w:val="Normal"/>
    <w:rsid w:val="002F07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int2">
    <w:name w:val="cint2"/>
    <w:basedOn w:val="Normal"/>
    <w:rsid w:val="002F07D4"/>
    <w:pPr>
      <w:spacing w:before="165" w:after="0" w:line="240" w:lineRule="auto"/>
      <w:ind w:left="120"/>
    </w:pPr>
    <w:rPr>
      <w:rFonts w:ascii="Arial" w:eastAsia="Times New Roman" w:hAnsi="Arial" w:cs="Arial"/>
      <w:b/>
      <w:bCs/>
      <w:sz w:val="17"/>
      <w:szCs w:val="17"/>
      <w:lang w:eastAsia="es-ES"/>
    </w:rPr>
  </w:style>
  <w:style w:type="paragraph" w:customStyle="1" w:styleId="texto4">
    <w:name w:val="texto4"/>
    <w:basedOn w:val="Normal"/>
    <w:rsid w:val="002F07D4"/>
    <w:pPr>
      <w:spacing w:after="0" w:line="315" w:lineRule="atLeast"/>
      <w:ind w:left="120"/>
    </w:pPr>
    <w:rPr>
      <w:rFonts w:ascii="Georgia" w:eastAsia="Times New Roman" w:hAnsi="Georgia" w:cs="Times New Roman"/>
      <w:b/>
      <w:bCs/>
      <w:color w:val="FFFFFF"/>
      <w:sz w:val="30"/>
      <w:szCs w:val="30"/>
      <w:lang w:eastAsia="es-ES"/>
    </w:rPr>
  </w:style>
  <w:style w:type="paragraph" w:customStyle="1" w:styleId="figcaption">
    <w:name w:val="figcaption"/>
    <w:basedOn w:val="Normal"/>
    <w:rsid w:val="002F07D4"/>
    <w:pPr>
      <w:spacing w:after="0" w:line="240" w:lineRule="auto"/>
    </w:pPr>
    <w:rPr>
      <w:rFonts w:ascii="Times New Roman" w:eastAsia="Times New Roman" w:hAnsi="Times New Roman" w:cs="Times New Roman"/>
      <w:sz w:val="24"/>
      <w:szCs w:val="24"/>
      <w:lang w:eastAsia="es-ES"/>
    </w:rPr>
  </w:style>
  <w:style w:type="character" w:customStyle="1" w:styleId="firmafoto2">
    <w:name w:val="firmafoto2"/>
    <w:basedOn w:val="Fuentedeprrafopredeter"/>
    <w:rsid w:val="002F07D4"/>
  </w:style>
  <w:style w:type="paragraph" w:customStyle="1" w:styleId="Default">
    <w:name w:val="Default"/>
    <w:rsid w:val="002F07D4"/>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st1">
    <w:name w:val="st1"/>
    <w:basedOn w:val="Fuentedeprrafopredeter"/>
    <w:rsid w:val="002F07D4"/>
  </w:style>
  <w:style w:type="character" w:customStyle="1" w:styleId="relateditemlabel">
    <w:name w:val="related_item_label"/>
    <w:basedOn w:val="Fuentedeprrafopredeter"/>
    <w:rsid w:val="002F07D4"/>
  </w:style>
  <w:style w:type="character" w:customStyle="1" w:styleId="tickerwrap">
    <w:name w:val="ticker_wrap"/>
    <w:basedOn w:val="Fuentedeprrafopredeter"/>
    <w:rsid w:val="002F07D4"/>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3.jpeg"/><Relationship Id="rId299" Type="http://schemas.openxmlformats.org/officeDocument/2006/relationships/hyperlink" Target="http://topics.wsj.com/person/D/Donald-Trump/159" TargetMode="External"/><Relationship Id="rId303" Type="http://schemas.openxmlformats.org/officeDocument/2006/relationships/hyperlink" Target="https://twitter.com/intent/tweet?url=http://pewrsr.ch/Brexit2016&amp;text=A%20median%20of%2042%25%20across%2010%20EU%20nations%20want%20some%20powers%20returned%20to%20national%20capitals" TargetMode="External"/><Relationship Id="rId21" Type="http://schemas.openxmlformats.org/officeDocument/2006/relationships/image" Target="media/image15.jpeg"/><Relationship Id="rId42" Type="http://schemas.openxmlformats.org/officeDocument/2006/relationships/image" Target="media/image22.jpeg"/><Relationship Id="rId63" Type="http://schemas.openxmlformats.org/officeDocument/2006/relationships/image" Target="media/image38.jpeg"/><Relationship Id="rId84" Type="http://schemas.openxmlformats.org/officeDocument/2006/relationships/hyperlink" Target="http://blogs.elconfidencial.com/alma-corazon-vida/tribuna/2015-09-29/no-seais-zotes-estudiad-humanidades-y-no-matematicas-si-quereis-arreglar-esto_1040770/" TargetMode="External"/><Relationship Id="rId138" Type="http://schemas.openxmlformats.org/officeDocument/2006/relationships/hyperlink" Target="http://www.ecestaticos.com/file/ac007e9e48cd0ceea18fd6b4dcd860aa/1465233071.png" TargetMode="External"/><Relationship Id="rId159" Type="http://schemas.openxmlformats.org/officeDocument/2006/relationships/image" Target="media/image92.jpeg"/><Relationship Id="rId324" Type="http://schemas.openxmlformats.org/officeDocument/2006/relationships/hyperlink" Target="http://www.pewglobal.org/2016/06/07/euroskepticism-beyond-brexit/pm_2016-06-07_brexit-06/" TargetMode="External"/><Relationship Id="rId170" Type="http://schemas.openxmlformats.org/officeDocument/2006/relationships/hyperlink" Target="mailto:elena@elconfidencial.com" TargetMode="External"/><Relationship Id="rId191" Type="http://schemas.openxmlformats.org/officeDocument/2006/relationships/image" Target="media/image102.jpeg"/><Relationship Id="rId205" Type="http://schemas.openxmlformats.org/officeDocument/2006/relationships/hyperlink" Target="http://www.bankofengland.co.uk/monetarypolicy/assetpurchases.htm" TargetMode="External"/><Relationship Id="rId226" Type="http://schemas.openxmlformats.org/officeDocument/2006/relationships/image" Target="media/image117.png"/><Relationship Id="rId247" Type="http://schemas.openxmlformats.org/officeDocument/2006/relationships/image" Target="media/image136.png"/><Relationship Id="rId107" Type="http://schemas.openxmlformats.org/officeDocument/2006/relationships/hyperlink" Target="http://www.elconfidencial.com/economia/2012-12-30/la-industria-del-juguete-vuelve-a-espana_600951/http:/www.elconfidencial.com/economia/2012-12-30/la-industria-del-juguete-vuelve-a-espana_600951/" TargetMode="External"/><Relationship Id="rId268" Type="http://schemas.openxmlformats.org/officeDocument/2006/relationships/image" Target="media/image154.jpeg"/><Relationship Id="rId289" Type="http://schemas.openxmlformats.org/officeDocument/2006/relationships/image" Target="media/image155.jpeg"/><Relationship Id="rId11" Type="http://schemas.openxmlformats.org/officeDocument/2006/relationships/image" Target="media/image6.jpeg"/><Relationship Id="rId32" Type="http://schemas.openxmlformats.org/officeDocument/2006/relationships/image" Target="media/image19.jpeg"/><Relationship Id="rId53" Type="http://schemas.openxmlformats.org/officeDocument/2006/relationships/image" Target="media/image30.png"/><Relationship Id="rId74" Type="http://schemas.openxmlformats.org/officeDocument/2006/relationships/image" Target="media/image47.jpeg"/><Relationship Id="rId128" Type="http://schemas.openxmlformats.org/officeDocument/2006/relationships/image" Target="media/image73.jpeg"/><Relationship Id="rId149" Type="http://schemas.openxmlformats.org/officeDocument/2006/relationships/image" Target="media/image86.jpeg"/><Relationship Id="rId314" Type="http://schemas.openxmlformats.org/officeDocument/2006/relationships/hyperlink" Target="https://twitter.com/intent/tweet?url=http://pewrsr.ch/Brexit2016&amp;text=In%20the%20UK%2C%20just%2013%25%20of%20those%20who%20identify%20with%20the%20Euroskeptic%20UKIP%20hold%20a%20favorable%20opinion%20of%20the%20EU" TargetMode="External"/><Relationship Id="rId5" Type="http://schemas.openxmlformats.org/officeDocument/2006/relationships/image" Target="media/image1.jpeg"/><Relationship Id="rId95" Type="http://schemas.openxmlformats.org/officeDocument/2006/relationships/hyperlink" Target="http://s.libertaddigital.com/2016/01/25/davos_futuro_2.jpg" TargetMode="External"/><Relationship Id="rId160" Type="http://schemas.openxmlformats.org/officeDocument/2006/relationships/hyperlink" Target="http://www.ilo.org/global/research/global-reports/youth/2016/WCMS_513739/lang--es/index.htm" TargetMode="External"/><Relationship Id="rId181" Type="http://schemas.openxmlformats.org/officeDocument/2006/relationships/hyperlink" Target="http://es.wikipedia.org/wiki/Criminalidad" TargetMode="External"/><Relationship Id="rId216" Type="http://schemas.openxmlformats.org/officeDocument/2006/relationships/image" Target="media/image112.jpeg"/><Relationship Id="rId237" Type="http://schemas.openxmlformats.org/officeDocument/2006/relationships/image" Target="media/image126.png"/><Relationship Id="rId258" Type="http://schemas.openxmlformats.org/officeDocument/2006/relationships/image" Target="media/image147.png"/><Relationship Id="rId279" Type="http://schemas.openxmlformats.org/officeDocument/2006/relationships/hyperlink" Target="http://soberlook.com/2013/06/bursting-bernanke-bubble.html" TargetMode="External"/><Relationship Id="rId22" Type="http://schemas.openxmlformats.org/officeDocument/2006/relationships/image" Target="media/image16.jpeg"/><Relationship Id="rId43" Type="http://schemas.openxmlformats.org/officeDocument/2006/relationships/hyperlink" Target="http://www.dlacalle.com/eeuu-al-borde-de-la-recesion/" TargetMode="External"/><Relationship Id="rId64" Type="http://schemas.openxmlformats.org/officeDocument/2006/relationships/image" Target="media/image39.jpeg"/><Relationship Id="rId118" Type="http://schemas.openxmlformats.org/officeDocument/2006/relationships/hyperlink" Target="http://www.elespanol.com/temas/tasa_de_paro/" TargetMode="External"/><Relationship Id="rId139" Type="http://schemas.openxmlformats.org/officeDocument/2006/relationships/image" Target="media/image78.jpeg"/><Relationship Id="rId290" Type="http://schemas.openxmlformats.org/officeDocument/2006/relationships/image" Target="media/image156.jpeg"/><Relationship Id="rId304" Type="http://schemas.openxmlformats.org/officeDocument/2006/relationships/hyperlink" Target="http://www.pewglobal.org/2016/06/07/euroskepticism-beyond-brexit/pm_2016-06-07_brexit-00/" TargetMode="External"/><Relationship Id="rId325" Type="http://schemas.openxmlformats.org/officeDocument/2006/relationships/image" Target="media/image174.png"/><Relationship Id="rId85" Type="http://schemas.openxmlformats.org/officeDocument/2006/relationships/hyperlink" Target="http://www.elconfidencial.com/alma-corazon-vida/2015-11-08/jose-antonio-marina-libro-blanco-educacion-despertad-diplodocus-bar-copas-europa_1086518/" TargetMode="External"/><Relationship Id="rId150" Type="http://schemas.openxmlformats.org/officeDocument/2006/relationships/image" Target="media/image87.jpeg"/><Relationship Id="rId171" Type="http://schemas.openxmlformats.org/officeDocument/2006/relationships/image" Target="media/image98.jpeg"/><Relationship Id="rId192" Type="http://schemas.openxmlformats.org/officeDocument/2006/relationships/hyperlink" Target="http://www.cotizalia.com/publicador_perlas_kike/fotos/2011060683fig2.jpg" TargetMode="External"/><Relationship Id="rId206" Type="http://schemas.openxmlformats.org/officeDocument/2006/relationships/hyperlink" Target="http://digitalcommons.ilr.cornell.edu/cgi/viewcontent.cgi?article=1731&amp;context=key_workplace&amp;sei-redir=1" TargetMode="External"/><Relationship Id="rId227" Type="http://schemas.openxmlformats.org/officeDocument/2006/relationships/hyperlink" Target="http://s.libertaddigital.com/fotos/noticias/tarp001.jpg" TargetMode="External"/><Relationship Id="rId248" Type="http://schemas.openxmlformats.org/officeDocument/2006/relationships/image" Target="media/image137.png"/><Relationship Id="rId269" Type="http://schemas.openxmlformats.org/officeDocument/2006/relationships/hyperlink" Target="http://investing.businessweek.com/research/stocks/snapshot/snapshot.asp?ticker=DB" TargetMode="External"/><Relationship Id="rId12" Type="http://schemas.openxmlformats.org/officeDocument/2006/relationships/image" Target="media/image7.jpeg"/><Relationship Id="rId33" Type="http://schemas.openxmlformats.org/officeDocument/2006/relationships/hyperlink" Target="https://medium.com/2015-index-of-culture-and-opportunity/labor-force-participation-rate-887ce77332ba" TargetMode="External"/><Relationship Id="rId108" Type="http://schemas.openxmlformats.org/officeDocument/2006/relationships/hyperlink" Target="http://economia.elpais.com/economia/2013/08/23/actualidad/1377259317_525697.html" TargetMode="External"/><Relationship Id="rId129" Type="http://schemas.openxmlformats.org/officeDocument/2006/relationships/hyperlink" Target="http://www.oecd.org/newsroom/oecd-tax-rates-on-labour-income-stabilise-in-2015.htm" TargetMode="External"/><Relationship Id="rId280" Type="http://schemas.openxmlformats.org/officeDocument/2006/relationships/hyperlink" Target="http://www.eleconomista.es/internacional/noticias/871600/11/08/Trichet-Estamos-ante-la-peor-crisis-financiera-desde-la-Segunda-Guerra-Mundial.html" TargetMode="External"/><Relationship Id="rId315" Type="http://schemas.openxmlformats.org/officeDocument/2006/relationships/hyperlink" Target="https://twitter.com/intent/tweet?url=http://pewrsr.ch/Brexit2016&amp;text=Among%20Germans%20who%20view%20the%20AfD%20favorably%2C%20only%20a%20third%20support%20the%20EU" TargetMode="External"/><Relationship Id="rId54" Type="http://schemas.openxmlformats.org/officeDocument/2006/relationships/image" Target="media/image31.png"/><Relationship Id="rId75" Type="http://schemas.openxmlformats.org/officeDocument/2006/relationships/hyperlink" Target="http://quotes.wsj.com/AAPL" TargetMode="External"/><Relationship Id="rId96" Type="http://schemas.openxmlformats.org/officeDocument/2006/relationships/image" Target="media/image56.jpeg"/><Relationship Id="rId140" Type="http://schemas.openxmlformats.org/officeDocument/2006/relationships/hyperlink" Target="http://www.ecestaticos.com/file/deeb6ccc7906772daf47acdef8b2d6e9/1465233112.png" TargetMode="External"/><Relationship Id="rId161" Type="http://schemas.openxmlformats.org/officeDocument/2006/relationships/hyperlink" Target="http://www.footprintnetwork.org/es/index.php/GFN/page/glossary/" TargetMode="External"/><Relationship Id="rId182" Type="http://schemas.openxmlformats.org/officeDocument/2006/relationships/hyperlink" Target="http://es.wikipedia.org/wiki/Argumento_de_autoridad" TargetMode="External"/><Relationship Id="rId217" Type="http://schemas.openxmlformats.org/officeDocument/2006/relationships/image" Target="media/image113.jpeg"/><Relationship Id="rId6" Type="http://schemas.openxmlformats.org/officeDocument/2006/relationships/hyperlink" Target="http://estaticos.expansion.com/assets/multimedia/imagenes/2016/01/10/14524628979945.jpg" TargetMode="External"/><Relationship Id="rId238" Type="http://schemas.openxmlformats.org/officeDocument/2006/relationships/image" Target="media/image127.png"/><Relationship Id="rId259" Type="http://schemas.openxmlformats.org/officeDocument/2006/relationships/image" Target="media/image148.png"/><Relationship Id="rId23" Type="http://schemas.openxmlformats.org/officeDocument/2006/relationships/hyperlink" Target="https://medium.com/2015-index-of-culture-and-opportunity/economic-freedom-b5e7ca475737" TargetMode="External"/><Relationship Id="rId119" Type="http://schemas.openxmlformats.org/officeDocument/2006/relationships/image" Target="media/image64.jpeg"/><Relationship Id="rId270" Type="http://schemas.openxmlformats.org/officeDocument/2006/relationships/hyperlink" Target="http://jaredbernsteinblog.com/paul-larry-secular-stagnation-and-the-impact-of-negative-real-rates/" TargetMode="External"/><Relationship Id="rId291" Type="http://schemas.openxmlformats.org/officeDocument/2006/relationships/image" Target="media/image157.jpeg"/><Relationship Id="rId305" Type="http://schemas.openxmlformats.org/officeDocument/2006/relationships/image" Target="media/image166.png"/><Relationship Id="rId326" Type="http://schemas.openxmlformats.org/officeDocument/2006/relationships/hyperlink" Target="https://twitter.com/intent/tweet?url=http://pewrsr.ch/Brexit2016&amp;text=93%25%20of%20UKIP%20supporters%20think%20that%20some%20powers%20now%20held%20by%20the%20EU%20should%20be%20returned%20to%20national%20governments" TargetMode="External"/><Relationship Id="rId44" Type="http://schemas.openxmlformats.org/officeDocument/2006/relationships/image" Target="media/image23.jpeg"/><Relationship Id="rId65" Type="http://schemas.openxmlformats.org/officeDocument/2006/relationships/image" Target="media/image40.jpeg"/><Relationship Id="rId86" Type="http://schemas.openxmlformats.org/officeDocument/2006/relationships/image" Target="media/image50.png"/><Relationship Id="rId130" Type="http://schemas.openxmlformats.org/officeDocument/2006/relationships/hyperlink" Target="http://s.libertaddigital.com/2016/04/26/palo_fiscal_ocde_2016_1.jpg" TargetMode="External"/><Relationship Id="rId151" Type="http://schemas.openxmlformats.org/officeDocument/2006/relationships/image" Target="media/image88.jpeg"/><Relationship Id="rId172" Type="http://schemas.openxmlformats.org/officeDocument/2006/relationships/image" Target="media/image99.jpeg"/><Relationship Id="rId193" Type="http://schemas.openxmlformats.org/officeDocument/2006/relationships/image" Target="media/image103.jpeg"/><Relationship Id="rId207" Type="http://schemas.openxmlformats.org/officeDocument/2006/relationships/hyperlink" Target="http://www.imf.org/external/pubs/ft/reo/2011/APD/eng/areo0411.htm" TargetMode="External"/><Relationship Id="rId228" Type="http://schemas.openxmlformats.org/officeDocument/2006/relationships/image" Target="media/image118.jpeg"/><Relationship Id="rId249" Type="http://schemas.openxmlformats.org/officeDocument/2006/relationships/image" Target="media/image138.png"/><Relationship Id="rId13" Type="http://schemas.openxmlformats.org/officeDocument/2006/relationships/image" Target="media/image8.jpeg"/><Relationship Id="rId109" Type="http://schemas.openxmlformats.org/officeDocument/2006/relationships/hyperlink" Target="http://www2.deloitte.com/content/dam/Deloitte/us/Documents/manufacturing/us-gmci.pdf" TargetMode="External"/><Relationship Id="rId260" Type="http://schemas.openxmlformats.org/officeDocument/2006/relationships/image" Target="media/image149.png"/><Relationship Id="rId281" Type="http://schemas.openxmlformats.org/officeDocument/2006/relationships/hyperlink" Target="http://www.eleconomista.es/economia/noticias/7285610/01/16/La-Cuarta-Revolucion-Industrial-eliminara-7-millones-de-empleo-hasta-2020.html" TargetMode="External"/><Relationship Id="rId316" Type="http://schemas.openxmlformats.org/officeDocument/2006/relationships/hyperlink" Target="http://www.pewglobal.org/2016/06/07/euroskepticism-beyond-brexit/pm_2016-06-07_brexit-03/" TargetMode="External"/><Relationship Id="rId34" Type="http://schemas.openxmlformats.org/officeDocument/2006/relationships/hyperlink" Target="http://s.libertaddigital.com/2016/08/30/4-empleo-eeuu-participacion-laboral.jpg" TargetMode="External"/><Relationship Id="rId55" Type="http://schemas.openxmlformats.org/officeDocument/2006/relationships/hyperlink" Target="http://www.businessinsider.sg/bill-gross-tweets-about-the-bond-market-2016-6/" TargetMode="External"/><Relationship Id="rId76" Type="http://schemas.openxmlformats.org/officeDocument/2006/relationships/hyperlink" Target="http://topics.wsj.com/person/M/Martin-Sullivan/413" TargetMode="External"/><Relationship Id="rId97" Type="http://schemas.openxmlformats.org/officeDocument/2006/relationships/hyperlink" Target="http://www.weforum.org/agenda/2016/01/the-10-skills-you-need-to-thrive-in-the-fourth-industrial-revolution" TargetMode="External"/><Relationship Id="rId120" Type="http://schemas.openxmlformats.org/officeDocument/2006/relationships/image" Target="media/image65.jpeg"/><Relationship Id="rId141" Type="http://schemas.openxmlformats.org/officeDocument/2006/relationships/image" Target="media/image79.jpeg"/><Relationship Id="rId7" Type="http://schemas.openxmlformats.org/officeDocument/2006/relationships/image" Target="media/image2.jpeg"/><Relationship Id="rId162" Type="http://schemas.openxmlformats.org/officeDocument/2006/relationships/image" Target="media/image93.jpeg"/><Relationship Id="rId183" Type="http://schemas.openxmlformats.org/officeDocument/2006/relationships/hyperlink" Target="http://es.wikipedia.org/wiki/Geopol%C3%ADtica" TargetMode="External"/><Relationship Id="rId218" Type="http://schemas.openxmlformats.org/officeDocument/2006/relationships/hyperlink" Target="http://www.zerohedge.com/article/full-transcript-ben-bernankes-i-have-no-idea-why-economy-will-get-better-it-will-speech-and-" TargetMode="External"/><Relationship Id="rId239" Type="http://schemas.openxmlformats.org/officeDocument/2006/relationships/image" Target="media/image128.png"/><Relationship Id="rId250" Type="http://schemas.openxmlformats.org/officeDocument/2006/relationships/image" Target="media/image139.png"/><Relationship Id="rId271" Type="http://schemas.openxmlformats.org/officeDocument/2006/relationships/hyperlink" Target="http://qz.com/147861/larry-summers-just-confirmed-that-the-world-still-has-to-pay-attention-to-him/" TargetMode="External"/><Relationship Id="rId292" Type="http://schemas.openxmlformats.org/officeDocument/2006/relationships/image" Target="media/image158.jpeg"/><Relationship Id="rId306" Type="http://schemas.openxmlformats.org/officeDocument/2006/relationships/hyperlink" Target="http://www.pewglobal.org/2016/06/07/euroskepticism-beyond-brexit/pm_2016-06-07_brexit-01/" TargetMode="External"/><Relationship Id="rId24" Type="http://schemas.openxmlformats.org/officeDocument/2006/relationships/hyperlink" Target="http://www.civismo.org/es/investigaciones/informes/indice-de-libertad-economica-en-el-mundo" TargetMode="External"/><Relationship Id="rId45" Type="http://schemas.openxmlformats.org/officeDocument/2006/relationships/hyperlink" Target="http://blogs.elconfidencial.com/economia/monetae-mutatione/2013-09-25/qe-n-la-madre-de-todas-las-burbujas_32103/" TargetMode="External"/><Relationship Id="rId66" Type="http://schemas.openxmlformats.org/officeDocument/2006/relationships/hyperlink" Target="http://s.libertaddigital.com/2016/04/21/def-eu15.jpg" TargetMode="External"/><Relationship Id="rId87" Type="http://schemas.openxmlformats.org/officeDocument/2006/relationships/image" Target="media/image51.png"/><Relationship Id="rId110" Type="http://schemas.openxmlformats.org/officeDocument/2006/relationships/hyperlink" Target="http://www.elconfidencial.com/mundo/2014-09-29/las-multinacionales-dejan-bangladesh-tras-subir-el-sueldo-de-los-obreros-del-textil_215075/" TargetMode="External"/><Relationship Id="rId131" Type="http://schemas.openxmlformats.org/officeDocument/2006/relationships/image" Target="media/image74.jpeg"/><Relationship Id="rId327" Type="http://schemas.openxmlformats.org/officeDocument/2006/relationships/hyperlink" Target="http://www.pewglobal.org/2016/06/07/euroskepticism-beyond-brexit/pm_2016-06-07_brexit-07/" TargetMode="External"/><Relationship Id="rId152" Type="http://schemas.openxmlformats.org/officeDocument/2006/relationships/image" Target="media/image89.jpeg"/><Relationship Id="rId173" Type="http://schemas.openxmlformats.org/officeDocument/2006/relationships/hyperlink" Target="http://es.wikipedia.org/wiki/Periodista" TargetMode="External"/><Relationship Id="rId194" Type="http://schemas.openxmlformats.org/officeDocument/2006/relationships/hyperlink" Target="http://www.voxeu.org/index.php?q=node/4446" TargetMode="External"/><Relationship Id="rId208" Type="http://schemas.openxmlformats.org/officeDocument/2006/relationships/hyperlink" Target="http://www.treasurydirect.gov/NP/BPDLogin?application=np" TargetMode="External"/><Relationship Id="rId229" Type="http://schemas.openxmlformats.org/officeDocument/2006/relationships/image" Target="media/image119.jpeg"/><Relationship Id="rId240" Type="http://schemas.openxmlformats.org/officeDocument/2006/relationships/image" Target="media/image129.png"/><Relationship Id="rId261" Type="http://schemas.openxmlformats.org/officeDocument/2006/relationships/image" Target="media/image150.png"/><Relationship Id="rId14" Type="http://schemas.openxmlformats.org/officeDocument/2006/relationships/image" Target="media/image9.gif"/><Relationship Id="rId35" Type="http://schemas.openxmlformats.org/officeDocument/2006/relationships/image" Target="media/image20.jpeg"/><Relationship Id="rId56" Type="http://schemas.openxmlformats.org/officeDocument/2006/relationships/image" Target="media/image32.jpeg"/><Relationship Id="rId77" Type="http://schemas.openxmlformats.org/officeDocument/2006/relationships/image" Target="media/image48.jpeg"/><Relationship Id="rId100" Type="http://schemas.openxmlformats.org/officeDocument/2006/relationships/hyperlink" Target="http://www3.weforum.org/docs/WEF_Future_of_Jobs.pdf" TargetMode="External"/><Relationship Id="rId282" Type="http://schemas.openxmlformats.org/officeDocument/2006/relationships/hyperlink" Target="http://www.eleconomista.es/mercados-cotizaciones/noticias/7407526/03/16/El-BCE-esta-acorralado-y-corre-el-riesgo-de-convertirse-en-el-nuevo-Banco-de-Japon.html" TargetMode="External"/><Relationship Id="rId317" Type="http://schemas.openxmlformats.org/officeDocument/2006/relationships/image" Target="media/image170.png"/><Relationship Id="rId8" Type="http://schemas.openxmlformats.org/officeDocument/2006/relationships/image" Target="media/image3.jpeg"/><Relationship Id="rId51" Type="http://schemas.openxmlformats.org/officeDocument/2006/relationships/hyperlink" Target="http://quotes.wsj.com/JPM" TargetMode="External"/><Relationship Id="rId72" Type="http://schemas.openxmlformats.org/officeDocument/2006/relationships/image" Target="media/image46.png"/><Relationship Id="rId93" Type="http://schemas.openxmlformats.org/officeDocument/2006/relationships/hyperlink" Target="http://s.libertaddigital.com/2016/01/25/davos_futuro_1.jpg" TargetMode="External"/><Relationship Id="rId98" Type="http://schemas.openxmlformats.org/officeDocument/2006/relationships/hyperlink" Target="http://s.libertaddigital.com/2016/01/25/davos_futuro_3.jpg" TargetMode="External"/><Relationship Id="rId121" Type="http://schemas.openxmlformats.org/officeDocument/2006/relationships/image" Target="media/image66.jpeg"/><Relationship Id="rId142" Type="http://schemas.openxmlformats.org/officeDocument/2006/relationships/hyperlink" Target="https://www.gc.cuny.edu/CUNY_GC/media/CUNY-Graduate-Center/PDF/Centers/LIS/Milanovic/readings/2.1/milanovic_gpol12032.pdf" TargetMode="External"/><Relationship Id="rId163" Type="http://schemas.openxmlformats.org/officeDocument/2006/relationships/hyperlink" Target="http://www.footprintnetwork.org/es/index.php/GFN/page/fighting_poverty_our_human_development_initiative/" TargetMode="External"/><Relationship Id="rId184" Type="http://schemas.openxmlformats.org/officeDocument/2006/relationships/hyperlink" Target="http://es.wikipedia.org/wiki/De_jure" TargetMode="External"/><Relationship Id="rId189" Type="http://schemas.openxmlformats.org/officeDocument/2006/relationships/hyperlink" Target="http://www.imf.org/external/pubs/ft/sdn/2011/sdn1112.pdf" TargetMode="External"/><Relationship Id="rId219" Type="http://schemas.openxmlformats.org/officeDocument/2006/relationships/hyperlink" Target="http://www.zerohedge.com/article/sp-profit-margins-have-now-peaked" TargetMode="External"/><Relationship Id="rId3" Type="http://schemas.openxmlformats.org/officeDocument/2006/relationships/settings" Target="settings.xml"/><Relationship Id="rId214" Type="http://schemas.openxmlformats.org/officeDocument/2006/relationships/image" Target="media/image110.jpeg"/><Relationship Id="rId230" Type="http://schemas.openxmlformats.org/officeDocument/2006/relationships/image" Target="media/image120.jpeg"/><Relationship Id="rId235" Type="http://schemas.openxmlformats.org/officeDocument/2006/relationships/image" Target="media/image124.jpeg"/><Relationship Id="rId251" Type="http://schemas.openxmlformats.org/officeDocument/2006/relationships/image" Target="media/image140.png"/><Relationship Id="rId256" Type="http://schemas.openxmlformats.org/officeDocument/2006/relationships/image" Target="media/image145.png"/><Relationship Id="rId277" Type="http://schemas.openxmlformats.org/officeDocument/2006/relationships/hyperlink" Target="http://www.google.com/trends/explore" TargetMode="External"/><Relationship Id="rId298" Type="http://schemas.openxmlformats.org/officeDocument/2006/relationships/hyperlink" Target="http://quotes.wsj.com/JPM" TargetMode="External"/><Relationship Id="rId25" Type="http://schemas.openxmlformats.org/officeDocument/2006/relationships/hyperlink" Target="http://s.libertaddigital.com/2016/08/30/1-Cae-libertad-economica-eeuu.jpg" TargetMode="External"/><Relationship Id="rId46" Type="http://schemas.openxmlformats.org/officeDocument/2006/relationships/image" Target="media/image24.jpeg"/><Relationship Id="rId67" Type="http://schemas.openxmlformats.org/officeDocument/2006/relationships/image" Target="media/image41.jpeg"/><Relationship Id="rId116" Type="http://schemas.openxmlformats.org/officeDocument/2006/relationships/image" Target="media/image62.jpeg"/><Relationship Id="rId137" Type="http://schemas.openxmlformats.org/officeDocument/2006/relationships/image" Target="media/image77.jpeg"/><Relationship Id="rId158" Type="http://schemas.openxmlformats.org/officeDocument/2006/relationships/hyperlink" Target="http://www.ilo.org/global/research/global-reports/youth/2016/WCMS_513739/lang--es/index.htm" TargetMode="External"/><Relationship Id="rId272" Type="http://schemas.openxmlformats.org/officeDocument/2006/relationships/hyperlink" Target="http://blog.supplysideliberal.com/post/62693219358/how-and-why-to-eliminate-the-zero-lower-bound-a" TargetMode="External"/><Relationship Id="rId293" Type="http://schemas.openxmlformats.org/officeDocument/2006/relationships/image" Target="media/image159.jpeg"/><Relationship Id="rId302" Type="http://schemas.openxmlformats.org/officeDocument/2006/relationships/image" Target="media/image165.png"/><Relationship Id="rId307" Type="http://schemas.openxmlformats.org/officeDocument/2006/relationships/image" Target="media/image167.png"/><Relationship Id="rId323" Type="http://schemas.openxmlformats.org/officeDocument/2006/relationships/image" Target="media/image173.png"/><Relationship Id="rId328" Type="http://schemas.openxmlformats.org/officeDocument/2006/relationships/image" Target="media/image175.png"/><Relationship Id="rId20" Type="http://schemas.openxmlformats.org/officeDocument/2006/relationships/image" Target="media/image14.jpeg"/><Relationship Id="rId41" Type="http://schemas.openxmlformats.org/officeDocument/2006/relationships/hyperlink" Target="http://s.libertaddigital.com/2016/08/30/6-gasto-bienestar-social-eeuu.jpg" TargetMode="External"/><Relationship Id="rId62" Type="http://schemas.openxmlformats.org/officeDocument/2006/relationships/image" Target="media/image37.jpeg"/><Relationship Id="rId83" Type="http://schemas.openxmlformats.org/officeDocument/2006/relationships/hyperlink" Target="http://www.elconfidencial.com/alma-corazon-vida/2015-07-23/amor-y-matematicas-edward-frenkel-finanzas-inteligencia-artificial_938240/" TargetMode="External"/><Relationship Id="rId88" Type="http://schemas.openxmlformats.org/officeDocument/2006/relationships/image" Target="media/image52.png"/><Relationship Id="rId111" Type="http://schemas.openxmlformats.org/officeDocument/2006/relationships/image" Target="media/image60.jpeg"/><Relationship Id="rId132" Type="http://schemas.openxmlformats.org/officeDocument/2006/relationships/hyperlink" Target="http://s.libertaddigital.com/2016/04/26/palo_fiscal_ocde_2016_2.jpg" TargetMode="External"/><Relationship Id="rId153" Type="http://schemas.openxmlformats.org/officeDocument/2006/relationships/hyperlink" Target="http://cincodias.com/tag/oit_organizacion_internacional_trabajo/a/" TargetMode="External"/><Relationship Id="rId174" Type="http://schemas.openxmlformats.org/officeDocument/2006/relationships/hyperlink" Target="http://es.wikipedia.org/wiki/Estado" TargetMode="External"/><Relationship Id="rId179" Type="http://schemas.openxmlformats.org/officeDocument/2006/relationships/hyperlink" Target="http://es.wikipedia.org/wiki/Comunidad_internacional" TargetMode="External"/><Relationship Id="rId195" Type="http://schemas.openxmlformats.org/officeDocument/2006/relationships/hyperlink" Target="http://www.project-syndicate.org/commentary/soros48/English" TargetMode="External"/><Relationship Id="rId209" Type="http://schemas.openxmlformats.org/officeDocument/2006/relationships/hyperlink" Target="http://www.bde.es/webbde/es/estadis/infoest/ti_1_4.pdf" TargetMode="External"/><Relationship Id="rId190" Type="http://schemas.openxmlformats.org/officeDocument/2006/relationships/hyperlink" Target="http://www.cotizalia.com/publicador_perlas_kike/fotos/2011060679fig1.jpg" TargetMode="External"/><Relationship Id="rId204" Type="http://schemas.openxmlformats.org/officeDocument/2006/relationships/hyperlink" Target="http://www.opencongress.org/articles/view/1500-The-Republicans-Haven-t-Always-Been-Against-Raising-the-Debt-Ceiling" TargetMode="External"/><Relationship Id="rId220" Type="http://schemas.openxmlformats.org/officeDocument/2006/relationships/hyperlink" Target="http://www.businessinsider.com/richard-koo-reveals-the-horrific-truth-about-americas-deleveraging-progress-2011-6" TargetMode="External"/><Relationship Id="rId225" Type="http://schemas.openxmlformats.org/officeDocument/2006/relationships/image" Target="media/image116.jpeg"/><Relationship Id="rId241" Type="http://schemas.openxmlformats.org/officeDocument/2006/relationships/image" Target="media/image130.png"/><Relationship Id="rId246" Type="http://schemas.openxmlformats.org/officeDocument/2006/relationships/image" Target="media/image135.png"/><Relationship Id="rId267" Type="http://schemas.openxmlformats.org/officeDocument/2006/relationships/hyperlink" Target="http://www.bloomberg.com/news/2013-11-18/u-s-stock-index-futures-are-little-changed.html" TargetMode="External"/><Relationship Id="rId288" Type="http://schemas.openxmlformats.org/officeDocument/2006/relationships/hyperlink" Target="http://ecodiario.eleconomista.es/europa/noticias/7418511/03/16/La-derecha-xenofoba-es-ya-la-segunda-fuerza-en-Alemania.html" TargetMode="External"/><Relationship Id="rId15" Type="http://schemas.openxmlformats.org/officeDocument/2006/relationships/image" Target="media/image10.png"/><Relationship Id="rId36" Type="http://schemas.openxmlformats.org/officeDocument/2006/relationships/hyperlink" Target="https://medium.com/2015-index-of-culture-and-opportunity/tanf-work-participation-rate-8cdeacc1d557" TargetMode="External"/><Relationship Id="rId57" Type="http://schemas.openxmlformats.org/officeDocument/2006/relationships/image" Target="media/image33.jpeg"/><Relationship Id="rId106" Type="http://schemas.openxmlformats.org/officeDocument/2006/relationships/hyperlink" Target="http://www.italy24.ilsole24ore.com/art/business-and-economy/2016-05-19/more-and-more-italian-companies-opting-for-reshoring-121-2015-184026.php?uuid=ADmRteL" TargetMode="External"/><Relationship Id="rId127" Type="http://schemas.openxmlformats.org/officeDocument/2006/relationships/image" Target="media/image72.jpeg"/><Relationship Id="rId262" Type="http://schemas.openxmlformats.org/officeDocument/2006/relationships/image" Target="media/image151.png"/><Relationship Id="rId283" Type="http://schemas.openxmlformats.org/officeDocument/2006/relationships/hyperlink" Target="http://www.eleconomista.es/economia/noticias/7251156/12/15/El-crecimiento-global-en-2016-sera-decepcionante-dice-Lagarde-del-FMI.html" TargetMode="External"/><Relationship Id="rId313" Type="http://schemas.openxmlformats.org/officeDocument/2006/relationships/image" Target="media/image169.png"/><Relationship Id="rId318" Type="http://schemas.openxmlformats.org/officeDocument/2006/relationships/hyperlink" Target="http://www.pewglobal.org/2016/06/07/euroskepticism-beyond-brexit/pm_2016-06-07_brexit-04/" TargetMode="External"/><Relationship Id="rId10" Type="http://schemas.openxmlformats.org/officeDocument/2006/relationships/image" Target="media/image5.jpeg"/><Relationship Id="rId31" Type="http://schemas.openxmlformats.org/officeDocument/2006/relationships/hyperlink" Target="http://s.libertaddigital.com/2016/08/30/3-empleo-startups-eeuu.jpg" TargetMode="External"/><Relationship Id="rId52" Type="http://schemas.openxmlformats.org/officeDocument/2006/relationships/image" Target="media/image29.jpeg"/><Relationship Id="rId73" Type="http://schemas.openxmlformats.org/officeDocument/2006/relationships/hyperlink" Target="javascript:void(0);" TargetMode="External"/><Relationship Id="rId78" Type="http://schemas.openxmlformats.org/officeDocument/2006/relationships/image" Target="media/image49.jpeg"/><Relationship Id="rId94" Type="http://schemas.openxmlformats.org/officeDocument/2006/relationships/image" Target="media/image55.jpeg"/><Relationship Id="rId99" Type="http://schemas.openxmlformats.org/officeDocument/2006/relationships/image" Target="media/image57.jpeg"/><Relationship Id="rId101" Type="http://schemas.openxmlformats.org/officeDocument/2006/relationships/hyperlink" Target="http://s.libertaddigital.com/2016/01/25/davos_futuro_4.jpg" TargetMode="External"/><Relationship Id="rId122" Type="http://schemas.openxmlformats.org/officeDocument/2006/relationships/image" Target="media/image67.jpeg"/><Relationship Id="rId143" Type="http://schemas.openxmlformats.org/officeDocument/2006/relationships/image" Target="media/image80.jpeg"/><Relationship Id="rId148" Type="http://schemas.openxmlformats.org/officeDocument/2006/relationships/image" Target="media/image85.jpeg"/><Relationship Id="rId164" Type="http://schemas.openxmlformats.org/officeDocument/2006/relationships/hyperlink" Target="http://www.footprintnetwork.org/en/index.php/GFN/page/footprint_for_business/" TargetMode="External"/><Relationship Id="rId169" Type="http://schemas.openxmlformats.org/officeDocument/2006/relationships/image" Target="media/image97.jpeg"/><Relationship Id="rId185" Type="http://schemas.openxmlformats.org/officeDocument/2006/relationships/hyperlink" Target="http://es.wikipedia.org/wiki/Burocracia" TargetMode="External"/><Relationship Id="rId4" Type="http://schemas.openxmlformats.org/officeDocument/2006/relationships/webSettings" Target="webSettings.xml"/><Relationship Id="rId9" Type="http://schemas.openxmlformats.org/officeDocument/2006/relationships/image" Target="media/image4.jpeg"/><Relationship Id="rId180" Type="http://schemas.openxmlformats.org/officeDocument/2006/relationships/hyperlink" Target="http://es.wikipedia.org/wiki/Corrupci%C3%B3n_pol%C3%ADtica" TargetMode="External"/><Relationship Id="rId210" Type="http://schemas.openxmlformats.org/officeDocument/2006/relationships/image" Target="media/image106.jpeg"/><Relationship Id="rId215" Type="http://schemas.openxmlformats.org/officeDocument/2006/relationships/image" Target="media/image111.jpeg"/><Relationship Id="rId236" Type="http://schemas.openxmlformats.org/officeDocument/2006/relationships/image" Target="media/image125.jpeg"/><Relationship Id="rId257" Type="http://schemas.openxmlformats.org/officeDocument/2006/relationships/image" Target="media/image146.png"/><Relationship Id="rId278" Type="http://schemas.openxmlformats.org/officeDocument/2006/relationships/hyperlink" Target="http://www.bloomberg.com/news/2013-11-19/the-bubble-in-bubbles.html" TargetMode="External"/><Relationship Id="rId26" Type="http://schemas.openxmlformats.org/officeDocument/2006/relationships/image" Target="media/image17.jpeg"/><Relationship Id="rId231" Type="http://schemas.openxmlformats.org/officeDocument/2006/relationships/hyperlink" Target="http://larouchepub.com/spanish/other_articles/2011/fcic_report_excerpts.html" TargetMode="External"/><Relationship Id="rId252" Type="http://schemas.openxmlformats.org/officeDocument/2006/relationships/image" Target="media/image141.png"/><Relationship Id="rId273" Type="http://schemas.openxmlformats.org/officeDocument/2006/relationships/hyperlink" Target="https://m.facebook.com/notes/randy-fellmy/transcript-of-larry-summers-speech-at-the-imf-economic-forum-nov-8-2013/585630634864563" TargetMode="External"/><Relationship Id="rId294" Type="http://schemas.openxmlformats.org/officeDocument/2006/relationships/image" Target="media/image160.jpeg"/><Relationship Id="rId308" Type="http://schemas.openxmlformats.org/officeDocument/2006/relationships/hyperlink" Target="https://twitter.com/intent/tweet?url=http://pewrsr.ch/Brexit2016&amp;text=EU%20favorability%20is%20down%20in%20five%20of%20the%20six%20nations%20surveyed%20in%20both%202015%20and%202016" TargetMode="External"/><Relationship Id="rId329" Type="http://schemas.openxmlformats.org/officeDocument/2006/relationships/hyperlink" Target="https://twitter.com/intent/tweet?url=http://pewrsr.ch/Brexit2016&amp;text=89%25%20in%20Sweden%2C%2075%25%20in%20the%20Netherlands%20and%2074%25%20in%20Germany%20say%20the%20British%20leaving%20would%20be%20bad%20for%20the%20EU" TargetMode="External"/><Relationship Id="rId47" Type="http://schemas.openxmlformats.org/officeDocument/2006/relationships/image" Target="media/image25.jpeg"/><Relationship Id="rId68" Type="http://schemas.openxmlformats.org/officeDocument/2006/relationships/image" Target="media/image42.jpeg"/><Relationship Id="rId89" Type="http://schemas.openxmlformats.org/officeDocument/2006/relationships/image" Target="media/image53.png"/><Relationship Id="rId112" Type="http://schemas.openxmlformats.org/officeDocument/2006/relationships/hyperlink" Target="http://quotes.wsj.com/NKE" TargetMode="External"/><Relationship Id="rId133" Type="http://schemas.openxmlformats.org/officeDocument/2006/relationships/image" Target="media/image75.jpeg"/><Relationship Id="rId154" Type="http://schemas.openxmlformats.org/officeDocument/2006/relationships/hyperlink" Target="http://cincodias.com/tag/paro_juvenil/a/" TargetMode="External"/><Relationship Id="rId175" Type="http://schemas.openxmlformats.org/officeDocument/2006/relationships/hyperlink" Target="http://es.wikipedia.org/wiki/Soberan%C3%ADa" TargetMode="External"/><Relationship Id="rId196" Type="http://schemas.openxmlformats.org/officeDocument/2006/relationships/hyperlink" Target="http://www.eumed.net/libros/2007c/320/salarios%20monetarios%20rigidos.htm" TargetMode="External"/><Relationship Id="rId200" Type="http://schemas.openxmlformats.org/officeDocument/2006/relationships/hyperlink" Target="http://www.epi.org/publications/entry/webfeatures_econindicators_income_20080826/" TargetMode="External"/><Relationship Id="rId16" Type="http://schemas.openxmlformats.org/officeDocument/2006/relationships/image" Target="media/image11.png"/><Relationship Id="rId221" Type="http://schemas.openxmlformats.org/officeDocument/2006/relationships/hyperlink" Target="http://www.cotizalia.com/publicador_perlas_kike/fotos/2011062371desapalancamiento.jpg" TargetMode="External"/><Relationship Id="rId242" Type="http://schemas.openxmlformats.org/officeDocument/2006/relationships/image" Target="media/image131.png"/><Relationship Id="rId263" Type="http://schemas.openxmlformats.org/officeDocument/2006/relationships/image" Target="media/image152.png"/><Relationship Id="rId284" Type="http://schemas.openxmlformats.org/officeDocument/2006/relationships/hyperlink" Target="http://www.eleconomista.es/economia/noticias/7433102/03/16/Steen-Jakobsen-La-extrema-izquierda-y-derecha-lo-haran-mejor-el-contrato-social-esta-roto.html" TargetMode="External"/><Relationship Id="rId319" Type="http://schemas.openxmlformats.org/officeDocument/2006/relationships/image" Target="media/image171.png"/><Relationship Id="rId37" Type="http://schemas.openxmlformats.org/officeDocument/2006/relationships/hyperlink" Target="https://medium.com/2015-index-of-culture-and-opportunity/tanf-participation-1df2e38be2fa" TargetMode="External"/><Relationship Id="rId58" Type="http://schemas.openxmlformats.org/officeDocument/2006/relationships/hyperlink" Target="http://estaticos.expansion.com/assets/multimedia/imagenes/2016/08/29/14724990082333.gif" TargetMode="External"/><Relationship Id="rId79" Type="http://schemas.openxmlformats.org/officeDocument/2006/relationships/hyperlink" Target="http://www.elconfidencial.com/alma-corazon-vida/2015-12-17/la-gran-transformacion-que-esta-sufriendo-el-mundo-y-sera-el-tema-central-de-davos-2016_1121859/" TargetMode="External"/><Relationship Id="rId102" Type="http://schemas.openxmlformats.org/officeDocument/2006/relationships/image" Target="media/image58.jpeg"/><Relationship Id="rId123" Type="http://schemas.openxmlformats.org/officeDocument/2006/relationships/image" Target="media/image68.jpeg"/><Relationship Id="rId144" Type="http://schemas.openxmlformats.org/officeDocument/2006/relationships/image" Target="media/image81.gif"/><Relationship Id="rId330" Type="http://schemas.openxmlformats.org/officeDocument/2006/relationships/image" Target="media/image176.jpeg"/><Relationship Id="rId90" Type="http://schemas.openxmlformats.org/officeDocument/2006/relationships/image" Target="media/image54.png"/><Relationship Id="rId165" Type="http://schemas.openxmlformats.org/officeDocument/2006/relationships/hyperlink" Target="http://www.footprintnetwork.org/en/index.php/GFN/page/basics_introduction/" TargetMode="External"/><Relationship Id="rId186" Type="http://schemas.openxmlformats.org/officeDocument/2006/relationships/image" Target="media/image100.jpeg"/><Relationship Id="rId211" Type="http://schemas.openxmlformats.org/officeDocument/2006/relationships/image" Target="media/image107.jpeg"/><Relationship Id="rId232" Type="http://schemas.openxmlformats.org/officeDocument/2006/relationships/image" Target="media/image121.jpeg"/><Relationship Id="rId253" Type="http://schemas.openxmlformats.org/officeDocument/2006/relationships/image" Target="media/image142.png"/><Relationship Id="rId274" Type="http://schemas.openxmlformats.org/officeDocument/2006/relationships/hyperlink" Target="http://ca.finance.yahoo.com/news/nobel-economics-winner-fama-says-risk-global-recession-120234054--sector.html" TargetMode="External"/><Relationship Id="rId295" Type="http://schemas.openxmlformats.org/officeDocument/2006/relationships/image" Target="media/image161.jpeg"/><Relationship Id="rId309" Type="http://schemas.openxmlformats.org/officeDocument/2006/relationships/hyperlink" Target="http://www.pewglobal.org/2016/06/07/euroskepticism-beyond-brexit/pm_2016-06-07_brexit-02/" TargetMode="External"/><Relationship Id="rId27" Type="http://schemas.openxmlformats.org/officeDocument/2006/relationships/hyperlink" Target="https://medium.com/2015-index-of-culture-and-opportunity/major-federal-regulations-be45be4dc634" TargetMode="External"/><Relationship Id="rId48" Type="http://schemas.openxmlformats.org/officeDocument/2006/relationships/image" Target="media/image26.jpeg"/><Relationship Id="rId69" Type="http://schemas.openxmlformats.org/officeDocument/2006/relationships/image" Target="media/image43.jpeg"/><Relationship Id="rId113" Type="http://schemas.openxmlformats.org/officeDocument/2006/relationships/hyperlink" Target="http://quotes.wsj.com/ADS.XE" TargetMode="External"/><Relationship Id="rId134" Type="http://schemas.openxmlformats.org/officeDocument/2006/relationships/hyperlink" Target="http://www.bde.es/f/webbde/SES/Secciones/Publicaciones/PublicacionesBCE/BoletinEconomicoBCE/2016/Fich/bebce1603.pdf" TargetMode="External"/><Relationship Id="rId320" Type="http://schemas.openxmlformats.org/officeDocument/2006/relationships/hyperlink" Target="http://www.pewglobal.org/2016/06/07/euroskepticism-beyond-brexit/pm_2016-06-07_brexit-05/" TargetMode="External"/><Relationship Id="rId80" Type="http://schemas.openxmlformats.org/officeDocument/2006/relationships/hyperlink" Target="http://www.weforum.org/reports/the-future-of-jobs" TargetMode="External"/><Relationship Id="rId155" Type="http://schemas.openxmlformats.org/officeDocument/2006/relationships/image" Target="media/image90.jpeg"/><Relationship Id="rId176" Type="http://schemas.openxmlformats.org/officeDocument/2006/relationships/hyperlink" Target="http://es.wikipedia.org/wiki/Think_tank" TargetMode="External"/><Relationship Id="rId197" Type="http://schemas.openxmlformats.org/officeDocument/2006/relationships/image" Target="media/image104.jpeg"/><Relationship Id="rId201" Type="http://schemas.openxmlformats.org/officeDocument/2006/relationships/hyperlink" Target="http://serviciosweb.meh.es/apps/dgpe/textos/ice/infotrim/ICEpub.pdf" TargetMode="External"/><Relationship Id="rId222" Type="http://schemas.openxmlformats.org/officeDocument/2006/relationships/image" Target="media/image114.jpeg"/><Relationship Id="rId243" Type="http://schemas.openxmlformats.org/officeDocument/2006/relationships/image" Target="media/image132.jpeg"/><Relationship Id="rId264" Type="http://schemas.openxmlformats.org/officeDocument/2006/relationships/image" Target="media/image153.png"/><Relationship Id="rId285" Type="http://schemas.openxmlformats.org/officeDocument/2006/relationships/hyperlink" Target="http://www.bloomberg.com/graphics/2016-angry-voters/" TargetMode="External"/><Relationship Id="rId17" Type="http://schemas.openxmlformats.org/officeDocument/2006/relationships/image" Target="media/image12.jpeg"/><Relationship Id="rId38" Type="http://schemas.openxmlformats.org/officeDocument/2006/relationships/hyperlink" Target="https://medium.com/2015-index-of-culture-and-opportunity/food-stamp-participation-b4309c293b7f" TargetMode="External"/><Relationship Id="rId59" Type="http://schemas.openxmlformats.org/officeDocument/2006/relationships/image" Target="media/image34.gif"/><Relationship Id="rId103" Type="http://schemas.openxmlformats.org/officeDocument/2006/relationships/image" Target="media/image59.jpeg"/><Relationship Id="rId124" Type="http://schemas.openxmlformats.org/officeDocument/2006/relationships/image" Target="media/image69.jpeg"/><Relationship Id="rId310" Type="http://schemas.openxmlformats.org/officeDocument/2006/relationships/image" Target="media/image168.png"/><Relationship Id="rId70" Type="http://schemas.openxmlformats.org/officeDocument/2006/relationships/image" Target="media/image44.jpeg"/><Relationship Id="rId91" Type="http://schemas.openxmlformats.org/officeDocument/2006/relationships/hyperlink" Target="http://www.libertaddigital.com/fotos/asi-es-2015-regreso-al-futuro-2-cultura-1009133/autopista.jpg.html" TargetMode="External"/><Relationship Id="rId145" Type="http://schemas.openxmlformats.org/officeDocument/2006/relationships/image" Target="media/image82.jpeg"/><Relationship Id="rId166" Type="http://schemas.openxmlformats.org/officeDocument/2006/relationships/image" Target="media/image94.png"/><Relationship Id="rId187" Type="http://schemas.openxmlformats.org/officeDocument/2006/relationships/image" Target="media/image101.jpeg"/><Relationship Id="rId331" Type="http://schemas.openxmlformats.org/officeDocument/2006/relationships/fontTable" Target="fontTable.xml"/><Relationship Id="rId1" Type="http://schemas.openxmlformats.org/officeDocument/2006/relationships/numbering" Target="numbering.xml"/><Relationship Id="rId212" Type="http://schemas.openxmlformats.org/officeDocument/2006/relationships/image" Target="media/image108.jpeg"/><Relationship Id="rId233" Type="http://schemas.openxmlformats.org/officeDocument/2006/relationships/image" Target="media/image122.jpeg"/><Relationship Id="rId254" Type="http://schemas.openxmlformats.org/officeDocument/2006/relationships/image" Target="media/image143.png"/><Relationship Id="rId28" Type="http://schemas.openxmlformats.org/officeDocument/2006/relationships/hyperlink" Target="http://s.libertaddigital.com/2016/08/30/2-sobrerregulacion-eeuu.jpg" TargetMode="External"/><Relationship Id="rId49" Type="http://schemas.openxmlformats.org/officeDocument/2006/relationships/image" Target="media/image27.jpeg"/><Relationship Id="rId114" Type="http://schemas.openxmlformats.org/officeDocument/2006/relationships/hyperlink" Target="http://quotes.wsj.com/PUM.XE" TargetMode="External"/><Relationship Id="rId275" Type="http://schemas.openxmlformats.org/officeDocument/2006/relationships/hyperlink" Target="http://blogs.marketwatch.com/thetell/2013/12/02/robert-shiller-most-worried-about-bubble-in-u-s-stock-market/?mod=MW_story_latest_news" TargetMode="External"/><Relationship Id="rId296" Type="http://schemas.openxmlformats.org/officeDocument/2006/relationships/image" Target="media/image162.jpeg"/><Relationship Id="rId300" Type="http://schemas.openxmlformats.org/officeDocument/2006/relationships/image" Target="media/image164.jpeg"/><Relationship Id="rId60" Type="http://schemas.openxmlformats.org/officeDocument/2006/relationships/image" Target="media/image35.gif"/><Relationship Id="rId81" Type="http://schemas.openxmlformats.org/officeDocument/2006/relationships/hyperlink" Target="http://www.elconfidencial.com/alma-corazon-vida/2015-06-12/ya-no-creemos-en-la-meritocracia-creemos-que-para-triunfar-hay-que-hacer-trampas_880025/" TargetMode="External"/><Relationship Id="rId135" Type="http://schemas.openxmlformats.org/officeDocument/2006/relationships/image" Target="media/image76.jpeg"/><Relationship Id="rId156" Type="http://schemas.openxmlformats.org/officeDocument/2006/relationships/hyperlink" Target="http://www.ilo.org/global/research/global-reports/youth/2016/lang--es/index.htm" TargetMode="External"/><Relationship Id="rId177" Type="http://schemas.openxmlformats.org/officeDocument/2006/relationships/hyperlink" Target="http://es.wikipedia.org/w/index.php?title=Fund_for_Peace&amp;action=edit&amp;redlink=1" TargetMode="External"/><Relationship Id="rId198" Type="http://schemas.openxmlformats.org/officeDocument/2006/relationships/hyperlink" Target="http://www.ilo.org/wcmsp5/groups/public/@dgreports/@dcomm/@publ/documents/publication/wcms_146710.pdf" TargetMode="External"/><Relationship Id="rId321" Type="http://schemas.openxmlformats.org/officeDocument/2006/relationships/image" Target="media/image172.png"/><Relationship Id="rId202" Type="http://schemas.openxmlformats.org/officeDocument/2006/relationships/image" Target="media/image105.jpeg"/><Relationship Id="rId223" Type="http://schemas.openxmlformats.org/officeDocument/2006/relationships/hyperlink" Target="http://www.reuters.com/article/2011/09/12/us-usa-fed-fisher-idUSS1E78B1WQ20110912" TargetMode="External"/><Relationship Id="rId244" Type="http://schemas.openxmlformats.org/officeDocument/2006/relationships/image" Target="media/image133.png"/><Relationship Id="rId18" Type="http://schemas.openxmlformats.org/officeDocument/2006/relationships/image" Target="media/image13.jpeg"/><Relationship Id="rId39" Type="http://schemas.openxmlformats.org/officeDocument/2006/relationships/hyperlink" Target="http://s.libertaddigital.com/2016/08/30/5-cheques-comida-food-stamps-eeuu-usa.jpg" TargetMode="External"/><Relationship Id="rId265" Type="http://schemas.openxmlformats.org/officeDocument/2006/relationships/hyperlink" Target="http://www.businessweek.com/videos/2013-11-21/summers-long-time-since-rapid-healthy-growth" TargetMode="External"/><Relationship Id="rId286" Type="http://schemas.openxmlformats.org/officeDocument/2006/relationships/hyperlink" Target="http://www.eleconomista.es/economia/noticias/7423287/03/16/Nueva-Zelanda-se-plantea-seriamente-poner-en-marcha-la-renta-basica-universal.html" TargetMode="External"/><Relationship Id="rId50" Type="http://schemas.openxmlformats.org/officeDocument/2006/relationships/image" Target="media/image28.jpeg"/><Relationship Id="rId104" Type="http://schemas.openxmlformats.org/officeDocument/2006/relationships/hyperlink" Target="http://ec.europa.eu/translation/bulletins/puntoycoma/124/pyc1242_es.htm" TargetMode="External"/><Relationship Id="rId125" Type="http://schemas.openxmlformats.org/officeDocument/2006/relationships/image" Target="media/image70.jpeg"/><Relationship Id="rId146" Type="http://schemas.openxmlformats.org/officeDocument/2006/relationships/image" Target="media/image83.jpeg"/><Relationship Id="rId167" Type="http://schemas.openxmlformats.org/officeDocument/2006/relationships/image" Target="media/image95.png"/><Relationship Id="rId188" Type="http://schemas.openxmlformats.org/officeDocument/2006/relationships/hyperlink" Target="http://twitter.com/" TargetMode="External"/><Relationship Id="rId311" Type="http://schemas.openxmlformats.org/officeDocument/2006/relationships/hyperlink" Target="https://twitter.com/intent/tweet?url=http://pewrsr.ch/Brexit2016&amp;text=In%20France%2C%2056%25%20of%20young%20people%20but%20only%2031%25%20of%20older%20people%20have%20a%20positive%20opinion%20of%20the%20EU" TargetMode="External"/><Relationship Id="rId332" Type="http://schemas.openxmlformats.org/officeDocument/2006/relationships/theme" Target="theme/theme1.xml"/><Relationship Id="rId71" Type="http://schemas.openxmlformats.org/officeDocument/2006/relationships/image" Target="media/image45.jpeg"/><Relationship Id="rId92" Type="http://schemas.openxmlformats.org/officeDocument/2006/relationships/hyperlink" Target="http://www.weforum.org/agenda/2016/01/a-brief-guide-to-the-technologies-changing-world" TargetMode="External"/><Relationship Id="rId213" Type="http://schemas.openxmlformats.org/officeDocument/2006/relationships/image" Target="media/image109.jpeg"/><Relationship Id="rId234" Type="http://schemas.openxmlformats.org/officeDocument/2006/relationships/image" Target="media/image123.png"/><Relationship Id="rId2" Type="http://schemas.openxmlformats.org/officeDocument/2006/relationships/styles" Target="styles.xml"/><Relationship Id="rId29" Type="http://schemas.openxmlformats.org/officeDocument/2006/relationships/image" Target="media/image18.jpeg"/><Relationship Id="rId255" Type="http://schemas.openxmlformats.org/officeDocument/2006/relationships/image" Target="media/image144.png"/><Relationship Id="rId276" Type="http://schemas.openxmlformats.org/officeDocument/2006/relationships/hyperlink" Target="http://www.google.com/trends/explore" TargetMode="External"/><Relationship Id="rId297" Type="http://schemas.openxmlformats.org/officeDocument/2006/relationships/image" Target="media/image163.jpeg"/><Relationship Id="rId40" Type="http://schemas.openxmlformats.org/officeDocument/2006/relationships/image" Target="media/image21.jpeg"/><Relationship Id="rId115" Type="http://schemas.openxmlformats.org/officeDocument/2006/relationships/image" Target="media/image61.jpeg"/><Relationship Id="rId136" Type="http://schemas.openxmlformats.org/officeDocument/2006/relationships/hyperlink" Target="http://quotes.wsj.com/JPM" TargetMode="External"/><Relationship Id="rId157" Type="http://schemas.openxmlformats.org/officeDocument/2006/relationships/image" Target="media/image91.jpeg"/><Relationship Id="rId178" Type="http://schemas.openxmlformats.org/officeDocument/2006/relationships/hyperlink" Target="http://es.wikipedia.org/wiki/Monopolio_de_la_violencia" TargetMode="External"/><Relationship Id="rId301" Type="http://schemas.openxmlformats.org/officeDocument/2006/relationships/hyperlink" Target="http://www.pewglobal.org/2016/06/07/euroskepticism-beyond-brexit/brexit-lede-graphic-web-version/" TargetMode="External"/><Relationship Id="rId322" Type="http://schemas.openxmlformats.org/officeDocument/2006/relationships/hyperlink" Target="http://www.pewglobal.org/2016/06/07/euroskepticism-beyond-brexit/brexit-eu-division-of-power-web-version/" TargetMode="External"/><Relationship Id="rId61" Type="http://schemas.openxmlformats.org/officeDocument/2006/relationships/image" Target="media/image36.jpeg"/><Relationship Id="rId82" Type="http://schemas.openxmlformats.org/officeDocument/2006/relationships/hyperlink" Target="http://www.elconfidencial.com/alma-corazon-vida/2016-01-14/los-profesionales-que-peor-lo-van-a-pasar-esta-decada_1135148/" TargetMode="External"/><Relationship Id="rId199" Type="http://schemas.openxmlformats.org/officeDocument/2006/relationships/hyperlink" Target="http://www.amazon.com/Greenspans-Fraud-Decades-Policies-Undermined/dp/1403968594" TargetMode="External"/><Relationship Id="rId203" Type="http://schemas.openxmlformats.org/officeDocument/2006/relationships/hyperlink" Target="http://www.fiscalcommission.gov/sites/fiscalcommission.gov/files/documents/TheMomentofTruth12_1_2010.pdf" TargetMode="External"/><Relationship Id="rId19" Type="http://schemas.openxmlformats.org/officeDocument/2006/relationships/hyperlink" Target="http://quotes.wsj.com/DB" TargetMode="External"/><Relationship Id="rId224" Type="http://schemas.openxmlformats.org/officeDocument/2006/relationships/image" Target="media/image115.png"/><Relationship Id="rId245" Type="http://schemas.openxmlformats.org/officeDocument/2006/relationships/image" Target="media/image134.png"/><Relationship Id="rId266" Type="http://schemas.openxmlformats.org/officeDocument/2006/relationships/hyperlink" Target="https://www.youtube.com/watch?v=KYpVzBbQIX0&amp;feature=youtu.be" TargetMode="External"/><Relationship Id="rId287" Type="http://schemas.openxmlformats.org/officeDocument/2006/relationships/hyperlink" Target="http://www.eleconomista.es/mercados-cotizaciones/noticias/7361607/02/16/Ray-Dalio-de-Bridgewater-Tirar-dinero-desde-un-helicoptero-estimulara-la-economia-de-EEUU.html" TargetMode="External"/><Relationship Id="rId30" Type="http://schemas.openxmlformats.org/officeDocument/2006/relationships/hyperlink" Target="https://medium.com/2015-index-of-culture-and-opportunity/start-up-job-share-abc03648c65c" TargetMode="External"/><Relationship Id="rId105" Type="http://schemas.openxmlformats.org/officeDocument/2006/relationships/hyperlink" Target="http://www.reshorenow.org/companies-reshoring/" TargetMode="External"/><Relationship Id="rId126" Type="http://schemas.openxmlformats.org/officeDocument/2006/relationships/image" Target="media/image71.jpeg"/><Relationship Id="rId147" Type="http://schemas.openxmlformats.org/officeDocument/2006/relationships/image" Target="media/image84.jpeg"/><Relationship Id="rId168" Type="http://schemas.openxmlformats.org/officeDocument/2006/relationships/image" Target="media/image96.jpeg"/><Relationship Id="rId312" Type="http://schemas.openxmlformats.org/officeDocument/2006/relationships/hyperlink" Target="http://www.pewglobal.org/2016/06/07/euroskepticism-beyond-brexit/brexit-eu-favorability-web-version/" TargetMode="External"/><Relationship Id="rId333"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472</Pages>
  <Words>187399</Words>
  <Characters>1068176</Characters>
  <Application>Microsoft Office Word</Application>
  <DocSecurity>0</DocSecurity>
  <Lines>8901</Lines>
  <Paragraphs>2506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1253069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2016-09-21T20:33:00Z</dcterms:created>
  <dcterms:modified xsi:type="dcterms:W3CDTF">2016-12-18T15:09:00Z</dcterms:modified>
</cp:coreProperties>
</file>