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455A" w:rsidRDefault="006E60A8" w:rsidP="006E60A8">
      <w:pPr>
        <w:jc w:val="both"/>
        <w:rPr>
          <w:rFonts w:ascii="Times New Roman" w:hAnsi="Times New Roman" w:cs="Times New Roman"/>
          <w:b/>
          <w:sz w:val="24"/>
          <w:szCs w:val="24"/>
        </w:rPr>
      </w:pPr>
      <w:r w:rsidRPr="006E60A8">
        <w:rPr>
          <w:rFonts w:ascii="Times New Roman" w:hAnsi="Times New Roman" w:cs="Times New Roman"/>
          <w:b/>
          <w:sz w:val="24"/>
          <w:szCs w:val="24"/>
        </w:rPr>
        <w:t>A</w:t>
      </w:r>
      <w:r w:rsidR="003B1882">
        <w:rPr>
          <w:rFonts w:ascii="Times New Roman" w:hAnsi="Times New Roman" w:cs="Times New Roman"/>
          <w:b/>
          <w:sz w:val="24"/>
          <w:szCs w:val="24"/>
        </w:rPr>
        <w:t>nexo del Paper: El fracaso de una</w:t>
      </w:r>
      <w:r w:rsidR="00636B03">
        <w:rPr>
          <w:rFonts w:ascii="Times New Roman" w:hAnsi="Times New Roman" w:cs="Times New Roman"/>
          <w:b/>
          <w:sz w:val="24"/>
          <w:szCs w:val="24"/>
        </w:rPr>
        <w:t xml:space="preserve"> economía de “algoritmos</w:t>
      </w:r>
      <w:r w:rsidRPr="006E60A8">
        <w:rPr>
          <w:rFonts w:ascii="Times New Roman" w:hAnsi="Times New Roman" w:cs="Times New Roman"/>
          <w:b/>
          <w:sz w:val="24"/>
          <w:szCs w:val="24"/>
        </w:rPr>
        <w:t>”</w:t>
      </w:r>
      <w:r w:rsidR="000701AF">
        <w:rPr>
          <w:rFonts w:ascii="Times New Roman" w:hAnsi="Times New Roman" w:cs="Times New Roman"/>
          <w:b/>
          <w:sz w:val="24"/>
          <w:szCs w:val="24"/>
        </w:rPr>
        <w:t>…</w:t>
      </w:r>
    </w:p>
    <w:p w:rsidR="004B6BA4" w:rsidRDefault="004B6BA4" w:rsidP="006E60A8">
      <w:pPr>
        <w:jc w:val="both"/>
        <w:rPr>
          <w:rFonts w:ascii="Times New Roman" w:hAnsi="Times New Roman" w:cs="Times New Roman"/>
          <w:b/>
          <w:sz w:val="24"/>
          <w:szCs w:val="24"/>
        </w:rPr>
      </w:pPr>
      <w:r>
        <w:rPr>
          <w:rFonts w:ascii="Times New Roman" w:hAnsi="Times New Roman" w:cs="Times New Roman"/>
          <w:b/>
          <w:sz w:val="24"/>
          <w:szCs w:val="24"/>
        </w:rPr>
        <w:t>Parte I: Selección de Informes de Organismos Internacionales</w:t>
      </w:r>
    </w:p>
    <w:p w:rsidR="006E60A8" w:rsidRDefault="006459B0" w:rsidP="006E60A8">
      <w:pPr>
        <w:jc w:val="both"/>
        <w:rPr>
          <w:rFonts w:ascii="Times New Roman" w:hAnsi="Times New Roman" w:cs="Times New Roman"/>
          <w:b/>
          <w:sz w:val="24"/>
          <w:szCs w:val="24"/>
        </w:rPr>
      </w:pPr>
      <w:r>
        <w:rPr>
          <w:rFonts w:ascii="Times New Roman" w:hAnsi="Times New Roman" w:cs="Times New Roman"/>
          <w:b/>
          <w:sz w:val="24"/>
          <w:szCs w:val="24"/>
        </w:rPr>
        <w:t xml:space="preserve">- </w:t>
      </w:r>
      <w:r w:rsidR="006E60A8">
        <w:rPr>
          <w:rFonts w:ascii="Times New Roman" w:hAnsi="Times New Roman" w:cs="Times New Roman"/>
          <w:b/>
          <w:sz w:val="24"/>
          <w:szCs w:val="24"/>
        </w:rPr>
        <w:t>Informe McKinsey Global Institute - Poorer than their parents? (July 2016)</w:t>
      </w:r>
    </w:p>
    <w:p w:rsidR="006E60A8" w:rsidRDefault="006E60A8" w:rsidP="006E60A8">
      <w:pPr>
        <w:jc w:val="both"/>
        <w:rPr>
          <w:rFonts w:ascii="Times New Roman" w:hAnsi="Times New Roman" w:cs="Times New Roman"/>
          <w:b/>
          <w:sz w:val="24"/>
          <w:szCs w:val="24"/>
        </w:rPr>
      </w:pPr>
      <w:r w:rsidRPr="006E60A8">
        <w:rPr>
          <w:rFonts w:ascii="Times New Roman" w:hAnsi="Times New Roman" w:cs="Times New Roman"/>
          <w:b/>
          <w:noProof/>
          <w:sz w:val="24"/>
          <w:szCs w:val="24"/>
          <w:lang w:eastAsia="es-ES"/>
        </w:rPr>
        <w:drawing>
          <wp:inline distT="0" distB="0" distL="0" distR="0" wp14:anchorId="2D24A8BF" wp14:editId="7D4FB06B">
            <wp:extent cx="5397499" cy="30099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400040" cy="3011317"/>
                    </a:xfrm>
                    <a:prstGeom prst="rect">
                      <a:avLst/>
                    </a:prstGeom>
                  </pic:spPr>
                </pic:pic>
              </a:graphicData>
            </a:graphic>
          </wp:inline>
        </w:drawing>
      </w:r>
    </w:p>
    <w:p w:rsidR="006E60A8" w:rsidRDefault="006E60A8" w:rsidP="006E60A8">
      <w:pPr>
        <w:jc w:val="both"/>
        <w:rPr>
          <w:rFonts w:ascii="Times New Roman" w:hAnsi="Times New Roman" w:cs="Times New Roman"/>
          <w:b/>
          <w:sz w:val="24"/>
          <w:szCs w:val="24"/>
        </w:rPr>
      </w:pPr>
      <w:r w:rsidRPr="006E60A8">
        <w:rPr>
          <w:rFonts w:ascii="Times New Roman" w:hAnsi="Times New Roman" w:cs="Times New Roman"/>
          <w:b/>
          <w:noProof/>
          <w:sz w:val="24"/>
          <w:szCs w:val="24"/>
          <w:lang w:eastAsia="es-ES"/>
        </w:rPr>
        <w:drawing>
          <wp:inline distT="0" distB="0" distL="0" distR="0" wp14:anchorId="436BD311" wp14:editId="2381F7EA">
            <wp:extent cx="5397500" cy="45593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400040" cy="4561446"/>
                    </a:xfrm>
                    <a:prstGeom prst="rect">
                      <a:avLst/>
                    </a:prstGeom>
                  </pic:spPr>
                </pic:pic>
              </a:graphicData>
            </a:graphic>
          </wp:inline>
        </w:drawing>
      </w:r>
    </w:p>
    <w:p w:rsidR="006E60A8" w:rsidRDefault="006E60A8" w:rsidP="006E60A8">
      <w:pPr>
        <w:jc w:val="both"/>
        <w:rPr>
          <w:rFonts w:ascii="Times New Roman" w:hAnsi="Times New Roman" w:cs="Times New Roman"/>
          <w:b/>
          <w:sz w:val="24"/>
          <w:szCs w:val="24"/>
        </w:rPr>
      </w:pPr>
      <w:r w:rsidRPr="006E60A8">
        <w:rPr>
          <w:rFonts w:ascii="Times New Roman" w:hAnsi="Times New Roman" w:cs="Times New Roman"/>
          <w:b/>
          <w:noProof/>
          <w:sz w:val="24"/>
          <w:szCs w:val="24"/>
          <w:lang w:eastAsia="es-ES"/>
        </w:rPr>
        <w:lastRenderedPageBreak/>
        <w:drawing>
          <wp:inline distT="0" distB="0" distL="0" distR="0" wp14:anchorId="0B4FE7A5" wp14:editId="25AD92AE">
            <wp:extent cx="5397500" cy="2603500"/>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00040" cy="2604725"/>
                    </a:xfrm>
                    <a:prstGeom prst="rect">
                      <a:avLst/>
                    </a:prstGeom>
                  </pic:spPr>
                </pic:pic>
              </a:graphicData>
            </a:graphic>
          </wp:inline>
        </w:drawing>
      </w:r>
    </w:p>
    <w:p w:rsidR="006E60A8" w:rsidRDefault="008D40FB" w:rsidP="006E60A8">
      <w:pPr>
        <w:jc w:val="both"/>
        <w:rPr>
          <w:rFonts w:ascii="Times New Roman" w:hAnsi="Times New Roman" w:cs="Times New Roman"/>
          <w:b/>
          <w:sz w:val="24"/>
          <w:szCs w:val="24"/>
        </w:rPr>
      </w:pPr>
      <w:r w:rsidRPr="008D40FB">
        <w:rPr>
          <w:rFonts w:ascii="Times New Roman" w:hAnsi="Times New Roman" w:cs="Times New Roman"/>
          <w:b/>
          <w:noProof/>
          <w:sz w:val="24"/>
          <w:szCs w:val="24"/>
          <w:lang w:eastAsia="es-ES"/>
        </w:rPr>
        <w:drawing>
          <wp:inline distT="0" distB="0" distL="0" distR="0" wp14:anchorId="46C65056" wp14:editId="5562D6CE">
            <wp:extent cx="5397500" cy="58102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00040" cy="5812985"/>
                    </a:xfrm>
                    <a:prstGeom prst="rect">
                      <a:avLst/>
                    </a:prstGeom>
                  </pic:spPr>
                </pic:pic>
              </a:graphicData>
            </a:graphic>
          </wp:inline>
        </w:drawing>
      </w:r>
    </w:p>
    <w:p w:rsidR="008D40FB" w:rsidRDefault="008D40FB" w:rsidP="006E60A8">
      <w:pPr>
        <w:jc w:val="both"/>
        <w:rPr>
          <w:rFonts w:ascii="Times New Roman" w:hAnsi="Times New Roman" w:cs="Times New Roman"/>
          <w:b/>
          <w:sz w:val="24"/>
          <w:szCs w:val="24"/>
        </w:rPr>
      </w:pPr>
      <w:r w:rsidRPr="008D40FB">
        <w:rPr>
          <w:rFonts w:ascii="Times New Roman" w:hAnsi="Times New Roman" w:cs="Times New Roman"/>
          <w:b/>
          <w:noProof/>
          <w:sz w:val="24"/>
          <w:szCs w:val="24"/>
          <w:lang w:eastAsia="es-ES"/>
        </w:rPr>
        <w:lastRenderedPageBreak/>
        <w:drawing>
          <wp:inline distT="0" distB="0" distL="0" distR="0" wp14:anchorId="63057B87" wp14:editId="72836186">
            <wp:extent cx="1930400" cy="298450"/>
            <wp:effectExtent l="0" t="0" r="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1945755" cy="300824"/>
                    </a:xfrm>
                    <a:prstGeom prst="rect">
                      <a:avLst/>
                    </a:prstGeom>
                  </pic:spPr>
                </pic:pic>
              </a:graphicData>
            </a:graphic>
          </wp:inline>
        </w:drawing>
      </w:r>
    </w:p>
    <w:p w:rsidR="008D40FB" w:rsidRDefault="008D40FB" w:rsidP="006E60A8">
      <w:pPr>
        <w:jc w:val="both"/>
        <w:rPr>
          <w:rFonts w:ascii="Times New Roman" w:hAnsi="Times New Roman" w:cs="Times New Roman"/>
          <w:b/>
          <w:sz w:val="24"/>
          <w:szCs w:val="24"/>
        </w:rPr>
      </w:pPr>
      <w:r w:rsidRPr="008D40FB">
        <w:rPr>
          <w:rFonts w:ascii="Times New Roman" w:hAnsi="Times New Roman" w:cs="Times New Roman"/>
          <w:b/>
          <w:noProof/>
          <w:sz w:val="24"/>
          <w:szCs w:val="24"/>
          <w:lang w:eastAsia="es-ES"/>
        </w:rPr>
        <w:drawing>
          <wp:inline distT="0" distB="0" distL="0" distR="0" wp14:anchorId="41B8F42D" wp14:editId="5CA76E50">
            <wp:extent cx="5400040" cy="5811856"/>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00040" cy="5811856"/>
                    </a:xfrm>
                    <a:prstGeom prst="rect">
                      <a:avLst/>
                    </a:prstGeom>
                  </pic:spPr>
                </pic:pic>
              </a:graphicData>
            </a:graphic>
          </wp:inline>
        </w:drawing>
      </w:r>
    </w:p>
    <w:p w:rsidR="008D40FB" w:rsidRDefault="008D40FB" w:rsidP="006E60A8">
      <w:pPr>
        <w:jc w:val="both"/>
        <w:rPr>
          <w:rFonts w:ascii="Times New Roman" w:hAnsi="Times New Roman" w:cs="Times New Roman"/>
          <w:b/>
          <w:sz w:val="24"/>
          <w:szCs w:val="24"/>
        </w:rPr>
      </w:pPr>
      <w:r w:rsidRPr="008D40FB">
        <w:rPr>
          <w:rFonts w:ascii="Times New Roman" w:hAnsi="Times New Roman" w:cs="Times New Roman"/>
          <w:b/>
          <w:noProof/>
          <w:sz w:val="24"/>
          <w:szCs w:val="24"/>
          <w:lang w:eastAsia="es-ES"/>
        </w:rPr>
        <w:drawing>
          <wp:inline distT="0" distB="0" distL="0" distR="0" wp14:anchorId="070B148A" wp14:editId="0D465628">
            <wp:extent cx="5400040" cy="1691943"/>
            <wp:effectExtent l="0" t="0" r="0" b="381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00040" cy="1691943"/>
                    </a:xfrm>
                    <a:prstGeom prst="rect">
                      <a:avLst/>
                    </a:prstGeom>
                  </pic:spPr>
                </pic:pic>
              </a:graphicData>
            </a:graphic>
          </wp:inline>
        </w:drawing>
      </w:r>
    </w:p>
    <w:p w:rsidR="009E56D9" w:rsidRDefault="009E56D9" w:rsidP="006E60A8">
      <w:pPr>
        <w:jc w:val="both"/>
        <w:rPr>
          <w:rFonts w:ascii="Times New Roman" w:hAnsi="Times New Roman" w:cs="Times New Roman"/>
          <w:b/>
          <w:sz w:val="24"/>
          <w:szCs w:val="24"/>
        </w:rPr>
      </w:pPr>
      <w:r w:rsidRPr="009E56D9">
        <w:rPr>
          <w:rFonts w:ascii="Times New Roman" w:hAnsi="Times New Roman" w:cs="Times New Roman"/>
          <w:b/>
          <w:noProof/>
          <w:sz w:val="24"/>
          <w:szCs w:val="24"/>
          <w:lang w:eastAsia="es-ES"/>
        </w:rPr>
        <w:drawing>
          <wp:inline distT="0" distB="0" distL="0" distR="0" wp14:anchorId="0D1085DF" wp14:editId="4DEC787A">
            <wp:extent cx="5327650" cy="501650"/>
            <wp:effectExtent l="0" t="0" r="635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30157" cy="501886"/>
                    </a:xfrm>
                    <a:prstGeom prst="rect">
                      <a:avLst/>
                    </a:prstGeom>
                  </pic:spPr>
                </pic:pic>
              </a:graphicData>
            </a:graphic>
          </wp:inline>
        </w:drawing>
      </w:r>
    </w:p>
    <w:p w:rsidR="008D40FB" w:rsidRDefault="008D40FB" w:rsidP="006E60A8">
      <w:pPr>
        <w:jc w:val="both"/>
        <w:rPr>
          <w:rFonts w:ascii="Times New Roman" w:hAnsi="Times New Roman" w:cs="Times New Roman"/>
          <w:b/>
          <w:sz w:val="24"/>
          <w:szCs w:val="24"/>
        </w:rPr>
      </w:pPr>
      <w:r w:rsidRPr="008D40FB">
        <w:rPr>
          <w:rFonts w:ascii="Times New Roman" w:hAnsi="Times New Roman" w:cs="Times New Roman"/>
          <w:b/>
          <w:noProof/>
          <w:sz w:val="24"/>
          <w:szCs w:val="24"/>
          <w:lang w:eastAsia="es-ES"/>
        </w:rPr>
        <w:lastRenderedPageBreak/>
        <w:drawing>
          <wp:inline distT="0" distB="0" distL="0" distR="0" wp14:anchorId="600D7EE2" wp14:editId="4DE2CD5C">
            <wp:extent cx="5588000" cy="79121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591567" cy="7917150"/>
                    </a:xfrm>
                    <a:prstGeom prst="rect">
                      <a:avLst/>
                    </a:prstGeom>
                  </pic:spPr>
                </pic:pic>
              </a:graphicData>
            </a:graphic>
          </wp:inline>
        </w:drawing>
      </w:r>
    </w:p>
    <w:p w:rsidR="008D40FB" w:rsidRDefault="008D40FB" w:rsidP="006E60A8">
      <w:pPr>
        <w:jc w:val="both"/>
        <w:rPr>
          <w:rFonts w:ascii="Times New Roman" w:hAnsi="Times New Roman" w:cs="Times New Roman"/>
          <w:b/>
          <w:sz w:val="24"/>
          <w:szCs w:val="24"/>
        </w:rPr>
      </w:pPr>
      <w:r w:rsidRPr="008D40FB">
        <w:rPr>
          <w:rFonts w:ascii="Times New Roman" w:hAnsi="Times New Roman" w:cs="Times New Roman"/>
          <w:b/>
          <w:noProof/>
          <w:sz w:val="24"/>
          <w:szCs w:val="24"/>
          <w:lang w:eastAsia="es-ES"/>
        </w:rPr>
        <w:drawing>
          <wp:inline distT="0" distB="0" distL="0" distR="0" wp14:anchorId="04D3C689" wp14:editId="2A68B4B2">
            <wp:extent cx="5400040" cy="740535"/>
            <wp:effectExtent l="0" t="0" r="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00040" cy="740535"/>
                    </a:xfrm>
                    <a:prstGeom prst="rect">
                      <a:avLst/>
                    </a:prstGeom>
                  </pic:spPr>
                </pic:pic>
              </a:graphicData>
            </a:graphic>
          </wp:inline>
        </w:drawing>
      </w:r>
    </w:p>
    <w:p w:rsidR="008D40FB" w:rsidRDefault="008D40FB" w:rsidP="006E60A8">
      <w:pPr>
        <w:jc w:val="both"/>
        <w:rPr>
          <w:rFonts w:ascii="Times New Roman" w:hAnsi="Times New Roman" w:cs="Times New Roman"/>
          <w:b/>
          <w:sz w:val="24"/>
          <w:szCs w:val="24"/>
        </w:rPr>
      </w:pPr>
      <w:r w:rsidRPr="008D40FB">
        <w:rPr>
          <w:rFonts w:ascii="Times New Roman" w:hAnsi="Times New Roman" w:cs="Times New Roman"/>
          <w:b/>
          <w:noProof/>
          <w:sz w:val="24"/>
          <w:szCs w:val="24"/>
          <w:lang w:eastAsia="es-ES"/>
        </w:rPr>
        <w:lastRenderedPageBreak/>
        <w:drawing>
          <wp:inline distT="0" distB="0" distL="0" distR="0" wp14:anchorId="39406DF2" wp14:editId="66439EDD">
            <wp:extent cx="5314950" cy="42862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317451" cy="4288267"/>
                    </a:xfrm>
                    <a:prstGeom prst="rect">
                      <a:avLst/>
                    </a:prstGeom>
                  </pic:spPr>
                </pic:pic>
              </a:graphicData>
            </a:graphic>
          </wp:inline>
        </w:drawing>
      </w:r>
    </w:p>
    <w:p w:rsidR="008D40FB" w:rsidRDefault="008D40FB" w:rsidP="006E60A8">
      <w:pPr>
        <w:jc w:val="both"/>
        <w:rPr>
          <w:rFonts w:ascii="Times New Roman" w:hAnsi="Times New Roman" w:cs="Times New Roman"/>
          <w:b/>
          <w:sz w:val="24"/>
          <w:szCs w:val="24"/>
        </w:rPr>
      </w:pPr>
      <w:r w:rsidRPr="008D40FB">
        <w:rPr>
          <w:rFonts w:ascii="Times New Roman" w:hAnsi="Times New Roman" w:cs="Times New Roman"/>
          <w:b/>
          <w:noProof/>
          <w:sz w:val="24"/>
          <w:szCs w:val="24"/>
          <w:lang w:eastAsia="es-ES"/>
        </w:rPr>
        <w:drawing>
          <wp:inline distT="0" distB="0" distL="0" distR="0" wp14:anchorId="4EE54A35" wp14:editId="77AB606A">
            <wp:extent cx="5400040" cy="4269956"/>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00040" cy="4269956"/>
                    </a:xfrm>
                    <a:prstGeom prst="rect">
                      <a:avLst/>
                    </a:prstGeom>
                  </pic:spPr>
                </pic:pic>
              </a:graphicData>
            </a:graphic>
          </wp:inline>
        </w:drawing>
      </w:r>
    </w:p>
    <w:p w:rsidR="009E56D9" w:rsidRDefault="009E56D9" w:rsidP="006E60A8">
      <w:pPr>
        <w:jc w:val="both"/>
        <w:rPr>
          <w:rFonts w:ascii="Times New Roman" w:hAnsi="Times New Roman" w:cs="Times New Roman"/>
          <w:b/>
          <w:sz w:val="24"/>
          <w:szCs w:val="24"/>
        </w:rPr>
      </w:pPr>
    </w:p>
    <w:p w:rsidR="009E56D9" w:rsidRDefault="009E56D9" w:rsidP="006E60A8">
      <w:pPr>
        <w:jc w:val="both"/>
        <w:rPr>
          <w:rFonts w:ascii="Times New Roman" w:hAnsi="Times New Roman" w:cs="Times New Roman"/>
          <w:b/>
          <w:sz w:val="24"/>
          <w:szCs w:val="24"/>
        </w:rPr>
      </w:pPr>
      <w:r w:rsidRPr="009E56D9">
        <w:rPr>
          <w:rFonts w:ascii="Times New Roman" w:hAnsi="Times New Roman" w:cs="Times New Roman"/>
          <w:b/>
          <w:noProof/>
          <w:sz w:val="24"/>
          <w:szCs w:val="24"/>
          <w:lang w:eastAsia="es-ES"/>
        </w:rPr>
        <w:drawing>
          <wp:inline distT="0" distB="0" distL="0" distR="0" wp14:anchorId="4EFCF024" wp14:editId="76712EB0">
            <wp:extent cx="5400040" cy="7821430"/>
            <wp:effectExtent l="0" t="0" r="0" b="825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00040" cy="7821430"/>
                    </a:xfrm>
                    <a:prstGeom prst="rect">
                      <a:avLst/>
                    </a:prstGeom>
                  </pic:spPr>
                </pic:pic>
              </a:graphicData>
            </a:graphic>
          </wp:inline>
        </w:drawing>
      </w:r>
    </w:p>
    <w:p w:rsidR="009E56D9" w:rsidRDefault="009E56D9" w:rsidP="006E60A8">
      <w:pPr>
        <w:jc w:val="both"/>
        <w:rPr>
          <w:rFonts w:ascii="Times New Roman" w:hAnsi="Times New Roman" w:cs="Times New Roman"/>
          <w:b/>
          <w:sz w:val="24"/>
          <w:szCs w:val="24"/>
        </w:rPr>
      </w:pPr>
    </w:p>
    <w:p w:rsidR="009E56D9" w:rsidRDefault="009E56D9" w:rsidP="006E60A8">
      <w:pPr>
        <w:jc w:val="both"/>
        <w:rPr>
          <w:rFonts w:ascii="Times New Roman" w:hAnsi="Times New Roman" w:cs="Times New Roman"/>
          <w:b/>
          <w:sz w:val="24"/>
          <w:szCs w:val="24"/>
        </w:rPr>
      </w:pPr>
    </w:p>
    <w:p w:rsidR="009E56D9" w:rsidRDefault="009E56D9" w:rsidP="006E60A8">
      <w:pPr>
        <w:jc w:val="both"/>
        <w:rPr>
          <w:rFonts w:ascii="Times New Roman" w:hAnsi="Times New Roman" w:cs="Times New Roman"/>
          <w:b/>
          <w:sz w:val="24"/>
          <w:szCs w:val="24"/>
        </w:rPr>
      </w:pPr>
      <w:r w:rsidRPr="009E56D9">
        <w:rPr>
          <w:rFonts w:ascii="Times New Roman" w:hAnsi="Times New Roman" w:cs="Times New Roman"/>
          <w:b/>
          <w:noProof/>
          <w:sz w:val="24"/>
          <w:szCs w:val="24"/>
          <w:lang w:eastAsia="es-ES"/>
        </w:rPr>
        <w:lastRenderedPageBreak/>
        <w:drawing>
          <wp:inline distT="0" distB="0" distL="0" distR="0" wp14:anchorId="62186465" wp14:editId="34130CB2">
            <wp:extent cx="5397169" cy="48450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00040" cy="4847627"/>
                    </a:xfrm>
                    <a:prstGeom prst="rect">
                      <a:avLst/>
                    </a:prstGeom>
                  </pic:spPr>
                </pic:pic>
              </a:graphicData>
            </a:graphic>
          </wp:inline>
        </w:drawing>
      </w:r>
    </w:p>
    <w:p w:rsidR="009E56D9" w:rsidRDefault="009E56D9" w:rsidP="006E60A8">
      <w:pPr>
        <w:jc w:val="both"/>
        <w:rPr>
          <w:rFonts w:ascii="Times New Roman" w:hAnsi="Times New Roman" w:cs="Times New Roman"/>
          <w:b/>
          <w:sz w:val="24"/>
          <w:szCs w:val="24"/>
        </w:rPr>
      </w:pPr>
      <w:r w:rsidRPr="009E56D9">
        <w:rPr>
          <w:rFonts w:ascii="Times New Roman" w:hAnsi="Times New Roman" w:cs="Times New Roman"/>
          <w:b/>
          <w:noProof/>
          <w:sz w:val="24"/>
          <w:szCs w:val="24"/>
          <w:lang w:eastAsia="es-ES"/>
        </w:rPr>
        <w:drawing>
          <wp:inline distT="0" distB="0" distL="0" distR="0" wp14:anchorId="2B4705F7" wp14:editId="2C128CCF">
            <wp:extent cx="5397500" cy="16192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00040" cy="1620012"/>
                    </a:xfrm>
                    <a:prstGeom prst="rect">
                      <a:avLst/>
                    </a:prstGeom>
                  </pic:spPr>
                </pic:pic>
              </a:graphicData>
            </a:graphic>
          </wp:inline>
        </w:drawing>
      </w:r>
    </w:p>
    <w:p w:rsidR="009E56D9" w:rsidRDefault="009E56D9" w:rsidP="006E60A8">
      <w:pPr>
        <w:jc w:val="both"/>
        <w:rPr>
          <w:rFonts w:ascii="Times New Roman" w:hAnsi="Times New Roman" w:cs="Times New Roman"/>
          <w:b/>
          <w:sz w:val="24"/>
          <w:szCs w:val="24"/>
        </w:rPr>
      </w:pPr>
      <w:r w:rsidRPr="009E56D9">
        <w:rPr>
          <w:rFonts w:ascii="Times New Roman" w:hAnsi="Times New Roman" w:cs="Times New Roman"/>
          <w:b/>
          <w:noProof/>
          <w:sz w:val="24"/>
          <w:szCs w:val="24"/>
          <w:lang w:eastAsia="es-ES"/>
        </w:rPr>
        <w:drawing>
          <wp:inline distT="0" distB="0" distL="0" distR="0" wp14:anchorId="6A378B1B" wp14:editId="5D9232A1">
            <wp:extent cx="5334000" cy="21018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336512" cy="2102840"/>
                    </a:xfrm>
                    <a:prstGeom prst="rect">
                      <a:avLst/>
                    </a:prstGeom>
                  </pic:spPr>
                </pic:pic>
              </a:graphicData>
            </a:graphic>
          </wp:inline>
        </w:drawing>
      </w:r>
    </w:p>
    <w:p w:rsidR="009E56D9" w:rsidRDefault="009E56D9" w:rsidP="006E60A8">
      <w:pPr>
        <w:jc w:val="both"/>
        <w:rPr>
          <w:rFonts w:ascii="Times New Roman" w:hAnsi="Times New Roman" w:cs="Times New Roman"/>
          <w:b/>
          <w:sz w:val="24"/>
          <w:szCs w:val="24"/>
        </w:rPr>
      </w:pPr>
      <w:r w:rsidRPr="009E56D9">
        <w:rPr>
          <w:rFonts w:ascii="Times New Roman" w:hAnsi="Times New Roman" w:cs="Times New Roman"/>
          <w:b/>
          <w:noProof/>
          <w:sz w:val="24"/>
          <w:szCs w:val="24"/>
          <w:lang w:eastAsia="es-ES"/>
        </w:rPr>
        <w:lastRenderedPageBreak/>
        <w:drawing>
          <wp:inline distT="0" distB="0" distL="0" distR="0" wp14:anchorId="7674988E" wp14:editId="703BE606">
            <wp:extent cx="5400040" cy="15299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00040" cy="1529950"/>
                    </a:xfrm>
                    <a:prstGeom prst="rect">
                      <a:avLst/>
                    </a:prstGeom>
                  </pic:spPr>
                </pic:pic>
              </a:graphicData>
            </a:graphic>
          </wp:inline>
        </w:drawing>
      </w:r>
    </w:p>
    <w:p w:rsidR="00F37162" w:rsidRDefault="00F37162" w:rsidP="006E60A8">
      <w:pPr>
        <w:jc w:val="both"/>
        <w:rPr>
          <w:rFonts w:ascii="Times New Roman" w:hAnsi="Times New Roman" w:cs="Times New Roman"/>
          <w:b/>
          <w:sz w:val="24"/>
          <w:szCs w:val="24"/>
        </w:rPr>
      </w:pPr>
      <w:r w:rsidRPr="00F37162">
        <w:rPr>
          <w:rFonts w:ascii="Times New Roman" w:hAnsi="Times New Roman" w:cs="Times New Roman"/>
          <w:b/>
          <w:noProof/>
          <w:sz w:val="24"/>
          <w:szCs w:val="24"/>
          <w:lang w:eastAsia="es-ES"/>
        </w:rPr>
        <w:drawing>
          <wp:inline distT="0" distB="0" distL="0" distR="0" wp14:anchorId="3B6E6F96" wp14:editId="79EE035D">
            <wp:extent cx="5400040" cy="2319365"/>
            <wp:effectExtent l="0" t="0" r="0" b="508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00040" cy="2319365"/>
                    </a:xfrm>
                    <a:prstGeom prst="rect">
                      <a:avLst/>
                    </a:prstGeom>
                  </pic:spPr>
                </pic:pic>
              </a:graphicData>
            </a:graphic>
          </wp:inline>
        </w:drawing>
      </w:r>
    </w:p>
    <w:p w:rsidR="00F37162" w:rsidRDefault="00F37162" w:rsidP="006E60A8">
      <w:pPr>
        <w:jc w:val="both"/>
        <w:rPr>
          <w:rFonts w:ascii="Times New Roman" w:hAnsi="Times New Roman" w:cs="Times New Roman"/>
          <w:b/>
          <w:sz w:val="24"/>
          <w:szCs w:val="24"/>
        </w:rPr>
      </w:pPr>
      <w:r w:rsidRPr="00F37162">
        <w:rPr>
          <w:rFonts w:ascii="Times New Roman" w:hAnsi="Times New Roman" w:cs="Times New Roman"/>
          <w:b/>
          <w:noProof/>
          <w:sz w:val="24"/>
          <w:szCs w:val="24"/>
          <w:lang w:eastAsia="es-ES"/>
        </w:rPr>
        <w:drawing>
          <wp:inline distT="0" distB="0" distL="0" distR="0" wp14:anchorId="605880D8" wp14:editId="00A9F66E">
            <wp:extent cx="5400040" cy="2896152"/>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00040" cy="2896152"/>
                    </a:xfrm>
                    <a:prstGeom prst="rect">
                      <a:avLst/>
                    </a:prstGeom>
                  </pic:spPr>
                </pic:pic>
              </a:graphicData>
            </a:graphic>
          </wp:inline>
        </w:drawing>
      </w: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r w:rsidRPr="00F37162">
        <w:rPr>
          <w:rFonts w:ascii="Times New Roman" w:hAnsi="Times New Roman" w:cs="Times New Roman"/>
          <w:b/>
          <w:noProof/>
          <w:sz w:val="24"/>
          <w:szCs w:val="24"/>
          <w:lang w:eastAsia="es-ES"/>
        </w:rPr>
        <w:drawing>
          <wp:inline distT="0" distB="0" distL="0" distR="0" wp14:anchorId="04675824" wp14:editId="6E37A143">
            <wp:extent cx="5400040" cy="6870112"/>
            <wp:effectExtent l="0" t="0" r="0" b="698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00040" cy="6870112"/>
                    </a:xfrm>
                    <a:prstGeom prst="rect">
                      <a:avLst/>
                    </a:prstGeom>
                  </pic:spPr>
                </pic:pic>
              </a:graphicData>
            </a:graphic>
          </wp:inline>
        </w:drawing>
      </w: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r w:rsidRPr="00F37162">
        <w:rPr>
          <w:rFonts w:ascii="Times New Roman" w:hAnsi="Times New Roman" w:cs="Times New Roman"/>
          <w:b/>
          <w:noProof/>
          <w:sz w:val="24"/>
          <w:szCs w:val="24"/>
          <w:lang w:eastAsia="es-ES"/>
        </w:rPr>
        <w:drawing>
          <wp:inline distT="0" distB="0" distL="0" distR="0" wp14:anchorId="458F33E6" wp14:editId="7F5B8F15">
            <wp:extent cx="5400040" cy="7729792"/>
            <wp:effectExtent l="0" t="0" r="0" b="508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00040" cy="7729792"/>
                    </a:xfrm>
                    <a:prstGeom prst="rect">
                      <a:avLst/>
                    </a:prstGeom>
                  </pic:spPr>
                </pic:pic>
              </a:graphicData>
            </a:graphic>
          </wp:inline>
        </w:drawing>
      </w: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p>
    <w:p w:rsidR="00F37162" w:rsidRDefault="00F37162" w:rsidP="006E60A8">
      <w:pPr>
        <w:jc w:val="both"/>
        <w:rPr>
          <w:rFonts w:ascii="Times New Roman" w:hAnsi="Times New Roman" w:cs="Times New Roman"/>
          <w:b/>
          <w:sz w:val="24"/>
          <w:szCs w:val="24"/>
        </w:rPr>
      </w:pPr>
      <w:r w:rsidRPr="00F37162">
        <w:rPr>
          <w:rFonts w:ascii="Times New Roman" w:hAnsi="Times New Roman" w:cs="Times New Roman"/>
          <w:b/>
          <w:noProof/>
          <w:sz w:val="24"/>
          <w:szCs w:val="24"/>
          <w:lang w:eastAsia="es-ES"/>
        </w:rPr>
        <w:lastRenderedPageBreak/>
        <w:drawing>
          <wp:inline distT="0" distB="0" distL="0" distR="0" wp14:anchorId="208A99EC" wp14:editId="26E35FC1">
            <wp:extent cx="5276850" cy="67500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81439" cy="6755920"/>
                    </a:xfrm>
                    <a:prstGeom prst="rect">
                      <a:avLst/>
                    </a:prstGeom>
                  </pic:spPr>
                </pic:pic>
              </a:graphicData>
            </a:graphic>
          </wp:inline>
        </w:drawing>
      </w:r>
    </w:p>
    <w:p w:rsidR="00F37162" w:rsidRDefault="00F37162" w:rsidP="006E60A8">
      <w:pPr>
        <w:jc w:val="both"/>
        <w:rPr>
          <w:rFonts w:ascii="Times New Roman" w:hAnsi="Times New Roman" w:cs="Times New Roman"/>
          <w:b/>
          <w:sz w:val="24"/>
          <w:szCs w:val="24"/>
        </w:rPr>
      </w:pPr>
      <w:r w:rsidRPr="00F37162">
        <w:rPr>
          <w:rFonts w:ascii="Times New Roman" w:hAnsi="Times New Roman" w:cs="Times New Roman"/>
          <w:b/>
          <w:noProof/>
          <w:sz w:val="24"/>
          <w:szCs w:val="24"/>
          <w:lang w:eastAsia="es-ES"/>
        </w:rPr>
        <w:drawing>
          <wp:inline distT="0" distB="0" distL="0" distR="0" wp14:anchorId="329538CB" wp14:editId="4C616891">
            <wp:extent cx="5390755" cy="1892300"/>
            <wp:effectExtent l="0" t="0" r="63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00040" cy="1895559"/>
                    </a:xfrm>
                    <a:prstGeom prst="rect">
                      <a:avLst/>
                    </a:prstGeom>
                  </pic:spPr>
                </pic:pic>
              </a:graphicData>
            </a:graphic>
          </wp:inline>
        </w:drawing>
      </w:r>
    </w:p>
    <w:p w:rsidR="00F37162" w:rsidRDefault="00F37162" w:rsidP="006E60A8">
      <w:pPr>
        <w:jc w:val="both"/>
        <w:rPr>
          <w:rFonts w:ascii="Times New Roman" w:hAnsi="Times New Roman" w:cs="Times New Roman"/>
          <w:b/>
          <w:sz w:val="24"/>
          <w:szCs w:val="24"/>
        </w:rPr>
      </w:pPr>
      <w:r w:rsidRPr="00F37162">
        <w:rPr>
          <w:rFonts w:ascii="Times New Roman" w:hAnsi="Times New Roman" w:cs="Times New Roman"/>
          <w:b/>
          <w:noProof/>
          <w:sz w:val="24"/>
          <w:szCs w:val="24"/>
          <w:lang w:eastAsia="es-ES"/>
        </w:rPr>
        <w:lastRenderedPageBreak/>
        <w:drawing>
          <wp:inline distT="0" distB="0" distL="0" distR="0" wp14:anchorId="3A6484F2" wp14:editId="0D3B6587">
            <wp:extent cx="5400040" cy="1994312"/>
            <wp:effectExtent l="0" t="0" r="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00040" cy="1994312"/>
                    </a:xfrm>
                    <a:prstGeom prst="rect">
                      <a:avLst/>
                    </a:prstGeom>
                  </pic:spPr>
                </pic:pic>
              </a:graphicData>
            </a:graphic>
          </wp:inline>
        </w:drawing>
      </w:r>
    </w:p>
    <w:p w:rsidR="00F37162" w:rsidRDefault="00341B2D" w:rsidP="006E60A8">
      <w:pPr>
        <w:jc w:val="both"/>
        <w:rPr>
          <w:rFonts w:ascii="Times New Roman" w:hAnsi="Times New Roman" w:cs="Times New Roman"/>
          <w:b/>
          <w:sz w:val="24"/>
          <w:szCs w:val="24"/>
        </w:rPr>
      </w:pPr>
      <w:r w:rsidRPr="00341B2D">
        <w:rPr>
          <w:rFonts w:ascii="Times New Roman" w:hAnsi="Times New Roman" w:cs="Times New Roman"/>
          <w:b/>
          <w:noProof/>
          <w:sz w:val="24"/>
          <w:szCs w:val="24"/>
          <w:lang w:eastAsia="es-ES"/>
        </w:rPr>
        <w:drawing>
          <wp:inline distT="0" distB="0" distL="0" distR="0" wp14:anchorId="0FF16DF1" wp14:editId="3600226B">
            <wp:extent cx="5400040" cy="5001055"/>
            <wp:effectExtent l="0" t="0" r="0"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00040" cy="5001055"/>
                    </a:xfrm>
                    <a:prstGeom prst="rect">
                      <a:avLst/>
                    </a:prstGeom>
                  </pic:spPr>
                </pic:pic>
              </a:graphicData>
            </a:graphic>
          </wp:inline>
        </w:drawing>
      </w:r>
    </w:p>
    <w:p w:rsidR="00341B2D" w:rsidRDefault="00341B2D" w:rsidP="006E60A8">
      <w:pPr>
        <w:jc w:val="both"/>
        <w:rPr>
          <w:rFonts w:ascii="Times New Roman" w:hAnsi="Times New Roman" w:cs="Times New Roman"/>
          <w:b/>
          <w:sz w:val="24"/>
          <w:szCs w:val="24"/>
        </w:rPr>
      </w:pPr>
      <w:r w:rsidRPr="00341B2D">
        <w:rPr>
          <w:rFonts w:ascii="Times New Roman" w:hAnsi="Times New Roman" w:cs="Times New Roman"/>
          <w:b/>
          <w:noProof/>
          <w:sz w:val="24"/>
          <w:szCs w:val="24"/>
          <w:lang w:eastAsia="es-ES"/>
        </w:rPr>
        <w:drawing>
          <wp:inline distT="0" distB="0" distL="0" distR="0" wp14:anchorId="75108096" wp14:editId="3B8F6DA9">
            <wp:extent cx="5400040" cy="837684"/>
            <wp:effectExtent l="0" t="0" r="0" b="63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00040" cy="837684"/>
                    </a:xfrm>
                    <a:prstGeom prst="rect">
                      <a:avLst/>
                    </a:prstGeom>
                  </pic:spPr>
                </pic:pic>
              </a:graphicData>
            </a:graphic>
          </wp:inline>
        </w:drawing>
      </w:r>
    </w:p>
    <w:p w:rsidR="00341B2D" w:rsidRDefault="00341B2D" w:rsidP="006E60A8">
      <w:pPr>
        <w:jc w:val="both"/>
        <w:rPr>
          <w:rFonts w:ascii="Times New Roman" w:hAnsi="Times New Roman" w:cs="Times New Roman"/>
          <w:b/>
          <w:sz w:val="24"/>
          <w:szCs w:val="24"/>
        </w:rPr>
      </w:pPr>
    </w:p>
    <w:p w:rsidR="00341B2D" w:rsidRDefault="00341B2D" w:rsidP="006E60A8">
      <w:pPr>
        <w:jc w:val="both"/>
        <w:rPr>
          <w:rFonts w:ascii="Times New Roman" w:hAnsi="Times New Roman" w:cs="Times New Roman"/>
          <w:b/>
          <w:sz w:val="24"/>
          <w:szCs w:val="24"/>
        </w:rPr>
      </w:pPr>
    </w:p>
    <w:p w:rsidR="00341B2D" w:rsidRDefault="00341B2D" w:rsidP="006E60A8">
      <w:pPr>
        <w:jc w:val="both"/>
        <w:rPr>
          <w:rFonts w:ascii="Times New Roman" w:hAnsi="Times New Roman" w:cs="Times New Roman"/>
          <w:b/>
          <w:sz w:val="24"/>
          <w:szCs w:val="24"/>
        </w:rPr>
      </w:pPr>
      <w:r w:rsidRPr="00341B2D">
        <w:rPr>
          <w:rFonts w:ascii="Times New Roman" w:hAnsi="Times New Roman" w:cs="Times New Roman"/>
          <w:b/>
          <w:noProof/>
          <w:sz w:val="24"/>
          <w:szCs w:val="24"/>
          <w:lang w:eastAsia="es-ES"/>
        </w:rPr>
        <w:lastRenderedPageBreak/>
        <w:drawing>
          <wp:inline distT="0" distB="0" distL="0" distR="0" wp14:anchorId="28DF341D" wp14:editId="3334BF0E">
            <wp:extent cx="5400040" cy="2438511"/>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00040" cy="2438511"/>
                    </a:xfrm>
                    <a:prstGeom prst="rect">
                      <a:avLst/>
                    </a:prstGeom>
                  </pic:spPr>
                </pic:pic>
              </a:graphicData>
            </a:graphic>
          </wp:inline>
        </w:drawing>
      </w:r>
    </w:p>
    <w:p w:rsidR="00341B2D" w:rsidRDefault="00341B2D" w:rsidP="006E60A8">
      <w:pPr>
        <w:jc w:val="both"/>
        <w:rPr>
          <w:rFonts w:ascii="Times New Roman" w:hAnsi="Times New Roman" w:cs="Times New Roman"/>
          <w:b/>
          <w:sz w:val="24"/>
          <w:szCs w:val="24"/>
        </w:rPr>
      </w:pPr>
      <w:r w:rsidRPr="00341B2D">
        <w:rPr>
          <w:rFonts w:ascii="Times New Roman" w:hAnsi="Times New Roman" w:cs="Times New Roman"/>
          <w:b/>
          <w:noProof/>
          <w:sz w:val="24"/>
          <w:szCs w:val="24"/>
          <w:lang w:eastAsia="es-ES"/>
        </w:rPr>
        <w:drawing>
          <wp:inline distT="0" distB="0" distL="0" distR="0" wp14:anchorId="17B65D85" wp14:editId="52273177">
            <wp:extent cx="5400040" cy="3887198"/>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00040" cy="3887198"/>
                    </a:xfrm>
                    <a:prstGeom prst="rect">
                      <a:avLst/>
                    </a:prstGeom>
                  </pic:spPr>
                </pic:pic>
              </a:graphicData>
            </a:graphic>
          </wp:inline>
        </w:drawing>
      </w:r>
    </w:p>
    <w:p w:rsidR="00341B2D" w:rsidRDefault="00341B2D" w:rsidP="006E60A8">
      <w:pPr>
        <w:jc w:val="both"/>
        <w:rPr>
          <w:rFonts w:ascii="Times New Roman" w:hAnsi="Times New Roman" w:cs="Times New Roman"/>
          <w:b/>
          <w:sz w:val="24"/>
          <w:szCs w:val="24"/>
        </w:rPr>
      </w:pPr>
      <w:r w:rsidRPr="00341B2D">
        <w:rPr>
          <w:rFonts w:ascii="Times New Roman" w:hAnsi="Times New Roman" w:cs="Times New Roman"/>
          <w:b/>
          <w:noProof/>
          <w:sz w:val="24"/>
          <w:szCs w:val="24"/>
          <w:lang w:eastAsia="es-ES"/>
        </w:rPr>
        <w:drawing>
          <wp:inline distT="0" distB="0" distL="0" distR="0" wp14:anchorId="627BCEA9" wp14:editId="3AD4D74E">
            <wp:extent cx="5400040" cy="1088806"/>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00040" cy="1088806"/>
                    </a:xfrm>
                    <a:prstGeom prst="rect">
                      <a:avLst/>
                    </a:prstGeom>
                  </pic:spPr>
                </pic:pic>
              </a:graphicData>
            </a:graphic>
          </wp:inline>
        </w:drawing>
      </w:r>
    </w:p>
    <w:p w:rsidR="00341B2D" w:rsidRDefault="00341B2D" w:rsidP="006E60A8">
      <w:pPr>
        <w:jc w:val="both"/>
        <w:rPr>
          <w:rFonts w:ascii="Times New Roman" w:hAnsi="Times New Roman" w:cs="Times New Roman"/>
          <w:b/>
          <w:sz w:val="24"/>
          <w:szCs w:val="24"/>
        </w:rPr>
      </w:pPr>
      <w:r w:rsidRPr="00341B2D">
        <w:rPr>
          <w:rFonts w:ascii="Times New Roman" w:hAnsi="Times New Roman" w:cs="Times New Roman"/>
          <w:b/>
          <w:noProof/>
          <w:sz w:val="24"/>
          <w:szCs w:val="24"/>
          <w:lang w:eastAsia="es-ES"/>
        </w:rPr>
        <w:lastRenderedPageBreak/>
        <w:drawing>
          <wp:inline distT="0" distB="0" distL="0" distR="0" wp14:anchorId="7ACB34E7" wp14:editId="450F4E8C">
            <wp:extent cx="5397500" cy="50927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00040" cy="5095097"/>
                    </a:xfrm>
                    <a:prstGeom prst="rect">
                      <a:avLst/>
                    </a:prstGeom>
                  </pic:spPr>
                </pic:pic>
              </a:graphicData>
            </a:graphic>
          </wp:inline>
        </w:drawing>
      </w:r>
    </w:p>
    <w:p w:rsidR="00341B2D" w:rsidRDefault="00341B2D"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341B2D" w:rsidRDefault="000A4EA8" w:rsidP="006E60A8">
      <w:pPr>
        <w:jc w:val="both"/>
        <w:rPr>
          <w:rFonts w:ascii="Times New Roman" w:hAnsi="Times New Roman" w:cs="Times New Roman"/>
          <w:b/>
          <w:sz w:val="24"/>
          <w:szCs w:val="24"/>
        </w:rPr>
      </w:pPr>
      <w:r w:rsidRPr="000A4EA8">
        <w:rPr>
          <w:rFonts w:ascii="Times New Roman" w:hAnsi="Times New Roman" w:cs="Times New Roman"/>
          <w:b/>
          <w:noProof/>
          <w:sz w:val="24"/>
          <w:szCs w:val="24"/>
          <w:lang w:eastAsia="es-ES"/>
        </w:rPr>
        <w:drawing>
          <wp:inline distT="0" distB="0" distL="0" distR="0" wp14:anchorId="25DD1D3E" wp14:editId="511FEA1C">
            <wp:extent cx="5397499" cy="3213100"/>
            <wp:effectExtent l="0" t="0" r="0" b="63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00040" cy="3214612"/>
                    </a:xfrm>
                    <a:prstGeom prst="rect">
                      <a:avLst/>
                    </a:prstGeom>
                  </pic:spPr>
                </pic:pic>
              </a:graphicData>
            </a:graphic>
          </wp:inline>
        </w:drawing>
      </w:r>
    </w:p>
    <w:p w:rsidR="000A4EA8" w:rsidRDefault="000A4EA8" w:rsidP="006E60A8">
      <w:pPr>
        <w:jc w:val="both"/>
        <w:rPr>
          <w:rFonts w:ascii="Times New Roman" w:hAnsi="Times New Roman" w:cs="Times New Roman"/>
          <w:b/>
          <w:sz w:val="24"/>
          <w:szCs w:val="24"/>
        </w:rPr>
      </w:pPr>
      <w:r w:rsidRPr="000A4EA8">
        <w:rPr>
          <w:rFonts w:ascii="Times New Roman" w:hAnsi="Times New Roman" w:cs="Times New Roman"/>
          <w:b/>
          <w:noProof/>
          <w:sz w:val="24"/>
          <w:szCs w:val="24"/>
          <w:lang w:eastAsia="es-ES"/>
        </w:rPr>
        <w:lastRenderedPageBreak/>
        <w:drawing>
          <wp:inline distT="0" distB="0" distL="0" distR="0" wp14:anchorId="79D5AA54" wp14:editId="2793AC08">
            <wp:extent cx="5400040" cy="575381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00040" cy="5753810"/>
                    </a:xfrm>
                    <a:prstGeom prst="rect">
                      <a:avLst/>
                    </a:prstGeom>
                  </pic:spPr>
                </pic:pic>
              </a:graphicData>
            </a:graphic>
          </wp:inline>
        </w:drawing>
      </w:r>
    </w:p>
    <w:p w:rsidR="000A4EA8" w:rsidRDefault="000A4EA8" w:rsidP="006E60A8">
      <w:pPr>
        <w:jc w:val="both"/>
        <w:rPr>
          <w:rFonts w:ascii="Times New Roman" w:hAnsi="Times New Roman" w:cs="Times New Roman"/>
          <w:b/>
          <w:sz w:val="24"/>
          <w:szCs w:val="24"/>
        </w:rPr>
      </w:pPr>
      <w:r w:rsidRPr="000A4EA8">
        <w:rPr>
          <w:rFonts w:ascii="Times New Roman" w:hAnsi="Times New Roman" w:cs="Times New Roman"/>
          <w:b/>
          <w:noProof/>
          <w:sz w:val="24"/>
          <w:szCs w:val="24"/>
          <w:lang w:eastAsia="es-ES"/>
        </w:rPr>
        <w:drawing>
          <wp:inline distT="0" distB="0" distL="0" distR="0" wp14:anchorId="76DA48CD" wp14:editId="37CA6862">
            <wp:extent cx="5400040" cy="1963151"/>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00040" cy="1963151"/>
                    </a:xfrm>
                    <a:prstGeom prst="rect">
                      <a:avLst/>
                    </a:prstGeom>
                  </pic:spPr>
                </pic:pic>
              </a:graphicData>
            </a:graphic>
          </wp:inline>
        </w:drawing>
      </w:r>
    </w:p>
    <w:p w:rsidR="000A4EA8" w:rsidRDefault="000A4EA8" w:rsidP="006E60A8">
      <w:pPr>
        <w:jc w:val="both"/>
        <w:rPr>
          <w:rFonts w:ascii="Times New Roman" w:hAnsi="Times New Roman" w:cs="Times New Roman"/>
          <w:b/>
          <w:sz w:val="24"/>
          <w:szCs w:val="24"/>
        </w:rPr>
      </w:pPr>
    </w:p>
    <w:p w:rsidR="000A4EA8" w:rsidRDefault="000A4EA8" w:rsidP="006E60A8">
      <w:pPr>
        <w:jc w:val="both"/>
        <w:rPr>
          <w:rFonts w:ascii="Times New Roman" w:hAnsi="Times New Roman" w:cs="Times New Roman"/>
          <w:b/>
          <w:sz w:val="24"/>
          <w:szCs w:val="24"/>
        </w:rPr>
      </w:pPr>
    </w:p>
    <w:p w:rsidR="000A4EA8" w:rsidRDefault="000A4EA8" w:rsidP="006E60A8">
      <w:pPr>
        <w:jc w:val="both"/>
        <w:rPr>
          <w:rFonts w:ascii="Times New Roman" w:hAnsi="Times New Roman" w:cs="Times New Roman"/>
          <w:b/>
          <w:sz w:val="24"/>
          <w:szCs w:val="24"/>
        </w:rPr>
      </w:pPr>
    </w:p>
    <w:p w:rsidR="000A4EA8" w:rsidRDefault="000A4EA8" w:rsidP="006E60A8">
      <w:pPr>
        <w:jc w:val="both"/>
        <w:rPr>
          <w:rFonts w:ascii="Times New Roman" w:hAnsi="Times New Roman" w:cs="Times New Roman"/>
          <w:b/>
          <w:sz w:val="24"/>
          <w:szCs w:val="24"/>
        </w:rPr>
      </w:pPr>
    </w:p>
    <w:p w:rsidR="000A4EA8" w:rsidRDefault="000A4EA8" w:rsidP="006E60A8">
      <w:pPr>
        <w:jc w:val="both"/>
        <w:rPr>
          <w:rFonts w:ascii="Times New Roman" w:hAnsi="Times New Roman" w:cs="Times New Roman"/>
          <w:b/>
          <w:sz w:val="24"/>
          <w:szCs w:val="24"/>
        </w:rPr>
      </w:pPr>
      <w:r w:rsidRPr="000A4EA8">
        <w:rPr>
          <w:rFonts w:ascii="Times New Roman" w:hAnsi="Times New Roman" w:cs="Times New Roman"/>
          <w:b/>
          <w:noProof/>
          <w:sz w:val="24"/>
          <w:szCs w:val="24"/>
          <w:lang w:eastAsia="es-ES"/>
        </w:rPr>
        <w:drawing>
          <wp:inline distT="0" distB="0" distL="0" distR="0" wp14:anchorId="599AB17B" wp14:editId="10DC452E">
            <wp:extent cx="5400040" cy="7590484"/>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400040" cy="7590484"/>
                    </a:xfrm>
                    <a:prstGeom prst="rect">
                      <a:avLst/>
                    </a:prstGeom>
                  </pic:spPr>
                </pic:pic>
              </a:graphicData>
            </a:graphic>
          </wp:inline>
        </w:drawing>
      </w:r>
    </w:p>
    <w:p w:rsidR="000A4EA8" w:rsidRDefault="000A4EA8"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0A4EA8" w:rsidRDefault="000A4EA8" w:rsidP="006E60A8">
      <w:pPr>
        <w:jc w:val="both"/>
        <w:rPr>
          <w:rFonts w:ascii="Times New Roman" w:hAnsi="Times New Roman" w:cs="Times New Roman"/>
          <w:b/>
          <w:sz w:val="24"/>
          <w:szCs w:val="24"/>
        </w:rPr>
      </w:pPr>
      <w:r w:rsidRPr="000A4EA8">
        <w:rPr>
          <w:rFonts w:ascii="Times New Roman" w:hAnsi="Times New Roman" w:cs="Times New Roman"/>
          <w:b/>
          <w:noProof/>
          <w:sz w:val="24"/>
          <w:szCs w:val="24"/>
          <w:lang w:eastAsia="es-ES"/>
        </w:rPr>
        <w:lastRenderedPageBreak/>
        <w:drawing>
          <wp:inline distT="0" distB="0" distL="0" distR="0" wp14:anchorId="184238FB" wp14:editId="50DC5940">
            <wp:extent cx="5400040" cy="6084363"/>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400040" cy="6084363"/>
                    </a:xfrm>
                    <a:prstGeom prst="rect">
                      <a:avLst/>
                    </a:prstGeom>
                  </pic:spPr>
                </pic:pic>
              </a:graphicData>
            </a:graphic>
          </wp:inline>
        </w:drawing>
      </w:r>
    </w:p>
    <w:p w:rsidR="000A4EA8" w:rsidRDefault="000A4EA8"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0A4EA8" w:rsidRDefault="000A4EA8" w:rsidP="006E60A8">
      <w:pPr>
        <w:jc w:val="both"/>
        <w:rPr>
          <w:rFonts w:ascii="Times New Roman" w:hAnsi="Times New Roman" w:cs="Times New Roman"/>
          <w:b/>
          <w:sz w:val="24"/>
          <w:szCs w:val="24"/>
        </w:rPr>
      </w:pPr>
      <w:r w:rsidRPr="000A4EA8">
        <w:rPr>
          <w:rFonts w:ascii="Times New Roman" w:hAnsi="Times New Roman" w:cs="Times New Roman"/>
          <w:b/>
          <w:noProof/>
          <w:sz w:val="24"/>
          <w:szCs w:val="24"/>
          <w:lang w:eastAsia="es-ES"/>
        </w:rPr>
        <w:drawing>
          <wp:inline distT="0" distB="0" distL="0" distR="0" wp14:anchorId="4F21586E" wp14:editId="29E9FC5A">
            <wp:extent cx="5400040" cy="1527506"/>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400040" cy="1527506"/>
                    </a:xfrm>
                    <a:prstGeom prst="rect">
                      <a:avLst/>
                    </a:prstGeom>
                  </pic:spPr>
                </pic:pic>
              </a:graphicData>
            </a:graphic>
          </wp:inline>
        </w:drawing>
      </w:r>
    </w:p>
    <w:p w:rsidR="008205AC" w:rsidRDefault="008205AC"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8205AC" w:rsidRDefault="008205AC" w:rsidP="006E60A8">
      <w:pPr>
        <w:jc w:val="both"/>
        <w:rPr>
          <w:rFonts w:ascii="Times New Roman" w:hAnsi="Times New Roman" w:cs="Times New Roman"/>
          <w:b/>
          <w:sz w:val="24"/>
          <w:szCs w:val="24"/>
        </w:rPr>
      </w:pPr>
    </w:p>
    <w:p w:rsidR="008205AC" w:rsidRDefault="008205AC" w:rsidP="006E60A8">
      <w:pPr>
        <w:jc w:val="both"/>
        <w:rPr>
          <w:rFonts w:ascii="Times New Roman" w:hAnsi="Times New Roman" w:cs="Times New Roman"/>
          <w:b/>
          <w:sz w:val="24"/>
          <w:szCs w:val="24"/>
        </w:rPr>
      </w:pPr>
      <w:r w:rsidRPr="008205AC">
        <w:rPr>
          <w:rFonts w:ascii="Times New Roman" w:hAnsi="Times New Roman" w:cs="Times New Roman"/>
          <w:b/>
          <w:noProof/>
          <w:sz w:val="24"/>
          <w:szCs w:val="24"/>
          <w:lang w:eastAsia="es-ES"/>
        </w:rPr>
        <w:lastRenderedPageBreak/>
        <w:drawing>
          <wp:inline distT="0" distB="0" distL="0" distR="0" wp14:anchorId="3F2EB41A" wp14:editId="4C44F9A7">
            <wp:extent cx="5400040" cy="1063385"/>
            <wp:effectExtent l="0" t="0" r="0" b="381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00040" cy="1063385"/>
                    </a:xfrm>
                    <a:prstGeom prst="rect">
                      <a:avLst/>
                    </a:prstGeom>
                  </pic:spPr>
                </pic:pic>
              </a:graphicData>
            </a:graphic>
          </wp:inline>
        </w:drawing>
      </w:r>
    </w:p>
    <w:p w:rsidR="008205AC" w:rsidRDefault="008205AC"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8205AC" w:rsidRDefault="008205AC" w:rsidP="006E60A8">
      <w:pPr>
        <w:jc w:val="both"/>
        <w:rPr>
          <w:rFonts w:ascii="Times New Roman" w:hAnsi="Times New Roman" w:cs="Times New Roman"/>
          <w:b/>
          <w:sz w:val="24"/>
          <w:szCs w:val="24"/>
        </w:rPr>
      </w:pPr>
      <w:r w:rsidRPr="008205AC">
        <w:rPr>
          <w:rFonts w:ascii="Times New Roman" w:hAnsi="Times New Roman" w:cs="Times New Roman"/>
          <w:b/>
          <w:noProof/>
          <w:sz w:val="24"/>
          <w:szCs w:val="24"/>
          <w:lang w:eastAsia="es-ES"/>
        </w:rPr>
        <w:drawing>
          <wp:inline distT="0" distB="0" distL="0" distR="0" wp14:anchorId="6A773AF9" wp14:editId="5509DE1B">
            <wp:extent cx="5400040" cy="1476843"/>
            <wp:effectExtent l="0" t="0" r="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400040" cy="1476843"/>
                    </a:xfrm>
                    <a:prstGeom prst="rect">
                      <a:avLst/>
                    </a:prstGeom>
                  </pic:spPr>
                </pic:pic>
              </a:graphicData>
            </a:graphic>
          </wp:inline>
        </w:drawing>
      </w:r>
    </w:p>
    <w:p w:rsidR="008205AC" w:rsidRDefault="008205AC" w:rsidP="006E60A8">
      <w:pPr>
        <w:jc w:val="both"/>
        <w:rPr>
          <w:rFonts w:ascii="Times New Roman" w:hAnsi="Times New Roman" w:cs="Times New Roman"/>
          <w:b/>
          <w:sz w:val="24"/>
          <w:szCs w:val="24"/>
        </w:rPr>
      </w:pPr>
      <w:r w:rsidRPr="008205AC">
        <w:rPr>
          <w:rFonts w:ascii="Times New Roman" w:hAnsi="Times New Roman" w:cs="Times New Roman"/>
          <w:b/>
          <w:noProof/>
          <w:sz w:val="24"/>
          <w:szCs w:val="24"/>
          <w:lang w:eastAsia="es-ES"/>
        </w:rPr>
        <w:drawing>
          <wp:inline distT="0" distB="0" distL="0" distR="0" wp14:anchorId="478F0E10" wp14:editId="6F7A2846">
            <wp:extent cx="5400040" cy="1211007"/>
            <wp:effectExtent l="0" t="0" r="0" b="825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400040" cy="1211007"/>
                    </a:xfrm>
                    <a:prstGeom prst="rect">
                      <a:avLst/>
                    </a:prstGeom>
                  </pic:spPr>
                </pic:pic>
              </a:graphicData>
            </a:graphic>
          </wp:inline>
        </w:drawing>
      </w:r>
    </w:p>
    <w:p w:rsidR="008205AC" w:rsidRDefault="008205AC"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8205AC" w:rsidRDefault="008205AC" w:rsidP="006E60A8">
      <w:pPr>
        <w:jc w:val="both"/>
        <w:rPr>
          <w:rFonts w:ascii="Times New Roman" w:hAnsi="Times New Roman" w:cs="Times New Roman"/>
          <w:b/>
          <w:sz w:val="24"/>
          <w:szCs w:val="24"/>
        </w:rPr>
      </w:pPr>
      <w:r w:rsidRPr="008205AC">
        <w:rPr>
          <w:rFonts w:ascii="Times New Roman" w:hAnsi="Times New Roman" w:cs="Times New Roman"/>
          <w:b/>
          <w:noProof/>
          <w:sz w:val="24"/>
          <w:szCs w:val="24"/>
          <w:lang w:eastAsia="es-ES"/>
        </w:rPr>
        <w:drawing>
          <wp:inline distT="0" distB="0" distL="0" distR="0" wp14:anchorId="6E249BCD" wp14:editId="6489BF3A">
            <wp:extent cx="5400040" cy="1644208"/>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400040" cy="1644208"/>
                    </a:xfrm>
                    <a:prstGeom prst="rect">
                      <a:avLst/>
                    </a:prstGeom>
                  </pic:spPr>
                </pic:pic>
              </a:graphicData>
            </a:graphic>
          </wp:inline>
        </w:drawing>
      </w:r>
    </w:p>
    <w:p w:rsidR="008205AC" w:rsidRDefault="008205AC"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8205AC" w:rsidRDefault="008205AC" w:rsidP="006E60A8">
      <w:pPr>
        <w:jc w:val="both"/>
        <w:rPr>
          <w:rFonts w:ascii="Times New Roman" w:hAnsi="Times New Roman" w:cs="Times New Roman"/>
          <w:b/>
          <w:sz w:val="24"/>
          <w:szCs w:val="24"/>
        </w:rPr>
      </w:pPr>
    </w:p>
    <w:p w:rsidR="006459B0" w:rsidRDefault="006459B0" w:rsidP="006E60A8">
      <w:pPr>
        <w:jc w:val="both"/>
        <w:rPr>
          <w:rFonts w:ascii="Times New Roman" w:hAnsi="Times New Roman" w:cs="Times New Roman"/>
          <w:b/>
          <w:sz w:val="24"/>
          <w:szCs w:val="24"/>
        </w:rPr>
      </w:pPr>
    </w:p>
    <w:p w:rsidR="006459B0" w:rsidRDefault="006459B0" w:rsidP="006E60A8">
      <w:pPr>
        <w:jc w:val="both"/>
        <w:rPr>
          <w:rFonts w:ascii="Times New Roman" w:hAnsi="Times New Roman" w:cs="Times New Roman"/>
          <w:b/>
          <w:sz w:val="24"/>
          <w:szCs w:val="24"/>
        </w:rPr>
      </w:pPr>
    </w:p>
    <w:p w:rsidR="006459B0" w:rsidRDefault="006459B0" w:rsidP="006E60A8">
      <w:pPr>
        <w:jc w:val="both"/>
        <w:rPr>
          <w:rFonts w:ascii="Times New Roman" w:hAnsi="Times New Roman" w:cs="Times New Roman"/>
          <w:b/>
          <w:sz w:val="24"/>
          <w:szCs w:val="24"/>
        </w:rPr>
      </w:pPr>
    </w:p>
    <w:p w:rsidR="006459B0" w:rsidRDefault="006459B0" w:rsidP="006E60A8">
      <w:pPr>
        <w:jc w:val="both"/>
        <w:rPr>
          <w:rFonts w:ascii="Times New Roman" w:hAnsi="Times New Roman" w:cs="Times New Roman"/>
          <w:b/>
          <w:sz w:val="24"/>
          <w:szCs w:val="24"/>
        </w:rPr>
      </w:pPr>
    </w:p>
    <w:p w:rsidR="006459B0" w:rsidRDefault="006459B0" w:rsidP="006E60A8">
      <w:pPr>
        <w:jc w:val="both"/>
        <w:rPr>
          <w:rFonts w:ascii="Times New Roman" w:hAnsi="Times New Roman" w:cs="Times New Roman"/>
          <w:b/>
          <w:sz w:val="24"/>
          <w:szCs w:val="24"/>
        </w:rPr>
      </w:pPr>
    </w:p>
    <w:p w:rsidR="006459B0" w:rsidRDefault="006459B0" w:rsidP="006E60A8">
      <w:pPr>
        <w:jc w:val="both"/>
        <w:rPr>
          <w:rFonts w:ascii="Times New Roman" w:hAnsi="Times New Roman" w:cs="Times New Roman"/>
          <w:b/>
          <w:sz w:val="24"/>
          <w:szCs w:val="24"/>
        </w:rPr>
      </w:pPr>
      <w:r>
        <w:rPr>
          <w:rFonts w:ascii="Times New Roman" w:hAnsi="Times New Roman" w:cs="Times New Roman"/>
          <w:b/>
          <w:sz w:val="24"/>
          <w:szCs w:val="24"/>
        </w:rPr>
        <w:lastRenderedPageBreak/>
        <w:t>- Informe McKinsey Global Institute - Diminishing returns: why investors may need to lower their expectations (May 2016)</w:t>
      </w:r>
    </w:p>
    <w:p w:rsidR="006459B0" w:rsidRDefault="006459B0" w:rsidP="006E60A8">
      <w:pPr>
        <w:jc w:val="both"/>
        <w:rPr>
          <w:rFonts w:ascii="Times New Roman" w:hAnsi="Times New Roman" w:cs="Times New Roman"/>
          <w:b/>
          <w:sz w:val="24"/>
          <w:szCs w:val="24"/>
        </w:rPr>
      </w:pPr>
      <w:r w:rsidRPr="006459B0">
        <w:rPr>
          <w:rFonts w:ascii="Times New Roman" w:hAnsi="Times New Roman" w:cs="Times New Roman"/>
          <w:b/>
          <w:noProof/>
          <w:sz w:val="24"/>
          <w:szCs w:val="24"/>
          <w:lang w:eastAsia="es-ES"/>
        </w:rPr>
        <w:drawing>
          <wp:inline distT="0" distB="0" distL="0" distR="0" wp14:anchorId="517A6E9A" wp14:editId="3C0CB890">
            <wp:extent cx="5163271" cy="7630590"/>
            <wp:effectExtent l="0" t="0" r="0" b="889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163271" cy="7630590"/>
                    </a:xfrm>
                    <a:prstGeom prst="rect">
                      <a:avLst/>
                    </a:prstGeom>
                  </pic:spPr>
                </pic:pic>
              </a:graphicData>
            </a:graphic>
          </wp:inline>
        </w:drawing>
      </w:r>
    </w:p>
    <w:p w:rsidR="006459B0" w:rsidRDefault="006459B0" w:rsidP="006E60A8">
      <w:pPr>
        <w:jc w:val="both"/>
        <w:rPr>
          <w:rFonts w:ascii="Times New Roman" w:hAnsi="Times New Roman" w:cs="Times New Roman"/>
          <w:b/>
          <w:sz w:val="24"/>
          <w:szCs w:val="24"/>
        </w:rPr>
      </w:pPr>
    </w:p>
    <w:p w:rsidR="006459B0" w:rsidRDefault="006459B0" w:rsidP="006E60A8">
      <w:pPr>
        <w:jc w:val="both"/>
        <w:rPr>
          <w:rFonts w:ascii="Times New Roman" w:hAnsi="Times New Roman" w:cs="Times New Roman"/>
          <w:b/>
          <w:sz w:val="24"/>
          <w:szCs w:val="24"/>
        </w:rPr>
      </w:pPr>
    </w:p>
    <w:p w:rsidR="006459B0" w:rsidRDefault="006459B0" w:rsidP="006E60A8">
      <w:pPr>
        <w:jc w:val="both"/>
        <w:rPr>
          <w:rFonts w:ascii="Times New Roman" w:hAnsi="Times New Roman" w:cs="Times New Roman"/>
          <w:b/>
          <w:sz w:val="24"/>
          <w:szCs w:val="24"/>
        </w:rPr>
      </w:pPr>
    </w:p>
    <w:p w:rsidR="006459B0" w:rsidRDefault="006459B0" w:rsidP="006E60A8">
      <w:pPr>
        <w:jc w:val="both"/>
        <w:rPr>
          <w:rFonts w:ascii="Times New Roman" w:hAnsi="Times New Roman" w:cs="Times New Roman"/>
          <w:b/>
          <w:sz w:val="24"/>
          <w:szCs w:val="24"/>
        </w:rPr>
      </w:pPr>
      <w:r w:rsidRPr="006459B0">
        <w:rPr>
          <w:rFonts w:ascii="Times New Roman" w:hAnsi="Times New Roman" w:cs="Times New Roman"/>
          <w:b/>
          <w:noProof/>
          <w:sz w:val="24"/>
          <w:szCs w:val="24"/>
          <w:lang w:eastAsia="es-ES"/>
        </w:rPr>
        <w:drawing>
          <wp:inline distT="0" distB="0" distL="0" distR="0" wp14:anchorId="32EE0624" wp14:editId="56BCEBE5">
            <wp:extent cx="5306166" cy="8106907"/>
            <wp:effectExtent l="0" t="0" r="8890" b="889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306166" cy="8106907"/>
                    </a:xfrm>
                    <a:prstGeom prst="rect">
                      <a:avLst/>
                    </a:prstGeom>
                  </pic:spPr>
                </pic:pic>
              </a:graphicData>
            </a:graphic>
          </wp:inline>
        </w:drawing>
      </w:r>
    </w:p>
    <w:p w:rsidR="006459B0" w:rsidRDefault="006459B0" w:rsidP="006E60A8">
      <w:pPr>
        <w:jc w:val="both"/>
        <w:rPr>
          <w:rFonts w:ascii="Times New Roman" w:hAnsi="Times New Roman" w:cs="Times New Roman"/>
          <w:b/>
          <w:sz w:val="24"/>
          <w:szCs w:val="24"/>
        </w:rPr>
      </w:pPr>
    </w:p>
    <w:p w:rsidR="006459B0" w:rsidRDefault="006459B0" w:rsidP="006E60A8">
      <w:pPr>
        <w:jc w:val="both"/>
        <w:rPr>
          <w:rFonts w:ascii="Times New Roman" w:hAnsi="Times New Roman" w:cs="Times New Roman"/>
          <w:b/>
          <w:sz w:val="24"/>
          <w:szCs w:val="24"/>
        </w:rPr>
      </w:pPr>
      <w:r w:rsidRPr="006459B0">
        <w:rPr>
          <w:rFonts w:ascii="Times New Roman" w:hAnsi="Times New Roman" w:cs="Times New Roman"/>
          <w:b/>
          <w:noProof/>
          <w:sz w:val="24"/>
          <w:szCs w:val="24"/>
          <w:lang w:eastAsia="es-ES"/>
        </w:rPr>
        <w:lastRenderedPageBreak/>
        <w:drawing>
          <wp:inline distT="0" distB="0" distL="0" distR="0" wp14:anchorId="446DD4BA" wp14:editId="4486AA61">
            <wp:extent cx="5181600" cy="31242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182324" cy="3124637"/>
                    </a:xfrm>
                    <a:prstGeom prst="rect">
                      <a:avLst/>
                    </a:prstGeom>
                  </pic:spPr>
                </pic:pic>
              </a:graphicData>
            </a:graphic>
          </wp:inline>
        </w:drawing>
      </w:r>
    </w:p>
    <w:p w:rsidR="006459B0" w:rsidRDefault="006459B0" w:rsidP="006E60A8">
      <w:pPr>
        <w:jc w:val="both"/>
        <w:rPr>
          <w:rFonts w:ascii="Times New Roman" w:hAnsi="Times New Roman" w:cs="Times New Roman"/>
          <w:b/>
          <w:sz w:val="24"/>
          <w:szCs w:val="24"/>
        </w:rPr>
      </w:pPr>
      <w:r w:rsidRPr="006459B0">
        <w:rPr>
          <w:rFonts w:ascii="Times New Roman" w:hAnsi="Times New Roman" w:cs="Times New Roman"/>
          <w:b/>
          <w:noProof/>
          <w:sz w:val="24"/>
          <w:szCs w:val="24"/>
          <w:lang w:eastAsia="es-ES"/>
        </w:rPr>
        <w:drawing>
          <wp:inline distT="0" distB="0" distL="0" distR="0" wp14:anchorId="631E6EAF" wp14:editId="1D147D7E">
            <wp:extent cx="5397499" cy="549275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400040" cy="5495336"/>
                    </a:xfrm>
                    <a:prstGeom prst="rect">
                      <a:avLst/>
                    </a:prstGeom>
                  </pic:spPr>
                </pic:pic>
              </a:graphicData>
            </a:graphic>
          </wp:inline>
        </w:drawing>
      </w:r>
    </w:p>
    <w:p w:rsidR="001E5E5F" w:rsidRDefault="001E5E5F" w:rsidP="006E60A8">
      <w:pPr>
        <w:jc w:val="both"/>
        <w:rPr>
          <w:rFonts w:ascii="Times New Roman" w:hAnsi="Times New Roman" w:cs="Times New Roman"/>
          <w:b/>
          <w:sz w:val="24"/>
          <w:szCs w:val="24"/>
        </w:rPr>
      </w:pPr>
      <w:r w:rsidRPr="001E5E5F">
        <w:rPr>
          <w:rFonts w:ascii="Times New Roman" w:hAnsi="Times New Roman" w:cs="Times New Roman"/>
          <w:b/>
          <w:noProof/>
          <w:sz w:val="24"/>
          <w:szCs w:val="24"/>
          <w:lang w:eastAsia="es-ES"/>
        </w:rPr>
        <w:lastRenderedPageBreak/>
        <w:drawing>
          <wp:inline distT="0" distB="0" distL="0" distR="0" wp14:anchorId="23D19324" wp14:editId="0DD07DA9">
            <wp:extent cx="5400040" cy="1628933"/>
            <wp:effectExtent l="0" t="0" r="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400040" cy="1628933"/>
                    </a:xfrm>
                    <a:prstGeom prst="rect">
                      <a:avLst/>
                    </a:prstGeom>
                  </pic:spPr>
                </pic:pic>
              </a:graphicData>
            </a:graphic>
          </wp:inline>
        </w:drawing>
      </w:r>
    </w:p>
    <w:p w:rsidR="001E5E5F" w:rsidRDefault="001E5E5F" w:rsidP="006E60A8">
      <w:pPr>
        <w:jc w:val="both"/>
        <w:rPr>
          <w:rFonts w:ascii="Times New Roman" w:hAnsi="Times New Roman" w:cs="Times New Roman"/>
          <w:b/>
          <w:sz w:val="24"/>
          <w:szCs w:val="24"/>
        </w:rPr>
      </w:pPr>
      <w:r w:rsidRPr="001E5E5F">
        <w:rPr>
          <w:rFonts w:ascii="Times New Roman" w:hAnsi="Times New Roman" w:cs="Times New Roman"/>
          <w:b/>
          <w:noProof/>
          <w:sz w:val="24"/>
          <w:szCs w:val="24"/>
          <w:lang w:eastAsia="es-ES"/>
        </w:rPr>
        <w:drawing>
          <wp:inline distT="0" distB="0" distL="0" distR="0" wp14:anchorId="2A9759C2" wp14:editId="57690DA4">
            <wp:extent cx="5400040" cy="3285971"/>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400040" cy="3285971"/>
                    </a:xfrm>
                    <a:prstGeom prst="rect">
                      <a:avLst/>
                    </a:prstGeom>
                  </pic:spPr>
                </pic:pic>
              </a:graphicData>
            </a:graphic>
          </wp:inline>
        </w:drawing>
      </w:r>
    </w:p>
    <w:p w:rsidR="001E5E5F" w:rsidRDefault="001E5E5F" w:rsidP="006E60A8">
      <w:pPr>
        <w:jc w:val="both"/>
        <w:rPr>
          <w:rFonts w:ascii="Times New Roman" w:hAnsi="Times New Roman" w:cs="Times New Roman"/>
          <w:b/>
          <w:sz w:val="24"/>
          <w:szCs w:val="24"/>
        </w:rPr>
      </w:pPr>
      <w:r w:rsidRPr="001E5E5F">
        <w:rPr>
          <w:rFonts w:ascii="Times New Roman" w:hAnsi="Times New Roman" w:cs="Times New Roman"/>
          <w:b/>
          <w:noProof/>
          <w:sz w:val="24"/>
          <w:szCs w:val="24"/>
          <w:lang w:eastAsia="es-ES"/>
        </w:rPr>
        <w:drawing>
          <wp:inline distT="0" distB="0" distL="0" distR="0" wp14:anchorId="65F6D0BD" wp14:editId="0F3226EE">
            <wp:extent cx="5400040" cy="3272659"/>
            <wp:effectExtent l="0" t="0" r="0" b="444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00040" cy="3272659"/>
                    </a:xfrm>
                    <a:prstGeom prst="rect">
                      <a:avLst/>
                    </a:prstGeom>
                  </pic:spPr>
                </pic:pic>
              </a:graphicData>
            </a:graphic>
          </wp:inline>
        </w:drawing>
      </w:r>
    </w:p>
    <w:p w:rsidR="001E5E5F" w:rsidRDefault="001E5E5F" w:rsidP="006E60A8">
      <w:pPr>
        <w:jc w:val="both"/>
        <w:rPr>
          <w:rFonts w:ascii="Times New Roman" w:hAnsi="Times New Roman" w:cs="Times New Roman"/>
          <w:b/>
          <w:sz w:val="24"/>
          <w:szCs w:val="24"/>
        </w:rPr>
      </w:pPr>
    </w:p>
    <w:p w:rsidR="001E5E5F" w:rsidRDefault="001E5E5F" w:rsidP="006E60A8">
      <w:pPr>
        <w:jc w:val="both"/>
        <w:rPr>
          <w:rFonts w:ascii="Times New Roman" w:hAnsi="Times New Roman" w:cs="Times New Roman"/>
          <w:b/>
          <w:sz w:val="24"/>
          <w:szCs w:val="24"/>
        </w:rPr>
      </w:pPr>
    </w:p>
    <w:p w:rsidR="001E5E5F" w:rsidRDefault="001E5E5F" w:rsidP="006E60A8">
      <w:pPr>
        <w:jc w:val="both"/>
        <w:rPr>
          <w:rFonts w:ascii="Times New Roman" w:hAnsi="Times New Roman" w:cs="Times New Roman"/>
          <w:b/>
          <w:sz w:val="24"/>
          <w:szCs w:val="24"/>
        </w:rPr>
      </w:pPr>
      <w:r w:rsidRPr="001E5E5F">
        <w:rPr>
          <w:rFonts w:ascii="Times New Roman" w:hAnsi="Times New Roman" w:cs="Times New Roman"/>
          <w:b/>
          <w:noProof/>
          <w:sz w:val="24"/>
          <w:szCs w:val="24"/>
          <w:lang w:eastAsia="es-ES"/>
        </w:rPr>
        <w:drawing>
          <wp:inline distT="0" distB="0" distL="0" distR="0" wp14:anchorId="7F4DBCA2" wp14:editId="18AE17CE">
            <wp:extent cx="5400040" cy="7423656"/>
            <wp:effectExtent l="0" t="0" r="0" b="635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400040" cy="7423656"/>
                    </a:xfrm>
                    <a:prstGeom prst="rect">
                      <a:avLst/>
                    </a:prstGeom>
                  </pic:spPr>
                </pic:pic>
              </a:graphicData>
            </a:graphic>
          </wp:inline>
        </w:drawing>
      </w:r>
    </w:p>
    <w:p w:rsidR="006459B0" w:rsidRDefault="006459B0" w:rsidP="006E60A8">
      <w:pPr>
        <w:jc w:val="both"/>
        <w:rPr>
          <w:rFonts w:ascii="Times New Roman" w:hAnsi="Times New Roman" w:cs="Times New Roman"/>
          <w:b/>
          <w:sz w:val="24"/>
          <w:szCs w:val="24"/>
        </w:rPr>
      </w:pPr>
    </w:p>
    <w:p w:rsidR="001E5E5F" w:rsidRDefault="001E5E5F" w:rsidP="006E60A8">
      <w:pPr>
        <w:jc w:val="both"/>
        <w:rPr>
          <w:rFonts w:ascii="Times New Roman" w:hAnsi="Times New Roman" w:cs="Times New Roman"/>
          <w:b/>
          <w:sz w:val="24"/>
          <w:szCs w:val="24"/>
        </w:rPr>
      </w:pPr>
    </w:p>
    <w:p w:rsidR="001E5E5F" w:rsidRDefault="001E5E5F" w:rsidP="006E60A8">
      <w:pPr>
        <w:jc w:val="both"/>
        <w:rPr>
          <w:rFonts w:ascii="Times New Roman" w:hAnsi="Times New Roman" w:cs="Times New Roman"/>
          <w:b/>
          <w:sz w:val="24"/>
          <w:szCs w:val="24"/>
        </w:rPr>
      </w:pPr>
    </w:p>
    <w:p w:rsidR="001E5E5F" w:rsidRDefault="001E5E5F" w:rsidP="006E60A8">
      <w:pPr>
        <w:jc w:val="both"/>
        <w:rPr>
          <w:rFonts w:ascii="Times New Roman" w:hAnsi="Times New Roman" w:cs="Times New Roman"/>
          <w:b/>
          <w:sz w:val="24"/>
          <w:szCs w:val="24"/>
        </w:rPr>
      </w:pPr>
      <w:r w:rsidRPr="001E5E5F">
        <w:rPr>
          <w:rFonts w:ascii="Times New Roman" w:hAnsi="Times New Roman" w:cs="Times New Roman"/>
          <w:b/>
          <w:noProof/>
          <w:sz w:val="24"/>
          <w:szCs w:val="24"/>
          <w:lang w:eastAsia="es-ES"/>
        </w:rPr>
        <w:lastRenderedPageBreak/>
        <w:drawing>
          <wp:inline distT="0" distB="0" distL="0" distR="0" wp14:anchorId="4EE968AC" wp14:editId="6B61618A">
            <wp:extent cx="5400040" cy="4256885"/>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400040" cy="4256885"/>
                    </a:xfrm>
                    <a:prstGeom prst="rect">
                      <a:avLst/>
                    </a:prstGeom>
                  </pic:spPr>
                </pic:pic>
              </a:graphicData>
            </a:graphic>
          </wp:inline>
        </w:drawing>
      </w:r>
    </w:p>
    <w:p w:rsidR="001E5E5F" w:rsidRDefault="001E5E5F" w:rsidP="006E60A8">
      <w:pPr>
        <w:jc w:val="both"/>
        <w:rPr>
          <w:rFonts w:ascii="Times New Roman" w:hAnsi="Times New Roman" w:cs="Times New Roman"/>
          <w:b/>
          <w:sz w:val="24"/>
          <w:szCs w:val="24"/>
        </w:rPr>
      </w:pPr>
      <w:r w:rsidRPr="001E5E5F">
        <w:rPr>
          <w:rFonts w:ascii="Times New Roman" w:hAnsi="Times New Roman" w:cs="Times New Roman"/>
          <w:b/>
          <w:noProof/>
          <w:sz w:val="24"/>
          <w:szCs w:val="24"/>
          <w:lang w:eastAsia="es-ES"/>
        </w:rPr>
        <w:drawing>
          <wp:inline distT="0" distB="0" distL="0" distR="0" wp14:anchorId="3E0AB873" wp14:editId="52D78A90">
            <wp:extent cx="5400040" cy="4382491"/>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400040" cy="4382491"/>
                    </a:xfrm>
                    <a:prstGeom prst="rect">
                      <a:avLst/>
                    </a:prstGeom>
                  </pic:spPr>
                </pic:pic>
              </a:graphicData>
            </a:graphic>
          </wp:inline>
        </w:drawing>
      </w:r>
    </w:p>
    <w:p w:rsidR="001E5E5F" w:rsidRDefault="001E5E5F" w:rsidP="006E60A8">
      <w:pPr>
        <w:jc w:val="both"/>
        <w:rPr>
          <w:rFonts w:ascii="Times New Roman" w:hAnsi="Times New Roman" w:cs="Times New Roman"/>
          <w:b/>
          <w:sz w:val="24"/>
          <w:szCs w:val="24"/>
        </w:rPr>
      </w:pPr>
      <w:r w:rsidRPr="001E5E5F">
        <w:rPr>
          <w:rFonts w:ascii="Times New Roman" w:hAnsi="Times New Roman" w:cs="Times New Roman"/>
          <w:b/>
          <w:noProof/>
          <w:sz w:val="24"/>
          <w:szCs w:val="24"/>
          <w:lang w:eastAsia="es-ES"/>
        </w:rPr>
        <w:lastRenderedPageBreak/>
        <w:drawing>
          <wp:inline distT="0" distB="0" distL="0" distR="0" wp14:anchorId="4AE698A8" wp14:editId="134FD55E">
            <wp:extent cx="5118100" cy="2406650"/>
            <wp:effectExtent l="0" t="0" r="635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125905" cy="2410320"/>
                    </a:xfrm>
                    <a:prstGeom prst="rect">
                      <a:avLst/>
                    </a:prstGeom>
                  </pic:spPr>
                </pic:pic>
              </a:graphicData>
            </a:graphic>
          </wp:inline>
        </w:drawing>
      </w:r>
    </w:p>
    <w:p w:rsidR="001E5E5F" w:rsidRDefault="001E5E5F"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1E5E5F" w:rsidRDefault="001E5E5F" w:rsidP="006E60A8">
      <w:pPr>
        <w:jc w:val="both"/>
        <w:rPr>
          <w:rFonts w:ascii="Times New Roman" w:hAnsi="Times New Roman" w:cs="Times New Roman"/>
          <w:b/>
          <w:sz w:val="24"/>
          <w:szCs w:val="24"/>
        </w:rPr>
      </w:pPr>
      <w:r w:rsidRPr="001E5E5F">
        <w:rPr>
          <w:rFonts w:ascii="Times New Roman" w:hAnsi="Times New Roman" w:cs="Times New Roman"/>
          <w:b/>
          <w:noProof/>
          <w:sz w:val="24"/>
          <w:szCs w:val="24"/>
          <w:lang w:eastAsia="es-ES"/>
        </w:rPr>
        <w:drawing>
          <wp:inline distT="0" distB="0" distL="0" distR="0" wp14:anchorId="3F6EF5C5" wp14:editId="45B75D2E">
            <wp:extent cx="5359400" cy="113030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375204" cy="1133633"/>
                    </a:xfrm>
                    <a:prstGeom prst="rect">
                      <a:avLst/>
                    </a:prstGeom>
                  </pic:spPr>
                </pic:pic>
              </a:graphicData>
            </a:graphic>
          </wp:inline>
        </w:drawing>
      </w:r>
    </w:p>
    <w:p w:rsidR="001E5E5F" w:rsidRDefault="001E5E5F" w:rsidP="006E60A8">
      <w:pPr>
        <w:jc w:val="both"/>
        <w:rPr>
          <w:rFonts w:ascii="Times New Roman" w:hAnsi="Times New Roman" w:cs="Times New Roman"/>
          <w:b/>
          <w:sz w:val="24"/>
          <w:szCs w:val="24"/>
        </w:rPr>
      </w:pPr>
      <w:r w:rsidRPr="001E5E5F">
        <w:rPr>
          <w:rFonts w:ascii="Times New Roman" w:hAnsi="Times New Roman" w:cs="Times New Roman"/>
          <w:b/>
          <w:noProof/>
          <w:sz w:val="24"/>
          <w:szCs w:val="24"/>
          <w:lang w:eastAsia="es-ES"/>
        </w:rPr>
        <w:drawing>
          <wp:inline distT="0" distB="0" distL="0" distR="0" wp14:anchorId="0120AD02" wp14:editId="5D99D874">
            <wp:extent cx="5194300" cy="1143000"/>
            <wp:effectExtent l="0" t="0" r="635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195027" cy="1143160"/>
                    </a:xfrm>
                    <a:prstGeom prst="rect">
                      <a:avLst/>
                    </a:prstGeom>
                  </pic:spPr>
                </pic:pic>
              </a:graphicData>
            </a:graphic>
          </wp:inline>
        </w:drawing>
      </w:r>
    </w:p>
    <w:p w:rsidR="00102C07" w:rsidRDefault="00102C07"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102C07" w:rsidRDefault="00102C07" w:rsidP="006E60A8">
      <w:pPr>
        <w:jc w:val="both"/>
        <w:rPr>
          <w:rFonts w:ascii="Times New Roman" w:hAnsi="Times New Roman" w:cs="Times New Roman"/>
          <w:b/>
          <w:sz w:val="24"/>
          <w:szCs w:val="24"/>
        </w:rPr>
      </w:pPr>
      <w:r w:rsidRPr="00102C07">
        <w:rPr>
          <w:rFonts w:ascii="Times New Roman" w:hAnsi="Times New Roman" w:cs="Times New Roman"/>
          <w:b/>
          <w:noProof/>
          <w:sz w:val="24"/>
          <w:szCs w:val="24"/>
          <w:lang w:eastAsia="es-ES"/>
        </w:rPr>
        <w:drawing>
          <wp:inline distT="0" distB="0" distL="0" distR="0" wp14:anchorId="05EA1BC9" wp14:editId="744D9A2B">
            <wp:extent cx="5147320" cy="25209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153746" cy="2524097"/>
                    </a:xfrm>
                    <a:prstGeom prst="rect">
                      <a:avLst/>
                    </a:prstGeom>
                  </pic:spPr>
                </pic:pic>
              </a:graphicData>
            </a:graphic>
          </wp:inline>
        </w:drawing>
      </w:r>
    </w:p>
    <w:p w:rsidR="00102C07" w:rsidRDefault="00102C07"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102C07" w:rsidRDefault="00102C07" w:rsidP="006E60A8">
      <w:pPr>
        <w:jc w:val="both"/>
        <w:rPr>
          <w:rFonts w:ascii="Times New Roman" w:hAnsi="Times New Roman" w:cs="Times New Roman"/>
          <w:b/>
          <w:sz w:val="24"/>
          <w:szCs w:val="24"/>
        </w:rPr>
      </w:pPr>
      <w:r w:rsidRPr="00102C07">
        <w:rPr>
          <w:rFonts w:ascii="Times New Roman" w:hAnsi="Times New Roman" w:cs="Times New Roman"/>
          <w:b/>
          <w:noProof/>
          <w:sz w:val="24"/>
          <w:szCs w:val="24"/>
          <w:lang w:eastAsia="es-ES"/>
        </w:rPr>
        <w:lastRenderedPageBreak/>
        <w:drawing>
          <wp:inline distT="0" distB="0" distL="0" distR="0" wp14:anchorId="02F40D11" wp14:editId="67A6090F">
            <wp:extent cx="5397500" cy="158115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398255" cy="1581371"/>
                    </a:xfrm>
                    <a:prstGeom prst="rect">
                      <a:avLst/>
                    </a:prstGeom>
                  </pic:spPr>
                </pic:pic>
              </a:graphicData>
            </a:graphic>
          </wp:inline>
        </w:drawing>
      </w:r>
    </w:p>
    <w:p w:rsidR="00102C07" w:rsidRDefault="00102C07"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102C07" w:rsidRDefault="00102C07" w:rsidP="006E60A8">
      <w:pPr>
        <w:jc w:val="both"/>
        <w:rPr>
          <w:rFonts w:ascii="Times New Roman" w:hAnsi="Times New Roman" w:cs="Times New Roman"/>
          <w:b/>
          <w:sz w:val="24"/>
          <w:szCs w:val="24"/>
        </w:rPr>
      </w:pPr>
      <w:r w:rsidRPr="00102C07">
        <w:rPr>
          <w:rFonts w:ascii="Times New Roman" w:hAnsi="Times New Roman" w:cs="Times New Roman"/>
          <w:b/>
          <w:noProof/>
          <w:sz w:val="24"/>
          <w:szCs w:val="24"/>
          <w:lang w:eastAsia="es-ES"/>
        </w:rPr>
        <w:drawing>
          <wp:inline distT="0" distB="0" distL="0" distR="0" wp14:anchorId="0611EF80" wp14:editId="48D9C514">
            <wp:extent cx="5400040" cy="6492512"/>
            <wp:effectExtent l="0" t="0" r="0" b="381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00040" cy="6492512"/>
                    </a:xfrm>
                    <a:prstGeom prst="rect">
                      <a:avLst/>
                    </a:prstGeom>
                  </pic:spPr>
                </pic:pic>
              </a:graphicData>
            </a:graphic>
          </wp:inline>
        </w:drawing>
      </w:r>
    </w:p>
    <w:p w:rsidR="006459B0" w:rsidRDefault="00102C07" w:rsidP="006E60A8">
      <w:pPr>
        <w:jc w:val="both"/>
        <w:rPr>
          <w:rFonts w:ascii="Times New Roman" w:hAnsi="Times New Roman" w:cs="Times New Roman"/>
          <w:b/>
          <w:sz w:val="24"/>
          <w:szCs w:val="24"/>
        </w:rPr>
      </w:pPr>
      <w:r w:rsidRPr="00102C07">
        <w:rPr>
          <w:rFonts w:ascii="Times New Roman" w:hAnsi="Times New Roman" w:cs="Times New Roman"/>
          <w:b/>
          <w:noProof/>
          <w:sz w:val="24"/>
          <w:szCs w:val="24"/>
          <w:lang w:eastAsia="es-ES"/>
        </w:rPr>
        <w:lastRenderedPageBreak/>
        <w:drawing>
          <wp:inline distT="0" distB="0" distL="0" distR="0" wp14:anchorId="7F0673DB" wp14:editId="14A6B8C3">
            <wp:extent cx="5143500" cy="13906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157340" cy="1394392"/>
                    </a:xfrm>
                    <a:prstGeom prst="rect">
                      <a:avLst/>
                    </a:prstGeom>
                  </pic:spPr>
                </pic:pic>
              </a:graphicData>
            </a:graphic>
          </wp:inline>
        </w:drawing>
      </w:r>
    </w:p>
    <w:p w:rsidR="00102C07" w:rsidRDefault="00102C07"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102C07" w:rsidRDefault="00102C07" w:rsidP="006E60A8">
      <w:pPr>
        <w:jc w:val="both"/>
        <w:rPr>
          <w:rFonts w:ascii="Times New Roman" w:hAnsi="Times New Roman" w:cs="Times New Roman"/>
          <w:b/>
          <w:sz w:val="24"/>
          <w:szCs w:val="24"/>
        </w:rPr>
      </w:pPr>
      <w:r w:rsidRPr="00102C07">
        <w:rPr>
          <w:rFonts w:ascii="Times New Roman" w:hAnsi="Times New Roman" w:cs="Times New Roman"/>
          <w:b/>
          <w:noProof/>
          <w:sz w:val="24"/>
          <w:szCs w:val="24"/>
          <w:lang w:eastAsia="es-ES"/>
        </w:rPr>
        <w:drawing>
          <wp:inline distT="0" distB="0" distL="0" distR="0" wp14:anchorId="2540DA03" wp14:editId="43F86946">
            <wp:extent cx="5181600" cy="447675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182324" cy="4477376"/>
                    </a:xfrm>
                    <a:prstGeom prst="rect">
                      <a:avLst/>
                    </a:prstGeom>
                  </pic:spPr>
                </pic:pic>
              </a:graphicData>
            </a:graphic>
          </wp:inline>
        </w:drawing>
      </w:r>
    </w:p>
    <w:p w:rsidR="00102C07" w:rsidRDefault="00102C07"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102C07" w:rsidRDefault="00102C07" w:rsidP="006E60A8">
      <w:pPr>
        <w:jc w:val="both"/>
        <w:rPr>
          <w:rFonts w:ascii="Times New Roman" w:hAnsi="Times New Roman" w:cs="Times New Roman"/>
          <w:b/>
          <w:sz w:val="24"/>
          <w:szCs w:val="24"/>
        </w:rPr>
      </w:pPr>
      <w:r w:rsidRPr="00102C07">
        <w:rPr>
          <w:rFonts w:ascii="Times New Roman" w:hAnsi="Times New Roman" w:cs="Times New Roman"/>
          <w:b/>
          <w:noProof/>
          <w:sz w:val="24"/>
          <w:szCs w:val="24"/>
          <w:lang w:eastAsia="es-ES"/>
        </w:rPr>
        <w:drawing>
          <wp:inline distT="0" distB="0" distL="0" distR="0" wp14:anchorId="74CBD226" wp14:editId="1369C9A5">
            <wp:extent cx="5105399" cy="1816100"/>
            <wp:effectExtent l="0" t="0" r="635"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115639" cy="1819743"/>
                    </a:xfrm>
                    <a:prstGeom prst="rect">
                      <a:avLst/>
                    </a:prstGeom>
                  </pic:spPr>
                </pic:pic>
              </a:graphicData>
            </a:graphic>
          </wp:inline>
        </w:drawing>
      </w:r>
    </w:p>
    <w:p w:rsidR="00102C07" w:rsidRDefault="006857C9" w:rsidP="006E60A8">
      <w:pPr>
        <w:jc w:val="both"/>
        <w:rPr>
          <w:rFonts w:ascii="Times New Roman" w:hAnsi="Times New Roman" w:cs="Times New Roman"/>
          <w:b/>
          <w:sz w:val="24"/>
          <w:szCs w:val="24"/>
        </w:rPr>
      </w:pPr>
      <w:r>
        <w:rPr>
          <w:rFonts w:ascii="Times New Roman" w:hAnsi="Times New Roman" w:cs="Times New Roman"/>
          <w:b/>
          <w:sz w:val="24"/>
          <w:szCs w:val="24"/>
        </w:rPr>
        <w:lastRenderedPageBreak/>
        <w:t>(…)</w:t>
      </w:r>
    </w:p>
    <w:p w:rsidR="006857C9" w:rsidRDefault="006857C9" w:rsidP="006E60A8">
      <w:pPr>
        <w:jc w:val="both"/>
        <w:rPr>
          <w:rFonts w:ascii="Times New Roman" w:hAnsi="Times New Roman" w:cs="Times New Roman"/>
          <w:b/>
          <w:sz w:val="24"/>
          <w:szCs w:val="24"/>
        </w:rPr>
      </w:pPr>
      <w:r w:rsidRPr="006857C9">
        <w:rPr>
          <w:rFonts w:ascii="Times New Roman" w:hAnsi="Times New Roman" w:cs="Times New Roman"/>
          <w:b/>
          <w:noProof/>
          <w:sz w:val="24"/>
          <w:szCs w:val="24"/>
          <w:lang w:eastAsia="es-ES"/>
        </w:rPr>
        <w:drawing>
          <wp:inline distT="0" distB="0" distL="0" distR="0" wp14:anchorId="58840485" wp14:editId="5BAE40CD">
            <wp:extent cx="5144218" cy="1562318"/>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144218" cy="1562318"/>
                    </a:xfrm>
                    <a:prstGeom prst="rect">
                      <a:avLst/>
                    </a:prstGeom>
                  </pic:spPr>
                </pic:pic>
              </a:graphicData>
            </a:graphic>
          </wp:inline>
        </w:drawing>
      </w:r>
    </w:p>
    <w:p w:rsidR="006857C9" w:rsidRDefault="006857C9"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6857C9" w:rsidRDefault="006857C9" w:rsidP="006E60A8">
      <w:pPr>
        <w:jc w:val="both"/>
        <w:rPr>
          <w:rFonts w:ascii="Times New Roman" w:hAnsi="Times New Roman" w:cs="Times New Roman"/>
          <w:b/>
          <w:sz w:val="24"/>
          <w:szCs w:val="24"/>
        </w:rPr>
      </w:pPr>
      <w:r w:rsidRPr="006857C9">
        <w:rPr>
          <w:rFonts w:ascii="Times New Roman" w:hAnsi="Times New Roman" w:cs="Times New Roman"/>
          <w:b/>
          <w:noProof/>
          <w:sz w:val="24"/>
          <w:szCs w:val="24"/>
          <w:lang w:eastAsia="es-ES"/>
        </w:rPr>
        <w:drawing>
          <wp:inline distT="0" distB="0" distL="0" distR="0" wp14:anchorId="45CB3A3D" wp14:editId="4F50921B">
            <wp:extent cx="5125166" cy="2638793"/>
            <wp:effectExtent l="0" t="0" r="0" b="952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125166" cy="2638793"/>
                    </a:xfrm>
                    <a:prstGeom prst="rect">
                      <a:avLst/>
                    </a:prstGeom>
                  </pic:spPr>
                </pic:pic>
              </a:graphicData>
            </a:graphic>
          </wp:inline>
        </w:drawing>
      </w:r>
    </w:p>
    <w:p w:rsidR="006857C9" w:rsidRDefault="006857C9"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6857C9" w:rsidRDefault="006857C9" w:rsidP="006E60A8">
      <w:pPr>
        <w:jc w:val="both"/>
        <w:rPr>
          <w:rFonts w:ascii="Times New Roman" w:hAnsi="Times New Roman" w:cs="Times New Roman"/>
          <w:b/>
          <w:sz w:val="24"/>
          <w:szCs w:val="24"/>
        </w:rPr>
      </w:pPr>
      <w:r w:rsidRPr="006857C9">
        <w:rPr>
          <w:rFonts w:ascii="Times New Roman" w:hAnsi="Times New Roman" w:cs="Times New Roman"/>
          <w:b/>
          <w:noProof/>
          <w:sz w:val="24"/>
          <w:szCs w:val="24"/>
          <w:lang w:eastAsia="es-ES"/>
        </w:rPr>
        <w:drawing>
          <wp:inline distT="0" distB="0" distL="0" distR="0" wp14:anchorId="4A4FB302" wp14:editId="1E7EAE67">
            <wp:extent cx="5124450" cy="2647950"/>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131928" cy="2651814"/>
                    </a:xfrm>
                    <a:prstGeom prst="rect">
                      <a:avLst/>
                    </a:prstGeom>
                  </pic:spPr>
                </pic:pic>
              </a:graphicData>
            </a:graphic>
          </wp:inline>
        </w:drawing>
      </w:r>
    </w:p>
    <w:p w:rsidR="00102C07" w:rsidRDefault="00102C07" w:rsidP="006E60A8">
      <w:pPr>
        <w:jc w:val="both"/>
        <w:rPr>
          <w:rFonts w:ascii="Times New Roman" w:hAnsi="Times New Roman" w:cs="Times New Roman"/>
          <w:b/>
          <w:sz w:val="24"/>
          <w:szCs w:val="24"/>
        </w:rPr>
      </w:pPr>
    </w:p>
    <w:p w:rsidR="006857C9" w:rsidRDefault="006857C9" w:rsidP="006E60A8">
      <w:pPr>
        <w:jc w:val="both"/>
        <w:rPr>
          <w:rFonts w:ascii="Times New Roman" w:hAnsi="Times New Roman" w:cs="Times New Roman"/>
          <w:b/>
          <w:sz w:val="24"/>
          <w:szCs w:val="24"/>
        </w:rPr>
      </w:pPr>
    </w:p>
    <w:p w:rsidR="006857C9" w:rsidRDefault="006857C9" w:rsidP="006E60A8">
      <w:pPr>
        <w:jc w:val="both"/>
        <w:rPr>
          <w:rFonts w:ascii="Times New Roman" w:hAnsi="Times New Roman" w:cs="Times New Roman"/>
          <w:b/>
          <w:sz w:val="24"/>
          <w:szCs w:val="24"/>
        </w:rPr>
      </w:pPr>
      <w:r w:rsidRPr="006857C9">
        <w:rPr>
          <w:rFonts w:ascii="Times New Roman" w:hAnsi="Times New Roman" w:cs="Times New Roman"/>
          <w:b/>
          <w:noProof/>
          <w:sz w:val="24"/>
          <w:szCs w:val="24"/>
          <w:lang w:eastAsia="es-ES"/>
        </w:rPr>
        <w:lastRenderedPageBreak/>
        <w:drawing>
          <wp:inline distT="0" distB="0" distL="0" distR="0" wp14:anchorId="7A70743E" wp14:editId="435B0040">
            <wp:extent cx="5400040" cy="547336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400040" cy="5473360"/>
                    </a:xfrm>
                    <a:prstGeom prst="rect">
                      <a:avLst/>
                    </a:prstGeom>
                  </pic:spPr>
                </pic:pic>
              </a:graphicData>
            </a:graphic>
          </wp:inline>
        </w:drawing>
      </w:r>
    </w:p>
    <w:p w:rsidR="006857C9" w:rsidRDefault="006857C9" w:rsidP="006E60A8">
      <w:pPr>
        <w:jc w:val="both"/>
        <w:rPr>
          <w:rFonts w:ascii="Times New Roman" w:hAnsi="Times New Roman" w:cs="Times New Roman"/>
          <w:b/>
          <w:sz w:val="24"/>
          <w:szCs w:val="24"/>
        </w:rPr>
      </w:pPr>
      <w:r w:rsidRPr="006857C9">
        <w:rPr>
          <w:rFonts w:ascii="Times New Roman" w:hAnsi="Times New Roman" w:cs="Times New Roman"/>
          <w:b/>
          <w:noProof/>
          <w:sz w:val="24"/>
          <w:szCs w:val="24"/>
          <w:lang w:eastAsia="es-ES"/>
        </w:rPr>
        <w:drawing>
          <wp:inline distT="0" distB="0" distL="0" distR="0" wp14:anchorId="75B7B397" wp14:editId="597A2282">
            <wp:extent cx="5448300" cy="307340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454691" cy="3077005"/>
                    </a:xfrm>
                    <a:prstGeom prst="rect">
                      <a:avLst/>
                    </a:prstGeom>
                  </pic:spPr>
                </pic:pic>
              </a:graphicData>
            </a:graphic>
          </wp:inline>
        </w:drawing>
      </w:r>
    </w:p>
    <w:p w:rsidR="006857C9" w:rsidRDefault="006857C9" w:rsidP="006E60A8">
      <w:pPr>
        <w:jc w:val="both"/>
        <w:rPr>
          <w:rFonts w:ascii="Times New Roman" w:hAnsi="Times New Roman" w:cs="Times New Roman"/>
          <w:b/>
          <w:sz w:val="24"/>
          <w:szCs w:val="24"/>
        </w:rPr>
      </w:pPr>
      <w:r>
        <w:rPr>
          <w:rFonts w:ascii="Times New Roman" w:hAnsi="Times New Roman" w:cs="Times New Roman"/>
          <w:b/>
          <w:sz w:val="24"/>
          <w:szCs w:val="24"/>
        </w:rPr>
        <w:lastRenderedPageBreak/>
        <w:t>(…)</w:t>
      </w:r>
    </w:p>
    <w:p w:rsidR="006857C9" w:rsidRDefault="006857C9" w:rsidP="006E60A8">
      <w:pPr>
        <w:jc w:val="both"/>
        <w:rPr>
          <w:rFonts w:ascii="Times New Roman" w:hAnsi="Times New Roman" w:cs="Times New Roman"/>
          <w:b/>
          <w:sz w:val="24"/>
          <w:szCs w:val="24"/>
        </w:rPr>
      </w:pPr>
      <w:r w:rsidRPr="006857C9">
        <w:rPr>
          <w:rFonts w:ascii="Times New Roman" w:hAnsi="Times New Roman" w:cs="Times New Roman"/>
          <w:b/>
          <w:noProof/>
          <w:sz w:val="24"/>
          <w:szCs w:val="24"/>
          <w:lang w:eastAsia="es-ES"/>
        </w:rPr>
        <w:drawing>
          <wp:inline distT="0" distB="0" distL="0" distR="0" wp14:anchorId="68D3D97E" wp14:editId="4D782956">
            <wp:extent cx="5226050" cy="3369444"/>
            <wp:effectExtent l="0" t="0" r="0" b="254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230513" cy="3372321"/>
                    </a:xfrm>
                    <a:prstGeom prst="rect">
                      <a:avLst/>
                    </a:prstGeom>
                  </pic:spPr>
                </pic:pic>
              </a:graphicData>
            </a:graphic>
          </wp:inline>
        </w:drawing>
      </w:r>
    </w:p>
    <w:p w:rsidR="006857C9" w:rsidRDefault="006857C9"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6857C9" w:rsidRDefault="006857C9" w:rsidP="006E60A8">
      <w:pPr>
        <w:jc w:val="both"/>
        <w:rPr>
          <w:rFonts w:ascii="Times New Roman" w:hAnsi="Times New Roman" w:cs="Times New Roman"/>
          <w:b/>
          <w:sz w:val="24"/>
          <w:szCs w:val="24"/>
        </w:rPr>
      </w:pPr>
      <w:r w:rsidRPr="006857C9">
        <w:rPr>
          <w:rFonts w:ascii="Times New Roman" w:hAnsi="Times New Roman" w:cs="Times New Roman"/>
          <w:b/>
          <w:noProof/>
          <w:sz w:val="24"/>
          <w:szCs w:val="24"/>
          <w:lang w:eastAsia="es-ES"/>
        </w:rPr>
        <w:drawing>
          <wp:inline distT="0" distB="0" distL="0" distR="0" wp14:anchorId="3DFC8343" wp14:editId="2CFA081A">
            <wp:extent cx="5156200" cy="3467100"/>
            <wp:effectExtent l="0" t="0" r="635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161879" cy="3470919"/>
                    </a:xfrm>
                    <a:prstGeom prst="rect">
                      <a:avLst/>
                    </a:prstGeom>
                  </pic:spPr>
                </pic:pic>
              </a:graphicData>
            </a:graphic>
          </wp:inline>
        </w:drawing>
      </w:r>
    </w:p>
    <w:p w:rsidR="006857C9" w:rsidRDefault="006857C9"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6857C9" w:rsidRDefault="006857C9" w:rsidP="006E60A8">
      <w:pPr>
        <w:jc w:val="both"/>
        <w:rPr>
          <w:rFonts w:ascii="Times New Roman" w:hAnsi="Times New Roman" w:cs="Times New Roman"/>
          <w:b/>
          <w:sz w:val="24"/>
          <w:szCs w:val="24"/>
        </w:rPr>
      </w:pPr>
    </w:p>
    <w:p w:rsidR="006857C9" w:rsidRDefault="006857C9" w:rsidP="006E60A8">
      <w:pPr>
        <w:jc w:val="both"/>
        <w:rPr>
          <w:rFonts w:ascii="Times New Roman" w:hAnsi="Times New Roman" w:cs="Times New Roman"/>
          <w:b/>
          <w:sz w:val="24"/>
          <w:szCs w:val="24"/>
        </w:rPr>
      </w:pPr>
    </w:p>
    <w:p w:rsidR="006857C9" w:rsidRDefault="006857C9" w:rsidP="006E60A8">
      <w:pPr>
        <w:jc w:val="both"/>
        <w:rPr>
          <w:rFonts w:ascii="Times New Roman" w:hAnsi="Times New Roman" w:cs="Times New Roman"/>
          <w:b/>
          <w:sz w:val="24"/>
          <w:szCs w:val="24"/>
        </w:rPr>
      </w:pPr>
    </w:p>
    <w:p w:rsidR="006857C9" w:rsidRDefault="006857C9" w:rsidP="006E60A8">
      <w:pPr>
        <w:jc w:val="both"/>
        <w:rPr>
          <w:rFonts w:ascii="Times New Roman" w:hAnsi="Times New Roman" w:cs="Times New Roman"/>
          <w:b/>
          <w:sz w:val="24"/>
          <w:szCs w:val="24"/>
        </w:rPr>
      </w:pPr>
    </w:p>
    <w:p w:rsidR="006857C9" w:rsidRDefault="006857C9" w:rsidP="006E60A8">
      <w:pPr>
        <w:jc w:val="both"/>
        <w:rPr>
          <w:rFonts w:ascii="Times New Roman" w:hAnsi="Times New Roman" w:cs="Times New Roman"/>
          <w:b/>
          <w:sz w:val="24"/>
          <w:szCs w:val="24"/>
        </w:rPr>
      </w:pPr>
      <w:r w:rsidRPr="006857C9">
        <w:rPr>
          <w:rFonts w:ascii="Times New Roman" w:hAnsi="Times New Roman" w:cs="Times New Roman"/>
          <w:b/>
          <w:noProof/>
          <w:sz w:val="24"/>
          <w:szCs w:val="24"/>
          <w:lang w:eastAsia="es-ES"/>
        </w:rPr>
        <w:drawing>
          <wp:inline distT="0" distB="0" distL="0" distR="0" wp14:anchorId="07CAAC7F" wp14:editId="22240428">
            <wp:extent cx="5400040" cy="6781517"/>
            <wp:effectExtent l="0" t="0" r="0" b="63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400040" cy="6781517"/>
                    </a:xfrm>
                    <a:prstGeom prst="rect">
                      <a:avLst/>
                    </a:prstGeom>
                  </pic:spPr>
                </pic:pic>
              </a:graphicData>
            </a:graphic>
          </wp:inline>
        </w:drawing>
      </w:r>
    </w:p>
    <w:p w:rsidR="006857C9" w:rsidRDefault="006857C9"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6857C9" w:rsidRDefault="006857C9" w:rsidP="006E60A8">
      <w:pPr>
        <w:jc w:val="both"/>
        <w:rPr>
          <w:rFonts w:ascii="Times New Roman" w:hAnsi="Times New Roman" w:cs="Times New Roman"/>
          <w:b/>
          <w:sz w:val="24"/>
          <w:szCs w:val="24"/>
        </w:rPr>
      </w:pPr>
      <w:r w:rsidRPr="006857C9">
        <w:rPr>
          <w:rFonts w:ascii="Times New Roman" w:hAnsi="Times New Roman" w:cs="Times New Roman"/>
          <w:b/>
          <w:noProof/>
          <w:sz w:val="24"/>
          <w:szCs w:val="24"/>
          <w:lang w:eastAsia="es-ES"/>
        </w:rPr>
        <w:lastRenderedPageBreak/>
        <w:drawing>
          <wp:inline distT="0" distB="0" distL="0" distR="0" wp14:anchorId="15331C9A" wp14:editId="079D22CF">
            <wp:extent cx="5397500" cy="5594350"/>
            <wp:effectExtent l="0" t="0" r="0"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400040" cy="5596983"/>
                    </a:xfrm>
                    <a:prstGeom prst="rect">
                      <a:avLst/>
                    </a:prstGeom>
                  </pic:spPr>
                </pic:pic>
              </a:graphicData>
            </a:graphic>
          </wp:inline>
        </w:drawing>
      </w:r>
    </w:p>
    <w:p w:rsidR="006857C9" w:rsidRDefault="006857C9"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6857C9" w:rsidRDefault="006857C9" w:rsidP="006E60A8">
      <w:pPr>
        <w:jc w:val="both"/>
        <w:rPr>
          <w:rFonts w:ascii="Times New Roman" w:hAnsi="Times New Roman" w:cs="Times New Roman"/>
          <w:b/>
          <w:sz w:val="24"/>
          <w:szCs w:val="24"/>
        </w:rPr>
      </w:pPr>
      <w:r w:rsidRPr="006857C9">
        <w:rPr>
          <w:rFonts w:ascii="Times New Roman" w:hAnsi="Times New Roman" w:cs="Times New Roman"/>
          <w:b/>
          <w:noProof/>
          <w:sz w:val="24"/>
          <w:szCs w:val="24"/>
          <w:lang w:eastAsia="es-ES"/>
        </w:rPr>
        <w:drawing>
          <wp:inline distT="0" distB="0" distL="0" distR="0" wp14:anchorId="756D91F5" wp14:editId="078562C9">
            <wp:extent cx="5480050" cy="2590800"/>
            <wp:effectExtent l="0" t="0" r="635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480816" cy="2591162"/>
                    </a:xfrm>
                    <a:prstGeom prst="rect">
                      <a:avLst/>
                    </a:prstGeom>
                  </pic:spPr>
                </pic:pic>
              </a:graphicData>
            </a:graphic>
          </wp:inline>
        </w:drawing>
      </w:r>
    </w:p>
    <w:p w:rsidR="002B55DB" w:rsidRDefault="002B55DB" w:rsidP="006E60A8">
      <w:pPr>
        <w:jc w:val="both"/>
        <w:rPr>
          <w:rFonts w:ascii="Times New Roman" w:hAnsi="Times New Roman" w:cs="Times New Roman"/>
          <w:b/>
          <w:sz w:val="24"/>
          <w:szCs w:val="24"/>
        </w:rPr>
      </w:pPr>
      <w:r w:rsidRPr="002B55DB">
        <w:rPr>
          <w:rFonts w:ascii="Times New Roman" w:hAnsi="Times New Roman" w:cs="Times New Roman"/>
          <w:b/>
          <w:noProof/>
          <w:sz w:val="24"/>
          <w:szCs w:val="24"/>
          <w:lang w:eastAsia="es-ES"/>
        </w:rPr>
        <w:lastRenderedPageBreak/>
        <w:drawing>
          <wp:inline distT="0" distB="0" distL="0" distR="0" wp14:anchorId="2723EB5E" wp14:editId="2809336A">
            <wp:extent cx="5400040" cy="3938621"/>
            <wp:effectExtent l="0" t="0" r="0" b="508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400040" cy="3938621"/>
                    </a:xfrm>
                    <a:prstGeom prst="rect">
                      <a:avLst/>
                    </a:prstGeom>
                  </pic:spPr>
                </pic:pic>
              </a:graphicData>
            </a:graphic>
          </wp:inline>
        </w:drawing>
      </w:r>
    </w:p>
    <w:p w:rsidR="002B55DB" w:rsidRDefault="002B55DB"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2B55DB" w:rsidRDefault="002B55DB" w:rsidP="006E60A8">
      <w:pPr>
        <w:jc w:val="both"/>
        <w:rPr>
          <w:rFonts w:ascii="Times New Roman" w:hAnsi="Times New Roman" w:cs="Times New Roman"/>
          <w:b/>
          <w:sz w:val="24"/>
          <w:szCs w:val="24"/>
        </w:rPr>
      </w:pPr>
      <w:r w:rsidRPr="002B55DB">
        <w:rPr>
          <w:rFonts w:ascii="Times New Roman" w:hAnsi="Times New Roman" w:cs="Times New Roman"/>
          <w:b/>
          <w:noProof/>
          <w:sz w:val="24"/>
          <w:szCs w:val="24"/>
          <w:lang w:eastAsia="es-ES"/>
        </w:rPr>
        <w:drawing>
          <wp:inline distT="0" distB="0" distL="0" distR="0" wp14:anchorId="1DF1B3A9" wp14:editId="5C86161C">
            <wp:extent cx="5467350" cy="850900"/>
            <wp:effectExtent l="0" t="0" r="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468115" cy="851019"/>
                    </a:xfrm>
                    <a:prstGeom prst="rect">
                      <a:avLst/>
                    </a:prstGeom>
                  </pic:spPr>
                </pic:pic>
              </a:graphicData>
            </a:graphic>
          </wp:inline>
        </w:drawing>
      </w:r>
    </w:p>
    <w:p w:rsidR="002B55DB" w:rsidRDefault="002B55DB" w:rsidP="006E60A8">
      <w:pPr>
        <w:jc w:val="both"/>
        <w:rPr>
          <w:rFonts w:ascii="Times New Roman" w:hAnsi="Times New Roman" w:cs="Times New Roman"/>
          <w:b/>
          <w:sz w:val="24"/>
          <w:szCs w:val="24"/>
        </w:rPr>
      </w:pPr>
      <w:r w:rsidRPr="002B55DB">
        <w:rPr>
          <w:rFonts w:ascii="Times New Roman" w:hAnsi="Times New Roman" w:cs="Times New Roman"/>
          <w:b/>
          <w:noProof/>
          <w:sz w:val="24"/>
          <w:szCs w:val="24"/>
          <w:lang w:eastAsia="es-ES"/>
        </w:rPr>
        <w:drawing>
          <wp:inline distT="0" distB="0" distL="0" distR="0" wp14:anchorId="05D6E55A" wp14:editId="6BF52403">
            <wp:extent cx="5400040" cy="2368657"/>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400040" cy="2368657"/>
                    </a:xfrm>
                    <a:prstGeom prst="rect">
                      <a:avLst/>
                    </a:prstGeom>
                  </pic:spPr>
                </pic:pic>
              </a:graphicData>
            </a:graphic>
          </wp:inline>
        </w:drawing>
      </w:r>
    </w:p>
    <w:p w:rsidR="002B55DB" w:rsidRDefault="002B55DB" w:rsidP="006E60A8">
      <w:pPr>
        <w:jc w:val="both"/>
        <w:rPr>
          <w:rFonts w:ascii="Times New Roman" w:hAnsi="Times New Roman" w:cs="Times New Roman"/>
          <w:b/>
          <w:sz w:val="24"/>
          <w:szCs w:val="24"/>
        </w:rPr>
      </w:pPr>
      <w:r>
        <w:rPr>
          <w:rFonts w:ascii="Times New Roman" w:hAnsi="Times New Roman" w:cs="Times New Roman"/>
          <w:b/>
          <w:sz w:val="24"/>
          <w:szCs w:val="24"/>
        </w:rPr>
        <w:t>(…)</w:t>
      </w:r>
    </w:p>
    <w:p w:rsidR="002B55DB" w:rsidRDefault="002B55DB" w:rsidP="006E60A8">
      <w:pPr>
        <w:jc w:val="both"/>
        <w:rPr>
          <w:rFonts w:ascii="Times New Roman" w:hAnsi="Times New Roman" w:cs="Times New Roman"/>
          <w:b/>
          <w:sz w:val="24"/>
          <w:szCs w:val="24"/>
        </w:rPr>
      </w:pPr>
      <w:r w:rsidRPr="002B55DB">
        <w:rPr>
          <w:rFonts w:ascii="Times New Roman" w:hAnsi="Times New Roman" w:cs="Times New Roman"/>
          <w:b/>
          <w:noProof/>
          <w:sz w:val="24"/>
          <w:szCs w:val="24"/>
          <w:lang w:eastAsia="es-ES"/>
        </w:rPr>
        <w:lastRenderedPageBreak/>
        <w:drawing>
          <wp:inline distT="0" distB="0" distL="0" distR="0" wp14:anchorId="5DDF82E3" wp14:editId="28393B1A">
            <wp:extent cx="5200650" cy="229235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207928" cy="2295558"/>
                    </a:xfrm>
                    <a:prstGeom prst="rect">
                      <a:avLst/>
                    </a:prstGeom>
                  </pic:spPr>
                </pic:pic>
              </a:graphicData>
            </a:graphic>
          </wp:inline>
        </w:drawing>
      </w:r>
    </w:p>
    <w:p w:rsidR="002B55DB" w:rsidRDefault="002B55DB" w:rsidP="006E60A8">
      <w:pPr>
        <w:jc w:val="both"/>
        <w:rPr>
          <w:rFonts w:ascii="Times New Roman" w:hAnsi="Times New Roman" w:cs="Times New Roman"/>
          <w:b/>
          <w:sz w:val="24"/>
          <w:szCs w:val="24"/>
        </w:rPr>
      </w:pPr>
      <w:r w:rsidRPr="002B55DB">
        <w:rPr>
          <w:rFonts w:ascii="Times New Roman" w:hAnsi="Times New Roman" w:cs="Times New Roman"/>
          <w:b/>
          <w:noProof/>
          <w:sz w:val="24"/>
          <w:szCs w:val="24"/>
          <w:lang w:eastAsia="es-ES"/>
        </w:rPr>
        <w:drawing>
          <wp:inline distT="0" distB="0" distL="0" distR="0" wp14:anchorId="3FF133DB" wp14:editId="2D416729">
            <wp:extent cx="5397500" cy="6076950"/>
            <wp:effectExtent l="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400040" cy="6079810"/>
                    </a:xfrm>
                    <a:prstGeom prst="rect">
                      <a:avLst/>
                    </a:prstGeom>
                  </pic:spPr>
                </pic:pic>
              </a:graphicData>
            </a:graphic>
          </wp:inline>
        </w:drawing>
      </w:r>
    </w:p>
    <w:p w:rsidR="000701AF" w:rsidRDefault="000701AF" w:rsidP="006E60A8">
      <w:pPr>
        <w:jc w:val="both"/>
        <w:rPr>
          <w:rFonts w:ascii="Times New Roman" w:hAnsi="Times New Roman" w:cs="Times New Roman"/>
          <w:b/>
          <w:sz w:val="24"/>
          <w:szCs w:val="24"/>
        </w:rPr>
      </w:pPr>
    </w:p>
    <w:p w:rsidR="000701AF" w:rsidRDefault="0017064C" w:rsidP="0017064C">
      <w:pPr>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17064C">
        <w:rPr>
          <w:rFonts w:ascii="Times New Roman" w:hAnsi="Times New Roman" w:cs="Times New Roman"/>
          <w:b/>
          <w:sz w:val="24"/>
          <w:szCs w:val="24"/>
        </w:rPr>
        <w:t>Education, employment, both or neither? - Whath are Young people doing in the EU? - Eurostat (August 2016)</w:t>
      </w:r>
    </w:p>
    <w:p w:rsidR="000973EF" w:rsidRDefault="000973EF" w:rsidP="0017064C">
      <w:pPr>
        <w:jc w:val="both"/>
        <w:rPr>
          <w:rFonts w:ascii="Times New Roman" w:hAnsi="Times New Roman" w:cs="Times New Roman"/>
          <w:b/>
          <w:sz w:val="24"/>
          <w:szCs w:val="24"/>
        </w:rPr>
      </w:pPr>
    </w:p>
    <w:p w:rsidR="0017064C" w:rsidRDefault="0017064C" w:rsidP="0017064C">
      <w:pPr>
        <w:jc w:val="both"/>
        <w:rPr>
          <w:rFonts w:ascii="Times New Roman" w:hAnsi="Times New Roman" w:cs="Times New Roman"/>
          <w:b/>
          <w:sz w:val="24"/>
          <w:szCs w:val="24"/>
        </w:rPr>
      </w:pPr>
      <w:r w:rsidRPr="0017064C">
        <w:rPr>
          <w:rFonts w:ascii="Times New Roman" w:hAnsi="Times New Roman" w:cs="Times New Roman"/>
          <w:b/>
          <w:noProof/>
          <w:sz w:val="24"/>
          <w:szCs w:val="24"/>
          <w:lang w:eastAsia="es-ES"/>
        </w:rPr>
        <w:drawing>
          <wp:inline distT="0" distB="0" distL="0" distR="0" wp14:anchorId="6626E0F8" wp14:editId="756C5718">
            <wp:extent cx="5400040" cy="1611825"/>
            <wp:effectExtent l="0" t="0" r="0" b="762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400040" cy="1611825"/>
                    </a:xfrm>
                    <a:prstGeom prst="rect">
                      <a:avLst/>
                    </a:prstGeom>
                  </pic:spPr>
                </pic:pic>
              </a:graphicData>
            </a:graphic>
          </wp:inline>
        </w:drawing>
      </w:r>
    </w:p>
    <w:p w:rsidR="000973EF" w:rsidRDefault="000973EF" w:rsidP="0017064C">
      <w:pPr>
        <w:jc w:val="both"/>
        <w:rPr>
          <w:rFonts w:ascii="Times New Roman" w:hAnsi="Times New Roman" w:cs="Times New Roman"/>
          <w:b/>
          <w:sz w:val="24"/>
          <w:szCs w:val="24"/>
        </w:rPr>
      </w:pPr>
    </w:p>
    <w:p w:rsidR="0017064C" w:rsidRDefault="0017064C" w:rsidP="0017064C">
      <w:pPr>
        <w:jc w:val="both"/>
        <w:rPr>
          <w:rFonts w:ascii="Times New Roman" w:hAnsi="Times New Roman" w:cs="Times New Roman"/>
          <w:b/>
          <w:sz w:val="24"/>
          <w:szCs w:val="24"/>
        </w:rPr>
      </w:pPr>
      <w:r w:rsidRPr="0017064C">
        <w:rPr>
          <w:rFonts w:ascii="Times New Roman" w:hAnsi="Times New Roman" w:cs="Times New Roman"/>
          <w:b/>
          <w:noProof/>
          <w:sz w:val="24"/>
          <w:szCs w:val="24"/>
          <w:lang w:eastAsia="es-ES"/>
        </w:rPr>
        <w:drawing>
          <wp:inline distT="0" distB="0" distL="0" distR="0" wp14:anchorId="37640107" wp14:editId="6400AF6C">
            <wp:extent cx="5400040" cy="3015908"/>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400040" cy="3015908"/>
                    </a:xfrm>
                    <a:prstGeom prst="rect">
                      <a:avLst/>
                    </a:prstGeom>
                  </pic:spPr>
                </pic:pic>
              </a:graphicData>
            </a:graphic>
          </wp:inline>
        </w:drawing>
      </w:r>
    </w:p>
    <w:p w:rsidR="0017064C" w:rsidRDefault="0017064C" w:rsidP="0017064C">
      <w:pPr>
        <w:jc w:val="both"/>
        <w:rPr>
          <w:rFonts w:ascii="Times New Roman" w:hAnsi="Times New Roman" w:cs="Times New Roman"/>
          <w:b/>
          <w:sz w:val="24"/>
          <w:szCs w:val="24"/>
        </w:rPr>
      </w:pPr>
    </w:p>
    <w:p w:rsidR="0017064C" w:rsidRDefault="0017064C" w:rsidP="0017064C">
      <w:pPr>
        <w:jc w:val="both"/>
        <w:rPr>
          <w:rFonts w:ascii="Times New Roman" w:hAnsi="Times New Roman" w:cs="Times New Roman"/>
          <w:b/>
          <w:sz w:val="24"/>
          <w:szCs w:val="24"/>
        </w:rPr>
      </w:pPr>
      <w:r w:rsidRPr="0017064C">
        <w:rPr>
          <w:rFonts w:ascii="Times New Roman" w:hAnsi="Times New Roman" w:cs="Times New Roman"/>
          <w:b/>
          <w:noProof/>
          <w:sz w:val="24"/>
          <w:szCs w:val="24"/>
          <w:lang w:eastAsia="es-ES"/>
        </w:rPr>
        <w:drawing>
          <wp:inline distT="0" distB="0" distL="0" distR="0" wp14:anchorId="28EE6DD6" wp14:editId="4D16F169">
            <wp:extent cx="5400040" cy="1790848"/>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400040" cy="1790848"/>
                    </a:xfrm>
                    <a:prstGeom prst="rect">
                      <a:avLst/>
                    </a:prstGeom>
                  </pic:spPr>
                </pic:pic>
              </a:graphicData>
            </a:graphic>
          </wp:inline>
        </w:drawing>
      </w:r>
    </w:p>
    <w:p w:rsidR="000973EF" w:rsidRDefault="0017064C" w:rsidP="0017064C">
      <w:pPr>
        <w:jc w:val="both"/>
        <w:rPr>
          <w:rFonts w:ascii="Times New Roman" w:hAnsi="Times New Roman" w:cs="Times New Roman"/>
          <w:b/>
          <w:sz w:val="24"/>
          <w:szCs w:val="24"/>
        </w:rPr>
      </w:pPr>
      <w:r w:rsidRPr="0017064C">
        <w:rPr>
          <w:rFonts w:ascii="Times New Roman" w:hAnsi="Times New Roman" w:cs="Times New Roman"/>
          <w:b/>
          <w:noProof/>
          <w:sz w:val="24"/>
          <w:szCs w:val="24"/>
          <w:lang w:eastAsia="es-ES"/>
        </w:rPr>
        <w:lastRenderedPageBreak/>
        <w:drawing>
          <wp:inline distT="0" distB="0" distL="0" distR="0" wp14:anchorId="749CDA23" wp14:editId="1FE80D5F">
            <wp:extent cx="5395844" cy="42672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400040" cy="4270519"/>
                    </a:xfrm>
                    <a:prstGeom prst="rect">
                      <a:avLst/>
                    </a:prstGeom>
                  </pic:spPr>
                </pic:pic>
              </a:graphicData>
            </a:graphic>
          </wp:inline>
        </w:drawing>
      </w:r>
    </w:p>
    <w:p w:rsidR="0017064C" w:rsidRDefault="0017064C" w:rsidP="0017064C">
      <w:pPr>
        <w:jc w:val="both"/>
        <w:rPr>
          <w:rFonts w:ascii="Times New Roman" w:hAnsi="Times New Roman" w:cs="Times New Roman"/>
          <w:b/>
          <w:sz w:val="24"/>
          <w:szCs w:val="24"/>
        </w:rPr>
      </w:pPr>
      <w:r w:rsidRPr="0017064C">
        <w:rPr>
          <w:rFonts w:ascii="Times New Roman" w:hAnsi="Times New Roman" w:cs="Times New Roman"/>
          <w:b/>
          <w:noProof/>
          <w:sz w:val="24"/>
          <w:szCs w:val="24"/>
          <w:lang w:eastAsia="es-ES"/>
        </w:rPr>
        <w:drawing>
          <wp:inline distT="0" distB="0" distL="0" distR="0" wp14:anchorId="11E10807" wp14:editId="07879278">
            <wp:extent cx="5400040" cy="1490235"/>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400040" cy="1490235"/>
                    </a:xfrm>
                    <a:prstGeom prst="rect">
                      <a:avLst/>
                    </a:prstGeom>
                  </pic:spPr>
                </pic:pic>
              </a:graphicData>
            </a:graphic>
          </wp:inline>
        </w:drawing>
      </w:r>
    </w:p>
    <w:p w:rsidR="000973EF" w:rsidRDefault="000973EF" w:rsidP="0017064C">
      <w:pPr>
        <w:jc w:val="both"/>
        <w:rPr>
          <w:rFonts w:ascii="Times New Roman" w:hAnsi="Times New Roman" w:cs="Times New Roman"/>
          <w:b/>
          <w:sz w:val="24"/>
          <w:szCs w:val="24"/>
        </w:rPr>
      </w:pPr>
      <w:r w:rsidRPr="000973EF">
        <w:rPr>
          <w:rFonts w:ascii="Times New Roman" w:hAnsi="Times New Roman" w:cs="Times New Roman"/>
          <w:b/>
          <w:noProof/>
          <w:sz w:val="24"/>
          <w:szCs w:val="24"/>
          <w:lang w:eastAsia="es-ES"/>
        </w:rPr>
        <w:drawing>
          <wp:inline distT="0" distB="0" distL="0" distR="0" wp14:anchorId="5E6A2ACB" wp14:editId="66BB6E2E">
            <wp:extent cx="5400040" cy="2723238"/>
            <wp:effectExtent l="0" t="0" r="0" b="127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400040" cy="2723238"/>
                    </a:xfrm>
                    <a:prstGeom prst="rect">
                      <a:avLst/>
                    </a:prstGeom>
                  </pic:spPr>
                </pic:pic>
              </a:graphicData>
            </a:graphic>
          </wp:inline>
        </w:drawing>
      </w:r>
    </w:p>
    <w:p w:rsidR="000973EF" w:rsidRDefault="000973EF" w:rsidP="0017064C">
      <w:pPr>
        <w:jc w:val="both"/>
        <w:rPr>
          <w:rFonts w:ascii="Times New Roman" w:hAnsi="Times New Roman" w:cs="Times New Roman"/>
          <w:b/>
          <w:sz w:val="24"/>
          <w:szCs w:val="24"/>
        </w:rPr>
      </w:pPr>
    </w:p>
    <w:p w:rsidR="000973EF" w:rsidRDefault="000973EF" w:rsidP="0017064C">
      <w:pPr>
        <w:jc w:val="both"/>
        <w:rPr>
          <w:rFonts w:ascii="Times New Roman" w:hAnsi="Times New Roman" w:cs="Times New Roman"/>
          <w:b/>
          <w:sz w:val="24"/>
          <w:szCs w:val="24"/>
        </w:rPr>
      </w:pPr>
    </w:p>
    <w:p w:rsidR="000973EF" w:rsidRDefault="000973EF" w:rsidP="0017064C">
      <w:pPr>
        <w:jc w:val="both"/>
        <w:rPr>
          <w:rFonts w:ascii="Times New Roman" w:hAnsi="Times New Roman" w:cs="Times New Roman"/>
          <w:b/>
          <w:sz w:val="24"/>
          <w:szCs w:val="24"/>
        </w:rPr>
      </w:pPr>
      <w:r w:rsidRPr="000973EF">
        <w:rPr>
          <w:rFonts w:ascii="Times New Roman" w:hAnsi="Times New Roman" w:cs="Times New Roman"/>
          <w:b/>
          <w:noProof/>
          <w:sz w:val="24"/>
          <w:szCs w:val="24"/>
          <w:lang w:eastAsia="es-ES"/>
        </w:rPr>
        <w:drawing>
          <wp:inline distT="0" distB="0" distL="0" distR="0" wp14:anchorId="39331D34" wp14:editId="15BBF38B">
            <wp:extent cx="5842000" cy="5137150"/>
            <wp:effectExtent l="0" t="0" r="6350" b="635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844750" cy="5139568"/>
                    </a:xfrm>
                    <a:prstGeom prst="rect">
                      <a:avLst/>
                    </a:prstGeom>
                  </pic:spPr>
                </pic:pic>
              </a:graphicData>
            </a:graphic>
          </wp:inline>
        </w:drawing>
      </w:r>
    </w:p>
    <w:p w:rsidR="000973EF" w:rsidRDefault="000973EF" w:rsidP="0017064C">
      <w:pPr>
        <w:jc w:val="both"/>
        <w:rPr>
          <w:rFonts w:ascii="Times New Roman" w:hAnsi="Times New Roman" w:cs="Times New Roman"/>
          <w:b/>
          <w:sz w:val="24"/>
          <w:szCs w:val="24"/>
        </w:rPr>
      </w:pPr>
    </w:p>
    <w:p w:rsidR="000973EF" w:rsidRDefault="000973EF" w:rsidP="0017064C">
      <w:pPr>
        <w:jc w:val="both"/>
        <w:rPr>
          <w:rFonts w:ascii="Times New Roman" w:hAnsi="Times New Roman" w:cs="Times New Roman"/>
          <w:b/>
          <w:sz w:val="24"/>
          <w:szCs w:val="24"/>
        </w:rPr>
      </w:pPr>
      <w:r w:rsidRPr="000973EF">
        <w:rPr>
          <w:rFonts w:ascii="Times New Roman" w:hAnsi="Times New Roman" w:cs="Times New Roman"/>
          <w:b/>
          <w:noProof/>
          <w:sz w:val="24"/>
          <w:szCs w:val="24"/>
          <w:lang w:eastAsia="es-ES"/>
        </w:rPr>
        <w:drawing>
          <wp:inline distT="0" distB="0" distL="0" distR="0" wp14:anchorId="3E6529FC" wp14:editId="5A28BEF6">
            <wp:extent cx="5400040" cy="1437078"/>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400040" cy="1437078"/>
                    </a:xfrm>
                    <a:prstGeom prst="rect">
                      <a:avLst/>
                    </a:prstGeom>
                  </pic:spPr>
                </pic:pic>
              </a:graphicData>
            </a:graphic>
          </wp:inline>
        </w:drawing>
      </w:r>
    </w:p>
    <w:p w:rsidR="000973EF" w:rsidRDefault="000973EF" w:rsidP="0017064C">
      <w:pPr>
        <w:jc w:val="both"/>
        <w:rPr>
          <w:rFonts w:ascii="Times New Roman" w:hAnsi="Times New Roman" w:cs="Times New Roman"/>
          <w:b/>
          <w:sz w:val="24"/>
          <w:szCs w:val="24"/>
        </w:rPr>
      </w:pPr>
    </w:p>
    <w:p w:rsidR="000973EF" w:rsidRDefault="000973EF" w:rsidP="0017064C">
      <w:pPr>
        <w:jc w:val="both"/>
        <w:rPr>
          <w:rFonts w:ascii="Times New Roman" w:hAnsi="Times New Roman" w:cs="Times New Roman"/>
          <w:b/>
          <w:sz w:val="24"/>
          <w:szCs w:val="24"/>
        </w:rPr>
      </w:pPr>
    </w:p>
    <w:p w:rsidR="000973EF" w:rsidRDefault="000973EF" w:rsidP="0017064C">
      <w:pPr>
        <w:jc w:val="both"/>
        <w:rPr>
          <w:rFonts w:ascii="Times New Roman" w:hAnsi="Times New Roman" w:cs="Times New Roman"/>
          <w:b/>
          <w:sz w:val="24"/>
          <w:szCs w:val="24"/>
        </w:rPr>
      </w:pPr>
    </w:p>
    <w:p w:rsidR="000973EF" w:rsidRDefault="000973EF" w:rsidP="000973EF">
      <w:pPr>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0973EF">
        <w:rPr>
          <w:rFonts w:ascii="Times New Roman" w:hAnsi="Times New Roman" w:cs="Times New Roman"/>
          <w:b/>
          <w:sz w:val="24"/>
          <w:szCs w:val="24"/>
        </w:rPr>
        <w:t xml:space="preserve">Informe OIT Perspectivas sociales y del empleo en el mundo </w:t>
      </w:r>
      <w:r>
        <w:rPr>
          <w:rFonts w:ascii="Times New Roman" w:hAnsi="Times New Roman" w:cs="Times New Roman"/>
          <w:b/>
          <w:sz w:val="24"/>
          <w:szCs w:val="24"/>
        </w:rPr>
        <w:t>- Tendencias del empleo juvenil</w:t>
      </w:r>
      <w:r w:rsidR="0085676B">
        <w:rPr>
          <w:rFonts w:ascii="Times New Roman" w:hAnsi="Times New Roman" w:cs="Times New Roman"/>
          <w:b/>
          <w:sz w:val="24"/>
          <w:szCs w:val="24"/>
        </w:rPr>
        <w:t xml:space="preserve"> - Resumen ejecutivo</w:t>
      </w:r>
      <w:r>
        <w:rPr>
          <w:rFonts w:ascii="Times New Roman" w:hAnsi="Times New Roman" w:cs="Times New Roman"/>
          <w:b/>
          <w:sz w:val="24"/>
          <w:szCs w:val="24"/>
        </w:rPr>
        <w:t xml:space="preserve"> (Agosto 2016)</w:t>
      </w:r>
    </w:p>
    <w:p w:rsidR="0085676B" w:rsidRDefault="000973EF" w:rsidP="000973EF">
      <w:pPr>
        <w:jc w:val="both"/>
        <w:rPr>
          <w:rFonts w:ascii="Times New Roman" w:hAnsi="Times New Roman" w:cs="Times New Roman"/>
          <w:b/>
          <w:sz w:val="24"/>
          <w:szCs w:val="24"/>
        </w:rPr>
      </w:pPr>
      <w:r w:rsidRPr="000973EF">
        <w:rPr>
          <w:rFonts w:ascii="Times New Roman" w:hAnsi="Times New Roman" w:cs="Times New Roman"/>
          <w:b/>
          <w:noProof/>
          <w:sz w:val="24"/>
          <w:szCs w:val="24"/>
          <w:lang w:eastAsia="es-ES"/>
        </w:rPr>
        <w:drawing>
          <wp:inline distT="0" distB="0" distL="0" distR="0" wp14:anchorId="3B15B132" wp14:editId="407F2A4C">
            <wp:extent cx="5400040" cy="4755432"/>
            <wp:effectExtent l="0" t="0" r="0" b="762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400040" cy="4755432"/>
                    </a:xfrm>
                    <a:prstGeom prst="rect">
                      <a:avLst/>
                    </a:prstGeom>
                  </pic:spPr>
                </pic:pic>
              </a:graphicData>
            </a:graphic>
          </wp:inline>
        </w:drawing>
      </w:r>
    </w:p>
    <w:p w:rsidR="0085676B" w:rsidRDefault="0085676B" w:rsidP="000973EF">
      <w:pPr>
        <w:jc w:val="both"/>
        <w:rPr>
          <w:rFonts w:ascii="Times New Roman" w:hAnsi="Times New Roman" w:cs="Times New Roman"/>
          <w:b/>
          <w:sz w:val="24"/>
          <w:szCs w:val="24"/>
        </w:rPr>
      </w:pPr>
      <w:r w:rsidRPr="0085676B">
        <w:rPr>
          <w:rFonts w:ascii="Times New Roman" w:hAnsi="Times New Roman" w:cs="Times New Roman"/>
          <w:b/>
          <w:noProof/>
          <w:sz w:val="24"/>
          <w:szCs w:val="24"/>
          <w:lang w:eastAsia="es-ES"/>
        </w:rPr>
        <w:drawing>
          <wp:inline distT="0" distB="0" distL="0" distR="0" wp14:anchorId="7940FDE9" wp14:editId="1966B2F9">
            <wp:extent cx="5400040" cy="3135054"/>
            <wp:effectExtent l="0" t="0" r="0" b="825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400040" cy="3135054"/>
                    </a:xfrm>
                    <a:prstGeom prst="rect">
                      <a:avLst/>
                    </a:prstGeom>
                  </pic:spPr>
                </pic:pic>
              </a:graphicData>
            </a:graphic>
          </wp:inline>
        </w:drawing>
      </w:r>
    </w:p>
    <w:p w:rsidR="0085676B" w:rsidRDefault="0085676B" w:rsidP="000973EF">
      <w:pPr>
        <w:jc w:val="both"/>
        <w:rPr>
          <w:rFonts w:ascii="Times New Roman" w:hAnsi="Times New Roman" w:cs="Times New Roman"/>
          <w:b/>
          <w:sz w:val="24"/>
          <w:szCs w:val="24"/>
        </w:rPr>
      </w:pPr>
      <w:r w:rsidRPr="0085676B">
        <w:rPr>
          <w:rFonts w:ascii="Times New Roman" w:hAnsi="Times New Roman" w:cs="Times New Roman"/>
          <w:b/>
          <w:noProof/>
          <w:sz w:val="24"/>
          <w:szCs w:val="24"/>
          <w:lang w:eastAsia="es-ES"/>
        </w:rPr>
        <w:lastRenderedPageBreak/>
        <w:drawing>
          <wp:inline distT="0" distB="0" distL="0" distR="0" wp14:anchorId="1EF7AF48" wp14:editId="23492DE0">
            <wp:extent cx="5400040" cy="2734847"/>
            <wp:effectExtent l="0" t="0" r="0" b="889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400040" cy="2734847"/>
                    </a:xfrm>
                    <a:prstGeom prst="rect">
                      <a:avLst/>
                    </a:prstGeom>
                  </pic:spPr>
                </pic:pic>
              </a:graphicData>
            </a:graphic>
          </wp:inline>
        </w:drawing>
      </w:r>
    </w:p>
    <w:p w:rsidR="0085676B" w:rsidRDefault="0085676B" w:rsidP="000973EF">
      <w:pPr>
        <w:jc w:val="both"/>
        <w:rPr>
          <w:rFonts w:ascii="Times New Roman" w:hAnsi="Times New Roman" w:cs="Times New Roman"/>
          <w:b/>
          <w:sz w:val="24"/>
          <w:szCs w:val="24"/>
        </w:rPr>
      </w:pPr>
      <w:r w:rsidRPr="0085676B">
        <w:rPr>
          <w:rFonts w:ascii="Times New Roman" w:hAnsi="Times New Roman" w:cs="Times New Roman"/>
          <w:b/>
          <w:noProof/>
          <w:sz w:val="24"/>
          <w:szCs w:val="24"/>
          <w:lang w:eastAsia="es-ES"/>
        </w:rPr>
        <w:drawing>
          <wp:inline distT="0" distB="0" distL="0" distR="0" wp14:anchorId="5722A76B" wp14:editId="32A3C849">
            <wp:extent cx="5400040" cy="4213473"/>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400040" cy="4213473"/>
                    </a:xfrm>
                    <a:prstGeom prst="rect">
                      <a:avLst/>
                    </a:prstGeom>
                  </pic:spPr>
                </pic:pic>
              </a:graphicData>
            </a:graphic>
          </wp:inline>
        </w:drawing>
      </w:r>
    </w:p>
    <w:p w:rsidR="0085676B" w:rsidRDefault="0085676B" w:rsidP="000973EF">
      <w:pPr>
        <w:jc w:val="both"/>
        <w:rPr>
          <w:rFonts w:ascii="Times New Roman" w:hAnsi="Times New Roman" w:cs="Times New Roman"/>
          <w:b/>
          <w:sz w:val="24"/>
          <w:szCs w:val="24"/>
        </w:rPr>
      </w:pPr>
      <w:r w:rsidRPr="0085676B">
        <w:rPr>
          <w:rFonts w:ascii="Times New Roman" w:hAnsi="Times New Roman" w:cs="Times New Roman"/>
          <w:b/>
          <w:noProof/>
          <w:sz w:val="24"/>
          <w:szCs w:val="24"/>
          <w:lang w:eastAsia="es-ES"/>
        </w:rPr>
        <w:drawing>
          <wp:inline distT="0" distB="0" distL="0" distR="0" wp14:anchorId="2E4FF564" wp14:editId="646227C7">
            <wp:extent cx="5400040" cy="1204897"/>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400040" cy="1204897"/>
                    </a:xfrm>
                    <a:prstGeom prst="rect">
                      <a:avLst/>
                    </a:prstGeom>
                  </pic:spPr>
                </pic:pic>
              </a:graphicData>
            </a:graphic>
          </wp:inline>
        </w:drawing>
      </w:r>
    </w:p>
    <w:p w:rsidR="0085676B" w:rsidRDefault="0085676B" w:rsidP="000973EF">
      <w:pPr>
        <w:jc w:val="both"/>
        <w:rPr>
          <w:rFonts w:ascii="Times New Roman" w:hAnsi="Times New Roman" w:cs="Times New Roman"/>
          <w:b/>
          <w:sz w:val="24"/>
          <w:szCs w:val="24"/>
        </w:rPr>
      </w:pPr>
    </w:p>
    <w:p w:rsidR="0085676B" w:rsidRDefault="0085676B" w:rsidP="000973EF">
      <w:pPr>
        <w:jc w:val="both"/>
        <w:rPr>
          <w:rFonts w:ascii="Times New Roman" w:hAnsi="Times New Roman" w:cs="Times New Roman"/>
          <w:b/>
          <w:sz w:val="24"/>
          <w:szCs w:val="24"/>
        </w:rPr>
      </w:pPr>
      <w:r w:rsidRPr="0085676B">
        <w:rPr>
          <w:rFonts w:ascii="Times New Roman" w:hAnsi="Times New Roman" w:cs="Times New Roman"/>
          <w:b/>
          <w:noProof/>
          <w:sz w:val="24"/>
          <w:szCs w:val="24"/>
          <w:lang w:eastAsia="es-ES"/>
        </w:rPr>
        <w:lastRenderedPageBreak/>
        <w:drawing>
          <wp:inline distT="0" distB="0" distL="0" distR="0" wp14:anchorId="520A4426" wp14:editId="0FF2FA8E">
            <wp:extent cx="5400040" cy="3579253"/>
            <wp:effectExtent l="0" t="0" r="0" b="254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400040" cy="3579253"/>
                    </a:xfrm>
                    <a:prstGeom prst="rect">
                      <a:avLst/>
                    </a:prstGeom>
                  </pic:spPr>
                </pic:pic>
              </a:graphicData>
            </a:graphic>
          </wp:inline>
        </w:drawing>
      </w:r>
    </w:p>
    <w:p w:rsidR="0085676B" w:rsidRDefault="0085676B" w:rsidP="000973EF">
      <w:pPr>
        <w:jc w:val="both"/>
        <w:rPr>
          <w:rFonts w:ascii="Times New Roman" w:hAnsi="Times New Roman" w:cs="Times New Roman"/>
          <w:b/>
          <w:sz w:val="24"/>
          <w:szCs w:val="24"/>
        </w:rPr>
      </w:pPr>
      <w:r w:rsidRPr="0085676B">
        <w:rPr>
          <w:rFonts w:ascii="Times New Roman" w:hAnsi="Times New Roman" w:cs="Times New Roman"/>
          <w:b/>
          <w:noProof/>
          <w:sz w:val="24"/>
          <w:szCs w:val="24"/>
          <w:lang w:eastAsia="es-ES"/>
        </w:rPr>
        <w:drawing>
          <wp:inline distT="0" distB="0" distL="0" distR="0" wp14:anchorId="1AF2C510" wp14:editId="2F41CCDC">
            <wp:extent cx="5400040" cy="1969872"/>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400040" cy="1969872"/>
                    </a:xfrm>
                    <a:prstGeom prst="rect">
                      <a:avLst/>
                    </a:prstGeom>
                  </pic:spPr>
                </pic:pic>
              </a:graphicData>
            </a:graphic>
          </wp:inline>
        </w:drawing>
      </w:r>
    </w:p>
    <w:p w:rsidR="000973EF" w:rsidRDefault="000973EF" w:rsidP="000973EF">
      <w:pPr>
        <w:jc w:val="both"/>
        <w:rPr>
          <w:rFonts w:ascii="Times New Roman" w:hAnsi="Times New Roman" w:cs="Times New Roman"/>
          <w:b/>
          <w:sz w:val="24"/>
          <w:szCs w:val="24"/>
        </w:rPr>
      </w:pPr>
      <w:r w:rsidRPr="000973EF">
        <w:rPr>
          <w:rFonts w:ascii="Times New Roman" w:hAnsi="Times New Roman" w:cs="Times New Roman"/>
          <w:b/>
          <w:sz w:val="24"/>
          <w:szCs w:val="24"/>
        </w:rPr>
        <w:t xml:space="preserve"> </w:t>
      </w:r>
    </w:p>
    <w:p w:rsidR="008B704D" w:rsidRDefault="008B704D" w:rsidP="000973EF">
      <w:pPr>
        <w:jc w:val="both"/>
        <w:rPr>
          <w:rFonts w:ascii="Times New Roman" w:hAnsi="Times New Roman" w:cs="Times New Roman"/>
          <w:b/>
          <w:sz w:val="24"/>
          <w:szCs w:val="24"/>
        </w:rPr>
      </w:pPr>
    </w:p>
    <w:p w:rsidR="008B704D" w:rsidRDefault="008B704D" w:rsidP="000973EF">
      <w:pPr>
        <w:jc w:val="both"/>
        <w:rPr>
          <w:rFonts w:ascii="Times New Roman" w:hAnsi="Times New Roman" w:cs="Times New Roman"/>
          <w:b/>
          <w:sz w:val="24"/>
          <w:szCs w:val="24"/>
        </w:rPr>
      </w:pPr>
    </w:p>
    <w:p w:rsidR="008B704D" w:rsidRDefault="008B704D" w:rsidP="000973EF">
      <w:pPr>
        <w:jc w:val="both"/>
        <w:rPr>
          <w:rFonts w:ascii="Times New Roman" w:hAnsi="Times New Roman" w:cs="Times New Roman"/>
          <w:b/>
          <w:sz w:val="24"/>
          <w:szCs w:val="24"/>
        </w:rPr>
      </w:pPr>
    </w:p>
    <w:p w:rsidR="008B704D" w:rsidRDefault="008B704D" w:rsidP="000973EF">
      <w:pPr>
        <w:jc w:val="both"/>
        <w:rPr>
          <w:rFonts w:ascii="Times New Roman" w:hAnsi="Times New Roman" w:cs="Times New Roman"/>
          <w:b/>
          <w:sz w:val="24"/>
          <w:szCs w:val="24"/>
        </w:rPr>
      </w:pPr>
    </w:p>
    <w:p w:rsidR="008B704D" w:rsidRDefault="008B704D" w:rsidP="000973EF">
      <w:pPr>
        <w:jc w:val="both"/>
        <w:rPr>
          <w:rFonts w:ascii="Times New Roman" w:hAnsi="Times New Roman" w:cs="Times New Roman"/>
          <w:b/>
          <w:sz w:val="24"/>
          <w:szCs w:val="24"/>
        </w:rPr>
      </w:pPr>
    </w:p>
    <w:p w:rsidR="008B704D" w:rsidRDefault="008B704D" w:rsidP="000973EF">
      <w:pPr>
        <w:jc w:val="both"/>
        <w:rPr>
          <w:rFonts w:ascii="Times New Roman" w:hAnsi="Times New Roman" w:cs="Times New Roman"/>
          <w:b/>
          <w:sz w:val="24"/>
          <w:szCs w:val="24"/>
        </w:rPr>
      </w:pPr>
    </w:p>
    <w:p w:rsidR="008B704D" w:rsidRDefault="008B704D" w:rsidP="000973EF">
      <w:pPr>
        <w:jc w:val="both"/>
        <w:rPr>
          <w:rFonts w:ascii="Times New Roman" w:hAnsi="Times New Roman" w:cs="Times New Roman"/>
          <w:b/>
          <w:sz w:val="24"/>
          <w:szCs w:val="24"/>
        </w:rPr>
      </w:pPr>
    </w:p>
    <w:p w:rsidR="008B704D" w:rsidRDefault="008B704D" w:rsidP="000973EF">
      <w:pPr>
        <w:jc w:val="both"/>
        <w:rPr>
          <w:rFonts w:ascii="Times New Roman" w:hAnsi="Times New Roman" w:cs="Times New Roman"/>
          <w:b/>
          <w:sz w:val="24"/>
          <w:szCs w:val="24"/>
        </w:rPr>
      </w:pPr>
    </w:p>
    <w:p w:rsidR="008B704D" w:rsidRDefault="008B704D" w:rsidP="008B704D">
      <w:pPr>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8B704D">
        <w:rPr>
          <w:rFonts w:ascii="Times New Roman" w:hAnsi="Times New Roman" w:cs="Times New Roman"/>
          <w:b/>
          <w:sz w:val="24"/>
          <w:szCs w:val="24"/>
        </w:rPr>
        <w:t>World employment social outlook - Trends for youth 2016 - ILO  (August 2016)</w:t>
      </w:r>
    </w:p>
    <w:p w:rsidR="008B704D" w:rsidRDefault="008B704D" w:rsidP="008B704D">
      <w:pPr>
        <w:jc w:val="both"/>
        <w:rPr>
          <w:rFonts w:ascii="Times New Roman" w:hAnsi="Times New Roman" w:cs="Times New Roman"/>
          <w:b/>
          <w:sz w:val="24"/>
          <w:szCs w:val="24"/>
        </w:rPr>
      </w:pPr>
      <w:r w:rsidRPr="008B704D">
        <w:rPr>
          <w:rFonts w:ascii="Times New Roman" w:hAnsi="Times New Roman" w:cs="Times New Roman"/>
          <w:b/>
          <w:noProof/>
          <w:sz w:val="24"/>
          <w:szCs w:val="24"/>
          <w:lang w:eastAsia="es-ES"/>
        </w:rPr>
        <w:drawing>
          <wp:inline distT="0" distB="0" distL="0" distR="0" wp14:anchorId="5C3F551A" wp14:editId="179640B6">
            <wp:extent cx="5397500" cy="4603750"/>
            <wp:effectExtent l="0" t="0" r="0"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400040" cy="4605916"/>
                    </a:xfrm>
                    <a:prstGeom prst="rect">
                      <a:avLst/>
                    </a:prstGeom>
                  </pic:spPr>
                </pic:pic>
              </a:graphicData>
            </a:graphic>
          </wp:inline>
        </w:drawing>
      </w:r>
    </w:p>
    <w:p w:rsidR="008B704D" w:rsidRDefault="008B704D" w:rsidP="008B704D">
      <w:pPr>
        <w:jc w:val="both"/>
        <w:rPr>
          <w:rFonts w:ascii="Times New Roman" w:hAnsi="Times New Roman" w:cs="Times New Roman"/>
          <w:b/>
          <w:sz w:val="24"/>
          <w:szCs w:val="24"/>
        </w:rPr>
      </w:pPr>
      <w:r w:rsidRPr="008B704D">
        <w:rPr>
          <w:rFonts w:ascii="Times New Roman" w:hAnsi="Times New Roman" w:cs="Times New Roman"/>
          <w:b/>
          <w:noProof/>
          <w:sz w:val="24"/>
          <w:szCs w:val="24"/>
          <w:lang w:eastAsia="es-ES"/>
        </w:rPr>
        <w:drawing>
          <wp:inline distT="0" distB="0" distL="0" distR="0" wp14:anchorId="4B8DC5B5" wp14:editId="4D2B8398">
            <wp:extent cx="5397500" cy="360680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400040" cy="3608497"/>
                    </a:xfrm>
                    <a:prstGeom prst="rect">
                      <a:avLst/>
                    </a:prstGeom>
                  </pic:spPr>
                </pic:pic>
              </a:graphicData>
            </a:graphic>
          </wp:inline>
        </w:drawing>
      </w:r>
    </w:p>
    <w:p w:rsidR="008B704D" w:rsidRDefault="008B704D" w:rsidP="008B704D">
      <w:pPr>
        <w:jc w:val="both"/>
        <w:rPr>
          <w:rFonts w:ascii="Times New Roman" w:hAnsi="Times New Roman" w:cs="Times New Roman"/>
          <w:b/>
          <w:sz w:val="24"/>
          <w:szCs w:val="24"/>
        </w:rPr>
      </w:pPr>
      <w:r w:rsidRPr="008B704D">
        <w:rPr>
          <w:rFonts w:ascii="Times New Roman" w:hAnsi="Times New Roman" w:cs="Times New Roman"/>
          <w:b/>
          <w:noProof/>
          <w:sz w:val="24"/>
          <w:szCs w:val="24"/>
          <w:lang w:eastAsia="es-ES"/>
        </w:rPr>
        <w:lastRenderedPageBreak/>
        <w:drawing>
          <wp:inline distT="0" distB="0" distL="0" distR="0" wp14:anchorId="15DC14CD" wp14:editId="541D6C4E">
            <wp:extent cx="5400040" cy="4423658"/>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400040" cy="4423658"/>
                    </a:xfrm>
                    <a:prstGeom prst="rect">
                      <a:avLst/>
                    </a:prstGeom>
                  </pic:spPr>
                </pic:pic>
              </a:graphicData>
            </a:graphic>
          </wp:inline>
        </w:drawing>
      </w:r>
    </w:p>
    <w:p w:rsidR="00E60D3C" w:rsidRDefault="00E60D3C" w:rsidP="008B704D">
      <w:pPr>
        <w:jc w:val="both"/>
        <w:rPr>
          <w:rFonts w:ascii="Times New Roman" w:hAnsi="Times New Roman" w:cs="Times New Roman"/>
          <w:b/>
          <w:sz w:val="24"/>
          <w:szCs w:val="24"/>
        </w:rPr>
      </w:pPr>
    </w:p>
    <w:p w:rsidR="008B704D" w:rsidRDefault="008B704D" w:rsidP="008B704D">
      <w:pPr>
        <w:jc w:val="both"/>
        <w:rPr>
          <w:rFonts w:ascii="Times New Roman" w:hAnsi="Times New Roman" w:cs="Times New Roman"/>
          <w:b/>
          <w:sz w:val="24"/>
          <w:szCs w:val="24"/>
        </w:rPr>
      </w:pPr>
      <w:r w:rsidRPr="008B704D">
        <w:rPr>
          <w:rFonts w:ascii="Times New Roman" w:hAnsi="Times New Roman" w:cs="Times New Roman"/>
          <w:b/>
          <w:noProof/>
          <w:sz w:val="24"/>
          <w:szCs w:val="24"/>
          <w:lang w:eastAsia="es-ES"/>
        </w:rPr>
        <w:drawing>
          <wp:inline distT="0" distB="0" distL="0" distR="0" wp14:anchorId="146FFB42" wp14:editId="15FD3D49">
            <wp:extent cx="5400040" cy="3411838"/>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400040" cy="3411838"/>
                    </a:xfrm>
                    <a:prstGeom prst="rect">
                      <a:avLst/>
                    </a:prstGeom>
                  </pic:spPr>
                </pic:pic>
              </a:graphicData>
            </a:graphic>
          </wp:inline>
        </w:drawing>
      </w:r>
    </w:p>
    <w:p w:rsidR="008B704D" w:rsidRDefault="008B704D" w:rsidP="008B704D">
      <w:pPr>
        <w:jc w:val="both"/>
        <w:rPr>
          <w:rFonts w:ascii="Times New Roman" w:hAnsi="Times New Roman" w:cs="Times New Roman"/>
          <w:b/>
          <w:sz w:val="24"/>
          <w:szCs w:val="24"/>
        </w:rPr>
      </w:pPr>
    </w:p>
    <w:p w:rsidR="008B704D" w:rsidRDefault="008B704D" w:rsidP="008B704D">
      <w:pPr>
        <w:jc w:val="both"/>
        <w:rPr>
          <w:rFonts w:ascii="Times New Roman" w:hAnsi="Times New Roman" w:cs="Times New Roman"/>
          <w:b/>
          <w:sz w:val="24"/>
          <w:szCs w:val="24"/>
        </w:rPr>
      </w:pPr>
    </w:p>
    <w:p w:rsidR="008B704D" w:rsidRDefault="00E60D3C" w:rsidP="008B704D">
      <w:pPr>
        <w:jc w:val="both"/>
        <w:rPr>
          <w:rFonts w:ascii="Times New Roman" w:hAnsi="Times New Roman" w:cs="Times New Roman"/>
          <w:b/>
          <w:sz w:val="24"/>
          <w:szCs w:val="24"/>
        </w:rPr>
      </w:pPr>
      <w:r w:rsidRPr="00E60D3C">
        <w:rPr>
          <w:rFonts w:ascii="Times New Roman" w:hAnsi="Times New Roman" w:cs="Times New Roman"/>
          <w:b/>
          <w:noProof/>
          <w:sz w:val="24"/>
          <w:szCs w:val="24"/>
          <w:lang w:eastAsia="es-ES"/>
        </w:rPr>
        <w:drawing>
          <wp:inline distT="0" distB="0" distL="0" distR="0" wp14:anchorId="5AF072FF" wp14:editId="7F9DD450">
            <wp:extent cx="5400040" cy="3262753"/>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400040" cy="3262753"/>
                    </a:xfrm>
                    <a:prstGeom prst="rect">
                      <a:avLst/>
                    </a:prstGeom>
                  </pic:spPr>
                </pic:pic>
              </a:graphicData>
            </a:graphic>
          </wp:inline>
        </w:drawing>
      </w:r>
    </w:p>
    <w:p w:rsidR="00E60D3C" w:rsidRDefault="00E60D3C" w:rsidP="008B704D">
      <w:pPr>
        <w:jc w:val="both"/>
        <w:rPr>
          <w:rFonts w:ascii="Times New Roman" w:hAnsi="Times New Roman" w:cs="Times New Roman"/>
          <w:b/>
          <w:sz w:val="24"/>
          <w:szCs w:val="24"/>
        </w:rPr>
      </w:pPr>
    </w:p>
    <w:p w:rsidR="00E60D3C" w:rsidRDefault="00E60D3C" w:rsidP="008B704D">
      <w:pPr>
        <w:jc w:val="both"/>
        <w:rPr>
          <w:rFonts w:ascii="Times New Roman" w:hAnsi="Times New Roman" w:cs="Times New Roman"/>
          <w:b/>
          <w:sz w:val="24"/>
          <w:szCs w:val="24"/>
        </w:rPr>
      </w:pPr>
      <w:r w:rsidRPr="00E60D3C">
        <w:rPr>
          <w:rFonts w:ascii="Times New Roman" w:hAnsi="Times New Roman" w:cs="Times New Roman"/>
          <w:b/>
          <w:noProof/>
          <w:sz w:val="24"/>
          <w:szCs w:val="24"/>
          <w:lang w:eastAsia="es-ES"/>
        </w:rPr>
        <w:drawing>
          <wp:inline distT="0" distB="0" distL="0" distR="0" wp14:anchorId="7E1B2EC7" wp14:editId="6C5595BF">
            <wp:extent cx="5400040" cy="4143208"/>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400040" cy="4143208"/>
                    </a:xfrm>
                    <a:prstGeom prst="rect">
                      <a:avLst/>
                    </a:prstGeom>
                  </pic:spPr>
                </pic:pic>
              </a:graphicData>
            </a:graphic>
          </wp:inline>
        </w:drawing>
      </w:r>
    </w:p>
    <w:p w:rsidR="00E60D3C" w:rsidRDefault="00E60D3C" w:rsidP="008B704D">
      <w:pPr>
        <w:jc w:val="both"/>
        <w:rPr>
          <w:rFonts w:ascii="Times New Roman" w:hAnsi="Times New Roman" w:cs="Times New Roman"/>
          <w:b/>
          <w:sz w:val="24"/>
          <w:szCs w:val="24"/>
        </w:rPr>
      </w:pPr>
    </w:p>
    <w:p w:rsidR="00E60D3C" w:rsidRDefault="00E60D3C" w:rsidP="008B704D">
      <w:pPr>
        <w:jc w:val="both"/>
        <w:rPr>
          <w:rFonts w:ascii="Times New Roman" w:hAnsi="Times New Roman" w:cs="Times New Roman"/>
          <w:b/>
          <w:sz w:val="24"/>
          <w:szCs w:val="24"/>
        </w:rPr>
      </w:pPr>
    </w:p>
    <w:p w:rsidR="00E60D3C" w:rsidRDefault="00E60D3C" w:rsidP="008B704D">
      <w:pPr>
        <w:jc w:val="both"/>
        <w:rPr>
          <w:rFonts w:ascii="Times New Roman" w:hAnsi="Times New Roman" w:cs="Times New Roman"/>
          <w:b/>
          <w:sz w:val="24"/>
          <w:szCs w:val="24"/>
        </w:rPr>
      </w:pPr>
    </w:p>
    <w:p w:rsidR="00E60D3C" w:rsidRDefault="00E60D3C" w:rsidP="008B704D">
      <w:pPr>
        <w:jc w:val="both"/>
        <w:rPr>
          <w:rFonts w:ascii="Times New Roman" w:hAnsi="Times New Roman" w:cs="Times New Roman"/>
          <w:b/>
          <w:sz w:val="24"/>
          <w:szCs w:val="24"/>
        </w:rPr>
      </w:pPr>
      <w:r w:rsidRPr="00E60D3C">
        <w:rPr>
          <w:rFonts w:ascii="Times New Roman" w:hAnsi="Times New Roman" w:cs="Times New Roman"/>
          <w:b/>
          <w:noProof/>
          <w:sz w:val="24"/>
          <w:szCs w:val="24"/>
          <w:lang w:eastAsia="es-ES"/>
        </w:rPr>
        <w:drawing>
          <wp:inline distT="0" distB="0" distL="0" distR="0" wp14:anchorId="4C487FA8" wp14:editId="7F1764F0">
            <wp:extent cx="5400040" cy="2182501"/>
            <wp:effectExtent l="0" t="0" r="0" b="825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400040" cy="2182501"/>
                    </a:xfrm>
                    <a:prstGeom prst="rect">
                      <a:avLst/>
                    </a:prstGeom>
                  </pic:spPr>
                </pic:pic>
              </a:graphicData>
            </a:graphic>
          </wp:inline>
        </w:drawing>
      </w:r>
    </w:p>
    <w:p w:rsidR="00E60D3C" w:rsidRDefault="00E60D3C" w:rsidP="008B704D">
      <w:pPr>
        <w:jc w:val="both"/>
        <w:rPr>
          <w:rFonts w:ascii="Times New Roman" w:hAnsi="Times New Roman" w:cs="Times New Roman"/>
          <w:b/>
          <w:sz w:val="24"/>
          <w:szCs w:val="24"/>
        </w:rPr>
      </w:pPr>
    </w:p>
    <w:p w:rsidR="00E60D3C" w:rsidRDefault="00E60D3C" w:rsidP="008B704D">
      <w:pPr>
        <w:jc w:val="both"/>
        <w:rPr>
          <w:rFonts w:ascii="Times New Roman" w:hAnsi="Times New Roman" w:cs="Times New Roman"/>
          <w:b/>
          <w:sz w:val="24"/>
          <w:szCs w:val="24"/>
        </w:rPr>
      </w:pPr>
      <w:r w:rsidRPr="00E60D3C">
        <w:rPr>
          <w:rFonts w:ascii="Times New Roman" w:hAnsi="Times New Roman" w:cs="Times New Roman"/>
          <w:b/>
          <w:noProof/>
          <w:sz w:val="24"/>
          <w:szCs w:val="24"/>
          <w:lang w:eastAsia="es-ES"/>
        </w:rPr>
        <w:drawing>
          <wp:inline distT="0" distB="0" distL="0" distR="0" wp14:anchorId="2F48E3E7" wp14:editId="3E40A4BE">
            <wp:extent cx="5400040" cy="4266630"/>
            <wp:effectExtent l="0" t="0" r="0" b="63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400040" cy="4266630"/>
                    </a:xfrm>
                    <a:prstGeom prst="rect">
                      <a:avLst/>
                    </a:prstGeom>
                  </pic:spPr>
                </pic:pic>
              </a:graphicData>
            </a:graphic>
          </wp:inline>
        </w:drawing>
      </w:r>
    </w:p>
    <w:p w:rsidR="00E60D3C" w:rsidRDefault="00E60D3C" w:rsidP="008B704D">
      <w:pPr>
        <w:jc w:val="both"/>
        <w:rPr>
          <w:rFonts w:ascii="Times New Roman" w:hAnsi="Times New Roman" w:cs="Times New Roman"/>
          <w:b/>
          <w:sz w:val="24"/>
          <w:szCs w:val="24"/>
        </w:rPr>
      </w:pPr>
    </w:p>
    <w:p w:rsidR="00E60D3C" w:rsidRDefault="00E60D3C" w:rsidP="008B704D">
      <w:pPr>
        <w:jc w:val="both"/>
        <w:rPr>
          <w:rFonts w:ascii="Times New Roman" w:hAnsi="Times New Roman" w:cs="Times New Roman"/>
          <w:b/>
          <w:sz w:val="24"/>
          <w:szCs w:val="24"/>
        </w:rPr>
      </w:pPr>
    </w:p>
    <w:p w:rsidR="00E60D3C" w:rsidRDefault="00E60D3C" w:rsidP="008B704D">
      <w:pPr>
        <w:jc w:val="both"/>
        <w:rPr>
          <w:rFonts w:ascii="Times New Roman" w:hAnsi="Times New Roman" w:cs="Times New Roman"/>
          <w:b/>
          <w:sz w:val="24"/>
          <w:szCs w:val="24"/>
        </w:rPr>
      </w:pPr>
    </w:p>
    <w:p w:rsidR="00E60D3C" w:rsidRDefault="00E60D3C" w:rsidP="008B704D">
      <w:pPr>
        <w:jc w:val="both"/>
        <w:rPr>
          <w:rFonts w:ascii="Times New Roman" w:hAnsi="Times New Roman" w:cs="Times New Roman"/>
          <w:b/>
          <w:sz w:val="24"/>
          <w:szCs w:val="24"/>
        </w:rPr>
      </w:pPr>
    </w:p>
    <w:p w:rsidR="00E60D3C" w:rsidRDefault="00E60D3C" w:rsidP="008B704D">
      <w:pPr>
        <w:jc w:val="both"/>
        <w:rPr>
          <w:rFonts w:ascii="Times New Roman" w:hAnsi="Times New Roman" w:cs="Times New Roman"/>
          <w:b/>
          <w:sz w:val="24"/>
          <w:szCs w:val="24"/>
        </w:rPr>
      </w:pPr>
      <w:r w:rsidRPr="00E60D3C">
        <w:rPr>
          <w:rFonts w:ascii="Times New Roman" w:hAnsi="Times New Roman" w:cs="Times New Roman"/>
          <w:b/>
          <w:noProof/>
          <w:sz w:val="24"/>
          <w:szCs w:val="24"/>
          <w:lang w:eastAsia="es-ES"/>
        </w:rPr>
        <w:lastRenderedPageBreak/>
        <w:drawing>
          <wp:inline distT="0" distB="0" distL="0" distR="0" wp14:anchorId="715D424D" wp14:editId="6E00C567">
            <wp:extent cx="5396648" cy="3289300"/>
            <wp:effectExtent l="0" t="0" r="0" b="635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400040" cy="3291367"/>
                    </a:xfrm>
                    <a:prstGeom prst="rect">
                      <a:avLst/>
                    </a:prstGeom>
                  </pic:spPr>
                </pic:pic>
              </a:graphicData>
            </a:graphic>
          </wp:inline>
        </w:drawing>
      </w:r>
    </w:p>
    <w:p w:rsidR="00E60D3C" w:rsidRDefault="00E60D3C" w:rsidP="008B704D">
      <w:pPr>
        <w:jc w:val="both"/>
        <w:rPr>
          <w:rFonts w:ascii="Times New Roman" w:hAnsi="Times New Roman" w:cs="Times New Roman"/>
          <w:b/>
          <w:sz w:val="24"/>
          <w:szCs w:val="24"/>
        </w:rPr>
      </w:pPr>
      <w:r w:rsidRPr="00E60D3C">
        <w:rPr>
          <w:rFonts w:ascii="Times New Roman" w:hAnsi="Times New Roman" w:cs="Times New Roman"/>
          <w:b/>
          <w:noProof/>
          <w:sz w:val="24"/>
          <w:szCs w:val="24"/>
          <w:lang w:eastAsia="es-ES"/>
        </w:rPr>
        <w:drawing>
          <wp:inline distT="0" distB="0" distL="0" distR="0" wp14:anchorId="65FF5BBA" wp14:editId="1F3586FA">
            <wp:extent cx="5397500" cy="255905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400040" cy="2560254"/>
                    </a:xfrm>
                    <a:prstGeom prst="rect">
                      <a:avLst/>
                    </a:prstGeom>
                  </pic:spPr>
                </pic:pic>
              </a:graphicData>
            </a:graphic>
          </wp:inline>
        </w:drawing>
      </w:r>
    </w:p>
    <w:p w:rsidR="00E60D3C" w:rsidRDefault="00E60D3C" w:rsidP="008B704D">
      <w:pPr>
        <w:jc w:val="both"/>
        <w:rPr>
          <w:rFonts w:ascii="Times New Roman" w:hAnsi="Times New Roman" w:cs="Times New Roman"/>
          <w:b/>
          <w:sz w:val="24"/>
          <w:szCs w:val="24"/>
        </w:rPr>
      </w:pPr>
    </w:p>
    <w:p w:rsidR="00E60D3C" w:rsidRDefault="00E60D3C" w:rsidP="008B704D">
      <w:pPr>
        <w:jc w:val="both"/>
        <w:rPr>
          <w:rFonts w:ascii="Times New Roman" w:hAnsi="Times New Roman" w:cs="Times New Roman"/>
          <w:b/>
          <w:sz w:val="24"/>
          <w:szCs w:val="24"/>
        </w:rPr>
      </w:pPr>
      <w:r w:rsidRPr="00E60D3C">
        <w:rPr>
          <w:rFonts w:ascii="Times New Roman" w:hAnsi="Times New Roman" w:cs="Times New Roman"/>
          <w:b/>
          <w:noProof/>
          <w:sz w:val="24"/>
          <w:szCs w:val="24"/>
          <w:lang w:eastAsia="es-ES"/>
        </w:rPr>
        <w:drawing>
          <wp:inline distT="0" distB="0" distL="0" distR="0" wp14:anchorId="0339DD75" wp14:editId="03850377">
            <wp:extent cx="5400040" cy="2243601"/>
            <wp:effectExtent l="0" t="0" r="0" b="4445"/>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400040" cy="2243601"/>
                    </a:xfrm>
                    <a:prstGeom prst="rect">
                      <a:avLst/>
                    </a:prstGeom>
                  </pic:spPr>
                </pic:pic>
              </a:graphicData>
            </a:graphic>
          </wp:inline>
        </w:drawing>
      </w:r>
    </w:p>
    <w:p w:rsidR="00E60D3C" w:rsidRDefault="00E60D3C" w:rsidP="008B704D">
      <w:pPr>
        <w:jc w:val="both"/>
        <w:rPr>
          <w:rFonts w:ascii="Times New Roman" w:hAnsi="Times New Roman" w:cs="Times New Roman"/>
          <w:b/>
          <w:sz w:val="24"/>
          <w:szCs w:val="24"/>
        </w:rPr>
      </w:pPr>
      <w:r w:rsidRPr="00E60D3C">
        <w:rPr>
          <w:rFonts w:ascii="Times New Roman" w:hAnsi="Times New Roman" w:cs="Times New Roman"/>
          <w:b/>
          <w:noProof/>
          <w:sz w:val="24"/>
          <w:szCs w:val="24"/>
          <w:lang w:eastAsia="es-ES"/>
        </w:rPr>
        <w:lastRenderedPageBreak/>
        <w:drawing>
          <wp:inline distT="0" distB="0" distL="0" distR="0" wp14:anchorId="53E65DA3" wp14:editId="2E29951F">
            <wp:extent cx="5400040" cy="1534838"/>
            <wp:effectExtent l="0" t="0" r="0" b="8255"/>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400040" cy="1534838"/>
                    </a:xfrm>
                    <a:prstGeom prst="rect">
                      <a:avLst/>
                    </a:prstGeom>
                  </pic:spPr>
                </pic:pic>
              </a:graphicData>
            </a:graphic>
          </wp:inline>
        </w:drawing>
      </w:r>
    </w:p>
    <w:p w:rsidR="00E60D3C" w:rsidRDefault="00E60D3C" w:rsidP="008B704D">
      <w:pPr>
        <w:jc w:val="both"/>
        <w:rPr>
          <w:rFonts w:ascii="Times New Roman" w:hAnsi="Times New Roman" w:cs="Times New Roman"/>
          <w:b/>
          <w:sz w:val="24"/>
          <w:szCs w:val="24"/>
        </w:rPr>
      </w:pPr>
    </w:p>
    <w:p w:rsidR="00E60D3C" w:rsidRDefault="00E60D3C" w:rsidP="008B704D">
      <w:pPr>
        <w:jc w:val="both"/>
        <w:rPr>
          <w:rFonts w:ascii="Times New Roman" w:hAnsi="Times New Roman" w:cs="Times New Roman"/>
          <w:b/>
          <w:sz w:val="24"/>
          <w:szCs w:val="24"/>
        </w:rPr>
      </w:pPr>
      <w:r w:rsidRPr="00E60D3C">
        <w:rPr>
          <w:rFonts w:ascii="Times New Roman" w:hAnsi="Times New Roman" w:cs="Times New Roman"/>
          <w:b/>
          <w:noProof/>
          <w:sz w:val="24"/>
          <w:szCs w:val="24"/>
          <w:lang w:eastAsia="es-ES"/>
        </w:rPr>
        <w:drawing>
          <wp:inline distT="0" distB="0" distL="0" distR="0" wp14:anchorId="421FED74" wp14:editId="7188B200">
            <wp:extent cx="5400040" cy="642408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400040" cy="6424080"/>
                    </a:xfrm>
                    <a:prstGeom prst="rect">
                      <a:avLst/>
                    </a:prstGeom>
                  </pic:spPr>
                </pic:pic>
              </a:graphicData>
            </a:graphic>
          </wp:inline>
        </w:drawing>
      </w:r>
    </w:p>
    <w:p w:rsidR="00E60D3C" w:rsidRDefault="00E60D3C" w:rsidP="008B704D">
      <w:pPr>
        <w:jc w:val="both"/>
        <w:rPr>
          <w:rFonts w:ascii="Times New Roman" w:hAnsi="Times New Roman" w:cs="Times New Roman"/>
          <w:b/>
          <w:sz w:val="24"/>
          <w:szCs w:val="24"/>
        </w:rPr>
      </w:pPr>
    </w:p>
    <w:p w:rsidR="00E60D3C" w:rsidRDefault="0008080F" w:rsidP="008B704D">
      <w:pPr>
        <w:jc w:val="both"/>
        <w:rPr>
          <w:rFonts w:ascii="Times New Roman" w:hAnsi="Times New Roman" w:cs="Times New Roman"/>
          <w:b/>
          <w:sz w:val="24"/>
          <w:szCs w:val="24"/>
        </w:rPr>
      </w:pPr>
      <w:r w:rsidRPr="0008080F">
        <w:rPr>
          <w:rFonts w:ascii="Times New Roman" w:hAnsi="Times New Roman" w:cs="Times New Roman"/>
          <w:b/>
          <w:noProof/>
          <w:sz w:val="24"/>
          <w:szCs w:val="24"/>
          <w:lang w:eastAsia="es-ES"/>
        </w:rPr>
        <w:lastRenderedPageBreak/>
        <w:drawing>
          <wp:inline distT="0" distB="0" distL="0" distR="0" wp14:anchorId="1840A2A7" wp14:editId="5FD8300B">
            <wp:extent cx="5400040" cy="3587807"/>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400040" cy="3587807"/>
                    </a:xfrm>
                    <a:prstGeom prst="rect">
                      <a:avLst/>
                    </a:prstGeom>
                  </pic:spPr>
                </pic:pic>
              </a:graphicData>
            </a:graphic>
          </wp:inline>
        </w:drawing>
      </w:r>
    </w:p>
    <w:p w:rsidR="0008080F" w:rsidRDefault="0008080F" w:rsidP="008B704D">
      <w:pPr>
        <w:jc w:val="both"/>
        <w:rPr>
          <w:rFonts w:ascii="Times New Roman" w:hAnsi="Times New Roman" w:cs="Times New Roman"/>
          <w:b/>
          <w:sz w:val="24"/>
          <w:szCs w:val="24"/>
        </w:rPr>
      </w:pPr>
      <w:r w:rsidRPr="0008080F">
        <w:rPr>
          <w:rFonts w:ascii="Times New Roman" w:hAnsi="Times New Roman" w:cs="Times New Roman"/>
          <w:b/>
          <w:noProof/>
          <w:sz w:val="24"/>
          <w:szCs w:val="24"/>
          <w:lang w:eastAsia="es-ES"/>
        </w:rPr>
        <w:drawing>
          <wp:inline distT="0" distB="0" distL="0" distR="0" wp14:anchorId="3564B73A" wp14:editId="2F3A829A">
            <wp:extent cx="5400040" cy="4904517"/>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400040" cy="4904517"/>
                    </a:xfrm>
                    <a:prstGeom prst="rect">
                      <a:avLst/>
                    </a:prstGeom>
                  </pic:spPr>
                </pic:pic>
              </a:graphicData>
            </a:graphic>
          </wp:inline>
        </w:drawing>
      </w:r>
    </w:p>
    <w:p w:rsidR="0008080F" w:rsidRDefault="0008080F" w:rsidP="008B704D">
      <w:pPr>
        <w:jc w:val="both"/>
        <w:rPr>
          <w:rFonts w:ascii="Times New Roman" w:hAnsi="Times New Roman" w:cs="Times New Roman"/>
          <w:b/>
          <w:sz w:val="24"/>
          <w:szCs w:val="24"/>
        </w:rPr>
      </w:pPr>
      <w:r w:rsidRPr="0008080F">
        <w:rPr>
          <w:rFonts w:ascii="Times New Roman" w:hAnsi="Times New Roman" w:cs="Times New Roman"/>
          <w:b/>
          <w:noProof/>
          <w:sz w:val="24"/>
          <w:szCs w:val="24"/>
          <w:lang w:eastAsia="es-ES"/>
        </w:rPr>
        <w:lastRenderedPageBreak/>
        <w:drawing>
          <wp:inline distT="0" distB="0" distL="0" distR="0" wp14:anchorId="5D3F8623" wp14:editId="28E5B5B7">
            <wp:extent cx="5400040" cy="2917537"/>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400040" cy="2917537"/>
                    </a:xfrm>
                    <a:prstGeom prst="rect">
                      <a:avLst/>
                    </a:prstGeom>
                  </pic:spPr>
                </pic:pic>
              </a:graphicData>
            </a:graphic>
          </wp:inline>
        </w:drawing>
      </w:r>
    </w:p>
    <w:p w:rsidR="0008080F" w:rsidRDefault="0008080F" w:rsidP="008B704D">
      <w:pPr>
        <w:jc w:val="both"/>
        <w:rPr>
          <w:rFonts w:ascii="Times New Roman" w:hAnsi="Times New Roman" w:cs="Times New Roman"/>
          <w:b/>
          <w:sz w:val="24"/>
          <w:szCs w:val="24"/>
        </w:rPr>
      </w:pPr>
      <w:r w:rsidRPr="0008080F">
        <w:rPr>
          <w:rFonts w:ascii="Times New Roman" w:hAnsi="Times New Roman" w:cs="Times New Roman"/>
          <w:b/>
          <w:noProof/>
          <w:sz w:val="24"/>
          <w:szCs w:val="24"/>
          <w:lang w:eastAsia="es-ES"/>
        </w:rPr>
        <w:drawing>
          <wp:inline distT="0" distB="0" distL="0" distR="0" wp14:anchorId="1BBD60D0" wp14:editId="1B6F9FB8">
            <wp:extent cx="5400040" cy="3014686"/>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400040" cy="3014686"/>
                    </a:xfrm>
                    <a:prstGeom prst="rect">
                      <a:avLst/>
                    </a:prstGeom>
                  </pic:spPr>
                </pic:pic>
              </a:graphicData>
            </a:graphic>
          </wp:inline>
        </w:drawing>
      </w:r>
    </w:p>
    <w:p w:rsidR="002430A8" w:rsidRDefault="002430A8" w:rsidP="008B704D">
      <w:pPr>
        <w:jc w:val="both"/>
        <w:rPr>
          <w:rFonts w:ascii="Times New Roman" w:hAnsi="Times New Roman" w:cs="Times New Roman"/>
          <w:b/>
          <w:sz w:val="24"/>
          <w:szCs w:val="24"/>
        </w:rPr>
      </w:pPr>
    </w:p>
    <w:p w:rsidR="0008080F" w:rsidRDefault="0008080F" w:rsidP="008B704D">
      <w:pPr>
        <w:jc w:val="both"/>
        <w:rPr>
          <w:rFonts w:ascii="Times New Roman" w:hAnsi="Times New Roman" w:cs="Times New Roman"/>
          <w:b/>
          <w:sz w:val="24"/>
          <w:szCs w:val="24"/>
        </w:rPr>
      </w:pPr>
      <w:r w:rsidRPr="0008080F">
        <w:rPr>
          <w:rFonts w:ascii="Times New Roman" w:hAnsi="Times New Roman" w:cs="Times New Roman"/>
          <w:b/>
          <w:noProof/>
          <w:sz w:val="24"/>
          <w:szCs w:val="24"/>
          <w:lang w:eastAsia="es-ES"/>
        </w:rPr>
        <w:drawing>
          <wp:inline distT="0" distB="0" distL="0" distR="0" wp14:anchorId="7ACFB178" wp14:editId="74065332">
            <wp:extent cx="5400040" cy="1597161"/>
            <wp:effectExtent l="0" t="0" r="0" b="3175"/>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400040" cy="1597161"/>
                    </a:xfrm>
                    <a:prstGeom prst="rect">
                      <a:avLst/>
                    </a:prstGeom>
                  </pic:spPr>
                </pic:pic>
              </a:graphicData>
            </a:graphic>
          </wp:inline>
        </w:drawing>
      </w:r>
    </w:p>
    <w:p w:rsidR="0008080F" w:rsidRDefault="002430A8" w:rsidP="008B704D">
      <w:pPr>
        <w:jc w:val="both"/>
        <w:rPr>
          <w:rFonts w:ascii="Times New Roman" w:hAnsi="Times New Roman" w:cs="Times New Roman"/>
          <w:b/>
          <w:sz w:val="24"/>
          <w:szCs w:val="24"/>
        </w:rPr>
      </w:pPr>
      <w:r w:rsidRPr="002430A8">
        <w:rPr>
          <w:rFonts w:ascii="Times New Roman" w:hAnsi="Times New Roman" w:cs="Times New Roman"/>
          <w:b/>
          <w:noProof/>
          <w:sz w:val="24"/>
          <w:szCs w:val="24"/>
          <w:lang w:eastAsia="es-ES"/>
        </w:rPr>
        <w:lastRenderedPageBreak/>
        <w:drawing>
          <wp:inline distT="0" distB="0" distL="0" distR="0" wp14:anchorId="7F2B17DF" wp14:editId="636B1A47">
            <wp:extent cx="5397500" cy="16383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400040" cy="1639071"/>
                    </a:xfrm>
                    <a:prstGeom prst="rect">
                      <a:avLst/>
                    </a:prstGeom>
                  </pic:spPr>
                </pic:pic>
              </a:graphicData>
            </a:graphic>
          </wp:inline>
        </w:drawing>
      </w:r>
    </w:p>
    <w:p w:rsidR="0008080F" w:rsidRDefault="0008080F" w:rsidP="008B704D">
      <w:pPr>
        <w:jc w:val="both"/>
        <w:rPr>
          <w:rFonts w:ascii="Times New Roman" w:hAnsi="Times New Roman" w:cs="Times New Roman"/>
          <w:b/>
          <w:sz w:val="24"/>
          <w:szCs w:val="24"/>
        </w:rPr>
      </w:pPr>
      <w:r w:rsidRPr="0008080F">
        <w:rPr>
          <w:rFonts w:ascii="Times New Roman" w:hAnsi="Times New Roman" w:cs="Times New Roman"/>
          <w:b/>
          <w:noProof/>
          <w:sz w:val="24"/>
          <w:szCs w:val="24"/>
          <w:lang w:eastAsia="es-ES"/>
        </w:rPr>
        <w:drawing>
          <wp:inline distT="0" distB="0" distL="0" distR="0" wp14:anchorId="03842C7E" wp14:editId="5AD1B78F">
            <wp:extent cx="5397500" cy="3460750"/>
            <wp:effectExtent l="0" t="0" r="0" b="635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400040" cy="3462379"/>
                    </a:xfrm>
                    <a:prstGeom prst="rect">
                      <a:avLst/>
                    </a:prstGeom>
                  </pic:spPr>
                </pic:pic>
              </a:graphicData>
            </a:graphic>
          </wp:inline>
        </w:drawing>
      </w:r>
    </w:p>
    <w:p w:rsidR="002430A8" w:rsidRDefault="002430A8" w:rsidP="008B704D">
      <w:pPr>
        <w:jc w:val="both"/>
        <w:rPr>
          <w:rFonts w:ascii="Times New Roman" w:hAnsi="Times New Roman" w:cs="Times New Roman"/>
          <w:b/>
          <w:sz w:val="24"/>
          <w:szCs w:val="24"/>
        </w:rPr>
      </w:pPr>
      <w:r w:rsidRPr="002430A8">
        <w:rPr>
          <w:rFonts w:ascii="Times New Roman" w:hAnsi="Times New Roman" w:cs="Times New Roman"/>
          <w:b/>
          <w:noProof/>
          <w:sz w:val="24"/>
          <w:szCs w:val="24"/>
          <w:lang w:eastAsia="es-ES"/>
        </w:rPr>
        <w:drawing>
          <wp:inline distT="0" distB="0" distL="0" distR="0" wp14:anchorId="26E2BB12" wp14:editId="6DC4CC88">
            <wp:extent cx="5397500" cy="3460750"/>
            <wp:effectExtent l="0" t="0" r="0" b="635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400040" cy="3462379"/>
                    </a:xfrm>
                    <a:prstGeom prst="rect">
                      <a:avLst/>
                    </a:prstGeom>
                  </pic:spPr>
                </pic:pic>
              </a:graphicData>
            </a:graphic>
          </wp:inline>
        </w:drawing>
      </w:r>
    </w:p>
    <w:p w:rsidR="002430A8" w:rsidRDefault="002430A8" w:rsidP="008B704D">
      <w:pPr>
        <w:jc w:val="both"/>
        <w:rPr>
          <w:rFonts w:ascii="Times New Roman" w:hAnsi="Times New Roman" w:cs="Times New Roman"/>
          <w:b/>
          <w:sz w:val="24"/>
          <w:szCs w:val="24"/>
        </w:rPr>
      </w:pPr>
      <w:r w:rsidRPr="002430A8">
        <w:rPr>
          <w:rFonts w:ascii="Times New Roman" w:hAnsi="Times New Roman" w:cs="Times New Roman"/>
          <w:b/>
          <w:noProof/>
          <w:sz w:val="24"/>
          <w:szCs w:val="24"/>
          <w:lang w:eastAsia="es-ES"/>
        </w:rPr>
        <w:lastRenderedPageBreak/>
        <w:drawing>
          <wp:inline distT="0" distB="0" distL="0" distR="0" wp14:anchorId="7B729DE5" wp14:editId="40FC7277">
            <wp:extent cx="5400040" cy="3460718"/>
            <wp:effectExtent l="0" t="0" r="0" b="698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400040" cy="3460718"/>
                    </a:xfrm>
                    <a:prstGeom prst="rect">
                      <a:avLst/>
                    </a:prstGeom>
                  </pic:spPr>
                </pic:pic>
              </a:graphicData>
            </a:graphic>
          </wp:inline>
        </w:drawing>
      </w: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r w:rsidRPr="002430A8">
        <w:rPr>
          <w:rFonts w:ascii="Times New Roman" w:hAnsi="Times New Roman" w:cs="Times New Roman"/>
          <w:b/>
          <w:noProof/>
          <w:sz w:val="24"/>
          <w:szCs w:val="24"/>
          <w:lang w:eastAsia="es-ES"/>
        </w:rPr>
        <w:drawing>
          <wp:inline distT="0" distB="0" distL="0" distR="0" wp14:anchorId="3B6A8776" wp14:editId="7AD96DF8">
            <wp:extent cx="5400040" cy="4564189"/>
            <wp:effectExtent l="0" t="0" r="0" b="8255"/>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400040" cy="4564189"/>
                    </a:xfrm>
                    <a:prstGeom prst="rect">
                      <a:avLst/>
                    </a:prstGeom>
                  </pic:spPr>
                </pic:pic>
              </a:graphicData>
            </a:graphic>
          </wp:inline>
        </w:drawing>
      </w: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r w:rsidRPr="002430A8">
        <w:rPr>
          <w:rFonts w:ascii="Times New Roman" w:hAnsi="Times New Roman" w:cs="Times New Roman"/>
          <w:b/>
          <w:noProof/>
          <w:sz w:val="24"/>
          <w:szCs w:val="24"/>
          <w:lang w:eastAsia="es-ES"/>
        </w:rPr>
        <w:drawing>
          <wp:inline distT="0" distB="0" distL="0" distR="0" wp14:anchorId="018A2A2D" wp14:editId="36DC126A">
            <wp:extent cx="5400040" cy="7445065"/>
            <wp:effectExtent l="0" t="0" r="0" b="381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400040" cy="7445065"/>
                    </a:xfrm>
                    <a:prstGeom prst="rect">
                      <a:avLst/>
                    </a:prstGeom>
                  </pic:spPr>
                </pic:pic>
              </a:graphicData>
            </a:graphic>
          </wp:inline>
        </w:drawing>
      </w: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r w:rsidRPr="002430A8">
        <w:rPr>
          <w:rFonts w:ascii="Times New Roman" w:hAnsi="Times New Roman" w:cs="Times New Roman"/>
          <w:b/>
          <w:noProof/>
          <w:sz w:val="24"/>
          <w:szCs w:val="24"/>
          <w:lang w:eastAsia="es-ES"/>
        </w:rPr>
        <w:drawing>
          <wp:inline distT="0" distB="0" distL="0" distR="0" wp14:anchorId="1C983926" wp14:editId="5E3ECA9B">
            <wp:extent cx="5400040" cy="6133243"/>
            <wp:effectExtent l="0" t="0" r="0" b="127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400040" cy="6133243"/>
                    </a:xfrm>
                    <a:prstGeom prst="rect">
                      <a:avLst/>
                    </a:prstGeom>
                  </pic:spPr>
                </pic:pic>
              </a:graphicData>
            </a:graphic>
          </wp:inline>
        </w:drawing>
      </w: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r w:rsidRPr="002430A8">
        <w:rPr>
          <w:rFonts w:ascii="Times New Roman" w:hAnsi="Times New Roman" w:cs="Times New Roman"/>
          <w:b/>
          <w:noProof/>
          <w:sz w:val="24"/>
          <w:szCs w:val="24"/>
          <w:lang w:eastAsia="es-ES"/>
        </w:rPr>
        <w:lastRenderedPageBreak/>
        <w:drawing>
          <wp:inline distT="0" distB="0" distL="0" distR="0" wp14:anchorId="67472BED" wp14:editId="44213944">
            <wp:extent cx="5400040" cy="3751555"/>
            <wp:effectExtent l="0" t="0" r="0" b="1905"/>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400040" cy="3751555"/>
                    </a:xfrm>
                    <a:prstGeom prst="rect">
                      <a:avLst/>
                    </a:prstGeom>
                  </pic:spPr>
                </pic:pic>
              </a:graphicData>
            </a:graphic>
          </wp:inline>
        </w:drawing>
      </w: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r w:rsidRPr="002430A8">
        <w:rPr>
          <w:rFonts w:ascii="Times New Roman" w:hAnsi="Times New Roman" w:cs="Times New Roman"/>
          <w:b/>
          <w:noProof/>
          <w:sz w:val="24"/>
          <w:szCs w:val="24"/>
          <w:lang w:eastAsia="es-ES"/>
        </w:rPr>
        <w:drawing>
          <wp:inline distT="0" distB="0" distL="0" distR="0" wp14:anchorId="7740055A" wp14:editId="3F22E862">
            <wp:extent cx="5400040" cy="3890253"/>
            <wp:effectExtent l="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400040" cy="3890253"/>
                    </a:xfrm>
                    <a:prstGeom prst="rect">
                      <a:avLst/>
                    </a:prstGeom>
                  </pic:spPr>
                </pic:pic>
              </a:graphicData>
            </a:graphic>
          </wp:inline>
        </w:drawing>
      </w: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p>
    <w:p w:rsidR="002430A8" w:rsidRDefault="002430A8" w:rsidP="008B704D">
      <w:pPr>
        <w:jc w:val="both"/>
        <w:rPr>
          <w:rFonts w:ascii="Times New Roman" w:hAnsi="Times New Roman" w:cs="Times New Roman"/>
          <w:b/>
          <w:sz w:val="24"/>
          <w:szCs w:val="24"/>
        </w:rPr>
      </w:pPr>
      <w:r w:rsidRPr="002430A8">
        <w:rPr>
          <w:rFonts w:ascii="Times New Roman" w:hAnsi="Times New Roman" w:cs="Times New Roman"/>
          <w:b/>
          <w:noProof/>
          <w:sz w:val="24"/>
          <w:szCs w:val="24"/>
          <w:lang w:eastAsia="es-ES"/>
        </w:rPr>
        <w:drawing>
          <wp:inline distT="0" distB="0" distL="0" distR="0" wp14:anchorId="063B5650" wp14:editId="3D0AAA0F">
            <wp:extent cx="5400040" cy="5780695"/>
            <wp:effectExtent l="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400040" cy="5780695"/>
                    </a:xfrm>
                    <a:prstGeom prst="rect">
                      <a:avLst/>
                    </a:prstGeom>
                  </pic:spPr>
                </pic:pic>
              </a:graphicData>
            </a:graphic>
          </wp:inline>
        </w:drawing>
      </w:r>
    </w:p>
    <w:p w:rsidR="002430A8" w:rsidRDefault="002430A8" w:rsidP="008B704D">
      <w:pPr>
        <w:jc w:val="both"/>
        <w:rPr>
          <w:rFonts w:ascii="Times New Roman" w:hAnsi="Times New Roman" w:cs="Times New Roman"/>
          <w:b/>
          <w:sz w:val="24"/>
          <w:szCs w:val="24"/>
        </w:rPr>
      </w:pPr>
      <w:r w:rsidRPr="002430A8">
        <w:rPr>
          <w:rFonts w:ascii="Times New Roman" w:hAnsi="Times New Roman" w:cs="Times New Roman"/>
          <w:b/>
          <w:noProof/>
          <w:sz w:val="24"/>
          <w:szCs w:val="24"/>
          <w:lang w:eastAsia="es-ES"/>
        </w:rPr>
        <w:lastRenderedPageBreak/>
        <w:drawing>
          <wp:inline distT="0" distB="0" distL="0" distR="0" wp14:anchorId="6518EC60" wp14:editId="2E5AA502">
            <wp:extent cx="5397500" cy="462915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400040" cy="4631329"/>
                    </a:xfrm>
                    <a:prstGeom prst="rect">
                      <a:avLst/>
                    </a:prstGeom>
                  </pic:spPr>
                </pic:pic>
              </a:graphicData>
            </a:graphic>
          </wp:inline>
        </w:drawing>
      </w:r>
    </w:p>
    <w:p w:rsidR="00784D4A" w:rsidRDefault="00784D4A" w:rsidP="008B704D">
      <w:pPr>
        <w:jc w:val="both"/>
        <w:rPr>
          <w:rFonts w:ascii="Times New Roman" w:hAnsi="Times New Roman" w:cs="Times New Roman"/>
          <w:b/>
          <w:sz w:val="24"/>
          <w:szCs w:val="24"/>
        </w:rPr>
      </w:pPr>
      <w:r w:rsidRPr="00784D4A">
        <w:rPr>
          <w:rFonts w:ascii="Times New Roman" w:hAnsi="Times New Roman" w:cs="Times New Roman"/>
          <w:b/>
          <w:noProof/>
          <w:sz w:val="24"/>
          <w:szCs w:val="24"/>
          <w:lang w:eastAsia="es-ES"/>
        </w:rPr>
        <w:drawing>
          <wp:inline distT="0" distB="0" distL="0" distR="0" wp14:anchorId="7D21D455" wp14:editId="0D3C55A7">
            <wp:extent cx="5397500" cy="4038600"/>
            <wp:effectExtent l="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400040" cy="4040501"/>
                    </a:xfrm>
                    <a:prstGeom prst="rect">
                      <a:avLst/>
                    </a:prstGeom>
                  </pic:spPr>
                </pic:pic>
              </a:graphicData>
            </a:graphic>
          </wp:inline>
        </w:drawing>
      </w:r>
    </w:p>
    <w:p w:rsidR="00784D4A" w:rsidRDefault="00784D4A" w:rsidP="008B704D">
      <w:pPr>
        <w:jc w:val="both"/>
        <w:rPr>
          <w:rFonts w:ascii="Times New Roman" w:hAnsi="Times New Roman" w:cs="Times New Roman"/>
          <w:b/>
          <w:sz w:val="24"/>
          <w:szCs w:val="24"/>
        </w:rPr>
      </w:pPr>
      <w:r w:rsidRPr="00784D4A">
        <w:rPr>
          <w:rFonts w:ascii="Times New Roman" w:hAnsi="Times New Roman" w:cs="Times New Roman"/>
          <w:b/>
          <w:noProof/>
          <w:sz w:val="24"/>
          <w:szCs w:val="24"/>
          <w:lang w:eastAsia="es-ES"/>
        </w:rPr>
        <w:lastRenderedPageBreak/>
        <w:drawing>
          <wp:inline distT="0" distB="0" distL="0" distR="0" wp14:anchorId="1077B86A" wp14:editId="1E72315A">
            <wp:extent cx="5396084" cy="2863850"/>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400040" cy="2865950"/>
                    </a:xfrm>
                    <a:prstGeom prst="rect">
                      <a:avLst/>
                    </a:prstGeom>
                  </pic:spPr>
                </pic:pic>
              </a:graphicData>
            </a:graphic>
          </wp:inline>
        </w:drawing>
      </w:r>
    </w:p>
    <w:p w:rsidR="00784D4A" w:rsidRDefault="00784D4A" w:rsidP="008B704D">
      <w:pPr>
        <w:jc w:val="both"/>
        <w:rPr>
          <w:rFonts w:ascii="Times New Roman" w:hAnsi="Times New Roman" w:cs="Times New Roman"/>
          <w:b/>
          <w:sz w:val="24"/>
          <w:szCs w:val="24"/>
        </w:rPr>
      </w:pPr>
      <w:r w:rsidRPr="00784D4A">
        <w:rPr>
          <w:rFonts w:ascii="Times New Roman" w:hAnsi="Times New Roman" w:cs="Times New Roman"/>
          <w:b/>
          <w:noProof/>
          <w:sz w:val="24"/>
          <w:szCs w:val="24"/>
          <w:lang w:eastAsia="es-ES"/>
        </w:rPr>
        <w:drawing>
          <wp:inline distT="0" distB="0" distL="0" distR="0" wp14:anchorId="4A13E84C" wp14:editId="502EC6E3">
            <wp:extent cx="5397500" cy="2870200"/>
            <wp:effectExtent l="0" t="0" r="0" b="635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400040" cy="2871551"/>
                    </a:xfrm>
                    <a:prstGeom prst="rect">
                      <a:avLst/>
                    </a:prstGeom>
                  </pic:spPr>
                </pic:pic>
              </a:graphicData>
            </a:graphic>
          </wp:inline>
        </w:drawing>
      </w:r>
    </w:p>
    <w:p w:rsidR="00784D4A" w:rsidRDefault="00784D4A" w:rsidP="008B704D">
      <w:pPr>
        <w:jc w:val="both"/>
        <w:rPr>
          <w:rFonts w:ascii="Times New Roman" w:hAnsi="Times New Roman" w:cs="Times New Roman"/>
          <w:b/>
          <w:sz w:val="24"/>
          <w:szCs w:val="24"/>
        </w:rPr>
      </w:pPr>
      <w:r w:rsidRPr="00784D4A">
        <w:rPr>
          <w:rFonts w:ascii="Times New Roman" w:hAnsi="Times New Roman" w:cs="Times New Roman"/>
          <w:b/>
          <w:noProof/>
          <w:sz w:val="24"/>
          <w:szCs w:val="24"/>
          <w:lang w:eastAsia="es-ES"/>
        </w:rPr>
        <w:drawing>
          <wp:inline distT="0" distB="0" distL="0" distR="0" wp14:anchorId="7DE4F0E8" wp14:editId="088BD09E">
            <wp:extent cx="5397498" cy="2660650"/>
            <wp:effectExtent l="0" t="0" r="0" b="635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400040" cy="2661903"/>
                    </a:xfrm>
                    <a:prstGeom prst="rect">
                      <a:avLst/>
                    </a:prstGeom>
                  </pic:spPr>
                </pic:pic>
              </a:graphicData>
            </a:graphic>
          </wp:inline>
        </w:drawing>
      </w:r>
    </w:p>
    <w:p w:rsidR="00784D4A" w:rsidRDefault="000566AB" w:rsidP="000566AB">
      <w:pPr>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0566AB">
        <w:rPr>
          <w:rFonts w:ascii="Times New Roman" w:hAnsi="Times New Roman" w:cs="Times New Roman"/>
          <w:b/>
          <w:sz w:val="24"/>
          <w:szCs w:val="24"/>
        </w:rPr>
        <w:t>Working</w:t>
      </w:r>
      <w:r w:rsidR="003615F2">
        <w:rPr>
          <w:rFonts w:ascii="Times New Roman" w:hAnsi="Times New Roman" w:cs="Times New Roman"/>
          <w:b/>
          <w:sz w:val="24"/>
          <w:szCs w:val="24"/>
        </w:rPr>
        <w:t xml:space="preserve"> Guidebook to the National F</w:t>
      </w:r>
      <w:r>
        <w:rPr>
          <w:rFonts w:ascii="Times New Roman" w:hAnsi="Times New Roman" w:cs="Times New Roman"/>
          <w:b/>
          <w:sz w:val="24"/>
          <w:szCs w:val="24"/>
        </w:rPr>
        <w:t>ootprint</w:t>
      </w:r>
      <w:r w:rsidR="003615F2">
        <w:rPr>
          <w:rFonts w:ascii="Times New Roman" w:hAnsi="Times New Roman" w:cs="Times New Roman"/>
          <w:b/>
          <w:sz w:val="24"/>
          <w:szCs w:val="24"/>
        </w:rPr>
        <w:t xml:space="preserve"> A</w:t>
      </w:r>
      <w:r>
        <w:rPr>
          <w:rFonts w:ascii="Times New Roman" w:hAnsi="Times New Roman" w:cs="Times New Roman"/>
          <w:b/>
          <w:sz w:val="24"/>
          <w:szCs w:val="24"/>
        </w:rPr>
        <w:t xml:space="preserve">ccounts 2016 </w:t>
      </w:r>
      <w:r w:rsidR="003615F2">
        <w:rPr>
          <w:rFonts w:ascii="Times New Roman" w:hAnsi="Times New Roman" w:cs="Times New Roman"/>
          <w:b/>
          <w:sz w:val="24"/>
          <w:szCs w:val="24"/>
        </w:rPr>
        <w:t>- Global Footprint Network (August 2016)</w:t>
      </w:r>
      <w:r w:rsidRPr="000566AB">
        <w:rPr>
          <w:rFonts w:ascii="Times New Roman" w:hAnsi="Times New Roman" w:cs="Times New Roman"/>
          <w:b/>
          <w:sz w:val="24"/>
          <w:szCs w:val="24"/>
        </w:rPr>
        <w:t xml:space="preserve"> </w:t>
      </w: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r w:rsidRPr="003615F2">
        <w:rPr>
          <w:rFonts w:ascii="Times New Roman" w:hAnsi="Times New Roman" w:cs="Times New Roman"/>
          <w:b/>
          <w:noProof/>
          <w:sz w:val="24"/>
          <w:szCs w:val="24"/>
          <w:lang w:eastAsia="es-ES"/>
        </w:rPr>
        <w:drawing>
          <wp:inline distT="0" distB="0" distL="0" distR="0" wp14:anchorId="3528C7C3" wp14:editId="075B8149">
            <wp:extent cx="5115639" cy="6430273"/>
            <wp:effectExtent l="0" t="0" r="8890" b="889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115639" cy="6430273"/>
                    </a:xfrm>
                    <a:prstGeom prst="rect">
                      <a:avLst/>
                    </a:prstGeom>
                  </pic:spPr>
                </pic:pic>
              </a:graphicData>
            </a:graphic>
          </wp:inline>
        </w:drawing>
      </w: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r w:rsidRPr="003615F2">
        <w:rPr>
          <w:rFonts w:ascii="Times New Roman" w:hAnsi="Times New Roman" w:cs="Times New Roman"/>
          <w:b/>
          <w:noProof/>
          <w:sz w:val="24"/>
          <w:szCs w:val="24"/>
          <w:lang w:eastAsia="es-ES"/>
        </w:rPr>
        <w:lastRenderedPageBreak/>
        <w:drawing>
          <wp:inline distT="0" distB="0" distL="0" distR="0" wp14:anchorId="321AF712" wp14:editId="4563D92E">
            <wp:extent cx="5001323" cy="7840170"/>
            <wp:effectExtent l="0" t="0" r="8890" b="889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001323" cy="7840170"/>
                    </a:xfrm>
                    <a:prstGeom prst="rect">
                      <a:avLst/>
                    </a:prstGeom>
                  </pic:spPr>
                </pic:pic>
              </a:graphicData>
            </a:graphic>
          </wp:inline>
        </w:drawing>
      </w: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r w:rsidRPr="003615F2">
        <w:rPr>
          <w:rFonts w:ascii="Times New Roman" w:hAnsi="Times New Roman" w:cs="Times New Roman"/>
          <w:b/>
          <w:noProof/>
          <w:sz w:val="24"/>
          <w:szCs w:val="24"/>
          <w:lang w:eastAsia="es-ES"/>
        </w:rPr>
        <w:lastRenderedPageBreak/>
        <w:drawing>
          <wp:inline distT="0" distB="0" distL="0" distR="0" wp14:anchorId="5D9354E5" wp14:editId="782CB971">
            <wp:extent cx="5068008" cy="7925907"/>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068008" cy="7925907"/>
                    </a:xfrm>
                    <a:prstGeom prst="rect">
                      <a:avLst/>
                    </a:prstGeom>
                  </pic:spPr>
                </pic:pic>
              </a:graphicData>
            </a:graphic>
          </wp:inline>
        </w:drawing>
      </w: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r w:rsidRPr="003615F2">
        <w:rPr>
          <w:rFonts w:ascii="Times New Roman" w:hAnsi="Times New Roman" w:cs="Times New Roman"/>
          <w:b/>
          <w:noProof/>
          <w:sz w:val="24"/>
          <w:szCs w:val="24"/>
          <w:lang w:eastAsia="es-ES"/>
        </w:rPr>
        <w:lastRenderedPageBreak/>
        <w:drawing>
          <wp:inline distT="0" distB="0" distL="0" distR="0" wp14:anchorId="63D6C669" wp14:editId="4186839C">
            <wp:extent cx="5277587" cy="7735380"/>
            <wp:effectExtent l="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277587" cy="7735380"/>
                    </a:xfrm>
                    <a:prstGeom prst="rect">
                      <a:avLst/>
                    </a:prstGeom>
                  </pic:spPr>
                </pic:pic>
              </a:graphicData>
            </a:graphic>
          </wp:inline>
        </w:drawing>
      </w: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r w:rsidRPr="003615F2">
        <w:rPr>
          <w:rFonts w:ascii="Times New Roman" w:hAnsi="Times New Roman" w:cs="Times New Roman"/>
          <w:b/>
          <w:noProof/>
          <w:sz w:val="24"/>
          <w:szCs w:val="24"/>
          <w:lang w:eastAsia="es-ES"/>
        </w:rPr>
        <w:lastRenderedPageBreak/>
        <w:drawing>
          <wp:inline distT="0" distB="0" distL="0" distR="0" wp14:anchorId="3A9C3E96" wp14:editId="57B6EB15">
            <wp:extent cx="5106113" cy="7802064"/>
            <wp:effectExtent l="0" t="0" r="0" b="889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106113" cy="7802064"/>
                    </a:xfrm>
                    <a:prstGeom prst="rect">
                      <a:avLst/>
                    </a:prstGeom>
                  </pic:spPr>
                </pic:pic>
              </a:graphicData>
            </a:graphic>
          </wp:inline>
        </w:drawing>
      </w: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r w:rsidRPr="003615F2">
        <w:rPr>
          <w:rFonts w:ascii="Times New Roman" w:hAnsi="Times New Roman" w:cs="Times New Roman"/>
          <w:b/>
          <w:noProof/>
          <w:sz w:val="24"/>
          <w:szCs w:val="24"/>
          <w:lang w:eastAsia="es-ES"/>
        </w:rPr>
        <w:lastRenderedPageBreak/>
        <w:drawing>
          <wp:inline distT="0" distB="0" distL="0" distR="0" wp14:anchorId="29B6E42B" wp14:editId="2D19729D">
            <wp:extent cx="5182324" cy="7802064"/>
            <wp:effectExtent l="0" t="0" r="0" b="889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182324" cy="7802064"/>
                    </a:xfrm>
                    <a:prstGeom prst="rect">
                      <a:avLst/>
                    </a:prstGeom>
                  </pic:spPr>
                </pic:pic>
              </a:graphicData>
            </a:graphic>
          </wp:inline>
        </w:drawing>
      </w: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p>
    <w:p w:rsidR="003615F2" w:rsidRDefault="003615F2" w:rsidP="000566AB">
      <w:pPr>
        <w:jc w:val="both"/>
        <w:rPr>
          <w:rFonts w:ascii="Times New Roman" w:hAnsi="Times New Roman" w:cs="Times New Roman"/>
          <w:b/>
          <w:sz w:val="24"/>
          <w:szCs w:val="24"/>
        </w:rPr>
      </w:pPr>
      <w:r w:rsidRPr="003615F2">
        <w:rPr>
          <w:rFonts w:ascii="Times New Roman" w:hAnsi="Times New Roman" w:cs="Times New Roman"/>
          <w:b/>
          <w:noProof/>
          <w:sz w:val="24"/>
          <w:szCs w:val="24"/>
          <w:lang w:eastAsia="es-ES"/>
        </w:rPr>
        <w:lastRenderedPageBreak/>
        <w:drawing>
          <wp:inline distT="0" distB="0" distL="0" distR="0" wp14:anchorId="088C9B4E" wp14:editId="3DEA4C14">
            <wp:extent cx="5162550" cy="6934200"/>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163271" cy="6935169"/>
                    </a:xfrm>
                    <a:prstGeom prst="rect">
                      <a:avLst/>
                    </a:prstGeom>
                  </pic:spPr>
                </pic:pic>
              </a:graphicData>
            </a:graphic>
          </wp:inline>
        </w:drawing>
      </w:r>
    </w:p>
    <w:p w:rsidR="007411D2" w:rsidRDefault="007411D2" w:rsidP="000566AB">
      <w:pPr>
        <w:jc w:val="both"/>
        <w:rPr>
          <w:rFonts w:ascii="Times New Roman" w:hAnsi="Times New Roman" w:cs="Times New Roman"/>
          <w:b/>
          <w:sz w:val="24"/>
          <w:szCs w:val="24"/>
        </w:rPr>
      </w:pPr>
      <w:r w:rsidRPr="007411D2">
        <w:rPr>
          <w:rFonts w:ascii="Times New Roman" w:hAnsi="Times New Roman" w:cs="Times New Roman"/>
          <w:b/>
          <w:noProof/>
          <w:sz w:val="24"/>
          <w:szCs w:val="24"/>
          <w:lang w:eastAsia="es-ES"/>
        </w:rPr>
        <w:drawing>
          <wp:inline distT="0" distB="0" distL="0" distR="0" wp14:anchorId="7DCD51C8" wp14:editId="48C7585F">
            <wp:extent cx="4914900" cy="162560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4915586" cy="1625827"/>
                    </a:xfrm>
                    <a:prstGeom prst="rect">
                      <a:avLst/>
                    </a:prstGeom>
                  </pic:spPr>
                </pic:pic>
              </a:graphicData>
            </a:graphic>
          </wp:inline>
        </w:drawing>
      </w:r>
    </w:p>
    <w:p w:rsidR="009768CE" w:rsidRPr="009768CE" w:rsidRDefault="009768CE" w:rsidP="009768CE">
      <w:pPr>
        <w:jc w:val="both"/>
        <w:rPr>
          <w:rFonts w:ascii="Times New Roman" w:hAnsi="Times New Roman" w:cs="Times New Roman"/>
          <w:b/>
          <w:sz w:val="24"/>
          <w:szCs w:val="24"/>
        </w:rPr>
      </w:pPr>
      <w:r w:rsidRPr="009768CE">
        <w:rPr>
          <w:rFonts w:ascii="Times New Roman" w:hAnsi="Times New Roman" w:cs="Times New Roman"/>
          <w:b/>
          <w:sz w:val="24"/>
          <w:szCs w:val="24"/>
        </w:rPr>
        <w:lastRenderedPageBreak/>
        <w:t>Footprint and Bioca</w:t>
      </w:r>
      <w:r>
        <w:rPr>
          <w:rFonts w:ascii="Times New Roman" w:hAnsi="Times New Roman" w:cs="Times New Roman"/>
          <w:b/>
          <w:sz w:val="24"/>
          <w:szCs w:val="24"/>
        </w:rPr>
        <w:t>pacity Accounting</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Pr="009768CE">
        <w:rPr>
          <w:rFonts w:ascii="Times New Roman" w:hAnsi="Times New Roman" w:cs="Times New Roman"/>
          <w:b/>
          <w:sz w:val="24"/>
          <w:szCs w:val="24"/>
        </w:rPr>
        <w:tab/>
      </w:r>
      <w:r w:rsidRPr="009768CE">
        <w:rPr>
          <w:rFonts w:ascii="Times New Roman" w:hAnsi="Times New Roman" w:cs="Times New Roman"/>
          <w:b/>
          <w:sz w:val="24"/>
          <w:szCs w:val="24"/>
        </w:rPr>
        <w:tab/>
      </w:r>
    </w:p>
    <w:p w:rsidR="009768CE" w:rsidRPr="004801E8" w:rsidRDefault="009768CE" w:rsidP="009768CE">
      <w:pPr>
        <w:jc w:val="both"/>
        <w:rPr>
          <w:rFonts w:ascii="Times New Roman" w:hAnsi="Times New Roman" w:cs="Times New Roman"/>
          <w:sz w:val="24"/>
          <w:szCs w:val="24"/>
        </w:rPr>
      </w:pPr>
      <w:r w:rsidRPr="004801E8">
        <w:rPr>
          <w:rFonts w:ascii="Times New Roman" w:hAnsi="Times New Roman" w:cs="Times New Roman"/>
          <w:sz w:val="24"/>
          <w:szCs w:val="24"/>
        </w:rPr>
        <w:t>Footprint and biocapacity accounting helps us answer the basic research question: How much do people demand from biologically productive surfaces (Ecological Footprint) compared to how much can the planet (or a region's productive surface) regenerate on those surfaces (biocapacity)?</w:t>
      </w:r>
      <w:r w:rsidRPr="004801E8">
        <w:rPr>
          <w:rFonts w:ascii="Times New Roman" w:hAnsi="Times New Roman" w:cs="Times New Roman"/>
          <w:sz w:val="24"/>
          <w:szCs w:val="24"/>
        </w:rPr>
        <w:tab/>
      </w:r>
      <w:r w:rsidRPr="004801E8">
        <w:rPr>
          <w:rFonts w:ascii="Times New Roman" w:hAnsi="Times New Roman" w:cs="Times New Roman"/>
          <w:sz w:val="24"/>
          <w:szCs w:val="24"/>
        </w:rPr>
        <w:tab/>
      </w:r>
    </w:p>
    <w:p w:rsidR="009768CE" w:rsidRDefault="009768CE" w:rsidP="009768CE">
      <w:pPr>
        <w:jc w:val="both"/>
        <w:rPr>
          <w:rFonts w:ascii="Times New Roman" w:hAnsi="Times New Roman" w:cs="Times New Roman"/>
          <w:b/>
          <w:sz w:val="24"/>
          <w:szCs w:val="24"/>
        </w:rPr>
      </w:pPr>
      <w:r w:rsidRPr="009768CE">
        <w:rPr>
          <w:rFonts w:ascii="Times New Roman" w:hAnsi="Times New Roman" w:cs="Times New Roman"/>
          <w:b/>
          <w:sz w:val="24"/>
          <w:szCs w:val="24"/>
        </w:rPr>
        <w:t>What is the Ecological Footpr</w:t>
      </w:r>
      <w:r>
        <w:rPr>
          <w:rFonts w:ascii="Times New Roman" w:hAnsi="Times New Roman" w:cs="Times New Roman"/>
          <w:b/>
          <w:sz w:val="24"/>
          <w:szCs w:val="24"/>
        </w:rPr>
        <w:t>int? What is it composed of?</w:t>
      </w:r>
      <w:r>
        <w:rPr>
          <w:rFonts w:ascii="Times New Roman" w:hAnsi="Times New Roman" w:cs="Times New Roman"/>
          <w:b/>
          <w:sz w:val="24"/>
          <w:szCs w:val="24"/>
        </w:rPr>
        <w:tab/>
      </w:r>
      <w:r>
        <w:rPr>
          <w:rFonts w:ascii="Times New Roman" w:hAnsi="Times New Roman" w:cs="Times New Roman"/>
          <w:b/>
          <w:sz w:val="24"/>
          <w:szCs w:val="24"/>
        </w:rPr>
        <w:tab/>
      </w:r>
    </w:p>
    <w:p w:rsidR="00590CA6" w:rsidRDefault="009768CE" w:rsidP="009768CE">
      <w:pPr>
        <w:jc w:val="both"/>
        <w:rPr>
          <w:rFonts w:ascii="Times New Roman" w:hAnsi="Times New Roman" w:cs="Times New Roman"/>
          <w:sz w:val="24"/>
          <w:szCs w:val="24"/>
        </w:rPr>
      </w:pPr>
      <w:r w:rsidRPr="004801E8">
        <w:rPr>
          <w:rFonts w:ascii="Times New Roman" w:hAnsi="Times New Roman" w:cs="Times New Roman"/>
          <w:sz w:val="24"/>
          <w:szCs w:val="24"/>
        </w:rPr>
        <w:t>The Ecological Footprint is the area of land and water it takes for a human population to generate the renewable resources it consumes and to absorb the corresponding waste it generates, using prevailing technology. I</w:t>
      </w:r>
      <w:r w:rsidR="00BE04EF">
        <w:rPr>
          <w:rFonts w:ascii="Times New Roman" w:hAnsi="Times New Roman" w:cs="Times New Roman"/>
          <w:sz w:val="24"/>
          <w:szCs w:val="24"/>
        </w:rPr>
        <w:t>n other words, it measures the “quantity of nature”</w:t>
      </w:r>
      <w:r w:rsidRPr="004801E8">
        <w:rPr>
          <w:rFonts w:ascii="Times New Roman" w:hAnsi="Times New Roman" w:cs="Times New Roman"/>
          <w:sz w:val="24"/>
          <w:szCs w:val="24"/>
        </w:rPr>
        <w:t xml:space="preserve"> that we use</w:t>
      </w:r>
      <w:r w:rsidR="00BE04EF">
        <w:rPr>
          <w:rFonts w:ascii="Times New Roman" w:hAnsi="Times New Roman" w:cs="Times New Roman"/>
          <w:sz w:val="24"/>
          <w:szCs w:val="24"/>
        </w:rPr>
        <w:t xml:space="preserve"> and compares it with how much “nature”</w:t>
      </w:r>
      <w:r w:rsidR="00590CA6">
        <w:rPr>
          <w:rFonts w:ascii="Times New Roman" w:hAnsi="Times New Roman" w:cs="Times New Roman"/>
          <w:sz w:val="24"/>
          <w:szCs w:val="24"/>
        </w:rPr>
        <w:t xml:space="preserve"> we have.</w:t>
      </w:r>
      <w:r w:rsidR="00590CA6">
        <w:rPr>
          <w:rFonts w:ascii="Times New Roman" w:hAnsi="Times New Roman" w:cs="Times New Roman"/>
          <w:sz w:val="24"/>
          <w:szCs w:val="24"/>
        </w:rPr>
        <w:tab/>
      </w:r>
      <w:r w:rsidR="00590CA6">
        <w:rPr>
          <w:rFonts w:ascii="Times New Roman" w:hAnsi="Times New Roman" w:cs="Times New Roman"/>
          <w:sz w:val="24"/>
          <w:szCs w:val="24"/>
        </w:rPr>
        <w:tab/>
      </w:r>
    </w:p>
    <w:p w:rsidR="009768CE" w:rsidRPr="00590CA6" w:rsidRDefault="009768CE" w:rsidP="009768CE">
      <w:pPr>
        <w:jc w:val="both"/>
        <w:rPr>
          <w:rFonts w:ascii="Times New Roman" w:hAnsi="Times New Roman" w:cs="Times New Roman"/>
          <w:sz w:val="24"/>
          <w:szCs w:val="24"/>
        </w:rPr>
      </w:pPr>
      <w:r w:rsidRPr="009768CE">
        <w:rPr>
          <w:rFonts w:ascii="Times New Roman" w:hAnsi="Times New Roman" w:cs="Times New Roman"/>
          <w:b/>
          <w:sz w:val="24"/>
          <w:szCs w:val="24"/>
        </w:rPr>
        <w:t>The components of the Foo</w:t>
      </w:r>
      <w:r>
        <w:rPr>
          <w:rFonts w:ascii="Times New Roman" w:hAnsi="Times New Roman" w:cs="Times New Roman"/>
          <w:b/>
          <w:sz w:val="24"/>
          <w:szCs w:val="24"/>
        </w:rPr>
        <w:t>tprint include: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
    <w:p w:rsidR="009768CE" w:rsidRPr="004801E8" w:rsidRDefault="009768CE" w:rsidP="009768CE">
      <w:pPr>
        <w:jc w:val="both"/>
        <w:rPr>
          <w:rFonts w:ascii="Times New Roman" w:hAnsi="Times New Roman" w:cs="Times New Roman"/>
          <w:sz w:val="24"/>
          <w:szCs w:val="24"/>
        </w:rPr>
      </w:pPr>
      <w:r w:rsidRPr="004801E8">
        <w:rPr>
          <w:rFonts w:ascii="Times New Roman" w:hAnsi="Times New Roman" w:cs="Times New Roman"/>
          <w:sz w:val="24"/>
          <w:szCs w:val="24"/>
        </w:rPr>
        <w:t>Cropland: Cropland is the most bioproductive of all the land-use types and consists of areas used to produce food and fibre for human consumption, feed for livestock, oil crops, and rubber. The cropland Footprint includes crop products allocated to livestock and aquaculture feed mixes, and those used for fibres and materials. Due to lack of globally consistent data sets, current cropland Footprint calculations do not yet take into account the extent to which farming techniques or unsustainable agricultural practices may cause long-term degradation of soil.</w:t>
      </w:r>
    </w:p>
    <w:p w:rsidR="009768CE" w:rsidRPr="004801E8" w:rsidRDefault="009768CE" w:rsidP="009768CE">
      <w:pPr>
        <w:jc w:val="both"/>
        <w:rPr>
          <w:rFonts w:ascii="Times New Roman" w:hAnsi="Times New Roman" w:cs="Times New Roman"/>
          <w:sz w:val="24"/>
          <w:szCs w:val="24"/>
        </w:rPr>
      </w:pPr>
      <w:r w:rsidRPr="004801E8">
        <w:rPr>
          <w:rFonts w:ascii="Times New Roman" w:hAnsi="Times New Roman" w:cs="Times New Roman"/>
          <w:sz w:val="24"/>
          <w:szCs w:val="24"/>
        </w:rPr>
        <w:t xml:space="preserve">Forest land: Forest land provides for two competing services: the forest product Footprint, which is calculated based on the amount of lumber, pulp, timber products, and fuel wood consumed by a population on a yearly basis; and the carbon Footprint, which represents the carbon dioxide emissions from burning fossil fuels in addition to the embodied carbon in imported goods. The carbon Footprint component is represented by the area of forest land required to sequester these carbon emissions. Currently, the carbon Footprint is the largest portion of humanity’s Footprint.   </w:t>
      </w:r>
    </w:p>
    <w:p w:rsidR="009768CE" w:rsidRPr="004801E8" w:rsidRDefault="009768CE" w:rsidP="009768CE">
      <w:pPr>
        <w:jc w:val="both"/>
        <w:rPr>
          <w:rFonts w:ascii="Times New Roman" w:hAnsi="Times New Roman" w:cs="Times New Roman"/>
          <w:sz w:val="24"/>
          <w:szCs w:val="24"/>
        </w:rPr>
      </w:pPr>
      <w:r w:rsidRPr="004801E8">
        <w:rPr>
          <w:rFonts w:ascii="Times New Roman" w:hAnsi="Times New Roman" w:cs="Times New Roman"/>
          <w:sz w:val="24"/>
          <w:szCs w:val="24"/>
        </w:rPr>
        <w:t>Fishing grounds: The fishing grounds Footprint is calculated based on estimates of the maximum sustainable catch for a variety of fish species. These sustainable catch estimates are converted into an equivalent mass of primary production based on the various species’ trophic levels. This estimate of maximum harvestable primary production is then divided amongst the continental shelf areas of the world. Fish caught and used in aquaculture feed mixes are included.</w:t>
      </w:r>
      <w:r w:rsidRPr="004801E8">
        <w:rPr>
          <w:rFonts w:ascii="Times New Roman" w:hAnsi="Times New Roman" w:cs="Times New Roman"/>
          <w:sz w:val="24"/>
          <w:szCs w:val="24"/>
        </w:rPr>
        <w:tab/>
      </w:r>
    </w:p>
    <w:p w:rsidR="009768CE" w:rsidRPr="004801E8" w:rsidRDefault="009768CE" w:rsidP="009768CE">
      <w:pPr>
        <w:jc w:val="both"/>
        <w:rPr>
          <w:rFonts w:ascii="Times New Roman" w:hAnsi="Times New Roman" w:cs="Times New Roman"/>
          <w:sz w:val="24"/>
          <w:szCs w:val="24"/>
        </w:rPr>
      </w:pPr>
      <w:r w:rsidRPr="004801E8">
        <w:rPr>
          <w:rFonts w:ascii="Times New Roman" w:hAnsi="Times New Roman" w:cs="Times New Roman"/>
          <w:sz w:val="24"/>
          <w:szCs w:val="24"/>
        </w:rPr>
        <w:t>Grazing land: Grazing land is used to raise livestock for meat, dairy, hide, and wool products. The grazing land Footprint is calculated by comparing the amount of livestock feed available in a country with the amount of feed required for all livestock in that year, with the remainder of feed demand assumed to come from grazing land.</w:t>
      </w:r>
      <w:r w:rsidRPr="004801E8">
        <w:rPr>
          <w:rFonts w:ascii="Times New Roman" w:hAnsi="Times New Roman" w:cs="Times New Roman"/>
          <w:sz w:val="24"/>
          <w:szCs w:val="24"/>
        </w:rPr>
        <w:tab/>
      </w:r>
      <w:r w:rsidRPr="004801E8">
        <w:rPr>
          <w:rFonts w:ascii="Times New Roman" w:hAnsi="Times New Roman" w:cs="Times New Roman"/>
          <w:sz w:val="24"/>
          <w:szCs w:val="24"/>
        </w:rPr>
        <w:tab/>
      </w:r>
      <w:r w:rsidRPr="004801E8">
        <w:rPr>
          <w:rFonts w:ascii="Times New Roman" w:hAnsi="Times New Roman" w:cs="Times New Roman"/>
          <w:sz w:val="24"/>
          <w:szCs w:val="24"/>
        </w:rPr>
        <w:tab/>
      </w:r>
      <w:r w:rsidRPr="004801E8">
        <w:rPr>
          <w:rFonts w:ascii="Times New Roman" w:hAnsi="Times New Roman" w:cs="Times New Roman"/>
          <w:sz w:val="24"/>
          <w:szCs w:val="24"/>
        </w:rPr>
        <w:tab/>
      </w:r>
      <w:r w:rsidRPr="004801E8">
        <w:rPr>
          <w:rFonts w:ascii="Times New Roman" w:hAnsi="Times New Roman" w:cs="Times New Roman"/>
          <w:sz w:val="24"/>
          <w:szCs w:val="24"/>
        </w:rPr>
        <w:tab/>
      </w:r>
      <w:r w:rsidRPr="004801E8">
        <w:rPr>
          <w:rFonts w:ascii="Times New Roman" w:hAnsi="Times New Roman" w:cs="Times New Roman"/>
          <w:sz w:val="24"/>
          <w:szCs w:val="24"/>
        </w:rPr>
        <w:tab/>
      </w:r>
      <w:r w:rsidRPr="004801E8">
        <w:rPr>
          <w:rFonts w:ascii="Times New Roman" w:hAnsi="Times New Roman" w:cs="Times New Roman"/>
          <w:sz w:val="24"/>
          <w:szCs w:val="24"/>
        </w:rPr>
        <w:tab/>
      </w:r>
      <w:r w:rsidRPr="004801E8">
        <w:rPr>
          <w:rFonts w:ascii="Times New Roman" w:hAnsi="Times New Roman" w:cs="Times New Roman"/>
          <w:sz w:val="24"/>
          <w:szCs w:val="24"/>
        </w:rPr>
        <w:tab/>
      </w:r>
      <w:r w:rsidRPr="004801E8">
        <w:rPr>
          <w:rFonts w:ascii="Times New Roman" w:hAnsi="Times New Roman" w:cs="Times New Roman"/>
          <w:sz w:val="24"/>
          <w:szCs w:val="24"/>
        </w:rPr>
        <w:tab/>
      </w:r>
      <w:r w:rsidRPr="004801E8">
        <w:rPr>
          <w:rFonts w:ascii="Times New Roman" w:hAnsi="Times New Roman" w:cs="Times New Roman"/>
          <w:sz w:val="24"/>
          <w:szCs w:val="24"/>
        </w:rPr>
        <w:tab/>
      </w:r>
    </w:p>
    <w:p w:rsidR="009768CE" w:rsidRPr="004801E8" w:rsidRDefault="009768CE" w:rsidP="009768CE">
      <w:pPr>
        <w:jc w:val="both"/>
        <w:rPr>
          <w:rFonts w:ascii="Times New Roman" w:hAnsi="Times New Roman" w:cs="Times New Roman"/>
          <w:sz w:val="24"/>
          <w:szCs w:val="24"/>
        </w:rPr>
      </w:pPr>
      <w:r w:rsidRPr="004801E8">
        <w:rPr>
          <w:rFonts w:ascii="Times New Roman" w:hAnsi="Times New Roman" w:cs="Times New Roman"/>
          <w:sz w:val="24"/>
          <w:szCs w:val="24"/>
        </w:rPr>
        <w:lastRenderedPageBreak/>
        <w:t>Built-up land: The built-up land Footprint is calculated based on the area of land covered by human infrastructure: transportation, housing, and industrial structures. Built-up land may occupy what would previously have been cropland.</w:t>
      </w:r>
    </w:p>
    <w:p w:rsidR="009768CE" w:rsidRDefault="009768CE" w:rsidP="009768CE">
      <w:pPr>
        <w:jc w:val="both"/>
        <w:rPr>
          <w:rFonts w:ascii="Times New Roman" w:hAnsi="Times New Roman" w:cs="Times New Roman"/>
          <w:b/>
          <w:sz w:val="24"/>
          <w:szCs w:val="24"/>
        </w:rPr>
      </w:pPr>
      <w:r w:rsidRPr="009768CE">
        <w:rPr>
          <w:rFonts w:ascii="Times New Roman" w:hAnsi="Times New Roman" w:cs="Times New Roman"/>
          <w:b/>
          <w:sz w:val="24"/>
          <w:szCs w:val="24"/>
        </w:rPr>
        <w:t>What is B</w:t>
      </w:r>
      <w:r>
        <w:rPr>
          <w:rFonts w:ascii="Times New Roman" w:hAnsi="Times New Roman" w:cs="Times New Roman"/>
          <w:b/>
          <w:sz w:val="24"/>
          <w:szCs w:val="24"/>
        </w:rPr>
        <w:t>iocapacity?</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
    <w:p w:rsidR="009768CE" w:rsidRPr="004801E8" w:rsidRDefault="009768CE" w:rsidP="009768CE">
      <w:pPr>
        <w:jc w:val="both"/>
        <w:rPr>
          <w:rFonts w:ascii="Times New Roman" w:hAnsi="Times New Roman" w:cs="Times New Roman"/>
          <w:sz w:val="24"/>
          <w:szCs w:val="24"/>
        </w:rPr>
      </w:pPr>
      <w:r w:rsidRPr="004801E8">
        <w:rPr>
          <w:rFonts w:ascii="Times New Roman" w:hAnsi="Times New Roman" w:cs="Times New Roman"/>
          <w:sz w:val="24"/>
          <w:szCs w:val="24"/>
        </w:rPr>
        <w:t>Biocapacity serves as a lens, showing the capacity of biosphere to regenerate and provide for life. It allows researchers to add up the competing human demands, which include natural resources, waste absorption, water renewal, and productive areas dedicated to urban uses. As an aggregate, biocapacity allows us to determine how large the material metabolism of human economies is compared to what nature can renew.</w:t>
      </w:r>
    </w:p>
    <w:p w:rsidR="009768CE" w:rsidRDefault="009768CE" w:rsidP="009768CE">
      <w:pPr>
        <w:jc w:val="both"/>
        <w:rPr>
          <w:rFonts w:ascii="Times New Roman" w:hAnsi="Times New Roman" w:cs="Times New Roman"/>
          <w:b/>
          <w:sz w:val="24"/>
          <w:szCs w:val="24"/>
        </w:rPr>
      </w:pPr>
      <w:r w:rsidRPr="009768CE">
        <w:rPr>
          <w:rFonts w:ascii="Times New Roman" w:hAnsi="Times New Roman" w:cs="Times New Roman"/>
          <w:b/>
          <w:sz w:val="24"/>
          <w:szCs w:val="24"/>
        </w:rPr>
        <w:t>What is</w:t>
      </w:r>
      <w:r>
        <w:rPr>
          <w:rFonts w:ascii="Times New Roman" w:hAnsi="Times New Roman" w:cs="Times New Roman"/>
          <w:b/>
          <w:sz w:val="24"/>
          <w:szCs w:val="24"/>
        </w:rPr>
        <w:t xml:space="preserve"> a global hectare (gha)?</w:t>
      </w:r>
    </w:p>
    <w:p w:rsidR="009768CE" w:rsidRPr="004801E8" w:rsidRDefault="009768CE" w:rsidP="009768CE">
      <w:pPr>
        <w:jc w:val="both"/>
        <w:rPr>
          <w:rFonts w:ascii="Times New Roman" w:hAnsi="Times New Roman" w:cs="Times New Roman"/>
          <w:sz w:val="24"/>
          <w:szCs w:val="24"/>
        </w:rPr>
      </w:pPr>
      <w:r w:rsidRPr="004801E8">
        <w:rPr>
          <w:rFonts w:ascii="Times New Roman" w:hAnsi="Times New Roman" w:cs="Times New Roman"/>
          <w:sz w:val="24"/>
          <w:szCs w:val="24"/>
        </w:rPr>
        <w:t xml:space="preserve">A global hectare is a biologically productive hectare with world average productivity. Because each unit of space harbours a different portion of the global regenerative capacity, each unit is counted proportional to its global biocapacity share. For this reason, hectares are adjusted proportionally to their productivity and are expressed in global hectares. </w:t>
      </w:r>
    </w:p>
    <w:p w:rsidR="009768CE" w:rsidRDefault="009768CE" w:rsidP="009768CE">
      <w:pPr>
        <w:jc w:val="both"/>
        <w:rPr>
          <w:rFonts w:ascii="Times New Roman" w:hAnsi="Times New Roman" w:cs="Times New Roman"/>
          <w:b/>
          <w:sz w:val="24"/>
          <w:szCs w:val="24"/>
        </w:rPr>
      </w:pPr>
      <w:r w:rsidRPr="009768CE">
        <w:rPr>
          <w:rFonts w:ascii="Times New Roman" w:hAnsi="Times New Roman" w:cs="Times New Roman"/>
          <w:b/>
          <w:sz w:val="24"/>
          <w:szCs w:val="24"/>
        </w:rPr>
        <w:t>Measuring Sustainable Development with HDI and Footprint Assessments</w:t>
      </w:r>
      <w:r w:rsidRPr="009768CE">
        <w:rPr>
          <w:rFonts w:ascii="Times New Roman" w:hAnsi="Times New Roman" w:cs="Times New Roman"/>
          <w:b/>
          <w:sz w:val="24"/>
          <w:szCs w:val="24"/>
        </w:rPr>
        <w:tab/>
      </w:r>
    </w:p>
    <w:p w:rsidR="009768CE" w:rsidRDefault="009768CE" w:rsidP="009768CE">
      <w:pPr>
        <w:jc w:val="both"/>
        <w:rPr>
          <w:rFonts w:ascii="Times New Roman" w:hAnsi="Times New Roman" w:cs="Times New Roman"/>
          <w:b/>
          <w:sz w:val="24"/>
          <w:szCs w:val="24"/>
        </w:rPr>
      </w:pPr>
      <w:r w:rsidRPr="009768CE">
        <w:rPr>
          <w:rFonts w:ascii="Times New Roman" w:hAnsi="Times New Roman" w:cs="Times New Roman"/>
          <w:b/>
          <w:noProof/>
          <w:sz w:val="24"/>
          <w:szCs w:val="24"/>
          <w:lang w:eastAsia="es-ES"/>
        </w:rPr>
        <w:drawing>
          <wp:inline distT="0" distB="0" distL="0" distR="0" wp14:anchorId="7171A68A" wp14:editId="08A7B1E3">
            <wp:extent cx="5400040" cy="3241368"/>
            <wp:effectExtent l="0" t="0" r="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400040" cy="3241368"/>
                    </a:xfrm>
                    <a:prstGeom prst="rect">
                      <a:avLst/>
                    </a:prstGeom>
                  </pic:spPr>
                </pic:pic>
              </a:graphicData>
            </a:graphic>
          </wp:inline>
        </w:drawing>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
    <w:p w:rsidR="009768CE" w:rsidRPr="009768CE" w:rsidRDefault="009768CE" w:rsidP="009768CE">
      <w:pPr>
        <w:jc w:val="both"/>
        <w:rPr>
          <w:rFonts w:ascii="Times New Roman" w:hAnsi="Times New Roman" w:cs="Times New Roman"/>
          <w:sz w:val="24"/>
          <w:szCs w:val="24"/>
        </w:rPr>
      </w:pPr>
      <w:r w:rsidRPr="009768CE">
        <w:rPr>
          <w:rFonts w:ascii="Times New Roman" w:hAnsi="Times New Roman" w:cs="Times New Roman"/>
          <w:sz w:val="24"/>
          <w:szCs w:val="24"/>
        </w:rPr>
        <w:t xml:space="preserve">The essence of sustainable development can be measured by tracking its two core dimensions: </w:t>
      </w:r>
    </w:p>
    <w:p w:rsidR="009768CE" w:rsidRPr="009768CE" w:rsidRDefault="009768CE" w:rsidP="009768CE">
      <w:pPr>
        <w:jc w:val="both"/>
        <w:rPr>
          <w:rFonts w:ascii="Times New Roman" w:hAnsi="Times New Roman" w:cs="Times New Roman"/>
          <w:sz w:val="24"/>
          <w:szCs w:val="24"/>
        </w:rPr>
      </w:pPr>
      <w:r w:rsidRPr="009768CE">
        <w:rPr>
          <w:rFonts w:ascii="Times New Roman" w:hAnsi="Times New Roman" w:cs="Times New Roman"/>
          <w:sz w:val="24"/>
          <w:szCs w:val="24"/>
        </w:rPr>
        <w:t>1) economic and social development</w:t>
      </w:r>
    </w:p>
    <w:p w:rsidR="009768CE" w:rsidRPr="009768CE" w:rsidRDefault="009768CE" w:rsidP="009768CE">
      <w:pPr>
        <w:jc w:val="both"/>
        <w:rPr>
          <w:rFonts w:ascii="Times New Roman" w:hAnsi="Times New Roman" w:cs="Times New Roman"/>
          <w:sz w:val="24"/>
          <w:szCs w:val="24"/>
        </w:rPr>
      </w:pPr>
      <w:r w:rsidRPr="009768CE">
        <w:rPr>
          <w:rFonts w:ascii="Times New Roman" w:hAnsi="Times New Roman" w:cs="Times New Roman"/>
          <w:sz w:val="24"/>
          <w:szCs w:val="24"/>
        </w:rPr>
        <w:t>2) environmental sustainability</w:t>
      </w:r>
    </w:p>
    <w:p w:rsidR="009768CE" w:rsidRPr="009768CE" w:rsidRDefault="009768CE" w:rsidP="009768CE">
      <w:pPr>
        <w:jc w:val="both"/>
        <w:rPr>
          <w:rFonts w:ascii="Times New Roman" w:hAnsi="Times New Roman" w:cs="Times New Roman"/>
          <w:sz w:val="24"/>
          <w:szCs w:val="24"/>
        </w:rPr>
      </w:pPr>
      <w:r w:rsidRPr="009768CE">
        <w:rPr>
          <w:rFonts w:ascii="Times New Roman" w:hAnsi="Times New Roman" w:cs="Times New Roman"/>
          <w:sz w:val="24"/>
          <w:szCs w:val="24"/>
        </w:rPr>
        <w:lastRenderedPageBreak/>
        <w:t>Economic and social development, or human well-being, can be approximated with UNDP’s widely recognized Human Development Index (HDI). UNDP considers an HDI of more than 0.7</w:t>
      </w:r>
      <w:r w:rsidR="00BE04EF">
        <w:rPr>
          <w:rFonts w:ascii="Times New Roman" w:hAnsi="Times New Roman" w:cs="Times New Roman"/>
          <w:sz w:val="24"/>
          <w:szCs w:val="24"/>
        </w:rPr>
        <w:t xml:space="preserve"> to be “high human development”.</w:t>
      </w:r>
      <w:r w:rsidRPr="009768CE">
        <w:rPr>
          <w:rFonts w:ascii="Times New Roman" w:hAnsi="Times New Roman" w:cs="Times New Roman"/>
          <w:sz w:val="24"/>
          <w:szCs w:val="24"/>
        </w:rPr>
        <w:t xml:space="preserve"> Environmental sustainability, or living within the means of nature, can be evaluated with the Ecological Footprint. The HDI-Footprint graph above shows how a population's HDI compares to its resource demand. The graph illustrates the challenge of creating a globally-reproducible high level of human well-being without overtaxing the planet’s ecological resource base.</w:t>
      </w:r>
    </w:p>
    <w:p w:rsidR="004801E8" w:rsidRDefault="009768CE" w:rsidP="009768CE">
      <w:pPr>
        <w:jc w:val="both"/>
        <w:rPr>
          <w:rFonts w:ascii="Times New Roman" w:hAnsi="Times New Roman" w:cs="Times New Roman"/>
          <w:b/>
          <w:sz w:val="24"/>
          <w:szCs w:val="24"/>
        </w:rPr>
      </w:pPr>
      <w:r w:rsidRPr="009768CE">
        <w:rPr>
          <w:rFonts w:ascii="Times New Roman" w:hAnsi="Times New Roman" w:cs="Times New Roman"/>
          <w:sz w:val="24"/>
          <w:szCs w:val="24"/>
        </w:rPr>
        <w:t>Note that the comparison against global average biocapacity provides a global overview. This approach can be further extended by comparing Footprints also against local biocapacity. For most countries, local availability of biocapacity (and the financial means to access biocapacity from elsewhere) is a more significant determinant of resource access than the global average.</w:t>
      </w:r>
      <w:r w:rsidRPr="009768CE">
        <w:rPr>
          <w:rFonts w:ascii="Times New Roman" w:hAnsi="Times New Roman" w:cs="Times New Roman"/>
          <w:b/>
          <w:sz w:val="24"/>
          <w:szCs w:val="24"/>
        </w:rPr>
        <w:tab/>
      </w:r>
    </w:p>
    <w:p w:rsidR="00080D26" w:rsidRDefault="004801E8" w:rsidP="009768CE">
      <w:pPr>
        <w:jc w:val="both"/>
        <w:rPr>
          <w:noProof/>
          <w:lang w:eastAsia="es-ES"/>
        </w:rPr>
      </w:pPr>
      <w:r w:rsidRPr="004801E8">
        <w:rPr>
          <w:rFonts w:ascii="Times New Roman" w:hAnsi="Times New Roman" w:cs="Times New Roman"/>
          <w:b/>
          <w:noProof/>
          <w:sz w:val="24"/>
          <w:szCs w:val="24"/>
          <w:lang w:eastAsia="es-ES"/>
        </w:rPr>
        <w:drawing>
          <wp:inline distT="0" distB="0" distL="0" distR="0" wp14:anchorId="6D87D0F1" wp14:editId="55E93A66">
            <wp:extent cx="5397500" cy="2667000"/>
            <wp:effectExtent l="0" t="0" r="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400040" cy="2668255"/>
                    </a:xfrm>
                    <a:prstGeom prst="rect">
                      <a:avLst/>
                    </a:prstGeom>
                  </pic:spPr>
                </pic:pic>
              </a:graphicData>
            </a:graphic>
          </wp:inline>
        </w:drawing>
      </w:r>
      <w:r w:rsidRPr="004801E8">
        <w:rPr>
          <w:noProof/>
          <w:lang w:eastAsia="es-ES"/>
        </w:rPr>
        <w:t xml:space="preserve"> </w:t>
      </w:r>
      <w:r w:rsidRPr="004801E8">
        <w:rPr>
          <w:rFonts w:ascii="Times New Roman" w:hAnsi="Times New Roman" w:cs="Times New Roman"/>
          <w:b/>
          <w:noProof/>
          <w:sz w:val="24"/>
          <w:szCs w:val="24"/>
          <w:lang w:eastAsia="es-ES"/>
        </w:rPr>
        <w:drawing>
          <wp:inline distT="0" distB="0" distL="0" distR="0" wp14:anchorId="33E0F695" wp14:editId="35E28605">
            <wp:extent cx="5397500" cy="3409950"/>
            <wp:effectExtent l="0" t="0" r="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400040" cy="3411555"/>
                    </a:xfrm>
                    <a:prstGeom prst="rect">
                      <a:avLst/>
                    </a:prstGeom>
                  </pic:spPr>
                </pic:pic>
              </a:graphicData>
            </a:graphic>
          </wp:inline>
        </w:drawing>
      </w:r>
    </w:p>
    <w:p w:rsidR="00080D26" w:rsidRDefault="00080D26" w:rsidP="009768CE">
      <w:pPr>
        <w:jc w:val="both"/>
        <w:rPr>
          <w:noProof/>
          <w:lang w:eastAsia="es-ES"/>
        </w:rPr>
        <w:sectPr w:rsidR="00080D26">
          <w:pgSz w:w="11906" w:h="16838"/>
          <w:pgMar w:top="1417" w:right="1701" w:bottom="1417" w:left="1701" w:header="708" w:footer="708" w:gutter="0"/>
          <w:cols w:space="708"/>
          <w:docGrid w:linePitch="360"/>
        </w:sectPr>
      </w:pPr>
    </w:p>
    <w:p w:rsidR="005A04B2" w:rsidRDefault="00080D26" w:rsidP="009768CE">
      <w:pPr>
        <w:jc w:val="both"/>
        <w:rPr>
          <w:noProof/>
          <w:lang w:eastAsia="es-ES"/>
        </w:rPr>
        <w:sectPr w:rsidR="005A04B2" w:rsidSect="00080D26">
          <w:pgSz w:w="16838" w:h="11906" w:orient="landscape"/>
          <w:pgMar w:top="1701" w:right="1418" w:bottom="1701" w:left="1418" w:header="709" w:footer="709" w:gutter="0"/>
          <w:cols w:space="708"/>
          <w:docGrid w:linePitch="360"/>
        </w:sectPr>
      </w:pPr>
      <w:r w:rsidRPr="00080D26">
        <w:rPr>
          <w:noProof/>
          <w:lang w:eastAsia="es-ES"/>
        </w:rPr>
        <w:lastRenderedPageBreak/>
        <w:drawing>
          <wp:inline distT="0" distB="0" distL="0" distR="0" wp14:anchorId="67C09650" wp14:editId="5A38D4FC">
            <wp:extent cx="8826500" cy="4489450"/>
            <wp:effectExtent l="0" t="0" r="0" b="635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8824504" cy="4488435"/>
                    </a:xfrm>
                    <a:prstGeom prst="rect">
                      <a:avLst/>
                    </a:prstGeom>
                  </pic:spPr>
                </pic:pic>
              </a:graphicData>
            </a:graphic>
          </wp:inline>
        </w:drawing>
      </w:r>
    </w:p>
    <w:p w:rsidR="00080D26" w:rsidRDefault="00080D26" w:rsidP="009768CE">
      <w:pPr>
        <w:jc w:val="both"/>
        <w:rPr>
          <w:noProof/>
          <w:lang w:eastAsia="es-ES"/>
        </w:rPr>
      </w:pPr>
    </w:p>
    <w:p w:rsidR="004B6BA4" w:rsidRDefault="004801E8" w:rsidP="009768CE">
      <w:pPr>
        <w:jc w:val="both"/>
        <w:rPr>
          <w:noProof/>
          <w:lang w:eastAsia="es-ES"/>
        </w:rPr>
      </w:pPr>
      <w:r w:rsidRPr="004801E8">
        <w:rPr>
          <w:noProof/>
          <w:lang w:eastAsia="es-ES"/>
        </w:rPr>
        <w:drawing>
          <wp:inline distT="0" distB="0" distL="0" distR="0" wp14:anchorId="05CC9A92" wp14:editId="155285EB">
            <wp:extent cx="5397500" cy="1974850"/>
            <wp:effectExtent l="0" t="0" r="0" b="635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400040" cy="1975779"/>
                    </a:xfrm>
                    <a:prstGeom prst="rect">
                      <a:avLst/>
                    </a:prstGeom>
                  </pic:spPr>
                </pic:pic>
              </a:graphicData>
            </a:graphic>
          </wp:inline>
        </w:drawing>
      </w:r>
    </w:p>
    <w:p w:rsidR="004B6BA4" w:rsidRDefault="00977233" w:rsidP="009768CE">
      <w:pPr>
        <w:jc w:val="both"/>
        <w:rPr>
          <w:noProof/>
          <w:lang w:eastAsia="es-ES"/>
        </w:rPr>
      </w:pPr>
      <w:r w:rsidRPr="00977233">
        <w:rPr>
          <w:noProof/>
          <w:lang w:eastAsia="es-ES"/>
        </w:rPr>
        <w:drawing>
          <wp:inline distT="0" distB="0" distL="0" distR="0" wp14:anchorId="19E848AA" wp14:editId="7F384F63">
            <wp:extent cx="5480050" cy="1473200"/>
            <wp:effectExtent l="0" t="0" r="635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491762" cy="1476349"/>
                    </a:xfrm>
                    <a:prstGeom prst="rect">
                      <a:avLst/>
                    </a:prstGeom>
                  </pic:spPr>
                </pic:pic>
              </a:graphicData>
            </a:graphic>
          </wp:inline>
        </w:drawing>
      </w:r>
    </w:p>
    <w:p w:rsidR="004B6BA4" w:rsidRDefault="00977233" w:rsidP="009768CE">
      <w:pPr>
        <w:jc w:val="both"/>
        <w:rPr>
          <w:noProof/>
          <w:lang w:eastAsia="es-ES"/>
        </w:rPr>
      </w:pPr>
      <w:r w:rsidRPr="00977233">
        <w:rPr>
          <w:noProof/>
          <w:lang w:eastAsia="es-ES"/>
        </w:rPr>
        <w:drawing>
          <wp:inline distT="0" distB="0" distL="0" distR="0" wp14:anchorId="2E4A7A8F" wp14:editId="7A4C8182">
            <wp:extent cx="5441950" cy="1371600"/>
            <wp:effectExtent l="0" t="0" r="635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444511" cy="1372245"/>
                    </a:xfrm>
                    <a:prstGeom prst="rect">
                      <a:avLst/>
                    </a:prstGeom>
                  </pic:spPr>
                </pic:pic>
              </a:graphicData>
            </a:graphic>
          </wp:inline>
        </w:drawing>
      </w:r>
    </w:p>
    <w:p w:rsidR="004B6BA4" w:rsidRDefault="00977233" w:rsidP="009768CE">
      <w:pPr>
        <w:jc w:val="both"/>
        <w:rPr>
          <w:noProof/>
          <w:lang w:eastAsia="es-ES"/>
        </w:rPr>
      </w:pPr>
      <w:r w:rsidRPr="00977233">
        <w:rPr>
          <w:noProof/>
          <w:lang w:eastAsia="es-ES"/>
        </w:rPr>
        <w:drawing>
          <wp:inline distT="0" distB="0" distL="0" distR="0" wp14:anchorId="641155F4" wp14:editId="081B6A0E">
            <wp:extent cx="5441950" cy="1517650"/>
            <wp:effectExtent l="0" t="0" r="6350" b="635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444511" cy="1518364"/>
                    </a:xfrm>
                    <a:prstGeom prst="rect">
                      <a:avLst/>
                    </a:prstGeom>
                  </pic:spPr>
                </pic:pic>
              </a:graphicData>
            </a:graphic>
          </wp:inline>
        </w:drawing>
      </w:r>
    </w:p>
    <w:p w:rsidR="00977233" w:rsidRDefault="00977233" w:rsidP="009768CE">
      <w:pPr>
        <w:jc w:val="both"/>
        <w:rPr>
          <w:noProof/>
          <w:lang w:eastAsia="es-ES"/>
        </w:rPr>
      </w:pPr>
      <w:r w:rsidRPr="00977233">
        <w:rPr>
          <w:noProof/>
          <w:lang w:eastAsia="es-ES"/>
        </w:rPr>
        <w:drawing>
          <wp:inline distT="0" distB="0" distL="0" distR="0" wp14:anchorId="1EC04A98" wp14:editId="51FA62D6">
            <wp:extent cx="5480050" cy="1549400"/>
            <wp:effectExtent l="0" t="0" r="635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482629" cy="1550129"/>
                    </a:xfrm>
                    <a:prstGeom prst="rect">
                      <a:avLst/>
                    </a:prstGeom>
                  </pic:spPr>
                </pic:pic>
              </a:graphicData>
            </a:graphic>
          </wp:inline>
        </w:drawing>
      </w:r>
    </w:p>
    <w:p w:rsidR="00977233" w:rsidRDefault="00977233" w:rsidP="009768CE">
      <w:pPr>
        <w:jc w:val="both"/>
        <w:rPr>
          <w:noProof/>
          <w:lang w:eastAsia="es-ES"/>
        </w:rPr>
      </w:pPr>
      <w:r w:rsidRPr="00977233">
        <w:rPr>
          <w:noProof/>
          <w:lang w:eastAsia="es-ES"/>
        </w:rPr>
        <w:lastRenderedPageBreak/>
        <w:drawing>
          <wp:inline distT="0" distB="0" distL="0" distR="0" wp14:anchorId="0DAE9FBC" wp14:editId="7F32A9AA">
            <wp:extent cx="5480050" cy="1244600"/>
            <wp:effectExtent l="0" t="0" r="635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495171" cy="1248034"/>
                    </a:xfrm>
                    <a:prstGeom prst="rect">
                      <a:avLst/>
                    </a:prstGeom>
                  </pic:spPr>
                </pic:pic>
              </a:graphicData>
            </a:graphic>
          </wp:inline>
        </w:drawing>
      </w:r>
    </w:p>
    <w:p w:rsidR="004B6BA4" w:rsidRDefault="00977233" w:rsidP="009768CE">
      <w:pPr>
        <w:jc w:val="both"/>
        <w:rPr>
          <w:noProof/>
          <w:lang w:eastAsia="es-ES"/>
        </w:rPr>
      </w:pPr>
      <w:r w:rsidRPr="00977233">
        <w:rPr>
          <w:noProof/>
          <w:lang w:eastAsia="es-ES"/>
        </w:rPr>
        <w:drawing>
          <wp:inline distT="0" distB="0" distL="0" distR="0" wp14:anchorId="55A3CBB4" wp14:editId="07CA966E">
            <wp:extent cx="5480050" cy="1441450"/>
            <wp:effectExtent l="0" t="0" r="6350" b="635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502704" cy="1447409"/>
                    </a:xfrm>
                    <a:prstGeom prst="rect">
                      <a:avLst/>
                    </a:prstGeom>
                  </pic:spPr>
                </pic:pic>
              </a:graphicData>
            </a:graphic>
          </wp:inline>
        </w:drawing>
      </w:r>
    </w:p>
    <w:p w:rsidR="00080D26" w:rsidRDefault="00080D26" w:rsidP="009768CE">
      <w:pPr>
        <w:jc w:val="both"/>
        <w:rPr>
          <w:noProof/>
          <w:lang w:eastAsia="es-ES"/>
        </w:rPr>
      </w:pPr>
      <w:r w:rsidRPr="00080D26">
        <w:rPr>
          <w:noProof/>
          <w:lang w:eastAsia="es-ES"/>
        </w:rPr>
        <w:drawing>
          <wp:inline distT="0" distB="0" distL="0" distR="0" wp14:anchorId="01F9ABDE" wp14:editId="62431613">
            <wp:extent cx="5441950" cy="1409700"/>
            <wp:effectExtent l="0" t="0" r="635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461233" cy="1414695"/>
                    </a:xfrm>
                    <a:prstGeom prst="rect">
                      <a:avLst/>
                    </a:prstGeom>
                  </pic:spPr>
                </pic:pic>
              </a:graphicData>
            </a:graphic>
          </wp:inline>
        </w:drawing>
      </w:r>
    </w:p>
    <w:p w:rsidR="00977233" w:rsidRDefault="00977233" w:rsidP="009768CE">
      <w:pPr>
        <w:jc w:val="both"/>
        <w:rPr>
          <w:noProof/>
          <w:lang w:eastAsia="es-ES"/>
        </w:rPr>
      </w:pPr>
      <w:r w:rsidRPr="00977233">
        <w:rPr>
          <w:noProof/>
          <w:lang w:eastAsia="es-ES"/>
        </w:rPr>
        <w:drawing>
          <wp:inline distT="0" distB="0" distL="0" distR="0" wp14:anchorId="42B2BA1C" wp14:editId="5D9AA188">
            <wp:extent cx="5480050" cy="1212850"/>
            <wp:effectExtent l="0" t="0" r="6350" b="635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500038" cy="1217274"/>
                    </a:xfrm>
                    <a:prstGeom prst="rect">
                      <a:avLst/>
                    </a:prstGeom>
                  </pic:spPr>
                </pic:pic>
              </a:graphicData>
            </a:graphic>
          </wp:inline>
        </w:drawing>
      </w:r>
    </w:p>
    <w:p w:rsidR="00080D26" w:rsidRDefault="00080D26" w:rsidP="009768CE">
      <w:pPr>
        <w:jc w:val="both"/>
        <w:rPr>
          <w:noProof/>
          <w:lang w:eastAsia="es-ES"/>
        </w:rPr>
      </w:pPr>
      <w:r w:rsidRPr="00080D26">
        <w:rPr>
          <w:noProof/>
          <w:lang w:eastAsia="es-ES"/>
        </w:rPr>
        <w:drawing>
          <wp:inline distT="0" distB="0" distL="0" distR="0" wp14:anchorId="1033C4B0" wp14:editId="2D0D4518">
            <wp:extent cx="5480050" cy="1149350"/>
            <wp:effectExtent l="0" t="0" r="635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482629" cy="1149891"/>
                    </a:xfrm>
                    <a:prstGeom prst="rect">
                      <a:avLst/>
                    </a:prstGeom>
                  </pic:spPr>
                </pic:pic>
              </a:graphicData>
            </a:graphic>
          </wp:inline>
        </w:drawing>
      </w:r>
    </w:p>
    <w:p w:rsidR="004B6BA4" w:rsidRDefault="00977233" w:rsidP="004B6BA4">
      <w:pPr>
        <w:jc w:val="both"/>
        <w:rPr>
          <w:noProof/>
          <w:lang w:eastAsia="es-ES"/>
        </w:rPr>
      </w:pPr>
      <w:r w:rsidRPr="00977233">
        <w:rPr>
          <w:noProof/>
          <w:lang w:eastAsia="es-ES"/>
        </w:rPr>
        <w:drawing>
          <wp:inline distT="0" distB="0" distL="0" distR="0" wp14:anchorId="64CC39C9" wp14:editId="09D1C683">
            <wp:extent cx="5480050" cy="1416050"/>
            <wp:effectExtent l="0" t="0" r="635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482629" cy="1416716"/>
                    </a:xfrm>
                    <a:prstGeom prst="rect">
                      <a:avLst/>
                    </a:prstGeom>
                  </pic:spPr>
                </pic:pic>
              </a:graphicData>
            </a:graphic>
          </wp:inline>
        </w:drawing>
      </w:r>
    </w:p>
    <w:p w:rsidR="000711BB" w:rsidRPr="004B6BA4" w:rsidRDefault="004B6BA4" w:rsidP="004B6BA4">
      <w:pPr>
        <w:jc w:val="both"/>
        <w:rPr>
          <w:noProof/>
          <w:lang w:eastAsia="es-ES"/>
        </w:rPr>
      </w:pPr>
      <w:r>
        <w:rPr>
          <w:rFonts w:ascii="Times New Roman" w:hAnsi="Times New Roman" w:cs="Times New Roman"/>
          <w:b/>
          <w:sz w:val="24"/>
          <w:szCs w:val="24"/>
        </w:rPr>
        <w:lastRenderedPageBreak/>
        <w:t xml:space="preserve">Parte II </w:t>
      </w:r>
      <w:r w:rsidR="000711BB" w:rsidRPr="00FD1156">
        <w:rPr>
          <w:rFonts w:ascii="Times New Roman" w:hAnsi="Times New Roman" w:cs="Times New Roman"/>
          <w:b/>
          <w:sz w:val="24"/>
          <w:szCs w:val="24"/>
        </w:rPr>
        <w:t xml:space="preserve">- El “speaker corner” de los Grandes Bonetes (algunos </w:t>
      </w:r>
      <w:r w:rsidR="000711BB">
        <w:rPr>
          <w:rFonts w:ascii="Times New Roman" w:hAnsi="Times New Roman" w:cs="Times New Roman"/>
          <w:b/>
          <w:sz w:val="24"/>
          <w:szCs w:val="24"/>
        </w:rPr>
        <w:t>“</w:t>
      </w:r>
      <w:r w:rsidR="000711BB" w:rsidRPr="00FD1156">
        <w:rPr>
          <w:rFonts w:ascii="Times New Roman" w:hAnsi="Times New Roman" w:cs="Times New Roman"/>
          <w:b/>
          <w:sz w:val="24"/>
          <w:szCs w:val="24"/>
        </w:rPr>
        <w:t>Nobeles</w:t>
      </w:r>
      <w:r w:rsidR="000711BB">
        <w:rPr>
          <w:rFonts w:ascii="Times New Roman" w:hAnsi="Times New Roman" w:cs="Times New Roman"/>
          <w:b/>
          <w:sz w:val="24"/>
          <w:szCs w:val="24"/>
        </w:rPr>
        <w:t>”</w:t>
      </w:r>
      <w:r w:rsidR="00555ED0">
        <w:rPr>
          <w:rFonts w:ascii="Times New Roman" w:hAnsi="Times New Roman" w:cs="Times New Roman"/>
          <w:b/>
          <w:sz w:val="24"/>
          <w:szCs w:val="24"/>
        </w:rPr>
        <w:t>…</w:t>
      </w:r>
      <w:r w:rsidR="000711BB" w:rsidRPr="00FD1156">
        <w:rPr>
          <w:rFonts w:ascii="Times New Roman" w:hAnsi="Times New Roman" w:cs="Times New Roman"/>
          <w:b/>
          <w:sz w:val="24"/>
          <w:szCs w:val="24"/>
        </w:rPr>
        <w:t xml:space="preserve"> y unos cuantos “noveleros”)</w:t>
      </w:r>
    </w:p>
    <w:p w:rsidR="000711BB" w:rsidRDefault="000711BB" w:rsidP="000711BB">
      <w:pPr>
        <w:spacing w:line="240" w:lineRule="auto"/>
        <w:jc w:val="both"/>
        <w:rPr>
          <w:rFonts w:ascii="Times New Roman" w:hAnsi="Times New Roman" w:cs="Times New Roman"/>
          <w:b/>
          <w:sz w:val="24"/>
          <w:szCs w:val="24"/>
        </w:rPr>
      </w:pPr>
      <w:r>
        <w:rPr>
          <w:noProof/>
          <w:lang w:eastAsia="es-ES"/>
        </w:rPr>
        <w:drawing>
          <wp:inline distT="0" distB="0" distL="0" distR="0" wp14:anchorId="516C3B33" wp14:editId="4027FCF4">
            <wp:extent cx="5397500" cy="2317750"/>
            <wp:effectExtent l="0" t="0" r="0" b="6350"/>
            <wp:docPr id="81" name="Imagen 81" descr="inversores-700-efe-ordenado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versores-700-efe-ordenadores.jp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400040" cy="2318841"/>
                    </a:xfrm>
                    <a:prstGeom prst="rect">
                      <a:avLst/>
                    </a:prstGeom>
                    <a:noFill/>
                    <a:ln>
                      <a:noFill/>
                    </a:ln>
                  </pic:spPr>
                </pic:pic>
              </a:graphicData>
            </a:graphic>
          </wp:inline>
        </w:drawing>
      </w:r>
    </w:p>
    <w:p w:rsidR="000711BB" w:rsidRPr="00F77D8A" w:rsidRDefault="000711BB" w:rsidP="000711BB">
      <w:pPr>
        <w:pStyle w:val="NormalWeb"/>
        <w:shd w:val="clear" w:color="auto" w:fill="FFFFFF"/>
        <w:spacing w:after="0"/>
        <w:jc w:val="both"/>
        <w:textAlignment w:val="baseline"/>
        <w:rPr>
          <w:color w:val="000000"/>
        </w:rPr>
      </w:pPr>
      <w:r>
        <w:rPr>
          <w:color w:val="000000"/>
        </w:rPr>
        <w:t xml:space="preserve">- </w:t>
      </w:r>
      <w:r w:rsidRPr="00F77D8A">
        <w:rPr>
          <w:color w:val="000000"/>
          <w:u w:val="single"/>
        </w:rPr>
        <w:t>El Gran Malestar continúa</w:t>
      </w:r>
      <w:r>
        <w:rPr>
          <w:color w:val="000000"/>
        </w:rPr>
        <w:t xml:space="preserve"> (Project Syndicate  - </w:t>
      </w:r>
      <w:r w:rsidRPr="00F77D8A">
        <w:rPr>
          <w:b/>
          <w:color w:val="000000"/>
        </w:rPr>
        <w:t>3/1/16</w:t>
      </w:r>
      <w:r>
        <w:rPr>
          <w:color w:val="000000"/>
        </w:rPr>
        <w:t>)</w:t>
      </w:r>
    </w:p>
    <w:p w:rsidR="000711BB" w:rsidRPr="00215887" w:rsidRDefault="000711BB" w:rsidP="000711BB">
      <w:pPr>
        <w:pStyle w:val="NormalWeb"/>
        <w:shd w:val="clear" w:color="auto" w:fill="FFFFFF"/>
        <w:spacing w:after="0"/>
        <w:jc w:val="both"/>
        <w:textAlignment w:val="baseline"/>
        <w:rPr>
          <w:color w:val="000000"/>
          <w:u w:val="single"/>
        </w:rPr>
      </w:pPr>
      <w:r>
        <w:rPr>
          <w:color w:val="000000"/>
        </w:rPr>
        <w:t>Nueva York.-</w:t>
      </w:r>
      <w:r w:rsidRPr="00F77D8A">
        <w:rPr>
          <w:color w:val="000000"/>
        </w:rPr>
        <w:t xml:space="preserve"> </w:t>
      </w:r>
      <w:r w:rsidRPr="00215887">
        <w:rPr>
          <w:color w:val="000000"/>
          <w:u w:val="single"/>
        </w:rPr>
        <w:t>El año 2015 fue difícil en todas partes: Brasil entró en recesión; la economía china sufrió sus primeras sacudidas graves después de casi cuatro décadas de crecimiento vertiginoso; la zona del euro se las ingenió para evitar el colapso debido a Grecia, pero su virtual estancamiento se mantuvo y aportó a lo que probablemente será considerada una década perdida; para Estados Unidos, se esperaba que en 2015 finalmente se pusiera fin a la Gran Recesión que comenzó allá por 2008, en lugar de eso, su recuperación ha sido regular.</w:t>
      </w:r>
    </w:p>
    <w:p w:rsidR="000711BB" w:rsidRPr="00215887" w:rsidRDefault="000711BB" w:rsidP="000711BB">
      <w:pPr>
        <w:pStyle w:val="NormalWeb"/>
        <w:shd w:val="clear" w:color="auto" w:fill="FFFFFF"/>
        <w:spacing w:after="0"/>
        <w:jc w:val="both"/>
        <w:textAlignment w:val="baseline"/>
        <w:rPr>
          <w:color w:val="FF0000"/>
          <w:u w:val="single"/>
        </w:rPr>
      </w:pPr>
      <w:r w:rsidRPr="00215887">
        <w:rPr>
          <w:color w:val="FF0000"/>
          <w:u w:val="single"/>
        </w:rPr>
        <w:t xml:space="preserve">De hecho, Christine Lagarde, directora gerente del Fondo Monetario Internacional, ha bautizado la situación actual de la economía mundial como la </w:t>
      </w:r>
      <w:r w:rsidRPr="00215887">
        <w:rPr>
          <w:b/>
          <w:color w:val="FF0000"/>
          <w:u w:val="single"/>
        </w:rPr>
        <w:t>Nueva Mediocridad.</w:t>
      </w:r>
      <w:r w:rsidRPr="00215887">
        <w:rPr>
          <w:color w:val="FF0000"/>
          <w:u w:val="single"/>
        </w:rPr>
        <w:t xml:space="preserve"> Otros evocan el profundo pesimismo posterior a la Segunda Guerra Mundial y temen que la economía mundial decaiga hasta entrar en recesión o, al menos, mantener un prolongado estancamiento.</w:t>
      </w:r>
    </w:p>
    <w:p w:rsidR="000711BB" w:rsidRPr="00F77D8A" w:rsidRDefault="000711BB" w:rsidP="000711BB">
      <w:pPr>
        <w:pStyle w:val="NormalWeb"/>
        <w:shd w:val="clear" w:color="auto" w:fill="FFFFFF"/>
        <w:spacing w:after="0"/>
        <w:jc w:val="both"/>
        <w:textAlignment w:val="baseline"/>
        <w:rPr>
          <w:color w:val="000000"/>
        </w:rPr>
      </w:pPr>
      <w:r w:rsidRPr="00215887">
        <w:rPr>
          <w:color w:val="000000"/>
          <w:u w:val="single"/>
        </w:rPr>
        <w:t>A principios de 2010, a</w:t>
      </w:r>
      <w:r>
        <w:rPr>
          <w:color w:val="000000"/>
          <w:u w:val="single"/>
        </w:rPr>
        <w:t>dvertí en mi libro Caída libre -</w:t>
      </w:r>
      <w:r w:rsidRPr="00215887">
        <w:rPr>
          <w:color w:val="000000"/>
          <w:u w:val="single"/>
        </w:rPr>
        <w:t>que describe los eventos qu</w:t>
      </w:r>
      <w:r>
        <w:rPr>
          <w:color w:val="000000"/>
          <w:u w:val="single"/>
        </w:rPr>
        <w:t>e condujeron a la gran recesión-</w:t>
      </w:r>
      <w:r w:rsidRPr="00215887">
        <w:rPr>
          <w:color w:val="000000"/>
          <w:u w:val="single"/>
        </w:rPr>
        <w:t xml:space="preserve"> que sin respuestas adecuadas, el mundo corría el riesgo de caer en lo que llamé el Gran Malestar. Desafortunadamente, estaba en lo cierto</w:t>
      </w:r>
      <w:r w:rsidRPr="00F77D8A">
        <w:rPr>
          <w:color w:val="000000"/>
        </w:rPr>
        <w:t>: no nos ocupamos de lo que hacía falta y terminamos exactamente donde temí que lo haríamos.</w:t>
      </w:r>
    </w:p>
    <w:p w:rsidR="000711BB" w:rsidRPr="00F77D8A" w:rsidRDefault="000711BB" w:rsidP="000711BB">
      <w:pPr>
        <w:pStyle w:val="NormalWeb"/>
        <w:shd w:val="clear" w:color="auto" w:fill="FFFFFF"/>
        <w:spacing w:after="0"/>
        <w:jc w:val="both"/>
        <w:textAlignment w:val="baseline"/>
        <w:rPr>
          <w:color w:val="000000"/>
        </w:rPr>
      </w:pPr>
      <w:r w:rsidRPr="00F77D8A">
        <w:rPr>
          <w:color w:val="000000"/>
        </w:rPr>
        <w:t xml:space="preserve">Los conceptos económicos subyacentes a esta inercia son fáciles de entender y existen soluciones disponibles para solucionarla. </w:t>
      </w:r>
      <w:r w:rsidRPr="00215887">
        <w:rPr>
          <w:color w:val="FF0000"/>
          <w:u w:val="single"/>
        </w:rPr>
        <w:t>El mundo enfrenta una falta de demanda agregada, provocada por una combinación de creciente desigualdad y una oleada de austeridad fiscal sin sentido.</w:t>
      </w:r>
      <w:r w:rsidRPr="00F77D8A">
        <w:rPr>
          <w:color w:val="000000"/>
        </w:rPr>
        <w:t xml:space="preserve"> Quienes más tienen gastan mucho menos que quienes tienen menos, por lo tanto, a medida que el dinero fluye hacia los más ricos, la demanda disminuye. Y los países como Alemania, que continuamente mantienen superávits externos, están contribuyendo significativamente al problema clave de la insuficiente demanda global.</w:t>
      </w:r>
    </w:p>
    <w:p w:rsidR="000711BB" w:rsidRPr="00F77D8A" w:rsidRDefault="000711BB" w:rsidP="000711BB">
      <w:pPr>
        <w:pStyle w:val="NormalWeb"/>
        <w:shd w:val="clear" w:color="auto" w:fill="FFFFFF"/>
        <w:spacing w:after="0"/>
        <w:jc w:val="both"/>
        <w:textAlignment w:val="baseline"/>
        <w:rPr>
          <w:color w:val="000000"/>
        </w:rPr>
      </w:pPr>
      <w:r>
        <w:rPr>
          <w:color w:val="000000"/>
        </w:rPr>
        <w:t>Simultáneamente, EEUU</w:t>
      </w:r>
      <w:r w:rsidRPr="00F77D8A">
        <w:rPr>
          <w:color w:val="000000"/>
        </w:rPr>
        <w:t xml:space="preserve"> sufre una forma más suave de la austeridad fiscal que se ha impue</w:t>
      </w:r>
      <w:r>
        <w:rPr>
          <w:color w:val="000000"/>
        </w:rPr>
        <w:t>sto en Europa. De hecho, en EEUU</w:t>
      </w:r>
      <w:r w:rsidRPr="00F77D8A">
        <w:rPr>
          <w:color w:val="000000"/>
        </w:rPr>
        <w:t xml:space="preserve"> el sector público emplea a unas 500 000 </w:t>
      </w:r>
      <w:r w:rsidRPr="00F77D8A">
        <w:rPr>
          <w:color w:val="000000"/>
        </w:rPr>
        <w:lastRenderedPageBreak/>
        <w:t>personas menos que antes de la crisis. Con una expansión normal del empleo público desde 2008, tendríamos dos millones más.</w:t>
      </w:r>
    </w:p>
    <w:p w:rsidR="000711BB" w:rsidRPr="00215887" w:rsidRDefault="000711BB" w:rsidP="000711BB">
      <w:pPr>
        <w:pStyle w:val="NormalWeb"/>
        <w:shd w:val="clear" w:color="auto" w:fill="FFFFFF"/>
        <w:spacing w:after="0"/>
        <w:jc w:val="both"/>
        <w:textAlignment w:val="baseline"/>
        <w:rPr>
          <w:color w:val="000000"/>
          <w:u w:val="single"/>
        </w:rPr>
      </w:pPr>
      <w:r w:rsidRPr="00215887">
        <w:rPr>
          <w:color w:val="FF0000"/>
          <w:u w:val="single"/>
        </w:rPr>
        <w:t>Además,</w:t>
      </w:r>
      <w:r>
        <w:rPr>
          <w:color w:val="FF0000"/>
          <w:u w:val="single"/>
        </w:rPr>
        <w:t xml:space="preserve"> gran parte del mundo enfrenta -con dificultades-</w:t>
      </w:r>
      <w:r w:rsidRPr="00215887">
        <w:rPr>
          <w:color w:val="FF0000"/>
          <w:u w:val="single"/>
        </w:rPr>
        <w:t xml:space="preserve"> la necesidad de una transformación estructural: de la producción manufacturera a los servicios en Europa y América, y del crecimiento impulsado por las exportaciones a una economía impulsada por la demanda interna en China.</w:t>
      </w:r>
      <w:r w:rsidRPr="00F77D8A">
        <w:rPr>
          <w:color w:val="000000"/>
        </w:rPr>
        <w:t xml:space="preserve"> </w:t>
      </w:r>
      <w:r w:rsidRPr="00215887">
        <w:rPr>
          <w:color w:val="000000"/>
          <w:u w:val="single"/>
        </w:rPr>
        <w:t xml:space="preserve">De igual modo, la mayoría de las economías africanas y latinoamericanas basadas en los recursos naturales no lograron aprovechar el boom de los </w:t>
      </w:r>
      <w:r>
        <w:rPr>
          <w:color w:val="000000"/>
          <w:u w:val="single"/>
        </w:rPr>
        <w:t>precios de las materias primas -apuntalado por el ascenso chino-</w:t>
      </w:r>
      <w:r w:rsidRPr="00215887">
        <w:rPr>
          <w:color w:val="000000"/>
          <w:u w:val="single"/>
        </w:rPr>
        <w:t xml:space="preserve"> para crear economías diversificadas;</w:t>
      </w:r>
      <w:r w:rsidRPr="00F77D8A">
        <w:rPr>
          <w:color w:val="000000"/>
        </w:rPr>
        <w:t xml:space="preserve"> ahora enfrentan las consecuencias que implican los precios deprimidos de sus principales productos exportables. </w:t>
      </w:r>
      <w:r w:rsidRPr="00215887">
        <w:rPr>
          <w:color w:val="000000"/>
          <w:u w:val="single"/>
        </w:rPr>
        <w:t>Los mercados nunca fueron capaces de lograr esas transformaciones estructurales fácilmente por sí mismos.</w:t>
      </w:r>
    </w:p>
    <w:p w:rsidR="000711BB" w:rsidRPr="00215887" w:rsidRDefault="000711BB" w:rsidP="000711BB">
      <w:pPr>
        <w:pStyle w:val="NormalWeb"/>
        <w:shd w:val="clear" w:color="auto" w:fill="FFFFFF"/>
        <w:spacing w:after="0"/>
        <w:jc w:val="both"/>
        <w:textAlignment w:val="baseline"/>
        <w:rPr>
          <w:color w:val="FF0000"/>
          <w:u w:val="single"/>
        </w:rPr>
      </w:pPr>
      <w:r w:rsidRPr="00215887">
        <w:rPr>
          <w:color w:val="FF0000"/>
          <w:u w:val="single"/>
        </w:rPr>
        <w:t>Existen enormes necesidades mundiales insatisfechas, que podrían estimular el crecimiento. Tan solo la infraestructura podría absorber inversiones de billones de dólares, algo válido no solo para el mundo en vías de d</w:t>
      </w:r>
      <w:r>
        <w:rPr>
          <w:color w:val="FF0000"/>
          <w:u w:val="single"/>
        </w:rPr>
        <w:t>esarrollo, sino también para EE UU</w:t>
      </w:r>
      <w:r w:rsidRPr="00215887">
        <w:rPr>
          <w:color w:val="FF0000"/>
          <w:u w:val="single"/>
        </w:rPr>
        <w:t>, que ha subinvertido en su infraestructura básica durante décadas. Además, el mundo entero necesita modernizarse para enfrentar la realidad del calentamiento global.</w:t>
      </w:r>
    </w:p>
    <w:p w:rsidR="000711BB" w:rsidRPr="00215887" w:rsidRDefault="000711BB" w:rsidP="000711BB">
      <w:pPr>
        <w:pStyle w:val="NormalWeb"/>
        <w:shd w:val="clear" w:color="auto" w:fill="FFFFFF"/>
        <w:spacing w:after="0"/>
        <w:jc w:val="both"/>
        <w:textAlignment w:val="baseline"/>
        <w:rPr>
          <w:color w:val="000000"/>
          <w:u w:val="single"/>
        </w:rPr>
      </w:pPr>
      <w:r w:rsidRPr="00215887">
        <w:rPr>
          <w:color w:val="000000"/>
          <w:u w:val="single"/>
        </w:rPr>
        <w:t>Aunque nuestros bancos hayan recuperado razonablemente su salud, han demostrado que no están en condiciones de cumplir su propósito. Brillan en la explotación y la manipulación de los mercados, pero han fracasado en su función esencial de intermediación</w:t>
      </w:r>
      <w:r w:rsidRPr="00F77D8A">
        <w:rPr>
          <w:color w:val="000000"/>
        </w:rPr>
        <w:t xml:space="preserve">. Entre los ahorristas a largo plazo (como los fondos soberanos patrimoniales y quienes ahorran para su jubilación) y la inversión a largo plazo en infraestructura se interpone nuestro </w:t>
      </w:r>
      <w:r w:rsidRPr="00215887">
        <w:rPr>
          <w:color w:val="000000"/>
          <w:u w:val="single"/>
        </w:rPr>
        <w:t>miope y disfuncional sector financiero.</w:t>
      </w:r>
    </w:p>
    <w:p w:rsidR="000711BB" w:rsidRPr="00F77D8A" w:rsidRDefault="000711BB" w:rsidP="000711BB">
      <w:pPr>
        <w:pStyle w:val="NormalWeb"/>
        <w:shd w:val="clear" w:color="auto" w:fill="FFFFFF"/>
        <w:spacing w:after="0"/>
        <w:jc w:val="both"/>
        <w:textAlignment w:val="baseline"/>
        <w:rPr>
          <w:color w:val="000000"/>
        </w:rPr>
      </w:pPr>
      <w:r w:rsidRPr="00F77D8A">
        <w:rPr>
          <w:color w:val="000000"/>
        </w:rPr>
        <w:t>El expresidente de la Junta de la Reserva Federal estadounidense, Ben Bernanke, dijo al</w:t>
      </w:r>
      <w:r>
        <w:rPr>
          <w:color w:val="000000"/>
        </w:rPr>
        <w:t>guna vez que el mundo sufre un “exceso de ahorro”</w:t>
      </w:r>
      <w:r w:rsidRPr="00F77D8A">
        <w:rPr>
          <w:color w:val="000000"/>
        </w:rPr>
        <w:t>. Tal vez ese fuera el caso si el mejor uso para los ahorros del mundo fuera invertir en viviendas de baja calidad en el desierto de Nevada, pero en el mundo real hay escasez de fondos: incluso proyectos con elevada rentabilidad social a menudo no logran obtener financiamiento.</w:t>
      </w:r>
    </w:p>
    <w:p w:rsidR="000711BB" w:rsidRPr="00215887" w:rsidRDefault="000711BB" w:rsidP="000711BB">
      <w:pPr>
        <w:pStyle w:val="NormalWeb"/>
        <w:shd w:val="clear" w:color="auto" w:fill="FFFFFF"/>
        <w:spacing w:after="0"/>
        <w:jc w:val="both"/>
        <w:textAlignment w:val="baseline"/>
        <w:rPr>
          <w:color w:val="FF0000"/>
          <w:u w:val="single"/>
        </w:rPr>
      </w:pPr>
      <w:r w:rsidRPr="00215887">
        <w:rPr>
          <w:color w:val="FF0000"/>
          <w:u w:val="single"/>
        </w:rPr>
        <w:t>La única cura para el malestar del mundo es un aumento de la demanda agregada. Una amplia redistribución del ingreso ayudaría, al igual que una profunda reforma de nuestro sistema financiero (no solo para evitar que nos dañe a todos los demás, sino también para que los bancos y otras instituciones financieras hagan lo que deben: vincular los ahorros de largo plazo con las necesidades de inversión de largo plazo).</w:t>
      </w:r>
    </w:p>
    <w:p w:rsidR="000711BB" w:rsidRPr="00215887" w:rsidRDefault="000711BB" w:rsidP="000711BB">
      <w:pPr>
        <w:pStyle w:val="NormalWeb"/>
        <w:shd w:val="clear" w:color="auto" w:fill="FFFFFF"/>
        <w:spacing w:after="0"/>
        <w:jc w:val="both"/>
        <w:textAlignment w:val="baseline"/>
        <w:rPr>
          <w:color w:val="000000"/>
          <w:u w:val="single"/>
        </w:rPr>
      </w:pPr>
      <w:r w:rsidRPr="00215887">
        <w:rPr>
          <w:color w:val="000000"/>
          <w:u w:val="single"/>
        </w:rPr>
        <w:t>Pero algunos de los problemas más importantes del mundo requerirán de la inversión gubernamental. Esos gastos son necesarios en infraestructura, educación, tecnología, medioambiente y para agilizar las transformaciones estructurales necesarias en todos los rincones de la Tierra.</w:t>
      </w:r>
    </w:p>
    <w:p w:rsidR="000711BB" w:rsidRPr="00215887" w:rsidRDefault="000711BB" w:rsidP="000711BB">
      <w:pPr>
        <w:pStyle w:val="NormalWeb"/>
        <w:shd w:val="clear" w:color="auto" w:fill="FFFFFF"/>
        <w:spacing w:after="0"/>
        <w:jc w:val="both"/>
        <w:textAlignment w:val="baseline"/>
        <w:rPr>
          <w:color w:val="FF0000"/>
          <w:u w:val="single"/>
        </w:rPr>
      </w:pPr>
      <w:r w:rsidRPr="00215887">
        <w:rPr>
          <w:color w:val="FF0000"/>
          <w:u w:val="single"/>
        </w:rPr>
        <w:t>Los obstáculos que enfrenta la economía mundial no tienen un origen económico, sino político e ideológico. El sector privado creó la desigualdad y la degradación ambiental que ahora debemos enfrentar. Los mercados no serán capaces de solucionar ni estos ni otros problemas críticos que han creado, ni de restablecer la prosperidad por sí solos. Son necesarias políticas activas de gobierno.</w:t>
      </w:r>
    </w:p>
    <w:p w:rsidR="000711BB" w:rsidRPr="00F77D8A" w:rsidRDefault="000711BB" w:rsidP="000711BB">
      <w:pPr>
        <w:pStyle w:val="NormalWeb"/>
        <w:shd w:val="clear" w:color="auto" w:fill="FFFFFF"/>
        <w:spacing w:after="0"/>
        <w:jc w:val="both"/>
        <w:textAlignment w:val="baseline"/>
        <w:rPr>
          <w:color w:val="000000"/>
        </w:rPr>
      </w:pPr>
      <w:r w:rsidRPr="00215887">
        <w:rPr>
          <w:color w:val="FF0000"/>
          <w:u w:val="single"/>
        </w:rPr>
        <w:lastRenderedPageBreak/>
        <w:t>Eso implica superar el fetichismo del déficit</w:t>
      </w:r>
      <w:r w:rsidRPr="00F77D8A">
        <w:rPr>
          <w:color w:val="000000"/>
        </w:rPr>
        <w:t>. Ti</w:t>
      </w:r>
      <w:r>
        <w:rPr>
          <w:color w:val="000000"/>
        </w:rPr>
        <w:t>ene sentido que países como EEUU</w:t>
      </w:r>
      <w:r w:rsidRPr="00F77D8A">
        <w:rPr>
          <w:color w:val="000000"/>
        </w:rPr>
        <w:t xml:space="preserve"> y Alemania, que pueden endeudarse a tasas reales de interés negativas a largo plazo, lo hagan para llevar a cabo las inversiones necesarias. Del mismo modo, en la mayoría de los demás países, las tasas de rentabilidad de la inversión pública superan por mucho el costo de los fondos. Para los países que experimentan limitaciones al endeudamiento, existe una solución basada en un principio de larga data, el multiplicador del presupuesto equilibrado: un aumento del gasto gubernamental y una suba de impuestos equivalente estimula la economía. Des</w:t>
      </w:r>
      <w:r>
        <w:rPr>
          <w:color w:val="000000"/>
        </w:rPr>
        <w:t>afortunadamente, muchos países -Francia incluida-</w:t>
      </w:r>
      <w:r w:rsidRPr="00F77D8A">
        <w:rPr>
          <w:color w:val="000000"/>
        </w:rPr>
        <w:t xml:space="preserve"> están llevando a cabo contracciones del presupuesto equilibrado.</w:t>
      </w:r>
    </w:p>
    <w:p w:rsidR="000711BB" w:rsidRPr="00215887" w:rsidRDefault="000711BB" w:rsidP="000711BB">
      <w:pPr>
        <w:pStyle w:val="NormalWeb"/>
        <w:shd w:val="clear" w:color="auto" w:fill="FFFFFF"/>
        <w:spacing w:after="0"/>
        <w:jc w:val="both"/>
        <w:textAlignment w:val="baseline"/>
        <w:rPr>
          <w:color w:val="FF0000"/>
          <w:u w:val="single"/>
        </w:rPr>
      </w:pPr>
      <w:r w:rsidRPr="00215887">
        <w:rPr>
          <w:color w:val="FF0000"/>
          <w:u w:val="single"/>
        </w:rPr>
        <w:t>Los optimistas dicen que 2016 será mejor que 2015. Tal vez resulte cierto, pero solo de manera imperceptible. A menos que nos ocupemos el problema de la insuficiencia en la demanda agregada, el Gran Malestar continuará.</w:t>
      </w:r>
    </w:p>
    <w:p w:rsidR="000711BB" w:rsidRPr="00F77D8A" w:rsidRDefault="000711BB" w:rsidP="000711BB">
      <w:pPr>
        <w:pStyle w:val="NormalWeb"/>
        <w:shd w:val="clear" w:color="auto" w:fill="FFFFFF"/>
        <w:spacing w:after="0"/>
        <w:jc w:val="both"/>
        <w:textAlignment w:val="baseline"/>
        <w:rPr>
          <w:color w:val="000000"/>
          <w:lang w:val="en-US"/>
        </w:rPr>
      </w:pPr>
      <w:r>
        <w:rPr>
          <w:color w:val="000000"/>
          <w:lang w:val="en-US"/>
        </w:rPr>
        <w:t>(</w:t>
      </w:r>
      <w:r w:rsidRPr="00F77D8A">
        <w:rPr>
          <w:color w:val="000000"/>
          <w:lang w:val="en-US"/>
        </w:rPr>
        <w:t>Joseph E. Stiglitz, a Nobel laureate in economics and University Professor at Columbia University, was Chairman of President Bill Clinton’s Council of Economic Advisers and served as Senior Vice President and Ch</w:t>
      </w:r>
      <w:r w:rsidR="00804FAA">
        <w:rPr>
          <w:color w:val="000000"/>
          <w:lang w:val="en-US"/>
        </w:rPr>
        <w:t>ief Economist of the World Bank)</w:t>
      </w:r>
      <w:r w:rsidRPr="00F77D8A">
        <w:rPr>
          <w:color w:val="000000"/>
          <w:lang w:val="en-US"/>
        </w:rPr>
        <w:t xml:space="preserve"> </w:t>
      </w:r>
    </w:p>
    <w:p w:rsidR="000711BB" w:rsidRPr="001E045D"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045D">
        <w:rPr>
          <w:rFonts w:ascii="Times New Roman" w:hAnsi="Times New Roman" w:cs="Times New Roman"/>
          <w:sz w:val="24"/>
          <w:szCs w:val="24"/>
          <w:u w:val="single"/>
        </w:rPr>
        <w:t>La América media se está suicidando</w:t>
      </w:r>
      <w:r>
        <w:rPr>
          <w:rFonts w:ascii="Times New Roman" w:hAnsi="Times New Roman" w:cs="Times New Roman"/>
          <w:sz w:val="24"/>
          <w:szCs w:val="24"/>
        </w:rPr>
        <w:t xml:space="preserve"> (El Confidencial - </w:t>
      </w:r>
      <w:r>
        <w:rPr>
          <w:rFonts w:ascii="Times New Roman" w:hAnsi="Times New Roman" w:cs="Times New Roman"/>
          <w:b/>
          <w:sz w:val="24"/>
          <w:szCs w:val="24"/>
        </w:rPr>
        <w:t>4</w:t>
      </w:r>
      <w:r w:rsidRPr="001E045D">
        <w:rPr>
          <w:rFonts w:ascii="Times New Roman" w:hAnsi="Times New Roman" w:cs="Times New Roman"/>
          <w:b/>
          <w:sz w:val="24"/>
          <w:szCs w:val="24"/>
        </w:rPr>
        <w:t>/1/16</w:t>
      </w:r>
      <w:r>
        <w:rPr>
          <w:rFonts w:ascii="Times New Roman" w:hAnsi="Times New Roman" w:cs="Times New Roman"/>
          <w:sz w:val="24"/>
          <w:szCs w:val="24"/>
        </w:rPr>
        <w:t>)</w:t>
      </w:r>
    </w:p>
    <w:p w:rsidR="000711BB"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(Por Fareed Zakaria)</w:t>
      </w:r>
    </w:p>
    <w:p w:rsidR="000711BB" w:rsidRPr="001E045D" w:rsidRDefault="000711BB" w:rsidP="000711BB">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¿Por qué la América media se está suicidando? Este hecho en sí es probablemente el mayor descubrimiento en ciencias sociales en años. Ya está remodelando la política estado</w:t>
      </w:r>
      <w:r>
        <w:rPr>
          <w:rFonts w:ascii="Times New Roman" w:hAnsi="Times New Roman" w:cs="Times New Roman"/>
          <w:sz w:val="24"/>
          <w:szCs w:val="24"/>
        </w:rPr>
        <w:t>unidense. Jeff Guo, del “Washington Post”</w:t>
      </w:r>
      <w:r w:rsidRPr="001E045D">
        <w:rPr>
          <w:rFonts w:ascii="Times New Roman" w:hAnsi="Times New Roman" w:cs="Times New Roman"/>
          <w:sz w:val="24"/>
          <w:szCs w:val="24"/>
        </w:rPr>
        <w:t>, indica que la gente que compone esta cohorte son “en gran parte responsables de que Donald Trump vaya el primero en la carrera por la nominación republicana para presidente”. La pregunta clave es por qué, y al explorarla, encontramos respuestas que sugieren que la rabia que domina la política americana va a empeorar.</w:t>
      </w:r>
    </w:p>
    <w:p w:rsidR="000711BB" w:rsidRPr="001E045D" w:rsidRDefault="000711BB" w:rsidP="000711BB">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 xml:space="preserve">Durante décadas, la gente de los países ricos ha vivido vidas más largas. Pero en un artículo académico ahora famoso, los economistas Angus Deaton y Anne Case indican que a lo largo de los últimos 25 años, un grupo -los blancos de mediana edad en América- </w:t>
      </w:r>
      <w:r w:rsidR="00BE04EF" w:rsidRPr="001E045D">
        <w:rPr>
          <w:rFonts w:ascii="Times New Roman" w:hAnsi="Times New Roman" w:cs="Times New Roman"/>
          <w:sz w:val="24"/>
          <w:szCs w:val="24"/>
        </w:rPr>
        <w:t>constituye</w:t>
      </w:r>
      <w:r w:rsidRPr="001E045D">
        <w:rPr>
          <w:rFonts w:ascii="Times New Roman" w:hAnsi="Times New Roman" w:cs="Times New Roman"/>
          <w:sz w:val="24"/>
          <w:szCs w:val="24"/>
        </w:rPr>
        <w:t xml:space="preserve"> una tendencia alarmante. Están muriendo en cifras récord. Y las cosas son mucho peor para aquellos con solo un diploma de instituto de educación secundaria o inferior. Hay algunas dudas sobre estos cálculos, pero incluso el principal crítico del artículo reconoce que, se mida como se mida, “el cambio, comparado con otros países y grupos, es enorme”.</w:t>
      </w:r>
    </w:p>
    <w:p w:rsidR="000711BB" w:rsidRPr="001E045D" w:rsidRDefault="000711BB" w:rsidP="000711BB">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Las principales causas de muerte son tan chocantes como el propio hecho: suicidio, alcoholismo y sobredosis de prescripciones y drogas ilegales. “La gente parece estar suicidándose, lenta o rápidamente”, me dijo Deaton. Estas circunstancias están causadas habitualmente por el estrés, la depresión y la desesperación. El único aumento comparable en muertes en un país industrializado tuvo lugar entre los rusos varones tras el colapso de la Unión Soviética, cuando las tasas de alcoholismo se dispararon.</w:t>
      </w:r>
    </w:p>
    <w:p w:rsidR="000711BB" w:rsidRPr="001E045D" w:rsidRDefault="000711BB" w:rsidP="000711BB">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 xml:space="preserve">Una explicación convencional para este estrés y ansiedad de la clase media es que la globalización y el cambio tecnológico han incrementado las presiones sobre el trabajador medio en una nación industrializada. Pero esta tendencia está ausente en cualquier otro país occidental, es un fenómeno exclusivamente americano. Y los Estados Unidos están en realidad relativamente aislados de las presiones de la globalización, al tener un mercado interno amplio y autosuficiente. El comercio solo </w:t>
      </w:r>
      <w:r w:rsidRPr="001E045D">
        <w:rPr>
          <w:rFonts w:ascii="Times New Roman" w:hAnsi="Times New Roman" w:cs="Times New Roman"/>
          <w:sz w:val="24"/>
          <w:szCs w:val="24"/>
        </w:rPr>
        <w:lastRenderedPageBreak/>
        <w:t>supone el 23% de la economía estadounidense, comparado con el 71% en Alemania y el 45% en Francia.</w:t>
      </w:r>
    </w:p>
    <w:p w:rsidR="000711BB" w:rsidRPr="001E045D" w:rsidRDefault="000711BB" w:rsidP="000711BB">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Daton especuló para mí que tal vez el Estado de bienestar en Europa puede reducir algunos de los miedos asociados con un cambio rápido. Cree que en América, los doctores y las compañías farmacéuticas son demasiado proclives a lidiar con el dolor físico y psicológico prescribiendo drogas, incluyendo poderosos y adictivos opiáceos. La introducción de drogas como el OxyContin, un calmante similar a la heroína, coincide con el inicio del auge de las tasas de muertes.</w:t>
      </w:r>
    </w:p>
    <w:p w:rsidR="000711BB" w:rsidRPr="001E045D" w:rsidRDefault="000711BB" w:rsidP="000711BB">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¿Por qué solo blancos?</w:t>
      </w:r>
    </w:p>
    <w:p w:rsidR="000711BB" w:rsidRPr="001E045D" w:rsidRDefault="000711BB" w:rsidP="000711BB">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Pero ¿qué explica el hecho de que no vemos esta tendencia en otros grupos étnicos estadounidenses? Mientras las tasas de mortalidad entre blancos de mediana edad se han mantenido estables o han aumentado, las tasas para hispanos y negros han continuado declinando de forma significativa. Estos grupos viven en el mismo país y se enfrentan a mayores presiones económicas que los blancos. ¿Por qué no están igual de desesperados?</w:t>
      </w:r>
    </w:p>
    <w:p w:rsidR="000711BB" w:rsidRPr="001E045D" w:rsidRDefault="000711BB" w:rsidP="000711BB">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La respuesta puede estar en las expectativas. La antropóloga de Princeton Carolyn Rouse me sugirió, por correo electrónico, que otros grupos pueden no tener las mismas expectativas de que sus ingresos, estándares de vida y estatus social estén destinados a mejorar de forma estable con el tiempo. No tienen la misma confianza en que si trabajan duro, sin duda saldrán adelante. De hecho, Rouse dice que tras cientos de años de esclavitud, segregación y racismo, los negros han desarrollado formas de afrontar la decepción y las injusticias de la vida: la familia, el arte, el discurso de protesta y, sobre todo, la religión.</w:t>
      </w:r>
    </w:p>
    <w:p w:rsidR="000711BB" w:rsidRPr="001E045D" w:rsidRDefault="000711BB" w:rsidP="000711BB">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“Habéis sido los veteranos del sufrimiento creativo”, dijo Martin Luther King a los afroamericanos en su discurso 'Tengo un sueño' de 1963: “Seguid trabajando con la fe de que el sufrimiento inmerecido es redentor”. Escribiendo en 1960, King explicó el asunto en términos personales: “A medida que mis sufrimientos aumentaban, me di cuenta rápidamente de que había dos formas en las que podía responder a mi situación: o reaccionar con amargura o buscar transformar el sufrimiento en una fuerza creativa… Así que, como el apóstol Pablo, puedo decir ahora humilde pero orgullosamente: 'Llevo en mi cuerpo las cicatrices de Jesús Nuestro Señor”.</w:t>
      </w:r>
    </w:p>
    <w:p w:rsidR="000711BB" w:rsidRPr="001E045D" w:rsidRDefault="000711BB" w:rsidP="000711BB">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La experiencia hispana e inmigrante en América es diferente, naturalmente. Pero de nuevo, pocos de estos grupos creen que su lugar en la sociedad esté asegurado. Las minorías, por definición, están al margen. No asumen que el sistema haya sido establecido para ellos. Lo intentan con todas sus fuerzas y esperan tener éxito, pero no lo esperan como algo por norma.</w:t>
      </w:r>
    </w:p>
    <w:p w:rsidR="000711BB" w:rsidRDefault="000711BB" w:rsidP="000711BB">
      <w:pPr>
        <w:spacing w:line="240" w:lineRule="auto"/>
        <w:jc w:val="both"/>
        <w:rPr>
          <w:rFonts w:ascii="Times New Roman" w:hAnsi="Times New Roman" w:cs="Times New Roman"/>
          <w:sz w:val="24"/>
          <w:szCs w:val="24"/>
        </w:rPr>
      </w:pPr>
      <w:r w:rsidRPr="001E045D">
        <w:rPr>
          <w:rFonts w:ascii="Times New Roman" w:hAnsi="Times New Roman" w:cs="Times New Roman"/>
          <w:sz w:val="24"/>
          <w:szCs w:val="24"/>
        </w:rPr>
        <w:t>América está experimentando un gran cambio de poder. Los blancos de clase trabajadora no se ven a sí mismos como una élite. Pero, en cierto sentido, lo eran, indudablemente comparados con los negros, hispanos, nativos americanos y la mayoría de los inmigrantes. Eran el centro de la economía de América, su sociedad, y de hecho su propia identidad. Ya no lo son. Donald Trump ha prometido que va a cambiar esto y les hará ganar de nuevo. Pero no puede. Nadie puede. Y en el fondo de su ser, lo saben.</w:t>
      </w:r>
    </w:p>
    <w:p w:rsidR="00804FAA" w:rsidRDefault="00804FAA" w:rsidP="000711BB">
      <w:pPr>
        <w:spacing w:line="240" w:lineRule="auto"/>
        <w:jc w:val="both"/>
        <w:rPr>
          <w:rFonts w:ascii="Times New Roman" w:hAnsi="Times New Roman" w:cs="Times New Roman"/>
          <w:sz w:val="24"/>
          <w:szCs w:val="24"/>
        </w:rPr>
      </w:pPr>
    </w:p>
    <w:p w:rsidR="000711BB" w:rsidRPr="007B46BE" w:rsidRDefault="000711BB" w:rsidP="000711BB">
      <w:pPr>
        <w:pStyle w:val="NormalWeb"/>
        <w:spacing w:after="0"/>
        <w:jc w:val="both"/>
        <w:rPr>
          <w:color w:val="000000"/>
        </w:rPr>
      </w:pPr>
      <w:r>
        <w:rPr>
          <w:color w:val="000000"/>
        </w:rPr>
        <w:lastRenderedPageBreak/>
        <w:t xml:space="preserve">- </w:t>
      </w:r>
      <w:r w:rsidRPr="007B46BE">
        <w:rPr>
          <w:color w:val="000000"/>
          <w:u w:val="single"/>
        </w:rPr>
        <w:t>Los dolores de trabajo de parto de la economía mundial</w:t>
      </w:r>
      <w:r>
        <w:rPr>
          <w:color w:val="000000"/>
        </w:rPr>
        <w:t xml:space="preserve"> (Project Syndicate - </w:t>
      </w:r>
      <w:r w:rsidRPr="007B46BE">
        <w:rPr>
          <w:b/>
          <w:color w:val="000000"/>
        </w:rPr>
        <w:t>4/1/16</w:t>
      </w:r>
      <w:r>
        <w:rPr>
          <w:color w:val="000000"/>
        </w:rPr>
        <w:t>)</w:t>
      </w:r>
    </w:p>
    <w:p w:rsidR="000711BB" w:rsidRPr="0099740B" w:rsidRDefault="000711BB" w:rsidP="000711BB">
      <w:pPr>
        <w:pStyle w:val="NormalWeb"/>
        <w:spacing w:after="0"/>
        <w:jc w:val="both"/>
        <w:rPr>
          <w:color w:val="FF0000"/>
          <w:u w:val="single"/>
        </w:rPr>
      </w:pPr>
      <w:r>
        <w:rPr>
          <w:color w:val="000000"/>
        </w:rPr>
        <w:t>Washington, DC.-</w:t>
      </w:r>
      <w:r w:rsidRPr="007B46BE">
        <w:rPr>
          <w:color w:val="000000"/>
        </w:rPr>
        <w:t xml:space="preserve"> </w:t>
      </w:r>
      <w:r w:rsidRPr="0099740B">
        <w:rPr>
          <w:color w:val="FF0000"/>
          <w:u w:val="single"/>
        </w:rPr>
        <w:t>La desaceleración económica mundial, que comenzó en el año 2008 con la crisis financiera en Estados Unidos, podría establecer un nuevo récord de capacidad de resistencia. Lo cierto es que si se toma en cuenta el estancamiento del crecimiento en Japón y la desaceleración en China, además del hecho de que Rusia se encuentra en una profunda crisis y la eurozona aún apenas está recuperándose de la propia, se puede afirmar que la economía mundial todavía no está fuera de peligro.</w:t>
      </w:r>
    </w:p>
    <w:p w:rsidR="000711BB" w:rsidRPr="007B46BE" w:rsidRDefault="000711BB" w:rsidP="000711BB">
      <w:pPr>
        <w:pStyle w:val="NormalWeb"/>
        <w:spacing w:after="0"/>
        <w:jc w:val="both"/>
        <w:rPr>
          <w:color w:val="000000"/>
        </w:rPr>
      </w:pPr>
      <w:r w:rsidRPr="0099740B">
        <w:rPr>
          <w:color w:val="000000"/>
          <w:u w:val="single"/>
        </w:rPr>
        <w:t>Esta “recesión persistente”, así como también algunos de los conflictos políticos del mundo, son manifestaciones de un desplazamiento profundo en la economía mundial – un desplazamiento que es impulsado por dos tipos de innovaciones: el ahorro en la mano de obra y la vinculación de la mano de obra</w:t>
      </w:r>
      <w:r w:rsidRPr="007B46BE">
        <w:rPr>
          <w:color w:val="000000"/>
        </w:rPr>
        <w:t>.</w:t>
      </w:r>
    </w:p>
    <w:p w:rsidR="000711BB" w:rsidRPr="0099740B" w:rsidRDefault="000711BB" w:rsidP="000711BB">
      <w:pPr>
        <w:pStyle w:val="NormalWeb"/>
        <w:spacing w:after="0"/>
        <w:jc w:val="both"/>
        <w:rPr>
          <w:color w:val="000000"/>
          <w:u w:val="single"/>
        </w:rPr>
      </w:pPr>
      <w:r w:rsidRPr="0099740B">
        <w:rPr>
          <w:color w:val="000000"/>
          <w:u w:val="single"/>
        </w:rPr>
        <w:t>Aunque la innovación relativa al ahorro en mano de obra ha estado entre nosotros ya durante mucho tiempo, el ritmo se ha acelerado. Las ventas mundiales de robots industriales, por ejemplo, llegaron a 225.000 en el 2014, lo que representa un aumento interanual del 27%. Más transformativo, sin embargo, es el incremento de la tecnología de “vinculación de la mano de obra”: innovaciones digitales a lo largo de las últimas tres décadas permiten que en la actualidad las personas trabajen para empleadores y empresas ubicadas en distintos países, sin tener que emigrar.</w:t>
      </w:r>
    </w:p>
    <w:p w:rsidR="000711BB" w:rsidRPr="0099740B" w:rsidRDefault="000711BB" w:rsidP="000711BB">
      <w:pPr>
        <w:pStyle w:val="NormalWeb"/>
        <w:spacing w:after="0"/>
        <w:jc w:val="both"/>
        <w:rPr>
          <w:color w:val="FF0000"/>
          <w:u w:val="single"/>
        </w:rPr>
      </w:pPr>
      <w:r w:rsidRPr="0099740B">
        <w:rPr>
          <w:color w:val="FF0000"/>
          <w:u w:val="single"/>
        </w:rPr>
        <w:t>Estos cambios son capturados por una tendencia estadística notable en los países de altos y medianos ingresos. Los ingresos laborales totales expresados como porcentaje del PIB están disminuyendo en todos los ámbitos y a tasas raramente vistas. Desde el 1975 al 2015, el ingreso laboral se redu</w:t>
      </w:r>
      <w:r>
        <w:rPr>
          <w:color w:val="FF0000"/>
          <w:u w:val="single"/>
        </w:rPr>
        <w:t>jo del 61% al 57% del PIB en EEUU</w:t>
      </w:r>
      <w:r w:rsidRPr="0099740B">
        <w:rPr>
          <w:color w:val="FF0000"/>
          <w:u w:val="single"/>
        </w:rPr>
        <w:t>; del 66% al 54% en Australia; del 61% al 55% en Canadá; del 77% al 60% en el Japón; y del 43% al 34% en Turquía.</w:t>
      </w:r>
    </w:p>
    <w:p w:rsidR="000711BB" w:rsidRPr="0099740B" w:rsidRDefault="000711BB" w:rsidP="000711BB">
      <w:pPr>
        <w:pStyle w:val="NormalWeb"/>
        <w:spacing w:after="0"/>
        <w:jc w:val="both"/>
        <w:rPr>
          <w:color w:val="000000"/>
          <w:u w:val="single"/>
        </w:rPr>
      </w:pPr>
      <w:r w:rsidRPr="007B46BE">
        <w:rPr>
          <w:color w:val="000000"/>
        </w:rPr>
        <w:t xml:space="preserve">En el caso de las economías emergentes, el desafío que representa la innovación relativa al ahorro en la mano de obra se mitiga en el mediano plazo por las tecnologías de vinculación de la mano de obra. </w:t>
      </w:r>
      <w:r w:rsidRPr="0099740B">
        <w:rPr>
          <w:color w:val="000000"/>
          <w:u w:val="single"/>
        </w:rPr>
        <w:t>Las economías emergentes con mano de obra barata que tienen la capacidad para organizarse lo suficientemente bien como para proporcionar infraestructura y seguridad básicas, se pueden beneficiar mucho de este cambio estructural mundial.</w:t>
      </w:r>
    </w:p>
    <w:p w:rsidR="000711BB" w:rsidRPr="0099740B" w:rsidRDefault="000711BB" w:rsidP="000711BB">
      <w:pPr>
        <w:pStyle w:val="NormalWeb"/>
        <w:spacing w:after="0"/>
        <w:jc w:val="both"/>
        <w:rPr>
          <w:color w:val="FF0000"/>
          <w:u w:val="single"/>
        </w:rPr>
      </w:pPr>
      <w:r w:rsidRPr="007B46BE">
        <w:rPr>
          <w:color w:val="000000"/>
        </w:rPr>
        <w:t xml:space="preserve">Podemos observar esto en las cifras. </w:t>
      </w:r>
      <w:r w:rsidRPr="0099740B">
        <w:rPr>
          <w:color w:val="FF0000"/>
          <w:u w:val="single"/>
        </w:rPr>
        <w:t>En el año 1990, sólo el 5% de las empresas listadas como “Fortune 500” provenían de las economías emergentes; ahora el 26% provienen de dichas economías.</w:t>
      </w:r>
    </w:p>
    <w:p w:rsidR="000711BB" w:rsidRPr="0099740B" w:rsidRDefault="000711BB" w:rsidP="000711BB">
      <w:pPr>
        <w:pStyle w:val="NormalWeb"/>
        <w:spacing w:after="0"/>
        <w:jc w:val="both"/>
        <w:rPr>
          <w:color w:val="000000"/>
          <w:u w:val="single"/>
        </w:rPr>
      </w:pPr>
      <w:r w:rsidRPr="0099740B">
        <w:rPr>
          <w:color w:val="000000"/>
          <w:u w:val="single"/>
        </w:rPr>
        <w:t xml:space="preserve">Las corporaciones chinas ocupan un lugar destacado en la lista. El sector de tecnología de la información de la India ha despegado desde la década de 1990, elevando la tasa de crecimiento de toda la economía de este país. A Petronas de Malasia, empresa que fue fundada el año 1974 y que al presente tiene actividades empresariales en 35 países, se la describe ahora como una </w:t>
      </w:r>
      <w:r>
        <w:rPr>
          <w:color w:val="000000"/>
          <w:u w:val="single"/>
        </w:rPr>
        <w:t>de las nuevas “siete hermanas” -</w:t>
      </w:r>
      <w:r w:rsidRPr="0099740B">
        <w:rPr>
          <w:color w:val="000000"/>
          <w:u w:val="single"/>
        </w:rPr>
        <w:t xml:space="preserve"> es decir, una de las empresas de energía que dominan el mercado mundial.</w:t>
      </w:r>
    </w:p>
    <w:p w:rsidR="000711BB" w:rsidRPr="007B46BE" w:rsidRDefault="000711BB" w:rsidP="000711BB">
      <w:pPr>
        <w:pStyle w:val="NormalWeb"/>
        <w:spacing w:after="0"/>
        <w:jc w:val="both"/>
        <w:rPr>
          <w:color w:val="000000"/>
        </w:rPr>
      </w:pPr>
      <w:r w:rsidRPr="0099740B">
        <w:rPr>
          <w:color w:val="000000"/>
          <w:u w:val="single"/>
        </w:rPr>
        <w:t>Con seguridad, varias economías emergentes se ven asediadas por la corrupción y la caída de precios de las materias primas</w:t>
      </w:r>
      <w:r w:rsidRPr="007B46BE">
        <w:rPr>
          <w:color w:val="000000"/>
        </w:rPr>
        <w:t xml:space="preserve">; Brasil, donde se espera una contracción del PIB de alrededor del 3% en el año 2015, es un buen ejemplo. Sin embargo, los únicos países </w:t>
      </w:r>
      <w:r w:rsidRPr="007B46BE">
        <w:rPr>
          <w:color w:val="000000"/>
        </w:rPr>
        <w:lastRenderedPageBreak/>
        <w:t>que registran altas tasas de crecimiento anual del PIB son economías emergentes, incluyéndose entre ellas a Vietnam (6,5%), la India, China, Bangladesh y Ruanda (con crecimientos que rondan el 7%) y Etiopía (más del 9%).</w:t>
      </w:r>
    </w:p>
    <w:p w:rsidR="000711BB" w:rsidRPr="007B46BE" w:rsidRDefault="000711BB" w:rsidP="000711BB">
      <w:pPr>
        <w:pStyle w:val="NormalWeb"/>
        <w:spacing w:after="0"/>
        <w:jc w:val="both"/>
        <w:rPr>
          <w:color w:val="000000"/>
        </w:rPr>
      </w:pPr>
      <w:r w:rsidRPr="0099740B">
        <w:rPr>
          <w:color w:val="000000"/>
          <w:u w:val="single"/>
        </w:rPr>
        <w:t>Lo que es probable que veamos en el año 2016, y también posteriormente, es un rendimiento dispar, con economías emergentes que son capaces de adaptarse al nuevo mundo que se vislumbra</w:t>
      </w:r>
      <w:r w:rsidRPr="007B46BE">
        <w:rPr>
          <w:color w:val="000000"/>
        </w:rPr>
        <w:t>. Incluso mientras esto ocurra, los países de altos y medianos ingresos estarán bajo presión, ya que sus trabajadores competirán por puestos de trabajo en el mercado laboral globalizado. Sus disparidades de ingresos tenderán a subir, al igual que la frecuencia e intensidad de los conflictos políticos. Responder a este escenario bloqueando la contratación externa de trabajadores, tal como algunos políticos proponen, sería un error, ya que los mayores costos de producción de dichos países causarían que sean superados en los mercados globales.</w:t>
      </w:r>
    </w:p>
    <w:p w:rsidR="000711BB" w:rsidRPr="0099740B" w:rsidRDefault="000711BB" w:rsidP="000711BB">
      <w:pPr>
        <w:pStyle w:val="NormalWeb"/>
        <w:spacing w:after="0"/>
        <w:jc w:val="both"/>
        <w:rPr>
          <w:color w:val="FF0000"/>
          <w:u w:val="single"/>
        </w:rPr>
      </w:pPr>
      <w:r w:rsidRPr="0099740B">
        <w:rPr>
          <w:color w:val="FF0000"/>
          <w:u w:val="single"/>
        </w:rPr>
        <w:t xml:space="preserve">A medida que continúe la marcha de la tecnología, estas tensiones con el pasar del tiempo se extenderán a todo el mundo, exacerbando </w:t>
      </w:r>
      <w:r>
        <w:rPr>
          <w:color w:val="FF0000"/>
          <w:u w:val="single"/>
        </w:rPr>
        <w:t>la desigualdad a nivel mundial -</w:t>
      </w:r>
      <w:r w:rsidRPr="0099740B">
        <w:rPr>
          <w:color w:val="FF0000"/>
          <w:u w:val="single"/>
        </w:rPr>
        <w:t xml:space="preserve"> misma que ya se encuentra en </w:t>
      </w:r>
      <w:r>
        <w:rPr>
          <w:color w:val="FF0000"/>
          <w:u w:val="single"/>
        </w:rPr>
        <w:t>niveles intolerablemente altos -</w:t>
      </w:r>
      <w:r w:rsidRPr="0099740B">
        <w:rPr>
          <w:color w:val="FF0000"/>
          <w:u w:val="single"/>
        </w:rPr>
        <w:t xml:space="preserve"> mientras que simultáneamente las ganancias de los trabajadores disminuyan. Tan pronto como esto suceda, el desafío será garantizar que todo el crecimiento de los ingresos no termine en manos de los dueños de las máquinas y de las acciones.</w:t>
      </w:r>
    </w:p>
    <w:p w:rsidR="000711BB" w:rsidRPr="007B46BE" w:rsidRDefault="000711BB" w:rsidP="000711BB">
      <w:pPr>
        <w:pStyle w:val="NormalWeb"/>
        <w:spacing w:after="0"/>
        <w:jc w:val="both"/>
        <w:rPr>
          <w:color w:val="000000"/>
        </w:rPr>
      </w:pPr>
      <w:r w:rsidRPr="007B46BE">
        <w:rPr>
          <w:color w:val="000000"/>
        </w:rPr>
        <w:t>Este es un desafío comparable al que el Reino Unido confrontó durante la Revolución Industrial a principios del siglo XIX. Hasta entonces, el trabajo infantil estaba fuera de control y era visto como algo normal; los trabajadores trabajaban rutinariamente durante 14 o más horas por día, y los conservadores argumentaban que el trabajo continuo ayudaba a fortalecer el carácter (no hace falta decir que se referían al carácter de otras personas). El activismo de grupos progresistas, los escritos de los intelectuales, y el enorme esfuerzo invertido en la elaboración de las Leyes Fabriles restringieron estas prácticas aberrantes, permitiendo que el Reino Unido evite el desastre y se convierta en un centro neurálgico de crecimiento y desarrollo.</w:t>
      </w:r>
    </w:p>
    <w:p w:rsidR="000711BB" w:rsidRPr="007B46BE" w:rsidRDefault="000711BB" w:rsidP="000711BB">
      <w:pPr>
        <w:pStyle w:val="NormalWeb"/>
        <w:spacing w:after="0"/>
        <w:jc w:val="both"/>
        <w:rPr>
          <w:color w:val="000000"/>
        </w:rPr>
      </w:pPr>
      <w:r w:rsidRPr="007B46BE">
        <w:rPr>
          <w:color w:val="000000"/>
        </w:rPr>
        <w:t>Se puede observar en documentos cuán drásticamente ha cambiado nuestra forma de pensar. En el año 1741, al promocionar su nueva máquina de hilar, John Wyatt señaló la forma cómo su innovación permitiría que los dueños de las fábricas sustituyan a 30 trabajadores adultos con “diez personas enfermas o con niños”. El fiscal general que concedió la patente fue más allá, señalando que “incluso niños de cinco o seis años de edad” podrían operar esta máquina.</w:t>
      </w:r>
    </w:p>
    <w:p w:rsidR="000711BB" w:rsidRPr="0099740B" w:rsidRDefault="000711BB" w:rsidP="000711BB">
      <w:pPr>
        <w:pStyle w:val="NormalWeb"/>
        <w:spacing w:after="0"/>
        <w:jc w:val="both"/>
        <w:rPr>
          <w:color w:val="000000"/>
          <w:u w:val="single"/>
        </w:rPr>
      </w:pPr>
      <w:r w:rsidRPr="0099740B">
        <w:rPr>
          <w:color w:val="000000"/>
          <w:u w:val="single"/>
        </w:rPr>
        <w:t>Ha llegado el momento para una nueva ronda de reformas intelectuales y políticas. Una de las grandes injusticias de nuestro mundo es el hecho de que el grueso de la desigualdad humana se produce en el momento del nacimiento, ya que hay niños que nacen en hogares indigentes y  enfrentan desnutrición y retraso del crecimiento desde el principio, mientras que un número pequeño de niños viene al mundo como herederos de grandes cantidades de riquezas e ingresos acumulados. A medida que los ingresos laborales se restringen, esta disparidad se ampliará, causando una variedad de crisis económicas y políticas.</w:t>
      </w:r>
    </w:p>
    <w:p w:rsidR="000711BB" w:rsidRPr="0099740B" w:rsidRDefault="000711BB" w:rsidP="000711BB">
      <w:pPr>
        <w:pStyle w:val="NormalWeb"/>
        <w:spacing w:after="0"/>
        <w:jc w:val="both"/>
        <w:rPr>
          <w:color w:val="000000"/>
          <w:u w:val="single"/>
        </w:rPr>
      </w:pPr>
      <w:r w:rsidRPr="0099740B">
        <w:rPr>
          <w:color w:val="000000"/>
          <w:u w:val="single"/>
        </w:rPr>
        <w:t xml:space="preserve">Alejarse de este rumbo requerirá, sobre todo, un mayor esfuerzo para expandir la educación, desarrollar habilidades y proporcionar asistencia médica universal. Se </w:t>
      </w:r>
      <w:r w:rsidRPr="0099740B">
        <w:rPr>
          <w:color w:val="000000"/>
          <w:u w:val="single"/>
        </w:rPr>
        <w:lastRenderedPageBreak/>
        <w:t>necesitará ideas innovadoras para alcanzar estos objetivos. Sin embargo, también tenemos que pensar en nuevas maneras de reforzar los ingresos laborales.</w:t>
      </w:r>
    </w:p>
    <w:p w:rsidR="000711BB" w:rsidRPr="0099740B" w:rsidRDefault="000711BB" w:rsidP="000711BB">
      <w:pPr>
        <w:pStyle w:val="NormalWeb"/>
        <w:spacing w:after="0"/>
        <w:jc w:val="both"/>
        <w:rPr>
          <w:color w:val="FF0000"/>
          <w:u w:val="single"/>
        </w:rPr>
      </w:pPr>
      <w:r w:rsidRPr="0099740B">
        <w:rPr>
          <w:color w:val="FF0000"/>
          <w:u w:val="single"/>
        </w:rPr>
        <w:t>Un ejemplo es encontrar algunas formas de participación en las ganancias</w:t>
      </w:r>
      <w:r w:rsidRPr="0099740B">
        <w:rPr>
          <w:color w:val="FF0000"/>
        </w:rPr>
        <w:t xml:space="preserve">. </w:t>
      </w:r>
      <w:r w:rsidRPr="0099740B">
        <w:rPr>
          <w:color w:val="FF0000"/>
          <w:u w:val="single"/>
        </w:rPr>
        <w:t>Si los trabajadores tienen intereses propios como accionistas de las empresas en las que trabajan, las innovaciones tecnológicas no serán una fuente de ansiedad, porque las pérdidas salariales serán compensadas por el aumento de utilidades sobre sus inversiones de capital.</w:t>
      </w:r>
    </w:p>
    <w:p w:rsidR="000711BB" w:rsidRPr="0099740B" w:rsidRDefault="000711BB" w:rsidP="000711BB">
      <w:pPr>
        <w:pStyle w:val="NormalWeb"/>
        <w:spacing w:after="0"/>
        <w:jc w:val="both"/>
        <w:rPr>
          <w:color w:val="000000"/>
          <w:u w:val="single"/>
        </w:rPr>
      </w:pPr>
      <w:r w:rsidRPr="007B46BE">
        <w:rPr>
          <w:color w:val="000000"/>
        </w:rPr>
        <w:t>Varios eco</w:t>
      </w:r>
      <w:r>
        <w:rPr>
          <w:color w:val="000000"/>
        </w:rPr>
        <w:t>nomistas y juristas académicos -</w:t>
      </w:r>
      <w:r w:rsidRPr="007B46BE">
        <w:rPr>
          <w:color w:val="000000"/>
        </w:rPr>
        <w:t>incluyéndose entre ellos a  Martin Weitzman, Ri</w:t>
      </w:r>
      <w:r>
        <w:rPr>
          <w:color w:val="000000"/>
        </w:rPr>
        <w:t>chard Freeman y Robert Hockett-</w:t>
      </w:r>
      <w:r w:rsidRPr="007B46BE">
        <w:rPr>
          <w:color w:val="000000"/>
        </w:rPr>
        <w:t xml:space="preserve"> han escrito sobre este tema. Pero, como es el caso con todas las innovaciones, se necesita mucha investigación para alcanzar el punto correcto. </w:t>
      </w:r>
      <w:r w:rsidRPr="0099740B">
        <w:rPr>
          <w:color w:val="000000"/>
          <w:u w:val="single"/>
        </w:rPr>
        <w:t>Lo que hemos aprendido en el año 2015 es que no podemos darnos el lujo de no hacer nada.</w:t>
      </w:r>
    </w:p>
    <w:p w:rsidR="000711BB" w:rsidRDefault="000711BB" w:rsidP="000711BB">
      <w:pPr>
        <w:pStyle w:val="NormalWeb"/>
        <w:spacing w:after="0"/>
        <w:jc w:val="both"/>
        <w:rPr>
          <w:color w:val="000000"/>
          <w:lang w:val="en-US"/>
        </w:rPr>
      </w:pPr>
      <w:r>
        <w:rPr>
          <w:color w:val="000000"/>
          <w:lang w:val="en-US"/>
        </w:rPr>
        <w:t>(</w:t>
      </w:r>
      <w:r w:rsidRPr="007B46BE">
        <w:rPr>
          <w:color w:val="000000"/>
          <w:lang w:val="en-US"/>
        </w:rPr>
        <w:t xml:space="preserve">Kaushik Basu, Senior Vice President and Chief Economist of the World Bank, is Professor of </w:t>
      </w:r>
      <w:r>
        <w:rPr>
          <w:color w:val="000000"/>
          <w:lang w:val="en-US"/>
        </w:rPr>
        <w:t>Economics at Cornell University)</w:t>
      </w:r>
    </w:p>
    <w:p w:rsidR="000711BB" w:rsidRPr="002131C5" w:rsidRDefault="000711BB" w:rsidP="000711BB">
      <w:pPr>
        <w:pStyle w:val="NormalWeb"/>
        <w:spacing w:after="0"/>
        <w:jc w:val="both"/>
        <w:rPr>
          <w:color w:val="000000"/>
        </w:rPr>
      </w:pPr>
      <w:r>
        <w:rPr>
          <w:color w:val="000000"/>
        </w:rPr>
        <w:t xml:space="preserve">- </w:t>
      </w:r>
      <w:r w:rsidRPr="002131C5">
        <w:rPr>
          <w:color w:val="000000"/>
          <w:u w:val="single"/>
        </w:rPr>
        <w:t>Otro año de debilidad para la economía mundial</w:t>
      </w:r>
      <w:r>
        <w:rPr>
          <w:color w:val="000000"/>
        </w:rPr>
        <w:t xml:space="preserve"> (Project Syndicate - </w:t>
      </w:r>
      <w:r w:rsidRPr="002131C5">
        <w:rPr>
          <w:b/>
          <w:color w:val="000000"/>
        </w:rPr>
        <w:t>4/1/16</w:t>
      </w:r>
      <w:r>
        <w:rPr>
          <w:color w:val="000000"/>
        </w:rPr>
        <w:t>)</w:t>
      </w:r>
    </w:p>
    <w:p w:rsidR="000711BB" w:rsidRPr="00955E9F" w:rsidRDefault="000711BB" w:rsidP="000711BB">
      <w:pPr>
        <w:pStyle w:val="NormalWeb"/>
        <w:spacing w:after="0"/>
        <w:jc w:val="both"/>
        <w:rPr>
          <w:color w:val="000000"/>
          <w:u w:val="single"/>
        </w:rPr>
      </w:pPr>
      <w:r>
        <w:rPr>
          <w:color w:val="000000"/>
        </w:rPr>
        <w:t>Washington, DC.-</w:t>
      </w:r>
      <w:r w:rsidRPr="002131C5">
        <w:rPr>
          <w:color w:val="000000"/>
        </w:rPr>
        <w:t xml:space="preserve"> </w:t>
      </w:r>
      <w:r w:rsidRPr="00955E9F">
        <w:rPr>
          <w:color w:val="000000"/>
          <w:u w:val="single"/>
        </w:rPr>
        <w:t>El pasado abril, el Fondo Monetario Internacional proyectó que la economía mundial crecería el 3,5 % en 2015. Durante los meses siguientes, fue reduciendo continuamente su pronóstico hasta llegar al 3,1 % en octubre. Pe</w:t>
      </w:r>
      <w:r>
        <w:rPr>
          <w:color w:val="000000"/>
          <w:u w:val="single"/>
        </w:rPr>
        <w:t>ro el FMI continuó insistiendo -</w:t>
      </w:r>
      <w:r w:rsidRPr="00955E9F">
        <w:rPr>
          <w:color w:val="000000"/>
          <w:u w:val="single"/>
        </w:rPr>
        <w:t xml:space="preserve">como lo viene haciendo con una </w:t>
      </w:r>
      <w:r w:rsidR="00BE04EF" w:rsidRPr="00955E9F">
        <w:rPr>
          <w:color w:val="000000"/>
          <w:u w:val="single"/>
        </w:rPr>
        <w:t>predictibilidad</w:t>
      </w:r>
      <w:r w:rsidRPr="00955E9F">
        <w:rPr>
          <w:color w:val="000000"/>
          <w:u w:val="single"/>
        </w:rPr>
        <w:t xml:space="preserve"> casi </w:t>
      </w:r>
      <w:r>
        <w:rPr>
          <w:color w:val="000000"/>
          <w:u w:val="single"/>
        </w:rPr>
        <w:t>banal en los últimos siete años-</w:t>
      </w:r>
      <w:r w:rsidRPr="00955E9F">
        <w:rPr>
          <w:color w:val="000000"/>
          <w:u w:val="single"/>
        </w:rPr>
        <w:t xml:space="preserve"> que el año que viene será mejor, aunque con casi completa seguridad se equivoca una vez más.</w:t>
      </w:r>
    </w:p>
    <w:p w:rsidR="000711BB" w:rsidRPr="002131C5" w:rsidRDefault="000711BB" w:rsidP="000711BB">
      <w:pPr>
        <w:pStyle w:val="NormalWeb"/>
        <w:spacing w:after="0"/>
        <w:jc w:val="both"/>
        <w:rPr>
          <w:color w:val="000000"/>
        </w:rPr>
      </w:pPr>
      <w:r w:rsidRPr="002131C5">
        <w:rPr>
          <w:color w:val="000000"/>
        </w:rPr>
        <w:t>Para empezar, la tasa de crecimiento del comercio mundial es de un anémico 2 %, frente al 8 % registrado entre 2003 y 2007. Mientras que el crecimiento del comercio durante esos años vertiginosos superó</w:t>
      </w:r>
      <w:r>
        <w:rPr>
          <w:color w:val="000000"/>
        </w:rPr>
        <w:t xml:space="preserve"> con creces al del PIB mundial -cuyo promedio fue del 4,5 %-</w:t>
      </w:r>
      <w:r w:rsidRPr="002131C5">
        <w:rPr>
          <w:color w:val="000000"/>
        </w:rPr>
        <w:t xml:space="preserve"> últimamente las tasas de crecimiento del comercio y el PIB han sido aproximadamente iguales. Incluso si el crecimiento del PIB supera al del comercio este año, probablemente no vaya más allá del 2,7 %.</w:t>
      </w:r>
    </w:p>
    <w:p w:rsidR="000711BB" w:rsidRPr="00955E9F" w:rsidRDefault="000711BB" w:rsidP="000711BB">
      <w:pPr>
        <w:pStyle w:val="NormalWeb"/>
        <w:spacing w:after="0"/>
        <w:jc w:val="both"/>
        <w:rPr>
          <w:color w:val="FF0000"/>
          <w:u w:val="single"/>
        </w:rPr>
      </w:pPr>
      <w:r w:rsidRPr="00955E9F">
        <w:rPr>
          <w:color w:val="FF0000"/>
          <w:u w:val="single"/>
        </w:rPr>
        <w:t>La pregunta es: ¿por qué? Según Christina y David Romer de la Universidad de California, Berkeley, los temblores posteriores a l</w:t>
      </w:r>
      <w:r>
        <w:rPr>
          <w:color w:val="FF0000"/>
          <w:u w:val="single"/>
        </w:rPr>
        <w:t>as crisis financieras modernas -</w:t>
      </w:r>
      <w:r w:rsidRPr="00955E9F">
        <w:rPr>
          <w:color w:val="FF0000"/>
          <w:u w:val="single"/>
        </w:rPr>
        <w:t xml:space="preserve">es decir, </w:t>
      </w:r>
      <w:r>
        <w:rPr>
          <w:color w:val="FF0000"/>
          <w:u w:val="single"/>
        </w:rPr>
        <w:t>desde la Segunda Guerra Mundial-</w:t>
      </w:r>
      <w:r w:rsidRPr="00955E9F">
        <w:rPr>
          <w:color w:val="FF0000"/>
          <w:u w:val="single"/>
        </w:rPr>
        <w:t xml:space="preserve"> se desvanecen pasados 2 o 3 años. Los economistas de Harvard Carmen Reinhart y Kenneth Rogoff dicen que son necesarios cinco años para que un país se recupere de una crisis financiera. Y, de hecho, los trastornos financieros de 2007-2008 han desaparecido en gran medida. ¿Cómo se explica entonces la lentitud de la recuperación económica?</w:t>
      </w:r>
    </w:p>
    <w:p w:rsidR="000711BB" w:rsidRPr="00955E9F" w:rsidRDefault="000711BB" w:rsidP="000711BB">
      <w:pPr>
        <w:pStyle w:val="NormalWeb"/>
        <w:spacing w:after="0"/>
        <w:jc w:val="both"/>
        <w:rPr>
          <w:color w:val="FF0000"/>
          <w:u w:val="single"/>
        </w:rPr>
      </w:pPr>
      <w:r w:rsidRPr="00955E9F">
        <w:rPr>
          <w:color w:val="FF0000"/>
          <w:u w:val="single"/>
        </w:rPr>
        <w:t>Una explicación popular reside e</w:t>
      </w:r>
      <w:r>
        <w:rPr>
          <w:color w:val="FF0000"/>
          <w:u w:val="single"/>
        </w:rPr>
        <w:t>n la confusa noción del “estancamiento secular”</w:t>
      </w:r>
      <w:r w:rsidRPr="00955E9F">
        <w:rPr>
          <w:color w:val="FF0000"/>
          <w:u w:val="single"/>
        </w:rPr>
        <w:t>: la depresión de la demanda de bienes y servicios a largo plazo está socavando los incentivos para invertir y contratar. Pero la demanda solo será débil si la gente carece de confianza en el futuro. La única explicación lógica para esta continua falta de confianza, como lo ha documentado y sostenido meticulosamente Robert Gordon, de la Northwestern University, es el lento crecimiento de la productividad.</w:t>
      </w:r>
    </w:p>
    <w:p w:rsidR="000711BB" w:rsidRPr="002131C5" w:rsidRDefault="000711BB" w:rsidP="000711BB">
      <w:pPr>
        <w:pStyle w:val="NormalWeb"/>
        <w:spacing w:after="0"/>
        <w:jc w:val="both"/>
        <w:rPr>
          <w:color w:val="000000"/>
        </w:rPr>
      </w:pPr>
      <w:r>
        <w:rPr>
          <w:color w:val="000000"/>
        </w:rPr>
        <w:lastRenderedPageBreak/>
        <w:t>Antes de la crisis -</w:t>
      </w:r>
      <w:r w:rsidRPr="002131C5">
        <w:rPr>
          <w:color w:val="000000"/>
        </w:rPr>
        <w:t xml:space="preserve">y </w:t>
      </w:r>
      <w:r w:rsidRPr="00955E9F">
        <w:rPr>
          <w:color w:val="000000"/>
          <w:u w:val="single"/>
        </w:rPr>
        <w:t>especialmente entre 2003 y 2007</w:t>
      </w:r>
      <w:r>
        <w:rPr>
          <w:color w:val="000000"/>
        </w:rPr>
        <w:t>-</w:t>
      </w:r>
      <w:r w:rsidRPr="002131C5">
        <w:rPr>
          <w:color w:val="000000"/>
        </w:rPr>
        <w:t xml:space="preserve"> el lento crecimiento de la productividad quedó oculto tras una ilusoria sensación de prosperidad en gran parte del mundo. </w:t>
      </w:r>
      <w:r>
        <w:rPr>
          <w:color w:val="000000"/>
          <w:u w:val="single"/>
        </w:rPr>
        <w:t>En algunos países -</w:t>
      </w:r>
      <w:r w:rsidRPr="00955E9F">
        <w:rPr>
          <w:color w:val="000000"/>
          <w:u w:val="single"/>
        </w:rPr>
        <w:t>especialmente en E</w:t>
      </w:r>
      <w:r>
        <w:rPr>
          <w:color w:val="000000"/>
          <w:u w:val="single"/>
        </w:rPr>
        <w:t>stados Unidos, España e Irlanda-</w:t>
      </w:r>
      <w:r w:rsidRPr="00955E9F">
        <w:rPr>
          <w:color w:val="000000"/>
          <w:u w:val="single"/>
        </w:rPr>
        <w:t xml:space="preserve"> la suba de los precios de los inmuebles, la construcción especulativa y la toma de riesgos financieros se reforzaban entre sí</w:t>
      </w:r>
      <w:r w:rsidRPr="002131C5">
        <w:rPr>
          <w:color w:val="000000"/>
        </w:rPr>
        <w:t>. Simultáneamente, los países amplificaban el crecimiento de los demás a través del comercio.</w:t>
      </w:r>
    </w:p>
    <w:p w:rsidR="000711BB" w:rsidRPr="002131C5" w:rsidRDefault="000711BB" w:rsidP="000711BB">
      <w:pPr>
        <w:pStyle w:val="NormalWeb"/>
        <w:spacing w:after="0"/>
        <w:jc w:val="both"/>
        <w:rPr>
          <w:color w:val="000000"/>
        </w:rPr>
      </w:pPr>
      <w:r w:rsidRPr="00955E9F">
        <w:rPr>
          <w:color w:val="000000"/>
          <w:u w:val="single"/>
        </w:rPr>
        <w:t>China fue crucial para esta bonanza mundial: el gigante en ascenso inundó el mundo con exportaciones baratas y limitó la inflación global</w:t>
      </w:r>
      <w:r w:rsidRPr="002131C5">
        <w:rPr>
          <w:color w:val="000000"/>
        </w:rPr>
        <w:t>. Igualmente importantes fueron las gigantescas importaci</w:t>
      </w:r>
      <w:r>
        <w:rPr>
          <w:color w:val="000000"/>
        </w:rPr>
        <w:t>ones chinas de materias primas -</w:t>
      </w:r>
      <w:r w:rsidRPr="002131C5">
        <w:rPr>
          <w:color w:val="000000"/>
        </w:rPr>
        <w:t>que impulsaron a muchas economí</w:t>
      </w:r>
      <w:r>
        <w:rPr>
          <w:color w:val="000000"/>
        </w:rPr>
        <w:t>as africanas y latinoamericanas-</w:t>
      </w:r>
      <w:r w:rsidRPr="002131C5">
        <w:rPr>
          <w:color w:val="000000"/>
        </w:rPr>
        <w:t xml:space="preserve"> y su compra de automóviles y máquinas alemanes, que permitió a la mayor economía europea mantener en vibrante actividad a sus cadenas regionales de aprovisionamiento.</w:t>
      </w:r>
    </w:p>
    <w:p w:rsidR="000711BB" w:rsidRPr="002131C5" w:rsidRDefault="000711BB" w:rsidP="000711BB">
      <w:pPr>
        <w:pStyle w:val="NormalWeb"/>
        <w:spacing w:after="0"/>
        <w:jc w:val="both"/>
        <w:rPr>
          <w:color w:val="000000"/>
        </w:rPr>
      </w:pPr>
      <w:r w:rsidRPr="00955E9F">
        <w:rPr>
          <w:color w:val="000000"/>
          <w:u w:val="single"/>
        </w:rPr>
        <w:t>Esta dinámica se revirtió alreded</w:t>
      </w:r>
      <w:r>
        <w:rPr>
          <w:color w:val="000000"/>
          <w:u w:val="single"/>
        </w:rPr>
        <w:t>or de marzo de 2008, cuando EEUU</w:t>
      </w:r>
      <w:r w:rsidRPr="00955E9F">
        <w:rPr>
          <w:color w:val="000000"/>
          <w:u w:val="single"/>
        </w:rPr>
        <w:t xml:space="preserve"> rescató del colapso a su quinto mayor banco de inversiones, Bear Sterns. Con los bancos de la zona del euro también profundamente involucrados en el desastre de las hipotecas de alto riesgo y desesperadamente necesitados de dólares estadounidenses, tanto Estados Unidos como gran parte de Europa comenzaron a deslizarse implacablemente hacia la recesión.</w:t>
      </w:r>
      <w:r w:rsidRPr="002131C5">
        <w:rPr>
          <w:color w:val="000000"/>
        </w:rPr>
        <w:t xml:space="preserve"> Mientras que en los años de bonanza el comercio mundial difundió la prodigalidad, ahora diseminaba el malestar. Con la baja de las tasas de crecimiento del PIB de los distintos países cayeron también sus importaciones, y eso llevó a que sus socios comerciales también redujeran su crecimiento.</w:t>
      </w:r>
    </w:p>
    <w:p w:rsidR="000711BB" w:rsidRPr="00955E9F" w:rsidRDefault="000711BB" w:rsidP="000711BB">
      <w:pPr>
        <w:pStyle w:val="NormalWeb"/>
        <w:spacing w:after="0"/>
        <w:jc w:val="both"/>
        <w:rPr>
          <w:color w:val="FF0000"/>
          <w:u w:val="single"/>
        </w:rPr>
      </w:pPr>
      <w:r w:rsidRPr="00955E9F">
        <w:rPr>
          <w:color w:val="FF0000"/>
          <w:u w:val="single"/>
        </w:rPr>
        <w:t>La economía estadounidense comenzó a salir de su recesión en el segundo semestre de 2009, en gran parte gracias a una política monetaria agresiva y a medidas para estabilizar el sistema financiero. Los responsables de las políticas en la zona del euro, por el contrario, rechazaron los estímulos monetarios e implementaron medidas de austeridad fiscal mientras ignoraban las crecientes dificultades que atravesaban sus bancos. La zona del euro empujó así al mundo hacia una segunda recesión mundial.</w:t>
      </w:r>
    </w:p>
    <w:p w:rsidR="000711BB" w:rsidRPr="00955E9F" w:rsidRDefault="000711BB" w:rsidP="000711BB">
      <w:pPr>
        <w:pStyle w:val="NormalWeb"/>
        <w:spacing w:after="0"/>
        <w:jc w:val="both"/>
        <w:rPr>
          <w:color w:val="FF0000"/>
          <w:u w:val="single"/>
        </w:rPr>
      </w:pPr>
      <w:r w:rsidRPr="00955E9F">
        <w:rPr>
          <w:color w:val="FF0000"/>
          <w:u w:val="single"/>
        </w:rPr>
        <w:t>Justo cuando parecía que la recesión había terminado, las economías emergentes comenzaron a desmoronarse</w:t>
      </w:r>
      <w:r w:rsidRPr="002131C5">
        <w:rPr>
          <w:color w:val="000000"/>
        </w:rPr>
        <w:t xml:space="preserve">. Durante años los analistas habían promocionado las reformas en el gobierno y para mejorar el crecimiento que supuestamente habían introducido los líderes de esos países. </w:t>
      </w:r>
      <w:r w:rsidRPr="00955E9F">
        <w:rPr>
          <w:color w:val="FF0000"/>
          <w:u w:val="single"/>
        </w:rPr>
        <w:t>En oct</w:t>
      </w:r>
      <w:r w:rsidR="00BE04EF">
        <w:rPr>
          <w:color w:val="FF0000"/>
          <w:u w:val="single"/>
        </w:rPr>
        <w:t>ubre de 2012 el FMI celebró la “resiliencia”</w:t>
      </w:r>
      <w:r w:rsidRPr="00955E9F">
        <w:rPr>
          <w:color w:val="FF0000"/>
          <w:u w:val="single"/>
        </w:rPr>
        <w:t xml:space="preserve"> de las economías emergentes. Como a propósito, la fachada comenzó a resquebrajarse y revelar una verdad inconveniente: ciertos factores, como los elevados precios de las materias primas y los masivos ingresos de capitales, habían estado ocultando graves debilidades económicas, mientras legitimaban una cultura de ostensible desigualdad y rampante corrupción.</w:t>
      </w:r>
    </w:p>
    <w:p w:rsidR="000711BB" w:rsidRPr="002131C5" w:rsidRDefault="000711BB" w:rsidP="000711BB">
      <w:pPr>
        <w:pStyle w:val="NormalWeb"/>
        <w:spacing w:after="0"/>
        <w:jc w:val="both"/>
        <w:rPr>
          <w:color w:val="000000"/>
        </w:rPr>
      </w:pPr>
      <w:r w:rsidRPr="00955E9F">
        <w:rPr>
          <w:color w:val="FF0000"/>
          <w:u w:val="single"/>
        </w:rPr>
        <w:t>Estos problemas ahora se amplían debido a la desaceleración del crecimiento en China, el fulcro del comercio mundial</w:t>
      </w:r>
      <w:r w:rsidRPr="002131C5">
        <w:rPr>
          <w:color w:val="000000"/>
        </w:rPr>
        <w:t xml:space="preserve">. </w:t>
      </w:r>
      <w:r w:rsidRPr="00955E9F">
        <w:rPr>
          <w:color w:val="FF0000"/>
          <w:u w:val="single"/>
        </w:rPr>
        <w:t>Y lo peor aún está por llegar</w:t>
      </w:r>
      <w:r w:rsidRPr="002131C5">
        <w:rPr>
          <w:color w:val="000000"/>
        </w:rPr>
        <w:t>. Hay que solucionar el enorme exceso de capacidad industrial y oferta inmobiliaria en China; hay que poner freno al orgullo desmedido que impulsa sus adquisiciones globales y desmantelar sus redes de corrupción.</w:t>
      </w:r>
    </w:p>
    <w:p w:rsidR="000711BB" w:rsidRPr="00955E9F" w:rsidRDefault="000711BB" w:rsidP="000711BB">
      <w:pPr>
        <w:pStyle w:val="NormalWeb"/>
        <w:spacing w:after="0"/>
        <w:jc w:val="both"/>
        <w:rPr>
          <w:color w:val="FF0000"/>
          <w:u w:val="single"/>
        </w:rPr>
      </w:pPr>
      <w:r w:rsidRPr="00955E9F">
        <w:rPr>
          <w:color w:val="FF0000"/>
          <w:u w:val="single"/>
        </w:rPr>
        <w:t>En pocas palabras, los factores que debilitaron la econom</w:t>
      </w:r>
      <w:r>
        <w:rPr>
          <w:color w:val="FF0000"/>
          <w:u w:val="single"/>
        </w:rPr>
        <w:t>ía mundial en 2015 continuarán -</w:t>
      </w:r>
      <w:r w:rsidRPr="00955E9F">
        <w:rPr>
          <w:color w:val="FF0000"/>
          <w:u w:val="single"/>
        </w:rPr>
        <w:t>y en algunos caso</w:t>
      </w:r>
      <w:r>
        <w:rPr>
          <w:color w:val="FF0000"/>
          <w:u w:val="single"/>
        </w:rPr>
        <w:t>s pueden incluso intensificarse-</w:t>
      </w:r>
      <w:r w:rsidRPr="00955E9F">
        <w:rPr>
          <w:color w:val="FF0000"/>
          <w:u w:val="single"/>
        </w:rPr>
        <w:t xml:space="preserve"> en el nuevo año. Las economías emergentes mantendrán su debilidad. La zona del euro, después de disfrutar </w:t>
      </w:r>
      <w:r w:rsidRPr="00955E9F">
        <w:rPr>
          <w:color w:val="FF0000"/>
          <w:u w:val="single"/>
        </w:rPr>
        <w:lastRenderedPageBreak/>
        <w:t>un aplazamiento temporal de la austeridad, se verá limitada por la apatía del comercio global. La suba de las tasas de interés de los bonos corporativos presa</w:t>
      </w:r>
      <w:r>
        <w:rPr>
          <w:color w:val="FF0000"/>
          <w:u w:val="single"/>
        </w:rPr>
        <w:t>gia un menor crecimiento en EE</w:t>
      </w:r>
      <w:r w:rsidRPr="00955E9F">
        <w:rPr>
          <w:color w:val="FF0000"/>
          <w:u w:val="single"/>
        </w:rPr>
        <w:t>UU. El colapso del valor de los activos chinos podría disparar turbulencias financieras. Y los responsables de las políticas van a la deriva, con poca capacidad política para poner freno a esas tendencias.</w:t>
      </w:r>
    </w:p>
    <w:p w:rsidR="000711BB" w:rsidRPr="00955E9F" w:rsidRDefault="000711BB" w:rsidP="000711BB">
      <w:pPr>
        <w:pStyle w:val="NormalWeb"/>
        <w:spacing w:after="0"/>
        <w:jc w:val="both"/>
        <w:rPr>
          <w:b/>
          <w:color w:val="FF0000"/>
          <w:u w:val="single"/>
        </w:rPr>
      </w:pPr>
      <w:r w:rsidRPr="00955E9F">
        <w:rPr>
          <w:b/>
          <w:color w:val="FF0000"/>
          <w:u w:val="single"/>
        </w:rPr>
        <w:t>El FMI debiera dejar de pronosticar más crecimiento y alertar sobre la debilidad de la economía mundial, que continuará siendo vulnerable a menos que los líderes del mundo actúen enérgicamente para impulsar la innovación y el crecimiento. Se trata de un esfuerzo que debiera haberse hecho hace ya mucho tiempo.</w:t>
      </w:r>
    </w:p>
    <w:p w:rsidR="000711BB" w:rsidRDefault="000711BB" w:rsidP="000711BB">
      <w:pPr>
        <w:pStyle w:val="NormalWeb"/>
        <w:spacing w:after="0"/>
        <w:jc w:val="both"/>
        <w:rPr>
          <w:color w:val="000000"/>
          <w:lang w:val="en-US"/>
        </w:rPr>
      </w:pPr>
      <w:r>
        <w:rPr>
          <w:color w:val="000000"/>
          <w:lang w:val="en-US"/>
        </w:rPr>
        <w:t>(</w:t>
      </w:r>
      <w:r w:rsidRPr="002131C5">
        <w:rPr>
          <w:color w:val="000000"/>
          <w:lang w:val="en-US"/>
        </w:rPr>
        <w:t>Ashoka Mody is Visiting Professor of International Economic Policy at the Woodrow Wilson School of Public and International Affairs at Princeton University and a visiting fellow at Bruegel, the Brussels-based economic think tank. He is a former mission chief for German</w:t>
      </w:r>
      <w:r>
        <w:rPr>
          <w:color w:val="000000"/>
          <w:lang w:val="en-US"/>
        </w:rPr>
        <w:t>y and Ireland at the IMF…)</w:t>
      </w:r>
    </w:p>
    <w:p w:rsidR="000711BB" w:rsidRPr="00804FAA" w:rsidRDefault="000711BB" w:rsidP="000711BB">
      <w:pPr>
        <w:shd w:val="clear" w:color="auto" w:fill="FFFFFF"/>
        <w:spacing w:line="240" w:lineRule="auto"/>
        <w:textAlignment w:val="baseline"/>
        <w:rPr>
          <w:rFonts w:ascii="Times New Roman" w:hAnsi="Times New Roman" w:cs="Times New Roman"/>
          <w:sz w:val="24"/>
          <w:szCs w:val="24"/>
        </w:rPr>
      </w:pPr>
      <w:r w:rsidRPr="00804FAA">
        <w:rPr>
          <w:rFonts w:ascii="Times New Roman" w:hAnsi="Times New Roman" w:cs="Times New Roman"/>
          <w:sz w:val="24"/>
          <w:szCs w:val="24"/>
        </w:rPr>
        <w:t xml:space="preserve">- </w:t>
      </w:r>
      <w:r w:rsidRPr="00804FAA">
        <w:rPr>
          <w:rFonts w:ascii="Times New Roman" w:hAnsi="Times New Roman" w:cs="Times New Roman"/>
          <w:sz w:val="24"/>
          <w:szCs w:val="24"/>
          <w:u w:val="single"/>
        </w:rPr>
        <w:t>La nueva geoeconomía</w:t>
      </w:r>
      <w:r w:rsidRPr="00804FAA">
        <w:rPr>
          <w:rFonts w:ascii="Times New Roman" w:hAnsi="Times New Roman" w:cs="Times New Roman"/>
          <w:sz w:val="24"/>
          <w:szCs w:val="24"/>
        </w:rPr>
        <w:t xml:space="preserve"> (Project Syndicate - </w:t>
      </w:r>
      <w:r w:rsidRPr="00804FAA">
        <w:rPr>
          <w:rFonts w:ascii="Times New Roman" w:hAnsi="Times New Roman" w:cs="Times New Roman"/>
          <w:b/>
          <w:sz w:val="24"/>
          <w:szCs w:val="24"/>
        </w:rPr>
        <w:t>8/1/16</w:t>
      </w:r>
      <w:r w:rsidRPr="00804FAA">
        <w:rPr>
          <w:rFonts w:ascii="Times New Roman" w:hAnsi="Times New Roman" w:cs="Times New Roman"/>
          <w:sz w:val="24"/>
          <w:szCs w:val="24"/>
        </w:rPr>
        <w:t>)</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804FAA">
        <w:rPr>
          <w:rFonts w:ascii="Times New Roman" w:hAnsi="Times New Roman" w:cs="Times New Roman"/>
          <w:sz w:val="24"/>
          <w:szCs w:val="24"/>
        </w:rPr>
        <w:t xml:space="preserve">Colombo, Sri Lanka.- </w:t>
      </w:r>
      <w:r w:rsidRPr="00804FAA">
        <w:rPr>
          <w:rFonts w:ascii="Times New Roman" w:hAnsi="Times New Roman" w:cs="Times New Roman"/>
          <w:sz w:val="24"/>
          <w:szCs w:val="24"/>
          <w:u w:val="single"/>
        </w:rPr>
        <w:t>El año pasado fue inolvidable para la economía mundial.  El desempeño de la economía, de manera general, no sólo fue decepcionante, sino que además ocurrieron cambios profundos -tanto para bien como para mal- en el sistema económico mundial.</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01749E">
        <w:rPr>
          <w:rFonts w:ascii="Times New Roman" w:hAnsi="Times New Roman" w:cs="Times New Roman"/>
          <w:color w:val="FF0000"/>
          <w:sz w:val="24"/>
          <w:szCs w:val="24"/>
          <w:u w:val="single"/>
        </w:rPr>
        <w:t>Lo más notable fue el acuerdo sobre el clima de Paris, que fue alcanzado el pasado mes.</w:t>
      </w:r>
      <w:r w:rsidRPr="00B22A35">
        <w:rPr>
          <w:rFonts w:ascii="Times New Roman" w:hAnsi="Times New Roman" w:cs="Times New Roman"/>
          <w:color w:val="333333"/>
          <w:sz w:val="24"/>
          <w:szCs w:val="24"/>
        </w:rPr>
        <w:t xml:space="preserve"> </w:t>
      </w:r>
      <w:r w:rsidRPr="00804FAA">
        <w:rPr>
          <w:rFonts w:ascii="Times New Roman" w:hAnsi="Times New Roman" w:cs="Times New Roman"/>
          <w:sz w:val="24"/>
          <w:szCs w:val="24"/>
        </w:rPr>
        <w:t xml:space="preserve">Por sí solo, el acuerdo está lejos de ser suficiente para limitar el aumento del calentamiento global a la meta de 2ºC por encima del nivel preindustrial. Sin embargo, este acuerdo puso a todos en sobre aviso: </w:t>
      </w:r>
      <w:r w:rsidRPr="00804FAA">
        <w:rPr>
          <w:rFonts w:ascii="Times New Roman" w:hAnsi="Times New Roman" w:cs="Times New Roman"/>
          <w:sz w:val="24"/>
          <w:szCs w:val="24"/>
          <w:u w:val="single"/>
        </w:rPr>
        <w:t>El mundo se está desplazando, inexorablemente, hacia una economía verde. Un día no muy lejano, los combustibles fósiles serán, en gran parte, una cosa del pasado. Así que cualquier persona que en la actualidad invierte en la industria del carbón, lo hace a su propio riesgo</w:t>
      </w:r>
      <w:r w:rsidRPr="00804FAA">
        <w:rPr>
          <w:rFonts w:ascii="Times New Roman" w:hAnsi="Times New Roman" w:cs="Times New Roman"/>
          <w:sz w:val="24"/>
          <w:szCs w:val="24"/>
        </w:rPr>
        <w:t>. Debido a que un mayor número de inversiones verdes pasan a primer plano, esperemos que aquellos que las financien vayan a contrarrestar el poderoso cabildeo de la industria del carbón, que está dispuesta a poner al mundo en riesgo para lograr el avance de sus propios y miopes intereses.</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04FAA">
        <w:rPr>
          <w:rFonts w:ascii="Times New Roman" w:hAnsi="Times New Roman" w:cs="Times New Roman"/>
          <w:sz w:val="24"/>
          <w:szCs w:val="24"/>
        </w:rPr>
        <w:t xml:space="preserve">En los hechos, el alejamiento de una economía de alto contenido de carbono, donde con frecuencia son los intereses ligados al carbón, gas y petróleo los que dominan, es sólo uno de varios cambios importantes en el orden geoeconómico mundial. </w:t>
      </w:r>
      <w:r w:rsidRPr="00804FAA">
        <w:rPr>
          <w:rFonts w:ascii="Times New Roman" w:hAnsi="Times New Roman" w:cs="Times New Roman"/>
          <w:sz w:val="24"/>
          <w:szCs w:val="24"/>
          <w:u w:val="single"/>
        </w:rPr>
        <w:t>Muchos otros cambios son inevitables, debido al franco crecimiento de la participación porcentual de China en la producción y demanda mundial</w:t>
      </w:r>
      <w:r w:rsidRPr="00804FAA">
        <w:rPr>
          <w:rFonts w:ascii="Times New Roman" w:hAnsi="Times New Roman" w:cs="Times New Roman"/>
          <w:sz w:val="24"/>
          <w:szCs w:val="24"/>
        </w:rPr>
        <w:t>. Se puso en marcha el año pasado el Nuevo Banco de Desarrollo, establecido por los países BRICS (Brasil, Rusia, India, China y Sudáfrica), convirtiéndose en la primera institución financiera internacional de importancia que es liderada por los países emergentes. Y, a pesar de la resistencia del presidente estadounidense Barack Obama, y con el liderazgo de China, también se creó el Banco Asiático de Inversión en Infraestructura,  mismo que iniciará operaciones este mes.</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04FAA">
        <w:rPr>
          <w:rFonts w:ascii="Times New Roman" w:hAnsi="Times New Roman" w:cs="Times New Roman"/>
          <w:sz w:val="24"/>
          <w:szCs w:val="24"/>
          <w:u w:val="single"/>
        </w:rPr>
        <w:t>EEUU actuó con mayor sabiduría en lo que se refiere a la moneda china. No obstaculizó la entrada del yuan a la canasta de monedas que conforman los Derechos Especiales de Giro (DEG), que es el  activo de reserva del Fondo Monetario Internacional</w:t>
      </w:r>
      <w:r w:rsidRPr="00804FAA">
        <w:rPr>
          <w:rFonts w:ascii="Times New Roman" w:hAnsi="Times New Roman" w:cs="Times New Roman"/>
          <w:sz w:val="24"/>
          <w:szCs w:val="24"/>
        </w:rPr>
        <w:t xml:space="preserve">. Además, un lustro después de que la administración de Obama accediera a realizar cambios </w:t>
      </w:r>
      <w:r w:rsidRPr="00804FAA">
        <w:rPr>
          <w:rFonts w:ascii="Times New Roman" w:hAnsi="Times New Roman" w:cs="Times New Roman"/>
          <w:sz w:val="24"/>
          <w:szCs w:val="24"/>
        </w:rPr>
        <w:lastRenderedPageBreak/>
        <w:t>modestos en los derechos de voto de China y de otros mercados emergentes en el FMI - haciendo una pequeña venia aprobatoria a las nuevas realidades económicas- el Congreso de Estados Unidos aprobó, finalmente, las reformas.</w:t>
      </w:r>
    </w:p>
    <w:p w:rsidR="000711BB" w:rsidRPr="00D50FD9"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sidRPr="00D50FD9">
        <w:rPr>
          <w:rFonts w:ascii="Times New Roman" w:hAnsi="Times New Roman" w:cs="Times New Roman"/>
          <w:color w:val="FF0000"/>
          <w:sz w:val="24"/>
          <w:szCs w:val="24"/>
          <w:u w:val="single"/>
        </w:rPr>
        <w:t>Las decisiones geoeconómicas más polémicas del año pasado son las relativas al comercio exterior. Casi de manera desapercibida, después de años de conversaciones inconexas, la  Ronda de Doha para el Desarrollo promovida por la Orga</w:t>
      </w:r>
      <w:r>
        <w:rPr>
          <w:rFonts w:ascii="Times New Roman" w:hAnsi="Times New Roman" w:cs="Times New Roman"/>
          <w:color w:val="FF0000"/>
          <w:sz w:val="24"/>
          <w:szCs w:val="24"/>
          <w:u w:val="single"/>
        </w:rPr>
        <w:t>nización Mundial del Comercio -</w:t>
      </w:r>
      <w:r w:rsidRPr="00D50FD9">
        <w:rPr>
          <w:rFonts w:ascii="Times New Roman" w:hAnsi="Times New Roman" w:cs="Times New Roman"/>
          <w:color w:val="FF0000"/>
          <w:sz w:val="24"/>
          <w:szCs w:val="24"/>
          <w:u w:val="single"/>
        </w:rPr>
        <w:t>iniciada con el objetivo de corregir los desequilibrios en los acuerdos comerciales anteriores que favorec</w:t>
      </w:r>
      <w:r>
        <w:rPr>
          <w:rFonts w:ascii="Times New Roman" w:hAnsi="Times New Roman" w:cs="Times New Roman"/>
          <w:color w:val="FF0000"/>
          <w:sz w:val="24"/>
          <w:szCs w:val="24"/>
          <w:u w:val="single"/>
        </w:rPr>
        <w:t>ían a los países desarrollados-</w:t>
      </w:r>
      <w:r w:rsidRPr="00D50FD9">
        <w:rPr>
          <w:rFonts w:ascii="Times New Roman" w:hAnsi="Times New Roman" w:cs="Times New Roman"/>
          <w:color w:val="FF0000"/>
          <w:sz w:val="24"/>
          <w:szCs w:val="24"/>
          <w:u w:val="single"/>
        </w:rPr>
        <w:t xml:space="preserve"> fue sepultada silenciosamente. La </w:t>
      </w:r>
      <w:r>
        <w:rPr>
          <w:rFonts w:ascii="Times New Roman" w:hAnsi="Times New Roman" w:cs="Times New Roman"/>
          <w:color w:val="FF0000"/>
          <w:sz w:val="24"/>
          <w:szCs w:val="24"/>
          <w:u w:val="single"/>
        </w:rPr>
        <w:t>hipocresía de Estados Unidos -</w:t>
      </w:r>
      <w:r w:rsidRPr="00D50FD9">
        <w:rPr>
          <w:rFonts w:ascii="Times New Roman" w:hAnsi="Times New Roman" w:cs="Times New Roman"/>
          <w:color w:val="FF0000"/>
          <w:sz w:val="24"/>
          <w:szCs w:val="24"/>
          <w:u w:val="single"/>
        </w:rPr>
        <w:t>ya que pregona defender el libre comercio, pero se niega a abandonar los subsidios al algod</w:t>
      </w:r>
      <w:r>
        <w:rPr>
          <w:rFonts w:ascii="Times New Roman" w:hAnsi="Times New Roman" w:cs="Times New Roman"/>
          <w:color w:val="FF0000"/>
          <w:sz w:val="24"/>
          <w:szCs w:val="24"/>
          <w:u w:val="single"/>
        </w:rPr>
        <w:t>ón y otros productos agrícolas-</w:t>
      </w:r>
      <w:r w:rsidRPr="00D50FD9">
        <w:rPr>
          <w:rFonts w:ascii="Times New Roman" w:hAnsi="Times New Roman" w:cs="Times New Roman"/>
          <w:color w:val="FF0000"/>
          <w:sz w:val="24"/>
          <w:szCs w:val="24"/>
          <w:u w:val="single"/>
        </w:rPr>
        <w:t xml:space="preserve"> se había constituido en un obstáculo insuperable para las negociaciones de Doha. En lugar de llevar a cabo negociaciones a nivel mundi</w:t>
      </w:r>
      <w:r>
        <w:rPr>
          <w:rFonts w:ascii="Times New Roman" w:hAnsi="Times New Roman" w:cs="Times New Roman"/>
          <w:color w:val="FF0000"/>
          <w:sz w:val="24"/>
          <w:szCs w:val="24"/>
          <w:u w:val="single"/>
        </w:rPr>
        <w:t>al sobre comercio exterior,  EEUU</w:t>
      </w:r>
      <w:r w:rsidRPr="00D50FD9">
        <w:rPr>
          <w:rFonts w:ascii="Times New Roman" w:hAnsi="Times New Roman" w:cs="Times New Roman"/>
          <w:color w:val="FF0000"/>
          <w:sz w:val="24"/>
          <w:szCs w:val="24"/>
          <w:u w:val="single"/>
        </w:rPr>
        <w:t xml:space="preserve"> y Europa han montado una estrategia de “divide y vencerás”, basada en bloques y tratados comerciales que se superponen.</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04FAA">
        <w:rPr>
          <w:rFonts w:ascii="Times New Roman" w:hAnsi="Times New Roman" w:cs="Times New Roman"/>
          <w:sz w:val="24"/>
          <w:szCs w:val="24"/>
          <w:u w:val="single"/>
        </w:rPr>
        <w:t>Como resultado de ello, lo que se pretendió llegue a ser un régimen de libre comercio mundial ha dado paso a un discordante régimen de comercio exterior administrado</w:t>
      </w:r>
      <w:r w:rsidRPr="00804FAA">
        <w:rPr>
          <w:rFonts w:ascii="Times New Roman" w:hAnsi="Times New Roman" w:cs="Times New Roman"/>
          <w:sz w:val="24"/>
          <w:szCs w:val="24"/>
        </w:rPr>
        <w:t>. El comercio exterior de gran parte de las regiones del Pacífico y del Atlántico se regirá por acuerdos con miles de páginas de extensión y que están repletos de complejas reglas de origen que contradicen los principios básicos de eficiencia y libre circulación de mercancías.</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804FAA">
        <w:rPr>
          <w:rFonts w:ascii="Times New Roman" w:hAnsi="Times New Roman" w:cs="Times New Roman"/>
          <w:sz w:val="24"/>
          <w:szCs w:val="24"/>
          <w:u w:val="single"/>
        </w:rPr>
        <w:t>EEUU finalizó sus negociaciones secretas sobre lo que puede llegar a ser el peor acuerdo comercial en décadas, el denominado Acuerdo Transpacífico de Cooperación Económica (TPP), y ahora enfrenta a una batalla cuesta arriba para su ratificación, ya que todos los principales candidatos presidenciales demócratas y muchos de los republicanos han abogado en contra del mismo. El problema no radica tanto en las disposiciones comerciales de dicho acuerdo, sino en el capítulo sobre “inversiones”, que restringe severamente las regulaciones de salud, medio ambiente y seguridad, e incluso las regulaciones financieras, causando impactos macroeconómicos significativos.</w:t>
      </w:r>
    </w:p>
    <w:p w:rsidR="000711BB" w:rsidRPr="00265539"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sidRPr="00265539">
        <w:rPr>
          <w:rFonts w:ascii="Times New Roman" w:hAnsi="Times New Roman" w:cs="Times New Roman"/>
          <w:color w:val="FF0000"/>
          <w:sz w:val="24"/>
          <w:szCs w:val="24"/>
          <w:u w:val="single"/>
        </w:rPr>
        <w:t>En particular, dicho capítulo otorga a los inversionistas extranjeros el derecho a demandar a los gobiernos en tribunales internacionales privados cuando ellos consideren que las regulaciones gubernamentales contravienen los términos del TPP (redactados en más de 6.000 páginas). En el pasado, esos tribunales han interpretado el requisito de que los inversionistas extranjeros reciban un “trato justo y equitativo” como motivo para derribar nuevas</w:t>
      </w:r>
      <w:r>
        <w:rPr>
          <w:rFonts w:ascii="Times New Roman" w:hAnsi="Times New Roman" w:cs="Times New Roman"/>
          <w:color w:val="FF0000"/>
          <w:sz w:val="24"/>
          <w:szCs w:val="24"/>
          <w:u w:val="single"/>
        </w:rPr>
        <w:t xml:space="preserve"> regulaciones gubernamentales -</w:t>
      </w:r>
      <w:r w:rsidRPr="00265539">
        <w:rPr>
          <w:rFonts w:ascii="Times New Roman" w:hAnsi="Times New Roman" w:cs="Times New Roman"/>
          <w:color w:val="FF0000"/>
          <w:sz w:val="24"/>
          <w:szCs w:val="24"/>
          <w:u w:val="single"/>
        </w:rPr>
        <w:t>incluso cuando las mismas no son discriminatorias y se las adopta simplemente para proteger a los ciudadanos de daños atroces recientemente descubiertos.</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04FAA">
        <w:rPr>
          <w:rFonts w:ascii="Times New Roman" w:hAnsi="Times New Roman" w:cs="Times New Roman"/>
          <w:sz w:val="24"/>
          <w:szCs w:val="24"/>
          <w:u w:val="single"/>
        </w:rPr>
        <w:t>Si bien el lenguaje es complejo -lo que es una invitación abierta a costosas demandas en tribunales que enfrentan a corporaciones poderosas contra gobiernos deficientemente financiados- se puede apreciar que incluso las regulaciones que protegen al planeta de las emisiones de los gases de efecto invernadero pueden ser vulneradas</w:t>
      </w:r>
      <w:r w:rsidRPr="00804FAA">
        <w:rPr>
          <w:rFonts w:ascii="Times New Roman" w:hAnsi="Times New Roman" w:cs="Times New Roman"/>
          <w:sz w:val="24"/>
          <w:szCs w:val="24"/>
        </w:rPr>
        <w:t>. Las únicas regulaciones que aparentemente están a salvo son las relacionadas con los cigarrillos (las demandas presentadas contra Uruguay y Australia por exigir un etiquetado modesto acerca de peligros para la salud atrajeron demasiada atención negativa). Sin embargo, sigue habiendo una serie de interrogantes acerca de la posibilidad de demandas en una infinidad de otras áreas.</w:t>
      </w:r>
    </w:p>
    <w:p w:rsidR="000711BB" w:rsidRPr="00265539"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sidRPr="00265539">
        <w:rPr>
          <w:rFonts w:ascii="Times New Roman" w:hAnsi="Times New Roman" w:cs="Times New Roman"/>
          <w:color w:val="FF0000"/>
          <w:sz w:val="24"/>
          <w:szCs w:val="24"/>
          <w:u w:val="single"/>
        </w:rPr>
        <w:lastRenderedPageBreak/>
        <w:t>Asimismo, una disposición sobre la “nación más favorecida” asegura que las empresas puedan reclamar el mejor tratamiento ofrecido en cualquiera de los países anfitriones de los acuerdos. Esto estable una competencia sobre quien llega primero al último lugar – lo que es exactamente lo opuesto a lo prometido por el presidente estadounidense Barack Obama.</w:t>
      </w:r>
    </w:p>
    <w:p w:rsidR="000711BB" w:rsidRPr="00265539" w:rsidRDefault="000711BB" w:rsidP="000711BB">
      <w:pPr>
        <w:shd w:val="clear" w:color="auto" w:fill="FFFFFF"/>
        <w:spacing w:line="240" w:lineRule="auto"/>
        <w:jc w:val="both"/>
        <w:textAlignment w:val="baseline"/>
        <w:rPr>
          <w:rFonts w:ascii="Times New Roman" w:hAnsi="Times New Roman" w:cs="Times New Roman"/>
          <w:b/>
          <w:color w:val="FF0000"/>
          <w:sz w:val="24"/>
          <w:szCs w:val="24"/>
          <w:u w:val="single"/>
        </w:rPr>
      </w:pPr>
      <w:r w:rsidRPr="00265539">
        <w:rPr>
          <w:rFonts w:ascii="Times New Roman" w:hAnsi="Times New Roman" w:cs="Times New Roman"/>
          <w:b/>
          <w:color w:val="FF0000"/>
          <w:sz w:val="24"/>
          <w:szCs w:val="24"/>
          <w:u w:val="single"/>
        </w:rPr>
        <w:t>Incluso la forma en la que Obama abogó por el nuevo acuerdo comercial mostró cuán fuera de foco se encuentra su administración con respecto a la nueva economía mundial. En repetidas ocasiones dijo que e</w:t>
      </w:r>
      <w:r>
        <w:rPr>
          <w:rFonts w:ascii="Times New Roman" w:hAnsi="Times New Roman" w:cs="Times New Roman"/>
          <w:b/>
          <w:color w:val="FF0000"/>
          <w:sz w:val="24"/>
          <w:szCs w:val="24"/>
          <w:u w:val="single"/>
        </w:rPr>
        <w:t>l TPP podría determinar quién -EEUU o China-</w:t>
      </w:r>
      <w:r w:rsidRPr="00265539">
        <w:rPr>
          <w:rFonts w:ascii="Times New Roman" w:hAnsi="Times New Roman" w:cs="Times New Roman"/>
          <w:b/>
          <w:color w:val="FF0000"/>
          <w:sz w:val="24"/>
          <w:szCs w:val="24"/>
          <w:u w:val="single"/>
        </w:rPr>
        <w:t xml:space="preserve"> redactaría las normas de comercio exterior del siglo XXI. El enfoque correcto es llegar a crear dichas normas de manera colectiva, escuchando todas las opiniones, y llevando a cabo todo esto en una forma transparente. Obama ha tratado de perpetuar que se lleven a cabo los negocios de la manera acostumbrada, por lo que las normas que rigen el comercio exterior y la inversión a nivel mundial son redactadas por las corporaciones estadounidenses para las corporaciones estadounidenses. Esto debería ser inaceptable para cualquier persona comprometida con los principios democráticos.</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04FAA">
        <w:rPr>
          <w:rFonts w:ascii="Times New Roman" w:hAnsi="Times New Roman" w:cs="Times New Roman"/>
          <w:sz w:val="24"/>
          <w:szCs w:val="24"/>
        </w:rPr>
        <w:t>Aquellos que buscan una mayor integración económica tienen una responsabilidad especial en cuanto a constituirse en firmes defensores de las reformas de la gobernanza mundial: si la autoridad sobre las políticas nacionales se cede a los organismos supranacionales, lo que sigue, es decir la redacción, implementación y aplicación de las normas y reglamentos, tiene que gestionarse con especial sensibilidad con respecto a las preocupaciones democráticas. Desafortunadamente, este no fue siempre el caso durante el año 2015.</w:t>
      </w:r>
    </w:p>
    <w:p w:rsidR="000711BB" w:rsidRPr="00265539" w:rsidRDefault="000711BB" w:rsidP="000711BB">
      <w:pPr>
        <w:shd w:val="clear" w:color="auto" w:fill="FFFFFF"/>
        <w:spacing w:line="240" w:lineRule="auto"/>
        <w:jc w:val="both"/>
        <w:textAlignment w:val="baseline"/>
        <w:rPr>
          <w:rFonts w:ascii="Times New Roman" w:hAnsi="Times New Roman" w:cs="Times New Roman"/>
          <w:b/>
          <w:color w:val="FF0000"/>
          <w:sz w:val="24"/>
          <w:szCs w:val="24"/>
          <w:u w:val="single"/>
        </w:rPr>
      </w:pPr>
      <w:r w:rsidRPr="00265539">
        <w:rPr>
          <w:rFonts w:ascii="Times New Roman" w:hAnsi="Times New Roman" w:cs="Times New Roman"/>
          <w:b/>
          <w:color w:val="FF0000"/>
          <w:sz w:val="24"/>
          <w:szCs w:val="24"/>
          <w:u w:val="single"/>
        </w:rPr>
        <w:t>En el año 2016, debemos tener la esperanza de que el TPP sea derrotado, y que este sea el año en el comience una nueva era de acuerdos comerciales que no premien a los poderosos y castiguen a los débiles. El acuerdo sobre el clima de París puede ser un buen augurio sobre el espíritu y la conciencia que se necesitan para sustentar una auténtica cooperación a nivel mundial.</w:t>
      </w:r>
    </w:p>
    <w:p w:rsidR="00804FAA"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804FAA">
        <w:rPr>
          <w:rFonts w:ascii="Times New Roman" w:hAnsi="Times New Roman" w:cs="Times New Roman"/>
          <w:sz w:val="24"/>
          <w:szCs w:val="24"/>
          <w:lang w:val="en-US"/>
        </w:rPr>
        <w:t>(Joseph E. Stiglitz, a Nobel laureate in economics and University Professor at Columbia University, was Chairman of President Bill Clinton’s Council of Economic Advisers and served as Senior Vice President and Ch</w:t>
      </w:r>
      <w:r w:rsidR="00804FAA">
        <w:rPr>
          <w:rFonts w:ascii="Times New Roman" w:hAnsi="Times New Roman" w:cs="Times New Roman"/>
          <w:sz w:val="24"/>
          <w:szCs w:val="24"/>
          <w:lang w:val="en-US"/>
        </w:rPr>
        <w:t>ief Economist of the World Bank)</w:t>
      </w:r>
    </w:p>
    <w:p w:rsidR="000711BB" w:rsidRPr="009A2D22" w:rsidRDefault="000711BB" w:rsidP="000711BB">
      <w:pPr>
        <w:shd w:val="clear" w:color="auto" w:fill="FFFFFF"/>
        <w:spacing w:line="240" w:lineRule="auto"/>
        <w:jc w:val="both"/>
        <w:textAlignment w:val="baseline"/>
        <w:rPr>
          <w:rFonts w:ascii="Times New Roman" w:hAnsi="Times New Roman" w:cs="Times New Roman"/>
          <w:color w:val="333333"/>
          <w:sz w:val="24"/>
          <w:szCs w:val="24"/>
          <w:lang w:val="en-US"/>
        </w:rPr>
      </w:pPr>
      <w:r w:rsidRPr="009A2D22">
        <w:rPr>
          <w:rFonts w:ascii="Times New Roman" w:hAnsi="Times New Roman" w:cs="Times New Roman"/>
          <w:color w:val="333333"/>
          <w:sz w:val="24"/>
          <w:szCs w:val="24"/>
          <w:lang w:val="en-US"/>
        </w:rPr>
        <w:t xml:space="preserve">- </w:t>
      </w:r>
      <w:r w:rsidRPr="009A2D22">
        <w:rPr>
          <w:rFonts w:ascii="Times New Roman" w:hAnsi="Times New Roman" w:cs="Times New Roman"/>
          <w:color w:val="333333"/>
          <w:sz w:val="24"/>
          <w:szCs w:val="24"/>
          <w:u w:val="single"/>
          <w:lang w:val="en-US"/>
        </w:rPr>
        <w:t>El reto de dar forma a la Cuarta Revolución Industrial</w:t>
      </w:r>
      <w:r>
        <w:rPr>
          <w:rFonts w:ascii="Times New Roman" w:hAnsi="Times New Roman" w:cs="Times New Roman"/>
          <w:color w:val="333333"/>
          <w:sz w:val="24"/>
          <w:szCs w:val="24"/>
          <w:lang w:val="en-US"/>
        </w:rPr>
        <w:t xml:space="preserve"> (Project Syndicate </w:t>
      </w:r>
      <w:r w:rsidRPr="009A2D22">
        <w:rPr>
          <w:rFonts w:ascii="Times New Roman" w:hAnsi="Times New Roman" w:cs="Times New Roman"/>
          <w:color w:val="333333"/>
          <w:sz w:val="24"/>
          <w:szCs w:val="24"/>
          <w:lang w:val="en-US"/>
        </w:rPr>
        <w:t xml:space="preserve">- </w:t>
      </w:r>
      <w:r w:rsidRPr="009A2D22">
        <w:rPr>
          <w:rFonts w:ascii="Times New Roman" w:hAnsi="Times New Roman" w:cs="Times New Roman"/>
          <w:b/>
          <w:color w:val="333333"/>
          <w:sz w:val="24"/>
          <w:szCs w:val="24"/>
          <w:lang w:val="en-US"/>
        </w:rPr>
        <w:t>11/1/16</w:t>
      </w:r>
      <w:r w:rsidRPr="009A2D22">
        <w:rPr>
          <w:rFonts w:ascii="Times New Roman" w:hAnsi="Times New Roman" w:cs="Times New Roman"/>
          <w:color w:val="333333"/>
          <w:sz w:val="24"/>
          <w:szCs w:val="24"/>
          <w:lang w:val="en-US"/>
        </w:rPr>
        <w:t>)</w:t>
      </w:r>
    </w:p>
    <w:p w:rsidR="000711BB" w:rsidRPr="00845E5D"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Pr>
          <w:rFonts w:ascii="Times New Roman" w:hAnsi="Times New Roman" w:cs="Times New Roman"/>
          <w:color w:val="333333"/>
          <w:sz w:val="24"/>
          <w:szCs w:val="24"/>
        </w:rPr>
        <w:t>Ginebra.-</w:t>
      </w:r>
      <w:r w:rsidRPr="009A7196">
        <w:rPr>
          <w:rFonts w:ascii="Times New Roman" w:hAnsi="Times New Roman" w:cs="Times New Roman"/>
          <w:color w:val="333333"/>
          <w:sz w:val="24"/>
          <w:szCs w:val="24"/>
        </w:rPr>
        <w:t xml:space="preserve"> </w:t>
      </w:r>
      <w:r w:rsidRPr="00845E5D">
        <w:rPr>
          <w:rFonts w:ascii="Times New Roman" w:hAnsi="Times New Roman" w:cs="Times New Roman"/>
          <w:color w:val="FF0000"/>
          <w:sz w:val="24"/>
          <w:szCs w:val="24"/>
          <w:u w:val="single"/>
        </w:rPr>
        <w:t>De entre los muchos desafíos que enfrenta el mundo en la actualidad, quizás el mayor sea cómo orientar la Cuarta Revolución Industrial que comenzó a principios de siglo. Las nuevas tecnologías y enfoques están fusionando los mundos físico, digital y biológico de maneras que transformarán a la humanidad en su esencia misma. Del modo en que abordemos los riesgos y oportunidades que vayan surgiendo dependerá lo positiva que esta transformación pueda llegar a ser.</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04FAA">
        <w:rPr>
          <w:rFonts w:ascii="Times New Roman" w:hAnsi="Times New Roman" w:cs="Times New Roman"/>
          <w:sz w:val="24"/>
          <w:szCs w:val="24"/>
        </w:rPr>
        <w:t xml:space="preserve">La Cuarta Revolución Industrial se basó en la Tercera Revolución Industrial, conocida también como Revolución Digital, que dio pie a la proliferación de los ordenadores y la automatización de los registros, pero la nueva ola transformadora difiere de sus predecesores en varios aspectos clave. En primer lugar, las innovaciones se pueden desarrollar y difundir más rápido que nunca. Segundo, la reducción de los costes de producción y al auge de las plataformas que reúnen y concentran actividades de diferentes sectores aumenta los rendimientos de escala. Tercero, esta revolución global </w:t>
      </w:r>
      <w:r w:rsidRPr="00804FAA">
        <w:rPr>
          <w:rFonts w:ascii="Times New Roman" w:hAnsi="Times New Roman" w:cs="Times New Roman"/>
          <w:sz w:val="24"/>
          <w:szCs w:val="24"/>
        </w:rPr>
        <w:lastRenderedPageBreak/>
        <w:t>afectará a todos los países (y será moldeada por ellos), con un impacto a nivel de sistema en muchas áreas diferentes.</w:t>
      </w:r>
    </w:p>
    <w:p w:rsidR="000711BB" w:rsidRPr="00845E5D"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sidRPr="00845E5D">
        <w:rPr>
          <w:rFonts w:ascii="Times New Roman" w:hAnsi="Times New Roman" w:cs="Times New Roman"/>
          <w:color w:val="FF0000"/>
          <w:sz w:val="24"/>
          <w:szCs w:val="24"/>
          <w:u w:val="single"/>
        </w:rPr>
        <w:t>La Cuarta Revolución Industrial tiene el potencial de empoderar a personas y comunidades a medida que cree nuevas oportunidades de desarrollo económico, social e individual. Pero también puede causar la marginación de algunos grupos, exacerbar la desigualdad, dar origen a nuevos riesgos para la seguridad y socavar las relaciones humanas.</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804FAA">
        <w:rPr>
          <w:rFonts w:ascii="Times New Roman" w:hAnsi="Times New Roman" w:cs="Times New Roman"/>
          <w:sz w:val="24"/>
          <w:szCs w:val="24"/>
          <w:u w:val="single"/>
        </w:rPr>
        <w:t>Para aprovechar las oportunidades y evitar sus riesgos, debemos ponderar cuidadosamente las interrogantes que plantea</w:t>
      </w:r>
      <w:r w:rsidRPr="00804FAA">
        <w:rPr>
          <w:rFonts w:ascii="Times New Roman" w:hAnsi="Times New Roman" w:cs="Times New Roman"/>
          <w:sz w:val="24"/>
          <w:szCs w:val="24"/>
        </w:rPr>
        <w:t xml:space="preserve">: reconsiderar nuestras ideas sobre el desarrollo económico y social, la creación de valor, la privacidad y la propiedad, y hasta la identidad individual. </w:t>
      </w:r>
      <w:r w:rsidRPr="00804FAA">
        <w:rPr>
          <w:rFonts w:ascii="Times New Roman" w:hAnsi="Times New Roman" w:cs="Times New Roman"/>
          <w:sz w:val="24"/>
          <w:szCs w:val="24"/>
          <w:u w:val="single"/>
        </w:rPr>
        <w:t>Tenemos que abordar como individuos y colectivo los problemas morales y éticos que pone por delante la investigación de vanguardia  en inteligencia artificial y biotecnología, cuyos hallazgos harán posible una importante extensión de la vida, el diseño de los bebés y la extracción de la memoria. Y tenemos que adaptarnos a nuevos modos de conocer personas y alimentar relaciones.</w:t>
      </w:r>
    </w:p>
    <w:p w:rsidR="000711BB" w:rsidRPr="00845E5D"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sidRPr="00804FAA">
        <w:rPr>
          <w:rFonts w:ascii="Times New Roman" w:hAnsi="Times New Roman" w:cs="Times New Roman"/>
          <w:sz w:val="24"/>
          <w:szCs w:val="24"/>
        </w:rPr>
        <w:t>No se puede sobrestimar la escala del reto.</w:t>
      </w:r>
      <w:r w:rsidRPr="009A7196">
        <w:rPr>
          <w:rFonts w:ascii="Times New Roman" w:hAnsi="Times New Roman" w:cs="Times New Roman"/>
          <w:color w:val="333333"/>
          <w:sz w:val="24"/>
          <w:szCs w:val="24"/>
        </w:rPr>
        <w:t xml:space="preserve"> </w:t>
      </w:r>
      <w:r w:rsidRPr="00845E5D">
        <w:rPr>
          <w:rFonts w:ascii="Times New Roman" w:hAnsi="Times New Roman" w:cs="Times New Roman"/>
          <w:color w:val="FF0000"/>
          <w:sz w:val="24"/>
          <w:szCs w:val="24"/>
          <w:u w:val="single"/>
        </w:rPr>
        <w:t>La Cuarta Revolución Industrial podría llevarnos a formas de aumento de las capacidades humanas que nos hagan cuestionar la naturaleza misma de nuestra existencia, y más pronto de lo que podríamos imaginar.</w:t>
      </w:r>
    </w:p>
    <w:p w:rsidR="000711BB" w:rsidRPr="00845E5D"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sidRPr="00804FAA">
        <w:rPr>
          <w:rFonts w:ascii="Times New Roman" w:hAnsi="Times New Roman" w:cs="Times New Roman"/>
          <w:sz w:val="24"/>
          <w:szCs w:val="24"/>
          <w:u w:val="single"/>
        </w:rPr>
        <w:t>Pensemos en cómo la tecnología móvil ya ha cambiado nuestras vidas y relaciones. A medida que la novedad de las prendas tecnológicas o wearables abra paso a su necesidad cotidiana (y, más tarde, cuando se conviertan en tecnología integrada a nuestras vidas),</w:t>
      </w:r>
      <w:r w:rsidRPr="00804FAA">
        <w:rPr>
          <w:rFonts w:ascii="Times New Roman" w:hAnsi="Times New Roman" w:cs="Times New Roman"/>
          <w:sz w:val="24"/>
          <w:szCs w:val="24"/>
        </w:rPr>
        <w:t xml:space="preserve"> </w:t>
      </w:r>
      <w:r w:rsidRPr="00845E5D">
        <w:rPr>
          <w:rFonts w:ascii="Times New Roman" w:hAnsi="Times New Roman" w:cs="Times New Roman"/>
          <w:color w:val="FF0000"/>
          <w:sz w:val="24"/>
          <w:szCs w:val="24"/>
          <w:u w:val="single"/>
        </w:rPr>
        <w:t>¿perderemos la oportunidad de hacer pausas, reflexionar y participar de conversaciones significativas y sustanciales? ¿Cómo cambiarán nuestra vida interior y la de quienes nos rodean? Se trata de preguntas de peso sobre las cuales probablemente aumente la intensidad del debate en los años venideros.</w:t>
      </w:r>
    </w:p>
    <w:p w:rsidR="000711BB" w:rsidRPr="00845E5D"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sidRPr="00804FAA">
        <w:rPr>
          <w:rFonts w:ascii="Times New Roman" w:hAnsi="Times New Roman" w:cs="Times New Roman"/>
          <w:sz w:val="24"/>
          <w:szCs w:val="24"/>
        </w:rPr>
        <w:t xml:space="preserve">Por supuesto, la tecnología no es una fuerza exógena sobre la que los seres humanos no tengamos control. </w:t>
      </w:r>
      <w:r w:rsidRPr="00804FAA">
        <w:rPr>
          <w:rFonts w:ascii="Times New Roman" w:hAnsi="Times New Roman" w:cs="Times New Roman"/>
          <w:sz w:val="24"/>
          <w:szCs w:val="24"/>
          <w:u w:val="single"/>
        </w:rPr>
        <w:t>No estamos limitados a una elección binaria entre aceptación y rechazo. Más bien, las decisiones que cada día tomemos como ciudadanos, consumidores e inversionistas marcarán el rumbo del avance tecnológico</w:t>
      </w:r>
      <w:r w:rsidRPr="00804FAA">
        <w:rPr>
          <w:rFonts w:ascii="Times New Roman" w:hAnsi="Times New Roman" w:cs="Times New Roman"/>
          <w:sz w:val="24"/>
          <w:szCs w:val="24"/>
        </w:rPr>
        <w:t xml:space="preserve">. </w:t>
      </w:r>
      <w:r w:rsidRPr="00845E5D">
        <w:rPr>
          <w:rFonts w:ascii="Times New Roman" w:hAnsi="Times New Roman" w:cs="Times New Roman"/>
          <w:color w:val="FF0000"/>
          <w:sz w:val="24"/>
          <w:szCs w:val="24"/>
          <w:u w:val="single"/>
        </w:rPr>
        <w:t>Mientras más pensemos sobre esas decisiones, nosotros mismos y los modelos sociales de los que dependemos, mejores serán nuestras posibilidades de orientar la revolución de modo que vaya en dirección de nuestros objetivos comunes y sostenga nuestros valores.</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804FAA">
        <w:rPr>
          <w:rFonts w:ascii="Times New Roman" w:hAnsi="Times New Roman" w:cs="Times New Roman"/>
          <w:sz w:val="24"/>
          <w:szCs w:val="24"/>
          <w:u w:val="single"/>
        </w:rPr>
        <w:t>En esta dirección será esencial desarrollar nuevas formas de colaboración y gobernanza, junto con una narrativa positiva en común. Para ello son necesarios tres pasos.</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45E5D">
        <w:rPr>
          <w:rFonts w:ascii="Times New Roman" w:hAnsi="Times New Roman" w:cs="Times New Roman"/>
          <w:color w:val="FF0000"/>
          <w:sz w:val="24"/>
          <w:szCs w:val="24"/>
          <w:u w:val="single"/>
        </w:rPr>
        <w:t>Primero, debemos seguir creando conciencia y comprensión acerca de lo que está en juego</w:t>
      </w:r>
      <w:r w:rsidRPr="009A7196">
        <w:rPr>
          <w:rFonts w:ascii="Times New Roman" w:hAnsi="Times New Roman" w:cs="Times New Roman"/>
          <w:color w:val="333333"/>
          <w:sz w:val="24"/>
          <w:szCs w:val="24"/>
        </w:rPr>
        <w:t xml:space="preserve">. </w:t>
      </w:r>
      <w:r w:rsidRPr="00804FAA">
        <w:rPr>
          <w:rFonts w:ascii="Times New Roman" w:hAnsi="Times New Roman" w:cs="Times New Roman"/>
          <w:sz w:val="24"/>
          <w:szCs w:val="24"/>
        </w:rPr>
        <w:t>La toma de decisiones no puede ocurrir aisladamente. Necesitamos un enfoque amplio que reúna a las mentes más brillantes de todo el planeta, de los ámbitos tanto público como  privado.</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45E5D">
        <w:rPr>
          <w:rFonts w:ascii="Times New Roman" w:hAnsi="Times New Roman" w:cs="Times New Roman"/>
          <w:color w:val="FF0000"/>
          <w:sz w:val="24"/>
          <w:szCs w:val="24"/>
          <w:u w:val="single"/>
        </w:rPr>
        <w:t>En segundo lugar, desarrollar narrativas constructivas e integradoras acerca del rumbo que debería tomar esta Cuarta Revolución Industrial</w:t>
      </w:r>
      <w:r w:rsidRPr="009A7196">
        <w:rPr>
          <w:rFonts w:ascii="Times New Roman" w:hAnsi="Times New Roman" w:cs="Times New Roman"/>
          <w:color w:val="333333"/>
          <w:sz w:val="24"/>
          <w:szCs w:val="24"/>
        </w:rPr>
        <w:t xml:space="preserve">. </w:t>
      </w:r>
      <w:r w:rsidRPr="00804FAA">
        <w:rPr>
          <w:rFonts w:ascii="Times New Roman" w:hAnsi="Times New Roman" w:cs="Times New Roman"/>
          <w:sz w:val="24"/>
          <w:szCs w:val="24"/>
        </w:rPr>
        <w:t>Por ejemplo, asegurándonos de que nuestros comportamientos en lo individual y colectivo se guíen por valores morales y éticos, también en los mercados financiero y de capitales. Debemos ir más allá de la tolerancia y el respeto para abrazar una empatía y compasión genuinas y lograr que el empoderamiento y la inclusión se conviertan en principios guía de nuestras acciones.</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45E5D">
        <w:rPr>
          <w:rFonts w:ascii="Times New Roman" w:hAnsi="Times New Roman" w:cs="Times New Roman"/>
          <w:color w:val="FF0000"/>
          <w:sz w:val="24"/>
          <w:szCs w:val="24"/>
          <w:u w:val="single"/>
        </w:rPr>
        <w:lastRenderedPageBreak/>
        <w:t>En tercer lugar, debemos reestructurar nuestros sistemas económico, social y político.</w:t>
      </w:r>
      <w:r w:rsidRPr="009A7196">
        <w:rPr>
          <w:rFonts w:ascii="Times New Roman" w:hAnsi="Times New Roman" w:cs="Times New Roman"/>
          <w:color w:val="333333"/>
          <w:sz w:val="24"/>
          <w:szCs w:val="24"/>
        </w:rPr>
        <w:t xml:space="preserve"> </w:t>
      </w:r>
      <w:r w:rsidRPr="00804FAA">
        <w:rPr>
          <w:rFonts w:ascii="Times New Roman" w:hAnsi="Times New Roman" w:cs="Times New Roman"/>
          <w:sz w:val="24"/>
          <w:szCs w:val="24"/>
        </w:rPr>
        <w:t>Está claro que nuestras actuales estructuras de gobierno y los modelos predominantes de creación de riqueza no pueden satisfacer nuestras necesidades actuales ni, lo que es más importante, las futuras. Hoy no necesitamos ajustes menores ni reformas marginales, sino una transformación amplia y creativa que abarque todo el sistema.</w:t>
      </w:r>
    </w:p>
    <w:p w:rsidR="000711BB" w:rsidRPr="009A7196" w:rsidRDefault="000711BB" w:rsidP="000711BB">
      <w:pPr>
        <w:shd w:val="clear" w:color="auto" w:fill="FFFFFF"/>
        <w:spacing w:line="240" w:lineRule="auto"/>
        <w:jc w:val="both"/>
        <w:textAlignment w:val="baseline"/>
        <w:rPr>
          <w:rFonts w:ascii="Times New Roman" w:hAnsi="Times New Roman" w:cs="Times New Roman"/>
          <w:color w:val="333333"/>
          <w:sz w:val="24"/>
          <w:szCs w:val="24"/>
        </w:rPr>
      </w:pPr>
      <w:r w:rsidRPr="00804FAA">
        <w:rPr>
          <w:rFonts w:ascii="Times New Roman" w:hAnsi="Times New Roman" w:cs="Times New Roman"/>
          <w:sz w:val="24"/>
          <w:szCs w:val="24"/>
        </w:rPr>
        <w:t>El modo en que se desarrolle la Cuarta Revolución Industrial dependerá de las personas, la cultura y los valores. Con todo lo notables que puedan ser, las nuevas tecnologías son en lo fundamental herramientas creadas por personas para personas</w:t>
      </w:r>
      <w:r w:rsidRPr="009A7196">
        <w:rPr>
          <w:rFonts w:ascii="Times New Roman" w:hAnsi="Times New Roman" w:cs="Times New Roman"/>
          <w:color w:val="333333"/>
          <w:sz w:val="24"/>
          <w:szCs w:val="24"/>
        </w:rPr>
        <w:t xml:space="preserve">. </w:t>
      </w:r>
      <w:r w:rsidRPr="00845E5D">
        <w:rPr>
          <w:rFonts w:ascii="Times New Roman" w:hAnsi="Times New Roman" w:cs="Times New Roman"/>
          <w:color w:val="FF0000"/>
          <w:sz w:val="24"/>
          <w:szCs w:val="24"/>
          <w:u w:val="single"/>
        </w:rPr>
        <w:t>Debemos recordar esto y asegurarnos de que la innovación y la tecnología sigan poniendo a la gente en primer lugar, impulsándonos hacia un desarrollo sostenible e integrador</w:t>
      </w:r>
      <w:r w:rsidRPr="009A7196">
        <w:rPr>
          <w:rFonts w:ascii="Times New Roman" w:hAnsi="Times New Roman" w:cs="Times New Roman"/>
          <w:color w:val="333333"/>
          <w:sz w:val="24"/>
          <w:szCs w:val="24"/>
        </w:rPr>
        <w:t>.</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804FAA">
        <w:rPr>
          <w:rFonts w:ascii="Times New Roman" w:hAnsi="Times New Roman" w:cs="Times New Roman"/>
          <w:sz w:val="24"/>
          <w:szCs w:val="24"/>
        </w:rPr>
        <w:t xml:space="preserve">Una vez lleguemos a ese punto, podemos avanzar todavía más. </w:t>
      </w:r>
      <w:r w:rsidRPr="00804FAA">
        <w:rPr>
          <w:rFonts w:ascii="Times New Roman" w:hAnsi="Times New Roman" w:cs="Times New Roman"/>
          <w:sz w:val="24"/>
          <w:szCs w:val="24"/>
          <w:u w:val="single"/>
        </w:rPr>
        <w:t>Tengo la firme convicción de que la nueva era tecnológica, si se encara de forma responsable y asertiva, podría catalizar un nuevo renacimiento cultural que nutra la noción de que somos algo mucho mayor que nosotros: una verdadera civilización global.</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804FAA">
        <w:rPr>
          <w:rFonts w:ascii="Times New Roman" w:hAnsi="Times New Roman" w:cs="Times New Roman"/>
          <w:sz w:val="24"/>
          <w:szCs w:val="24"/>
        </w:rPr>
        <w:t xml:space="preserve">La Cuarta Revolución Industrial puede poner en peligro las fuentes que tradicionalmente han dado sentido a la humanidad (trabajo, comunidad, familia e identidad), o conducirla a una nueva conciencia colectiva y moral que se base en la noción de un destino en común. </w:t>
      </w:r>
      <w:r w:rsidRPr="00804FAA">
        <w:rPr>
          <w:rFonts w:ascii="Times New Roman" w:hAnsi="Times New Roman" w:cs="Times New Roman"/>
          <w:sz w:val="24"/>
          <w:szCs w:val="24"/>
          <w:lang w:val="en-US"/>
        </w:rPr>
        <w:t>Está en nosotros decidir.</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804FAA">
        <w:rPr>
          <w:rFonts w:ascii="Times New Roman" w:hAnsi="Times New Roman" w:cs="Times New Roman"/>
          <w:sz w:val="24"/>
          <w:szCs w:val="24"/>
          <w:lang w:val="en-US"/>
        </w:rPr>
        <w:t>(Klaus Schwab is Founder and Executive Chairman of the World Economic Forum)</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04FAA">
        <w:rPr>
          <w:rFonts w:ascii="Times New Roman" w:hAnsi="Times New Roman" w:cs="Times New Roman"/>
          <w:sz w:val="24"/>
          <w:szCs w:val="24"/>
        </w:rPr>
        <w:t xml:space="preserve">- </w:t>
      </w:r>
      <w:r w:rsidRPr="00804FAA">
        <w:rPr>
          <w:rFonts w:ascii="Times New Roman" w:hAnsi="Times New Roman" w:cs="Times New Roman"/>
          <w:sz w:val="24"/>
          <w:szCs w:val="24"/>
          <w:u w:val="single"/>
        </w:rPr>
        <w:t>Humanizar un futuro inhumano</w:t>
      </w:r>
      <w:r w:rsidRPr="00804FAA">
        <w:rPr>
          <w:rFonts w:ascii="Times New Roman" w:hAnsi="Times New Roman" w:cs="Times New Roman"/>
          <w:sz w:val="24"/>
          <w:szCs w:val="24"/>
        </w:rPr>
        <w:t xml:space="preserve"> (Project Syndicate  - </w:t>
      </w:r>
      <w:r w:rsidRPr="00804FAA">
        <w:rPr>
          <w:rFonts w:ascii="Times New Roman" w:hAnsi="Times New Roman" w:cs="Times New Roman"/>
          <w:b/>
          <w:sz w:val="24"/>
          <w:szCs w:val="24"/>
        </w:rPr>
        <w:t>12/1/16</w:t>
      </w:r>
      <w:r w:rsidRPr="00804FAA">
        <w:rPr>
          <w:rFonts w:ascii="Times New Roman" w:hAnsi="Times New Roman" w:cs="Times New Roman"/>
          <w:sz w:val="24"/>
          <w:szCs w:val="24"/>
        </w:rPr>
        <w:t>)</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804FAA">
        <w:rPr>
          <w:rFonts w:ascii="Times New Roman" w:hAnsi="Times New Roman" w:cs="Times New Roman"/>
          <w:sz w:val="24"/>
          <w:szCs w:val="24"/>
        </w:rPr>
        <w:t xml:space="preserve">Washington, DC.- </w:t>
      </w:r>
      <w:r w:rsidRPr="00804FAA">
        <w:rPr>
          <w:rFonts w:ascii="Times New Roman" w:hAnsi="Times New Roman" w:cs="Times New Roman"/>
          <w:sz w:val="24"/>
          <w:szCs w:val="24"/>
          <w:u w:val="single"/>
        </w:rPr>
        <w:t>El impacto que los avances tecnológicos innovadores tendrán en el funcionamiento de nuestras economías y mercados laborales, como por ejemplo el impacto de la inteligencia artificial, ha sido un tema candente desde hace mucho tiempo. Pero, el libro recientemente publicado de Jerry Kaplan “Humans Need Not Apply: A Guide to Wealth and Work in the Age of Artificial Intelligence” ha hecho que realmente me dé cuenta de la verdadera magnitud de los aspectos socioeconómicos que están en juego.</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04FAA">
        <w:rPr>
          <w:rFonts w:ascii="Times New Roman" w:hAnsi="Times New Roman" w:cs="Times New Roman"/>
          <w:sz w:val="24"/>
          <w:szCs w:val="24"/>
        </w:rPr>
        <w:t>Un ejemplo relativamente bien conocido del impacto que la revolución digital tiene sobre el funcionamiento de los mercados es la capacidad de obtener enormes ganancias en negociaciones de alta frecuencia, al situarse un microsegundo “por delante” de todos los demás. Otro ejemplo es la capacidad de discriminación de precios gracias a los creadores de nuevos mercados electrónicos como Uber, que mediante estos mercados asignan cada centavo del antiguo “excedente del consumidor” de la teoría microeconómica. Pronto un nuevo tipo de Uber mejorado podría surgir, integrando servicios de viajes en vehículos, buses, barcos y aviones, así como habitaciones de hotel, en una “súper-app”. De hecho, en la actualidad algunos fabricantes de automóviles están trabajando exactamente en eso.</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04FAA">
        <w:rPr>
          <w:rFonts w:ascii="Times New Roman" w:hAnsi="Times New Roman" w:cs="Times New Roman"/>
          <w:sz w:val="24"/>
          <w:szCs w:val="24"/>
          <w:u w:val="single"/>
        </w:rPr>
        <w:t>Una pregunta clave que se debe formular es por qué las formas de competencia tradicional no recortan rápidamente estas ganancias. La respuesta se encuentra a menudo en el modelo de negocios</w:t>
      </w:r>
      <w:r w:rsidRPr="00804FAA">
        <w:rPr>
          <w:rFonts w:ascii="Times New Roman" w:hAnsi="Times New Roman" w:cs="Times New Roman"/>
          <w:sz w:val="24"/>
          <w:szCs w:val="24"/>
        </w:rPr>
        <w:t xml:space="preserve">. Las empresas piden prestado mucho para poner en marcha sus actividades, acumulan grandes costos fijos y ofrecen precios tan bajos al principio que pierden dinero. Esto les permite expandir sus negocios en una manera que es prácticamente libre de competencia, hasta establecer lo que es, esencialmente, un </w:t>
      </w:r>
      <w:r w:rsidRPr="00804FAA">
        <w:rPr>
          <w:rFonts w:ascii="Times New Roman" w:hAnsi="Times New Roman" w:cs="Times New Roman"/>
          <w:sz w:val="24"/>
          <w:szCs w:val="24"/>
        </w:rPr>
        <w:lastRenderedPageBreak/>
        <w:t>monopolio. En ese momento, pueden subir sus precios y participar en la discriminación de precios con relativa libertad.</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04FAA">
        <w:rPr>
          <w:rFonts w:ascii="Times New Roman" w:hAnsi="Times New Roman" w:cs="Times New Roman"/>
          <w:sz w:val="24"/>
          <w:szCs w:val="24"/>
          <w:u w:val="single"/>
        </w:rPr>
        <w:t>Como Kaplan señala, eso es, precisamente, lo que Amazon ha hecho</w:t>
      </w:r>
      <w:r w:rsidRPr="00804FAA">
        <w:rPr>
          <w:rFonts w:ascii="Times New Roman" w:hAnsi="Times New Roman" w:cs="Times New Roman"/>
          <w:sz w:val="24"/>
          <w:szCs w:val="24"/>
        </w:rPr>
        <w:t>. Primero logró una escala masiva, la que le permite almacenar productos aún no pedidos en lugares difusamente distribuidos  y con eso puede reducir sus costos de transporte. Por esto Amazon puede ofrecer entrega rápida y gratuita, condiciones que las empresas más pequeñas no pueden superar. Añada a esta situación algoritmos complejos que fijan precios de una manera que se maximiza las ganancias, y el predominio de la empresa parece estar relativamente asegurado.</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804FAA">
        <w:rPr>
          <w:rFonts w:ascii="Times New Roman" w:hAnsi="Times New Roman" w:cs="Times New Roman"/>
          <w:sz w:val="24"/>
          <w:szCs w:val="24"/>
          <w:u w:val="single"/>
        </w:rPr>
        <w:t>Como este abordaje facilita el surgimiento de súper empresas a nivel mundial, se crean graves problemas en los mercados laborales y las sociedades, debido a que se destruyen empleos de nivel medio basados en habilidades tradicionales con mayor rapidez de la que se crean empleos similares basados en nuevas habilidades</w:t>
      </w:r>
      <w:r w:rsidRPr="00804FAA">
        <w:rPr>
          <w:rFonts w:ascii="Times New Roman" w:hAnsi="Times New Roman" w:cs="Times New Roman"/>
          <w:sz w:val="24"/>
          <w:szCs w:val="24"/>
        </w:rPr>
        <w:t xml:space="preserve">. </w:t>
      </w:r>
      <w:r w:rsidRPr="00804FAA">
        <w:rPr>
          <w:rFonts w:ascii="Times New Roman" w:hAnsi="Times New Roman" w:cs="Times New Roman"/>
          <w:sz w:val="24"/>
          <w:szCs w:val="24"/>
          <w:u w:val="single"/>
        </w:rPr>
        <w:t>Es igualmente grave el hecho de que esto contribuye a niveles alarmantes de desigualdad de ingresos, donde unos pocos hogares no sólo disfrutan de riqueza masiva, sino que también ejercen una considerable influencia política. Si el ingreso se concentra demasiado, a un ritmo demasiado rápido, la inversión deseada tenderá a caer por debajo de los ahorros disponibles, creando un desequilibrio macroeconómico keynesiano. (Contrariamente a la creencia popular, lo que importa no es la cantidad real de ingresos que fluye hacia quienes tienen los ingresos más altos, sino los cambios en esos ingresos).</w:t>
      </w:r>
    </w:p>
    <w:p w:rsidR="000711BB" w:rsidRPr="000E6832"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sidRPr="000E6832">
        <w:rPr>
          <w:rFonts w:ascii="Times New Roman" w:hAnsi="Times New Roman" w:cs="Times New Roman"/>
          <w:color w:val="FF0000"/>
          <w:sz w:val="24"/>
          <w:szCs w:val="24"/>
          <w:u w:val="single"/>
        </w:rPr>
        <w:t>Como están las cosas, el impacto de estos remesones tecnológicos continúa siendo relativamente pequeño en los países avanzados. Sin embargo, podría afectar a un 20% del PIB y a un 40% de los empleos hasta el año 2030. Ese es un gran cambio, que ocurre a una velocidad sin precedentes.</w:t>
      </w:r>
    </w:p>
    <w:p w:rsidR="000711BB" w:rsidRPr="000E6832"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sidRPr="000E6832">
        <w:rPr>
          <w:rFonts w:ascii="Times New Roman" w:hAnsi="Times New Roman" w:cs="Times New Roman"/>
          <w:color w:val="FF0000"/>
          <w:sz w:val="24"/>
          <w:szCs w:val="24"/>
          <w:u w:val="single"/>
        </w:rPr>
        <w:t>A pesar de que ya nos estamos a</w:t>
      </w:r>
      <w:r w:rsidR="00590CA6">
        <w:rPr>
          <w:rFonts w:ascii="Times New Roman" w:hAnsi="Times New Roman" w:cs="Times New Roman"/>
          <w:color w:val="FF0000"/>
          <w:sz w:val="24"/>
          <w:szCs w:val="24"/>
          <w:u w:val="single"/>
        </w:rPr>
        <w:t>costumbrando a romper récords -</w:t>
      </w:r>
      <w:r w:rsidRPr="000E6832">
        <w:rPr>
          <w:rFonts w:ascii="Times New Roman" w:hAnsi="Times New Roman" w:cs="Times New Roman"/>
          <w:color w:val="FF0000"/>
          <w:sz w:val="24"/>
          <w:szCs w:val="24"/>
          <w:u w:val="single"/>
        </w:rPr>
        <w:t>por ejemplo, en el año 2013, más del 90% de todos los datos que se acumularon en toda la historia de la humanidad se habían acumul</w:t>
      </w:r>
      <w:r w:rsidR="00590CA6">
        <w:rPr>
          <w:rFonts w:ascii="Times New Roman" w:hAnsi="Times New Roman" w:cs="Times New Roman"/>
          <w:color w:val="FF0000"/>
          <w:sz w:val="24"/>
          <w:szCs w:val="24"/>
          <w:u w:val="single"/>
        </w:rPr>
        <w:t>ado en los dos años anteriores-</w:t>
      </w:r>
      <w:r w:rsidRPr="000E6832">
        <w:rPr>
          <w:rFonts w:ascii="Times New Roman" w:hAnsi="Times New Roman" w:cs="Times New Roman"/>
          <w:color w:val="FF0000"/>
          <w:sz w:val="24"/>
          <w:szCs w:val="24"/>
          <w:u w:val="single"/>
        </w:rPr>
        <w:t xml:space="preserve"> la realidad es que la velocidad y la magnitud de esta transformación plantean importantes desafíos. Si no somos capaces de enfrentar dicha transformación en una manera adecuada, es poco probable que el resultado sea una sociedad más segura y más próspera; al contrario, el resultado más probable sería una sociedad en la que la frustración y la desesperanza aumenten, lo que probablemente conduciría a comportamientos extremos.</w:t>
      </w:r>
    </w:p>
    <w:p w:rsidR="000711BB" w:rsidRPr="000E6832" w:rsidRDefault="000711BB" w:rsidP="000711BB">
      <w:pPr>
        <w:shd w:val="clear" w:color="auto" w:fill="FFFFFF"/>
        <w:spacing w:line="240" w:lineRule="auto"/>
        <w:jc w:val="both"/>
        <w:textAlignment w:val="baseline"/>
        <w:rPr>
          <w:rFonts w:ascii="Times New Roman" w:hAnsi="Times New Roman" w:cs="Times New Roman"/>
          <w:b/>
          <w:color w:val="FF0000"/>
          <w:sz w:val="24"/>
          <w:szCs w:val="24"/>
          <w:u w:val="single"/>
        </w:rPr>
      </w:pPr>
      <w:r w:rsidRPr="000E6832">
        <w:rPr>
          <w:rFonts w:ascii="Times New Roman" w:hAnsi="Times New Roman" w:cs="Times New Roman"/>
          <w:b/>
          <w:color w:val="FF0000"/>
          <w:sz w:val="24"/>
          <w:szCs w:val="24"/>
          <w:u w:val="single"/>
        </w:rPr>
        <w:t>Una propuesta planteada por Kaplan es la creación de una “hipoteca de empleos”. Las empresas con una necesidad futura de determinadas habilidades se convertirían en una especie de patrocinador, involucrándose debido a sus posibles ofertas de empleo en el futuro, de una persona dispuesta a adquirir dichas habilidades. El trabajador podría obtener un préstamo usando como garantía sus ingresos futuros proyectados con el propósito de financiar sus estudios. Los préstamos se reembolsarían una vez que la persona comience a trabajar. Si el empleo no se materializa, la persona se haría responsable de pagar sólo una fracción del préstamo, y la empresa absorbería el saldo, misma que, por lo tanto, compartiría una parte del riesgo. También habría un límite máximo al monto de pagos, calculado en la forma de un porcentaje de los ingresos del empleado.</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804FAA">
        <w:rPr>
          <w:rFonts w:ascii="Times New Roman" w:hAnsi="Times New Roman" w:cs="Times New Roman"/>
          <w:sz w:val="24"/>
          <w:szCs w:val="24"/>
          <w:u w:val="single"/>
        </w:rPr>
        <w:t xml:space="preserve">Otras propuestas se centran en las reformas de los marcos legales con el propósito de reflejar con mayor precisión las nuevas formas de trabajo. Por ejemplo, quienes trabajan parcialmente por cuenta propia, es decir, como empleados autónomos, o quienes están </w:t>
      </w:r>
      <w:r w:rsidRPr="00804FAA">
        <w:rPr>
          <w:rFonts w:ascii="Times New Roman" w:hAnsi="Times New Roman" w:cs="Times New Roman"/>
          <w:sz w:val="24"/>
          <w:szCs w:val="24"/>
          <w:u w:val="single"/>
        </w:rPr>
        <w:lastRenderedPageBreak/>
        <w:t>parcialmente empleados por terceros estarían mejor incorporados en las políticas sociales.</w:t>
      </w:r>
    </w:p>
    <w:p w:rsidR="000711BB" w:rsidRPr="004A45F2"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sidRPr="00804FAA">
        <w:rPr>
          <w:rFonts w:ascii="Times New Roman" w:hAnsi="Times New Roman" w:cs="Times New Roman"/>
          <w:sz w:val="24"/>
          <w:szCs w:val="24"/>
        </w:rPr>
        <w:t>Tales cambios, sin lugar a dudas, serían útiles. Sin embargo, ninguna de estas propuestas refleja la magnitud de la transformación que estamos enfrentando. Fundamentalmente,</w:t>
      </w:r>
      <w:r w:rsidRPr="00F65D08">
        <w:rPr>
          <w:rFonts w:ascii="Times New Roman" w:hAnsi="Times New Roman" w:cs="Times New Roman"/>
          <w:color w:val="333333"/>
          <w:sz w:val="24"/>
          <w:szCs w:val="24"/>
        </w:rPr>
        <w:t xml:space="preserve"> </w:t>
      </w:r>
      <w:r w:rsidRPr="004A45F2">
        <w:rPr>
          <w:rFonts w:ascii="Times New Roman" w:hAnsi="Times New Roman" w:cs="Times New Roman"/>
          <w:color w:val="FF0000"/>
          <w:sz w:val="24"/>
          <w:szCs w:val="24"/>
          <w:u w:val="single"/>
        </w:rPr>
        <w:t>lo que realmente necesitamos es transformar la forma como funcionan nuestras sociedades – y necesitamos hacer esto rápidamente.</w:t>
      </w:r>
    </w:p>
    <w:p w:rsidR="000711BB" w:rsidRPr="004A45F2"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sidRPr="004A45F2">
        <w:rPr>
          <w:rFonts w:ascii="Times New Roman" w:hAnsi="Times New Roman" w:cs="Times New Roman"/>
          <w:color w:val="FF0000"/>
          <w:sz w:val="24"/>
          <w:szCs w:val="24"/>
          <w:u w:val="single"/>
        </w:rPr>
        <w:t>France Stratégie, que es asesora del gobierno francés, y el empresario estadounidense Nick Hanauer han propuesto reformas de política social que comparten una base conceptual similar. Las personas ganan “reclamaciones” a lo largo de sus períodos de vida, primero por ser residentes legales, y luego, por ejemplo digamos, por la obtención de títulos académicos, el logro de certificados profesionales, la realización de servicios a la comunidad (incluyendo el servicio militar), y por ganar dinero. Estas reclamaciones pueden ser canjeadas por diversos beneficios, como por ejemplo licencias por motivos familiares, reentrenamiento laboral, o ingresos de jubilación complementarios. El sistema incluiría a todos los residentes y sería totalmente portátil, con una gran cantidad de espacio para que las personas puedan elegir cómo y cuándo irían a utilizar sus reclamaciones.</w:t>
      </w:r>
      <w:r w:rsidR="00804FAA">
        <w:rPr>
          <w:rFonts w:ascii="Times New Roman" w:hAnsi="Times New Roman" w:cs="Times New Roman"/>
          <w:color w:val="FF0000"/>
          <w:sz w:val="24"/>
          <w:szCs w:val="24"/>
          <w:u w:val="single"/>
        </w:rPr>
        <w:t xml:space="preserve"> Acuerdos complementarios -</w:t>
      </w:r>
      <w:r w:rsidRPr="004A45F2">
        <w:rPr>
          <w:rFonts w:ascii="Times New Roman" w:hAnsi="Times New Roman" w:cs="Times New Roman"/>
          <w:color w:val="FF0000"/>
          <w:sz w:val="24"/>
          <w:szCs w:val="24"/>
          <w:u w:val="single"/>
        </w:rPr>
        <w:t>por ejemplo con los posibles empleadores quienes ofrecen créditos adicionale</w:t>
      </w:r>
      <w:r w:rsidR="00804FAA">
        <w:rPr>
          <w:rFonts w:ascii="Times New Roman" w:hAnsi="Times New Roman" w:cs="Times New Roman"/>
          <w:color w:val="FF0000"/>
          <w:sz w:val="24"/>
          <w:szCs w:val="24"/>
          <w:u w:val="single"/>
        </w:rPr>
        <w:t>s para reentrenamiento laboral-</w:t>
      </w:r>
      <w:r w:rsidRPr="004A45F2">
        <w:rPr>
          <w:rFonts w:ascii="Times New Roman" w:hAnsi="Times New Roman" w:cs="Times New Roman"/>
          <w:color w:val="FF0000"/>
          <w:sz w:val="24"/>
          <w:szCs w:val="24"/>
          <w:u w:val="single"/>
        </w:rPr>
        <w:t xml:space="preserve"> se podrían también implementar.</w:t>
      </w:r>
    </w:p>
    <w:p w:rsidR="000711BB" w:rsidRPr="004A45F2" w:rsidRDefault="000711BB" w:rsidP="000711BB">
      <w:pPr>
        <w:shd w:val="clear" w:color="auto" w:fill="FFFFFF"/>
        <w:spacing w:line="240" w:lineRule="auto"/>
        <w:jc w:val="both"/>
        <w:textAlignment w:val="baseline"/>
        <w:rPr>
          <w:rFonts w:ascii="Times New Roman" w:hAnsi="Times New Roman" w:cs="Times New Roman"/>
          <w:b/>
          <w:color w:val="FF0000"/>
          <w:sz w:val="24"/>
          <w:szCs w:val="24"/>
          <w:u w:val="single"/>
        </w:rPr>
      </w:pPr>
      <w:r w:rsidRPr="004A45F2">
        <w:rPr>
          <w:rFonts w:ascii="Times New Roman" w:hAnsi="Times New Roman" w:cs="Times New Roman"/>
          <w:b/>
          <w:color w:val="FF0000"/>
          <w:sz w:val="24"/>
          <w:szCs w:val="24"/>
          <w:u w:val="single"/>
        </w:rPr>
        <w:t>De manera paralela, los gobiernos deben mejorar su política de competencia para protegerse frente al surgimiento de monopolios mundiales. En este punto, los nuevos acuerdos comerciales mega-regionales, como ser el Asociación Transatlántica para el Comercio y la Inversión y el Acuerdo Estratégico Trans-Pacífico de Asociación Económica, debería resultar ser muy valiosos, siempre y cuando no se permita que los actores poderosos de hoy en día impongan condiciones que promuevan únicamente sus propios intereses. También se debe fortalecer a la cooperación internacional para evitar que las multinacionales evadan impuestos al trasladar ganancias entre jurisdicciones. Tal evasión fiscal ha llegado a cientos de miles de millones de dólares.</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rPr>
      </w:pPr>
      <w:r w:rsidRPr="00804FAA">
        <w:rPr>
          <w:rFonts w:ascii="Times New Roman" w:hAnsi="Times New Roman" w:cs="Times New Roman"/>
          <w:sz w:val="24"/>
          <w:szCs w:val="24"/>
        </w:rPr>
        <w:t>Hacer uno que otro cambio para remendar los sistemas existentes no será suficiente para prepararnos para la transformación impulsada por la tecnología que estamos enfrentando. Necesitamos una estrategia integral destinada a hacer que los mercados – y las políticas – sean realmente competitivos, y para garantizar que las políticas públicas trabajen para el beneficio de todos.</w:t>
      </w:r>
    </w:p>
    <w:p w:rsidR="000711BB" w:rsidRPr="00804FAA"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804FAA">
        <w:rPr>
          <w:rFonts w:ascii="Times New Roman" w:hAnsi="Times New Roman" w:cs="Times New Roman"/>
          <w:sz w:val="24"/>
          <w:szCs w:val="24"/>
          <w:lang w:val="en-US"/>
        </w:rPr>
        <w:t>(Kemal Derviş, former Minister of Economic Affairs of Turkey and former Administrator for the United Nations Development Program (UNDP), is a vice president of the Brookings Institution)</w:t>
      </w:r>
    </w:p>
    <w:p w:rsidR="000711BB" w:rsidRPr="00B361F7" w:rsidRDefault="000711BB" w:rsidP="000711BB">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t xml:space="preserve">- </w:t>
      </w:r>
      <w:r w:rsidRPr="00B361F7">
        <w:rPr>
          <w:rFonts w:ascii="Times New Roman" w:hAnsi="Times New Roman" w:cs="Times New Roman"/>
          <w:sz w:val="24"/>
          <w:szCs w:val="24"/>
          <w:u w:val="single"/>
        </w:rPr>
        <w:t>El reto de afrontar el cambio en el mercado laboral</w:t>
      </w:r>
      <w:r>
        <w:rPr>
          <w:rFonts w:ascii="Times New Roman" w:hAnsi="Times New Roman" w:cs="Times New Roman"/>
          <w:sz w:val="24"/>
          <w:szCs w:val="24"/>
        </w:rPr>
        <w:t xml:space="preserve"> (Project Syndicate - </w:t>
      </w:r>
      <w:r w:rsidRPr="00B361F7">
        <w:rPr>
          <w:rFonts w:ascii="Times New Roman" w:hAnsi="Times New Roman" w:cs="Times New Roman"/>
          <w:b/>
          <w:sz w:val="24"/>
          <w:szCs w:val="24"/>
        </w:rPr>
        <w:t>18/1/16</w:t>
      </w:r>
      <w:r>
        <w:rPr>
          <w:rFonts w:ascii="Times New Roman" w:hAnsi="Times New Roman" w:cs="Times New Roman"/>
          <w:sz w:val="24"/>
          <w:szCs w:val="24"/>
        </w:rPr>
        <w:t>)</w:t>
      </w:r>
    </w:p>
    <w:p w:rsidR="000711BB" w:rsidRPr="004D7456"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Pr>
          <w:rFonts w:ascii="Times New Roman" w:hAnsi="Times New Roman" w:cs="Times New Roman"/>
          <w:sz w:val="24"/>
          <w:szCs w:val="24"/>
        </w:rPr>
        <w:t>Davos.-</w:t>
      </w:r>
      <w:r w:rsidRPr="00B361F7">
        <w:rPr>
          <w:rFonts w:ascii="Times New Roman" w:hAnsi="Times New Roman" w:cs="Times New Roman"/>
          <w:sz w:val="24"/>
          <w:szCs w:val="24"/>
        </w:rPr>
        <w:t xml:space="preserve"> </w:t>
      </w:r>
      <w:r w:rsidRPr="004D7456">
        <w:rPr>
          <w:rFonts w:ascii="Times New Roman" w:hAnsi="Times New Roman" w:cs="Times New Roman"/>
          <w:color w:val="FF0000"/>
          <w:sz w:val="24"/>
          <w:szCs w:val="24"/>
          <w:u w:val="single"/>
        </w:rPr>
        <w:t>Mientras la economía mundial cambia a un ritmo cada vez más acelerado, en varios países el mercado laboral no sólo lucha por mantenerse en pie sino que parece haberse descompuesto de distintas maneras importantes. Coexisten un alto desempleo y puestos de trabajo sin llenarse. La productividad en ascenso no se expresa en salarios más altos. Para muchos el ascenso social resulta inalcanzable a pesar de que la economía ha comenzado a recuperarse.</w:t>
      </w:r>
    </w:p>
    <w:p w:rsidR="000711BB" w:rsidRPr="00B361F7" w:rsidRDefault="000711BB" w:rsidP="000711BB">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lastRenderedPageBreak/>
        <w:t xml:space="preserve">Afortunadamente, parece que hay cambios en camino. </w:t>
      </w:r>
      <w:r w:rsidRPr="004D7456">
        <w:rPr>
          <w:rFonts w:ascii="Times New Roman" w:hAnsi="Times New Roman" w:cs="Times New Roman"/>
          <w:sz w:val="24"/>
          <w:szCs w:val="24"/>
          <w:u w:val="single"/>
        </w:rPr>
        <w:t>Cuatro tendencias globales están dando nueva forma al mundo laboral</w:t>
      </w:r>
      <w:r w:rsidRPr="00B361F7">
        <w:rPr>
          <w:rFonts w:ascii="Times New Roman" w:hAnsi="Times New Roman" w:cs="Times New Roman"/>
          <w:sz w:val="24"/>
          <w:szCs w:val="24"/>
        </w:rPr>
        <w:t>, ayudando a solucionar contradicciones y superar las disfunciones que surgen a medida que las empresas, los trabajadores y los gobiernos se adaptan al nuevo entorno demográfico, tecnológico y económico.</w:t>
      </w:r>
    </w:p>
    <w:p w:rsidR="000711BB" w:rsidRPr="00B361F7" w:rsidRDefault="000711BB" w:rsidP="000711BB">
      <w:pPr>
        <w:shd w:val="clear" w:color="auto" w:fill="FFFFFF"/>
        <w:spacing w:line="240" w:lineRule="auto"/>
        <w:jc w:val="both"/>
        <w:textAlignment w:val="baseline"/>
        <w:rPr>
          <w:rFonts w:ascii="Times New Roman" w:hAnsi="Times New Roman" w:cs="Times New Roman"/>
          <w:sz w:val="24"/>
          <w:szCs w:val="24"/>
        </w:rPr>
      </w:pPr>
      <w:r w:rsidRPr="004D7456">
        <w:rPr>
          <w:rFonts w:ascii="Times New Roman" w:hAnsi="Times New Roman" w:cs="Times New Roman"/>
          <w:color w:val="FF0000"/>
          <w:sz w:val="24"/>
          <w:szCs w:val="24"/>
          <w:u w:val="single"/>
        </w:rPr>
        <w:t>La primera tendencia es demográfica</w:t>
      </w:r>
      <w:r w:rsidRPr="00B361F7">
        <w:rPr>
          <w:rFonts w:ascii="Times New Roman" w:hAnsi="Times New Roman" w:cs="Times New Roman"/>
          <w:sz w:val="24"/>
          <w:szCs w:val="24"/>
        </w:rPr>
        <w:t xml:space="preserve">. En gran parte del mundo, el envejecimiento de la población y la reducción de las tasas de natalidad implica que se acercan a su fin los tiempos en que la mano de obra era abundante. </w:t>
      </w:r>
      <w:r w:rsidRPr="004D7456">
        <w:rPr>
          <w:rFonts w:ascii="Times New Roman" w:hAnsi="Times New Roman" w:cs="Times New Roman"/>
          <w:sz w:val="24"/>
          <w:szCs w:val="24"/>
          <w:u w:val="single"/>
        </w:rPr>
        <w:t>Cerca del 60% de la población mundial habita en países con fuerzas de trabajo estancadas o en caída</w:t>
      </w:r>
      <w:r w:rsidRPr="00B361F7">
        <w:rPr>
          <w:rFonts w:ascii="Times New Roman" w:hAnsi="Times New Roman" w:cs="Times New Roman"/>
          <w:sz w:val="24"/>
          <w:szCs w:val="24"/>
        </w:rPr>
        <w:t>. La población en edad laboral de China alcanzó su máximo en 2010; para 2050, más de un cuarto de su población tendrá más de 65 años (hoy la cifra es apenas un 8%). En Alemania, se espera que la fuerza laboral descienda en seis millones de personas en los próximos 15 años.</w:t>
      </w:r>
    </w:p>
    <w:p w:rsidR="000711BB" w:rsidRPr="00B361F7" w:rsidRDefault="000711BB" w:rsidP="000711BB">
      <w:pPr>
        <w:shd w:val="clear" w:color="auto" w:fill="FFFFFF"/>
        <w:spacing w:line="240" w:lineRule="auto"/>
        <w:jc w:val="both"/>
        <w:textAlignment w:val="baseline"/>
        <w:rPr>
          <w:rFonts w:ascii="Times New Roman" w:hAnsi="Times New Roman" w:cs="Times New Roman"/>
          <w:sz w:val="24"/>
          <w:szCs w:val="24"/>
        </w:rPr>
      </w:pPr>
      <w:r w:rsidRPr="004D7456">
        <w:rPr>
          <w:rFonts w:ascii="Times New Roman" w:hAnsi="Times New Roman" w:cs="Times New Roman"/>
          <w:sz w:val="24"/>
          <w:szCs w:val="24"/>
          <w:u w:val="single"/>
        </w:rPr>
        <w:t>A medida que la mano de obra se vuelva cada vez más escasa, los empleadores y las autoridades se verán obligados a reconsiderar sus modos de encontrar habilidades</w:t>
      </w:r>
      <w:r w:rsidRPr="00B361F7">
        <w:rPr>
          <w:rFonts w:ascii="Times New Roman" w:hAnsi="Times New Roman" w:cs="Times New Roman"/>
          <w:sz w:val="24"/>
          <w:szCs w:val="24"/>
        </w:rPr>
        <w:t>. En Japón, donde un cuarto de la población es mayor de 65 años, el Primer Ministro Shinzo Abe ha impulsado una importante iniciativa para hacer que más mujeres y personas de edad formen parte del mercado laboral. Como resultado, a pesar de que en el país la población en edad laboral (según su definición tradicional) ha descendido en un 8% en la última década, la caída de la fuerza laboral fue de apenas un 1%.</w:t>
      </w:r>
    </w:p>
    <w:p w:rsidR="000711BB" w:rsidRPr="00B361F7" w:rsidRDefault="000711BB" w:rsidP="000711BB">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t>En otros lugares están apareciendo otras estrategias para cerrar la brecha laboral. Frente al envejecimiento de la población, las empresas del sector aeronáutico han impulsado horarios de trabajo flexibles, jubilaciones escalonadas por fases, carreras “encore” (es decir, reorientación profesional tras la mitad de la vida) y una gran cantidad de programas de transferencia de conocimientos para capacitar a la nueva generación de empleados. Las compañías que no pueden encontrar en un país el talento que precisan hacen uso del teletrabajo, e intentan atraer grupos subrepresentados, como mujeres, jóvenes, minorías, personas con discapacidades y emigrantes.</w:t>
      </w:r>
    </w:p>
    <w:p w:rsidR="000711BB" w:rsidRPr="004D7456"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4D7456">
        <w:rPr>
          <w:rFonts w:ascii="Times New Roman" w:hAnsi="Times New Roman" w:cs="Times New Roman"/>
          <w:color w:val="FF0000"/>
          <w:sz w:val="24"/>
          <w:szCs w:val="24"/>
          <w:u w:val="single"/>
        </w:rPr>
        <w:t>Al mismo tiempo, otra tendencia, el auge de la opción individual, está dando a los trabajadores una flexibilidad sin precedentes.</w:t>
      </w:r>
      <w:r w:rsidRPr="00B361F7">
        <w:rPr>
          <w:rFonts w:ascii="Times New Roman" w:hAnsi="Times New Roman" w:cs="Times New Roman"/>
          <w:sz w:val="24"/>
          <w:szCs w:val="24"/>
        </w:rPr>
        <w:t xml:space="preserve"> Hoy, cuando al alcance de un clic hay millones de puestos de trabajo, la mayoría de los nacidos a comienzos de siglo esperan cambiar de orientación varias veces durante el curso de sus carreras profesionales. </w:t>
      </w:r>
      <w:r w:rsidRPr="004D7456">
        <w:rPr>
          <w:rFonts w:ascii="Times New Roman" w:hAnsi="Times New Roman" w:cs="Times New Roman"/>
          <w:sz w:val="24"/>
          <w:szCs w:val="24"/>
          <w:u w:val="single"/>
        </w:rPr>
        <w:t>En lugar de tratar de aferrarse a un empleo de por vida, la meta hoy es mantenerse empleable: desarrollar las habilidades y experiencia necesarias para avanzar, independientemente de cuál sea el empleador.</w:t>
      </w:r>
    </w:p>
    <w:p w:rsidR="000711BB" w:rsidRPr="004D7456"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4D7456">
        <w:rPr>
          <w:rFonts w:ascii="Times New Roman" w:hAnsi="Times New Roman" w:cs="Times New Roman"/>
          <w:sz w:val="24"/>
          <w:szCs w:val="24"/>
          <w:u w:val="single"/>
        </w:rPr>
        <w:t>Como resultado, cada vez más las habilidades determinan los salarios y las oportunidades, en lugar de la antigüedad</w:t>
      </w:r>
      <w:r w:rsidRPr="00B361F7">
        <w:rPr>
          <w:rFonts w:ascii="Times New Roman" w:hAnsi="Times New Roman" w:cs="Times New Roman"/>
          <w:sz w:val="24"/>
          <w:szCs w:val="24"/>
        </w:rPr>
        <w:t xml:space="preserve">. Estos talentos más buscados cuentan con mayor poder de negociación, pueden administrar sus carreras en mejores condiciones y lograr salarios más altos. </w:t>
      </w:r>
      <w:r w:rsidRPr="004D7456">
        <w:rPr>
          <w:rFonts w:ascii="Times New Roman" w:hAnsi="Times New Roman" w:cs="Times New Roman"/>
          <w:sz w:val="24"/>
          <w:szCs w:val="24"/>
          <w:u w:val="single"/>
        </w:rPr>
        <w:t>Quienes carecen de habilidades demandadas sufren dificultades y se sienten prescindibles.</w:t>
      </w:r>
    </w:p>
    <w:p w:rsidR="000711BB" w:rsidRPr="00B361F7" w:rsidRDefault="000711BB" w:rsidP="000711BB">
      <w:pPr>
        <w:shd w:val="clear" w:color="auto" w:fill="FFFFFF"/>
        <w:spacing w:line="240" w:lineRule="auto"/>
        <w:jc w:val="both"/>
        <w:textAlignment w:val="baseline"/>
        <w:rPr>
          <w:rFonts w:ascii="Times New Roman" w:hAnsi="Times New Roman" w:cs="Times New Roman"/>
          <w:sz w:val="24"/>
          <w:szCs w:val="24"/>
        </w:rPr>
      </w:pPr>
      <w:r w:rsidRPr="004D7456">
        <w:rPr>
          <w:rFonts w:ascii="Times New Roman" w:hAnsi="Times New Roman" w:cs="Times New Roman"/>
          <w:sz w:val="24"/>
          <w:szCs w:val="24"/>
          <w:u w:val="single"/>
        </w:rPr>
        <w:t>Hasta ahora, esta abundancia de opciones ha hecho que las compañías prefieran no invertir recursos en capacitar empleados que, después de todo, pronto podrían decidir unirse a un competidor</w:t>
      </w:r>
      <w:r w:rsidRPr="00B361F7">
        <w:rPr>
          <w:rFonts w:ascii="Times New Roman" w:hAnsi="Times New Roman" w:cs="Times New Roman"/>
          <w:sz w:val="24"/>
          <w:szCs w:val="24"/>
        </w:rPr>
        <w:t>. Sin embargo, a medida que sea más difícil retener a los empleados bien cualificados, es posible que decidan invertir más en desarrollo profesional. Los empleadores que lo ofrezcan se convertirán en un destino para los trabajadores talentosos.</w:t>
      </w:r>
    </w:p>
    <w:p w:rsidR="000711BB" w:rsidRPr="004D7456"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4D7456">
        <w:rPr>
          <w:rFonts w:ascii="Times New Roman" w:hAnsi="Times New Roman" w:cs="Times New Roman"/>
          <w:color w:val="FF0000"/>
          <w:sz w:val="24"/>
          <w:szCs w:val="24"/>
          <w:u w:val="single"/>
        </w:rPr>
        <w:lastRenderedPageBreak/>
        <w:t>La tercera tendencia que está dando nueva forma a los mercados laborales es la rapidez del cambio tecnológico, del que pocos sectores industriales están a salvo</w:t>
      </w:r>
      <w:r w:rsidRPr="00B361F7">
        <w:rPr>
          <w:rFonts w:ascii="Times New Roman" w:hAnsi="Times New Roman" w:cs="Times New Roman"/>
          <w:sz w:val="24"/>
          <w:szCs w:val="24"/>
        </w:rPr>
        <w:t xml:space="preserve">. Se espera que la automatización, facilitada por una mejor tecnología de inteligencia digital, tenga un efecto importante sobre los empleos. </w:t>
      </w:r>
      <w:r w:rsidRPr="004D7456">
        <w:rPr>
          <w:rFonts w:ascii="Times New Roman" w:hAnsi="Times New Roman" w:cs="Times New Roman"/>
          <w:b/>
          <w:color w:val="FF0000"/>
          <w:sz w:val="24"/>
          <w:szCs w:val="24"/>
          <w:u w:val="single"/>
        </w:rPr>
        <w:t>Es altamente probable que hasta un 47% de los puestos de trabajo que existían en Estados Unidos en 2010 dejen de existir debido a la computarización en las próximas dos décadas.</w:t>
      </w:r>
      <w:r w:rsidRPr="00B361F7">
        <w:rPr>
          <w:rFonts w:ascii="Times New Roman" w:hAnsi="Times New Roman" w:cs="Times New Roman"/>
          <w:sz w:val="24"/>
          <w:szCs w:val="24"/>
        </w:rPr>
        <w:t xml:space="preserve"> </w:t>
      </w:r>
      <w:r w:rsidRPr="004D7456">
        <w:rPr>
          <w:rFonts w:ascii="Times New Roman" w:hAnsi="Times New Roman" w:cs="Times New Roman"/>
          <w:sz w:val="24"/>
          <w:szCs w:val="24"/>
          <w:u w:val="single"/>
        </w:rPr>
        <w:t>Si la historia sirve de pauta, nuevas industrias y oportunidades reemplazarán a las que se pierda, pero la transición será dificultosa y durará décadas.</w:t>
      </w:r>
    </w:p>
    <w:p w:rsidR="000711BB" w:rsidRPr="00B361F7" w:rsidRDefault="000711BB" w:rsidP="000711BB">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t xml:space="preserve">Y, sin embargo, hay razones para el optimismo. Incluso si la tecnología barre sectores de la industria, facilitará el surgimiento de nuevos modelos que podrían ayudar a solucionar algunos de los problemas del sector laboral. </w:t>
      </w:r>
      <w:r w:rsidRPr="00D12A8A">
        <w:rPr>
          <w:rFonts w:ascii="Times New Roman" w:hAnsi="Times New Roman" w:cs="Times New Roman"/>
          <w:sz w:val="24"/>
          <w:szCs w:val="24"/>
          <w:u w:val="single"/>
        </w:rPr>
        <w:t>PricewaterhouseCoopers estima que los cinco principales sectores del consumo colaborativo (financiamiento entre pares, dotación de personal en línea, alojamiento entre pares, uso compartido de vehículos y streaming de vídeo y música) podría crecer de los actuales 15 mil millones de dólares en ingresos a 335 mil millones en 2025.</w:t>
      </w:r>
      <w:r w:rsidRPr="00B361F7">
        <w:rPr>
          <w:rFonts w:ascii="Times New Roman" w:hAnsi="Times New Roman" w:cs="Times New Roman"/>
          <w:sz w:val="24"/>
          <w:szCs w:val="24"/>
        </w:rPr>
        <w:t xml:space="preserve"> No hay duda de que se trata de una industria de menor tamaño, pero ha desatado un torrente de creatividad a partir de la pregunta básica de cómo alinear mejor la oferta y la demanda de trabajo en un mundo que avanza a un ritmo cada vez mayor.</w:t>
      </w:r>
    </w:p>
    <w:p w:rsidR="000711BB" w:rsidRPr="00B361F7" w:rsidRDefault="000711BB" w:rsidP="000711BB">
      <w:pPr>
        <w:shd w:val="clear" w:color="auto" w:fill="FFFFFF"/>
        <w:spacing w:line="240" w:lineRule="auto"/>
        <w:jc w:val="both"/>
        <w:textAlignment w:val="baseline"/>
        <w:rPr>
          <w:rFonts w:ascii="Times New Roman" w:hAnsi="Times New Roman" w:cs="Times New Roman"/>
          <w:sz w:val="24"/>
          <w:szCs w:val="24"/>
        </w:rPr>
      </w:pPr>
      <w:r w:rsidRPr="00D12A8A">
        <w:rPr>
          <w:rFonts w:ascii="Times New Roman" w:hAnsi="Times New Roman" w:cs="Times New Roman"/>
          <w:color w:val="FF0000"/>
          <w:sz w:val="24"/>
          <w:szCs w:val="24"/>
          <w:u w:val="single"/>
        </w:rPr>
        <w:t>Una cuarta tendencia que es evidente en el mercado laboral de hoy en día es la rápida adopción del manejo de recursos humanos basados en datos por parte de los empleadores con sofisticación tecnológica</w:t>
      </w:r>
      <w:r w:rsidRPr="00B361F7">
        <w:rPr>
          <w:rFonts w:ascii="Times New Roman" w:hAnsi="Times New Roman" w:cs="Times New Roman"/>
          <w:sz w:val="24"/>
          <w:szCs w:val="24"/>
        </w:rPr>
        <w:t xml:space="preserve">. La gestión del talento ha pasado de ser un arte a una ciencia, a medida que </w:t>
      </w:r>
      <w:r w:rsidRPr="00D12A8A">
        <w:rPr>
          <w:rFonts w:ascii="Times New Roman" w:hAnsi="Times New Roman" w:cs="Times New Roman"/>
          <w:sz w:val="24"/>
          <w:szCs w:val="24"/>
          <w:u w:val="single"/>
        </w:rPr>
        <w:t xml:space="preserve">las organizaciones aplican big data y técnicas de cadena de suministro </w:t>
      </w:r>
      <w:r w:rsidRPr="00B361F7">
        <w:rPr>
          <w:rFonts w:ascii="Times New Roman" w:hAnsi="Times New Roman" w:cs="Times New Roman"/>
          <w:sz w:val="24"/>
          <w:szCs w:val="24"/>
        </w:rPr>
        <w:t xml:space="preserve">para enfocar la selección y la retención. </w:t>
      </w:r>
      <w:r w:rsidRPr="00D12A8A">
        <w:rPr>
          <w:rFonts w:ascii="Times New Roman" w:hAnsi="Times New Roman" w:cs="Times New Roman"/>
          <w:sz w:val="24"/>
          <w:szCs w:val="24"/>
          <w:u w:val="single"/>
        </w:rPr>
        <w:t>Con la proliferación del llamado análisis de personas (pruebas de inteligencia y comportamiento, tarjetas de puntuación de desempeño digital y mejores sistemas de información), las compañías conocen como nunca antes a sus empleados.</w:t>
      </w:r>
      <w:r w:rsidRPr="00B361F7">
        <w:rPr>
          <w:rFonts w:ascii="Times New Roman" w:hAnsi="Times New Roman" w:cs="Times New Roman"/>
          <w:sz w:val="24"/>
          <w:szCs w:val="24"/>
        </w:rPr>
        <w:t xml:space="preserve"> Es más fácil ver dónde están los mejores talentos al interior de una compañía o dónde podría haber brechas.</w:t>
      </w:r>
    </w:p>
    <w:p w:rsidR="000711BB" w:rsidRPr="00B361F7" w:rsidRDefault="000711BB" w:rsidP="000711BB">
      <w:pPr>
        <w:shd w:val="clear" w:color="auto" w:fill="FFFFFF"/>
        <w:spacing w:line="240" w:lineRule="auto"/>
        <w:jc w:val="both"/>
        <w:textAlignment w:val="baseline"/>
        <w:rPr>
          <w:rFonts w:ascii="Times New Roman" w:hAnsi="Times New Roman" w:cs="Times New Roman"/>
          <w:sz w:val="24"/>
          <w:szCs w:val="24"/>
        </w:rPr>
      </w:pPr>
      <w:r w:rsidRPr="00B361F7">
        <w:rPr>
          <w:rFonts w:ascii="Times New Roman" w:hAnsi="Times New Roman" w:cs="Times New Roman"/>
          <w:sz w:val="24"/>
          <w:szCs w:val="24"/>
        </w:rPr>
        <w:t xml:space="preserve">Las compañías están haciendo uso de estos datos para pensar más estratégicamente sobre cómo seleccionar y contratar talento humano. Por ejemplo, dado lo difícil que resulta mantenerse al día con la cambiante tecnología, </w:t>
      </w:r>
      <w:r w:rsidRPr="00D12A8A">
        <w:rPr>
          <w:rFonts w:ascii="Times New Roman" w:hAnsi="Times New Roman" w:cs="Times New Roman"/>
          <w:sz w:val="24"/>
          <w:szCs w:val="24"/>
          <w:u w:val="single"/>
        </w:rPr>
        <w:t>cada vez más empresas externalizan a terceros expertos la gestión de la tecnología de la información</w:t>
      </w:r>
      <w:r w:rsidRPr="00B361F7">
        <w:rPr>
          <w:rFonts w:ascii="Times New Roman" w:hAnsi="Times New Roman" w:cs="Times New Roman"/>
          <w:sz w:val="24"/>
          <w:szCs w:val="24"/>
        </w:rPr>
        <w:t xml:space="preserve">. A su vez, esto crea nuevas eficiencias, </w:t>
      </w:r>
      <w:r w:rsidRPr="00D12A8A">
        <w:rPr>
          <w:rFonts w:ascii="Times New Roman" w:hAnsi="Times New Roman" w:cs="Times New Roman"/>
          <w:sz w:val="24"/>
          <w:szCs w:val="24"/>
          <w:u w:val="single"/>
        </w:rPr>
        <w:t>permitiendo que los proveedores de seguridad en la red monitoreen ataques contra una amplia gama de clientes y compartan estrategias y soluciones.</w:t>
      </w:r>
      <w:r w:rsidRPr="00B361F7">
        <w:rPr>
          <w:rFonts w:ascii="Times New Roman" w:hAnsi="Times New Roman" w:cs="Times New Roman"/>
          <w:sz w:val="24"/>
          <w:szCs w:val="24"/>
        </w:rPr>
        <w:t xml:space="preserve"> La selección y contratación es otra área que se está externalizando cada vez más para lograr personal con experiencia y elevar su eficiencia.</w:t>
      </w:r>
    </w:p>
    <w:p w:rsidR="000711BB" w:rsidRDefault="000711BB" w:rsidP="000711BB">
      <w:pPr>
        <w:shd w:val="clear" w:color="auto" w:fill="FFFFFF"/>
        <w:spacing w:line="240" w:lineRule="auto"/>
        <w:jc w:val="both"/>
        <w:textAlignment w:val="baseline"/>
        <w:rPr>
          <w:rFonts w:ascii="Times New Roman" w:hAnsi="Times New Roman" w:cs="Times New Roman"/>
          <w:sz w:val="24"/>
          <w:szCs w:val="24"/>
        </w:rPr>
      </w:pPr>
      <w:r w:rsidRPr="00D12A8A">
        <w:rPr>
          <w:rFonts w:ascii="Times New Roman" w:hAnsi="Times New Roman" w:cs="Times New Roman"/>
          <w:color w:val="FF0000"/>
          <w:sz w:val="24"/>
          <w:szCs w:val="24"/>
          <w:u w:val="single"/>
        </w:rPr>
        <w:t>En resumen, soy un optimista</w:t>
      </w:r>
      <w:r w:rsidRPr="00B361F7">
        <w:rPr>
          <w:rFonts w:ascii="Times New Roman" w:hAnsi="Times New Roman" w:cs="Times New Roman"/>
          <w:sz w:val="24"/>
          <w:szCs w:val="24"/>
        </w:rPr>
        <w:t xml:space="preserve">. </w:t>
      </w:r>
      <w:r w:rsidRPr="00D12A8A">
        <w:rPr>
          <w:rFonts w:ascii="Times New Roman" w:hAnsi="Times New Roman" w:cs="Times New Roman"/>
          <w:sz w:val="24"/>
          <w:szCs w:val="24"/>
          <w:u w:val="single"/>
        </w:rPr>
        <w:t>El periodo difícil y agitado en el que nos encontramos creará nuevas oportunidades.</w:t>
      </w:r>
      <w:r w:rsidRPr="00B361F7">
        <w:rPr>
          <w:rFonts w:ascii="Times New Roman" w:hAnsi="Times New Roman" w:cs="Times New Roman"/>
          <w:sz w:val="24"/>
          <w:szCs w:val="24"/>
        </w:rPr>
        <w:t xml:space="preserve"> La creciente constatación de que los mercados laborales han cambiado de manera fundamental y permanente motivará a las autoridades, empleadores y empleados a abordar los nuevos desafíos de modos en que todos se beneficien. Los grandes cambios nunca son fáciles, pero cuando se afrontan bien pueden volvernos más fuertes y mejores.</w:t>
      </w:r>
    </w:p>
    <w:p w:rsidR="000711B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B361F7">
        <w:rPr>
          <w:rFonts w:ascii="Times New Roman" w:hAnsi="Times New Roman" w:cs="Times New Roman"/>
          <w:sz w:val="24"/>
          <w:szCs w:val="24"/>
          <w:lang w:val="en-US"/>
        </w:rPr>
        <w:t>Jonas Prising is Ch</w:t>
      </w:r>
      <w:r>
        <w:rPr>
          <w:rFonts w:ascii="Times New Roman" w:hAnsi="Times New Roman" w:cs="Times New Roman"/>
          <w:sz w:val="24"/>
          <w:szCs w:val="24"/>
          <w:lang w:val="en-US"/>
        </w:rPr>
        <w:t>airman and CEO of ManpowerGroup)</w:t>
      </w:r>
    </w:p>
    <w:p w:rsidR="000711BB" w:rsidRPr="00AE3E0D" w:rsidRDefault="000711BB" w:rsidP="000711BB">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AE3E0D">
        <w:rPr>
          <w:rFonts w:ascii="Times New Roman" w:hAnsi="Times New Roman" w:cs="Times New Roman"/>
          <w:sz w:val="24"/>
          <w:szCs w:val="24"/>
          <w:u w:val="single"/>
        </w:rPr>
        <w:t>Cómo dominar la Cuarta Revolución Industrial</w:t>
      </w:r>
      <w:r>
        <w:rPr>
          <w:rFonts w:ascii="Times New Roman" w:hAnsi="Times New Roman" w:cs="Times New Roman"/>
          <w:sz w:val="24"/>
          <w:szCs w:val="24"/>
        </w:rPr>
        <w:t xml:space="preserve"> (Project Syndicate - </w:t>
      </w:r>
      <w:r w:rsidRPr="00AE3E0D">
        <w:rPr>
          <w:rFonts w:ascii="Times New Roman" w:hAnsi="Times New Roman" w:cs="Times New Roman"/>
          <w:b/>
          <w:sz w:val="24"/>
          <w:szCs w:val="24"/>
        </w:rPr>
        <w:t>21/1/16</w:t>
      </w:r>
      <w:r>
        <w:rPr>
          <w:rFonts w:ascii="Times New Roman" w:hAnsi="Times New Roman" w:cs="Times New Roman"/>
          <w:sz w:val="24"/>
          <w:szCs w:val="24"/>
        </w:rPr>
        <w:t>)</w:t>
      </w:r>
    </w:p>
    <w:p w:rsidR="000711BB" w:rsidRPr="006A3F5C"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Pr>
          <w:rFonts w:ascii="Times New Roman" w:hAnsi="Times New Roman" w:cs="Times New Roman"/>
          <w:sz w:val="24"/>
          <w:szCs w:val="24"/>
        </w:rPr>
        <w:t>Londres</w:t>
      </w:r>
      <w:r w:rsidR="00804FAA">
        <w:rPr>
          <w:rFonts w:ascii="Times New Roman" w:hAnsi="Times New Roman" w:cs="Times New Roman"/>
          <w:sz w:val="24"/>
          <w:szCs w:val="24"/>
        </w:rPr>
        <w:t xml:space="preserve">.- </w:t>
      </w:r>
      <w:r w:rsidRPr="006A3F5C">
        <w:rPr>
          <w:rFonts w:ascii="Times New Roman" w:hAnsi="Times New Roman" w:cs="Times New Roman"/>
          <w:sz w:val="24"/>
          <w:szCs w:val="24"/>
          <w:u w:val="single"/>
        </w:rPr>
        <w:t xml:space="preserve">La innovación tecnológica genera desde hace mucho reacciones diametralmente opuestas: algunos se maravillan con las nuevas posibilidades y otros </w:t>
      </w:r>
      <w:r w:rsidRPr="006A3F5C">
        <w:rPr>
          <w:rFonts w:ascii="Times New Roman" w:hAnsi="Times New Roman" w:cs="Times New Roman"/>
          <w:sz w:val="24"/>
          <w:szCs w:val="24"/>
          <w:u w:val="single"/>
        </w:rPr>
        <w:lastRenderedPageBreak/>
        <w:t>temen el cambio disruptivo, pero la mayoría de nosotros ni siquiera nos damos cuenta de qué está ocurriendo. Consideramos el cambio como algo dado.</w:t>
      </w:r>
    </w:p>
    <w:p w:rsidR="000711BB" w:rsidRPr="00AE3E0D" w:rsidRDefault="000711BB" w:rsidP="000711BB">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El ingenio humano no se reconoce ni aprecia lo suficiente, especialmente en los mercados financieros. Los inversores se obsesionan por cuestiones más pedestres: temores por un aterrizaje forzoso en China, la repercusión de la caída de los precios del petróleo, y el riesgo de que algún shock pueda llevar a que la frágil economía mundial se desplome nuevamente hacia la recesión o la deflación.</w:t>
      </w:r>
    </w:p>
    <w:p w:rsidR="000711BB" w:rsidRPr="006A3F5C"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AE3E0D">
        <w:rPr>
          <w:rFonts w:ascii="Times New Roman" w:hAnsi="Times New Roman" w:cs="Times New Roman"/>
          <w:sz w:val="24"/>
          <w:szCs w:val="24"/>
        </w:rPr>
        <w:t xml:space="preserve">Obviamente, las preocupaciones por las condiciones de la demanda global no carecen de fundamento (ciertamente, lo último que la economía mundial necesita es más estrés). Sin embargo, a pesar de toda nuestra angustia por el exceso de deuda y lo inadecuado de las políticas, nada es tan importante como el ingenio humano para mejorar los niveles de vida y las oportunidades de inversión. De hecho, </w:t>
      </w:r>
      <w:r w:rsidRPr="006A3F5C">
        <w:rPr>
          <w:rFonts w:ascii="Times New Roman" w:hAnsi="Times New Roman" w:cs="Times New Roman"/>
          <w:sz w:val="24"/>
          <w:szCs w:val="24"/>
          <w:u w:val="single"/>
        </w:rPr>
        <w:t>la llegada de las nuevas tecnologías ofrece la promesa de una Cuarta Revolución Industrial, el tema del Foro Económico Mundial de Davos este año.</w:t>
      </w:r>
    </w:p>
    <w:p w:rsidR="000711BB" w:rsidRPr="006A3F5C"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6A3F5C">
        <w:rPr>
          <w:rFonts w:ascii="Times New Roman" w:hAnsi="Times New Roman" w:cs="Times New Roman"/>
          <w:sz w:val="24"/>
          <w:szCs w:val="24"/>
          <w:u w:val="single"/>
        </w:rPr>
        <w:t>La Primera Revolución Industrial se basó en el motor a vapor</w:t>
      </w:r>
      <w:r w:rsidRPr="00AE3E0D">
        <w:rPr>
          <w:rFonts w:ascii="Times New Roman" w:hAnsi="Times New Roman" w:cs="Times New Roman"/>
          <w:sz w:val="24"/>
          <w:szCs w:val="24"/>
        </w:rPr>
        <w:t xml:space="preserve">. El invento de James Watt, presentado alrededor de 1775, impulsó la expansión de la industria del siglo XIX de sus orígenes en Inglaterra hacia Europa y Estados Unidos. </w:t>
      </w:r>
      <w:r w:rsidRPr="006A3F5C">
        <w:rPr>
          <w:rFonts w:ascii="Times New Roman" w:hAnsi="Times New Roman" w:cs="Times New Roman"/>
          <w:sz w:val="24"/>
          <w:szCs w:val="24"/>
          <w:u w:val="single"/>
        </w:rPr>
        <w:t>La Segunda Revolución Industrial, desde el último tercio del siglo XIX al inicio de la Primera Guerra Mundial, fue impulsada por los avances en electricidad, transporte, productos químicos, acero y (especialmente) la producción y el consumo masivos.</w:t>
      </w:r>
      <w:r w:rsidRPr="00AE3E0D">
        <w:rPr>
          <w:rFonts w:ascii="Times New Roman" w:hAnsi="Times New Roman" w:cs="Times New Roman"/>
          <w:sz w:val="24"/>
          <w:szCs w:val="24"/>
        </w:rPr>
        <w:t xml:space="preserve"> La industrialización se difundió aún más (al Japón después de la restauración Meiji y al interior de Rusia, que experimentaba una bonanza hacia los comienzos de la Primera Guerra Mundial). La </w:t>
      </w:r>
      <w:r w:rsidRPr="006A3F5C">
        <w:rPr>
          <w:rFonts w:ascii="Times New Roman" w:hAnsi="Times New Roman" w:cs="Times New Roman"/>
          <w:sz w:val="24"/>
          <w:szCs w:val="24"/>
          <w:u w:val="single"/>
        </w:rPr>
        <w:t>Tercera Revolución Industrial llegó hacia fines del siglo pasado con la producción y difusión de las tecnologías de la información.</w:t>
      </w:r>
    </w:p>
    <w:p w:rsidR="000711BB" w:rsidRPr="00AE3E0D" w:rsidRDefault="000711BB" w:rsidP="000711BB">
      <w:pPr>
        <w:shd w:val="clear" w:color="auto" w:fill="FFFFFF"/>
        <w:spacing w:line="240" w:lineRule="auto"/>
        <w:jc w:val="both"/>
        <w:textAlignment w:val="baseline"/>
        <w:rPr>
          <w:rFonts w:ascii="Times New Roman" w:hAnsi="Times New Roman" w:cs="Times New Roman"/>
          <w:sz w:val="24"/>
          <w:szCs w:val="24"/>
        </w:rPr>
      </w:pPr>
      <w:r w:rsidRPr="006A3F5C">
        <w:rPr>
          <w:rFonts w:ascii="Times New Roman" w:hAnsi="Times New Roman" w:cs="Times New Roman"/>
          <w:sz w:val="24"/>
          <w:szCs w:val="24"/>
          <w:u w:val="single"/>
        </w:rPr>
        <w:t>La promesa de una Cuarta Revolución Industrial descansa en los avances en robótica, la Internet de las cosas, los grandes datos, la telefonía móvil y la impresión 3D</w:t>
      </w:r>
      <w:r w:rsidRPr="00AE3E0D">
        <w:rPr>
          <w:rFonts w:ascii="Times New Roman" w:hAnsi="Times New Roman" w:cs="Times New Roman"/>
          <w:sz w:val="24"/>
          <w:szCs w:val="24"/>
        </w:rPr>
        <w:t>. Según una estimación, la adopción exitosa de estas nuevas tecnologías podría impulsar la productividad global tanto como la computadora personal e Internet lo hicieron a fines de la década de 1990. Para los inversores, la cuarta revolución ofrece oportunidades de grandes beneficios, similares a las que lograron sus predecesoras. Ya los pioneros en tecnologías de cuarta generación reciben valuaciones asombrosas.</w:t>
      </w:r>
    </w:p>
    <w:p w:rsidR="000711BB" w:rsidRPr="006A3F5C"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6A3F5C">
        <w:rPr>
          <w:rFonts w:ascii="Times New Roman" w:hAnsi="Times New Roman" w:cs="Times New Roman"/>
          <w:sz w:val="24"/>
          <w:szCs w:val="24"/>
          <w:u w:val="single"/>
        </w:rPr>
        <w:t>Nuevas épocas de crecimiento de la inversión, la productividad y el nivel de vida no solo son posibles, sino que resultan probables y se repetirán con una frecuencia cada vez mayor. Y son resultado del ingenio humano, pero las nuevas ideas requieren más que ciencia básica o magia empresarial de garaje. Para ser transformadora, la tecnología debe ser adoptada y difundida en la vida diaria.</w:t>
      </w:r>
    </w:p>
    <w:p w:rsidR="000711BB" w:rsidRPr="00AE3E0D" w:rsidRDefault="000711BB" w:rsidP="000711BB">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Eso es más fácil de decir que de hacer. En los inicios de la industrialización, Watt tuvo dificultades financieras y no pudo comercializar exitosamente su motor a vapor hasta formar una asociación con el fabricante inglés Matthew Boulton.</w:t>
      </w:r>
    </w:p>
    <w:p w:rsidR="000711BB" w:rsidRPr="00AE3E0D" w:rsidRDefault="000711BB" w:rsidP="000711BB">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Más importante aún es que la historia sugiere que el</w:t>
      </w:r>
      <w:r>
        <w:rPr>
          <w:rFonts w:ascii="Times New Roman" w:hAnsi="Times New Roman" w:cs="Times New Roman"/>
          <w:sz w:val="24"/>
          <w:szCs w:val="24"/>
        </w:rPr>
        <w:t xml:space="preserve"> entusiasmo -en términos macro y de mercado-</w:t>
      </w:r>
      <w:r w:rsidRPr="00AE3E0D">
        <w:rPr>
          <w:rFonts w:ascii="Times New Roman" w:hAnsi="Times New Roman" w:cs="Times New Roman"/>
          <w:sz w:val="24"/>
          <w:szCs w:val="24"/>
        </w:rPr>
        <w:t xml:space="preserve"> puede adelantarse a la re</w:t>
      </w:r>
      <w:r>
        <w:rPr>
          <w:rFonts w:ascii="Times New Roman" w:hAnsi="Times New Roman" w:cs="Times New Roman"/>
          <w:sz w:val="24"/>
          <w:szCs w:val="24"/>
        </w:rPr>
        <w:t>alidad. No es necesario ser un “pesimista de la productividad”</w:t>
      </w:r>
      <w:r w:rsidRPr="00AE3E0D">
        <w:rPr>
          <w:rFonts w:ascii="Times New Roman" w:hAnsi="Times New Roman" w:cs="Times New Roman"/>
          <w:sz w:val="24"/>
          <w:szCs w:val="24"/>
        </w:rPr>
        <w:t xml:space="preserve"> (y sostener, por ejemplo, que el baño bajo techo fue la última gran invención humana) para reconocer que muchas nuevas tecnologías producen mucho menos de lo prometido, o solo recompensan a los inversores mucho tiempo después.</w:t>
      </w:r>
    </w:p>
    <w:p w:rsidR="000711BB" w:rsidRPr="00AE3E0D" w:rsidRDefault="000711BB" w:rsidP="000711BB">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lastRenderedPageBreak/>
        <w:t>Vale la pena recordar que la energía a vapor antecedió a Boulton y Watt casi una centuria y que fue necesario más de medio siglo para que su invención superara a los tradicionales molinos de agua como pilar energético de la producción industrial del siglo XIX. Volta descubrió las células eléctricas en 1800, pero fueron necesarias ocho décadas más para introducir la corriente continua como forma de transmisión eléctrica.</w:t>
      </w:r>
    </w:p>
    <w:p w:rsidR="000711BB" w:rsidRPr="00AE3E0D" w:rsidRDefault="000711BB" w:rsidP="000711BB">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De manera similar, ENIAC -</w:t>
      </w:r>
      <w:r w:rsidRPr="00AE3E0D">
        <w:rPr>
          <w:rFonts w:ascii="Times New Roman" w:hAnsi="Times New Roman" w:cs="Times New Roman"/>
          <w:sz w:val="24"/>
          <w:szCs w:val="24"/>
        </w:rPr>
        <w:t xml:space="preserve">la </w:t>
      </w:r>
      <w:r>
        <w:rPr>
          <w:rFonts w:ascii="Times New Roman" w:hAnsi="Times New Roman" w:cs="Times New Roman"/>
          <w:sz w:val="24"/>
          <w:szCs w:val="24"/>
        </w:rPr>
        <w:t>primera computadora electrónica-</w:t>
      </w:r>
      <w:r w:rsidRPr="00AE3E0D">
        <w:rPr>
          <w:rFonts w:ascii="Times New Roman" w:hAnsi="Times New Roman" w:cs="Times New Roman"/>
          <w:sz w:val="24"/>
          <w:szCs w:val="24"/>
        </w:rPr>
        <w:t xml:space="preserve"> fue desarrollada en secreto durante la Segunda Guerra Mundial. La capacidad de cálculo y su uso crecieron exponencialmente durante las décadas siguientes del siglo XX; pero incluso en los 80, el economista y premio nobel Robert Solow podía bromear y afirmar que la era informática podía verse «en todas partes, excepto en las estadísticas de productividad».</w:t>
      </w:r>
    </w:p>
    <w:p w:rsidR="000711BB" w:rsidRPr="00AE3E0D" w:rsidRDefault="000711BB" w:rsidP="000711BB">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Para los inversores, esta cuestión tiene implicaciones importantes (entre ellas la necesidad de ser pacientes y resistir la tentación de pagar en exceso tempranamente). Inicialmente, identificar a los perdedores (¿quién recuerda a Wang Computers?) puede ser tan importante como elegir a los ganadores.</w:t>
      </w:r>
    </w:p>
    <w:p w:rsidR="000711BB" w:rsidRPr="006A3F5C"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AE3E0D">
        <w:rPr>
          <w:rFonts w:ascii="Times New Roman" w:hAnsi="Times New Roman" w:cs="Times New Roman"/>
          <w:sz w:val="24"/>
          <w:szCs w:val="24"/>
        </w:rPr>
        <w:t xml:space="preserve">También </w:t>
      </w:r>
      <w:r w:rsidRPr="006A3F5C">
        <w:rPr>
          <w:rFonts w:ascii="Times New Roman" w:hAnsi="Times New Roman" w:cs="Times New Roman"/>
          <w:sz w:val="24"/>
          <w:szCs w:val="24"/>
          <w:u w:val="single"/>
        </w:rPr>
        <w:t>es importante entender la forma en que la tecnología puede transformar sectores que aparentemente no están relacionados. La llegada de la capacid</w:t>
      </w:r>
      <w:r>
        <w:rPr>
          <w:rFonts w:ascii="Times New Roman" w:hAnsi="Times New Roman" w:cs="Times New Roman"/>
          <w:sz w:val="24"/>
          <w:szCs w:val="24"/>
          <w:u w:val="single"/>
        </w:rPr>
        <w:t>ad de cálculo permitió que los “hipermercados” minoristas estadounidenses -</w:t>
      </w:r>
      <w:r w:rsidRPr="006A3F5C">
        <w:rPr>
          <w:rFonts w:ascii="Times New Roman" w:hAnsi="Times New Roman" w:cs="Times New Roman"/>
          <w:sz w:val="24"/>
          <w:szCs w:val="24"/>
          <w:u w:val="single"/>
        </w:rPr>
        <w:t>Walma</w:t>
      </w:r>
      <w:r>
        <w:rPr>
          <w:rFonts w:ascii="Times New Roman" w:hAnsi="Times New Roman" w:cs="Times New Roman"/>
          <w:sz w:val="24"/>
          <w:szCs w:val="24"/>
          <w:u w:val="single"/>
        </w:rPr>
        <w:t>rt, Staples, Home Depot y otros-</w:t>
      </w:r>
      <w:r w:rsidRPr="006A3F5C">
        <w:rPr>
          <w:rFonts w:ascii="Times New Roman" w:hAnsi="Times New Roman" w:cs="Times New Roman"/>
          <w:sz w:val="24"/>
          <w:szCs w:val="24"/>
          <w:u w:val="single"/>
        </w:rPr>
        <w:t xml:space="preserve"> reemplazaran tanto a las pequeñas tiendas como a las cadenas de venta minorista establecidas en las décadas de 1950 y</w:t>
      </w:r>
      <w:r>
        <w:rPr>
          <w:rFonts w:ascii="Times New Roman" w:hAnsi="Times New Roman" w:cs="Times New Roman"/>
          <w:sz w:val="24"/>
          <w:szCs w:val="24"/>
          <w:u w:val="single"/>
        </w:rPr>
        <w:t xml:space="preserve"> 1960. La capacidad de cálculo -</w:t>
      </w:r>
      <w:r w:rsidRPr="006A3F5C">
        <w:rPr>
          <w:rFonts w:ascii="Times New Roman" w:hAnsi="Times New Roman" w:cs="Times New Roman"/>
          <w:sz w:val="24"/>
          <w:szCs w:val="24"/>
          <w:u w:val="single"/>
        </w:rPr>
        <w:t>junto con los avances en la logística del transporte, e</w:t>
      </w:r>
      <w:r>
        <w:rPr>
          <w:rFonts w:ascii="Times New Roman" w:hAnsi="Times New Roman" w:cs="Times New Roman"/>
          <w:sz w:val="24"/>
          <w:szCs w:val="24"/>
          <w:u w:val="single"/>
        </w:rPr>
        <w:t>l almacenamiento y las entregas-</w:t>
      </w:r>
      <w:r w:rsidRPr="006A3F5C">
        <w:rPr>
          <w:rFonts w:ascii="Times New Roman" w:hAnsi="Times New Roman" w:cs="Times New Roman"/>
          <w:sz w:val="24"/>
          <w:szCs w:val="24"/>
          <w:u w:val="single"/>
        </w:rPr>
        <w:t xml:space="preserve"> permitió hasta la fecha que los vendedores minoristas lograran economías de escala inimaginables.</w:t>
      </w:r>
    </w:p>
    <w:p w:rsidR="000711BB" w:rsidRPr="006A3F5C" w:rsidRDefault="000711BB" w:rsidP="000711BB">
      <w:pPr>
        <w:shd w:val="clear" w:color="auto" w:fill="FFFFFF"/>
        <w:spacing w:line="240" w:lineRule="auto"/>
        <w:jc w:val="both"/>
        <w:textAlignment w:val="baseline"/>
        <w:rPr>
          <w:rFonts w:ascii="Times New Roman" w:hAnsi="Times New Roman" w:cs="Times New Roman"/>
          <w:sz w:val="24"/>
          <w:szCs w:val="24"/>
          <w:u w:val="single"/>
        </w:rPr>
      </w:pPr>
      <w:r w:rsidRPr="006A3F5C">
        <w:rPr>
          <w:rFonts w:ascii="Times New Roman" w:hAnsi="Times New Roman" w:cs="Times New Roman"/>
          <w:sz w:val="24"/>
          <w:szCs w:val="24"/>
          <w:u w:val="single"/>
        </w:rPr>
        <w:t>Sin embargo, hoy día estos mismos hipermercados se ven asediados por la venta minorista en línea, que promete economías de escala y eficiencias logísticas aún mayores, logrando precios menores que la más eficiente de las operaciones tradicionales.</w:t>
      </w:r>
    </w:p>
    <w:p w:rsidR="000711BB" w:rsidRPr="006A3F5C"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rPr>
      </w:pPr>
      <w:r w:rsidRPr="006A3F5C">
        <w:rPr>
          <w:rFonts w:ascii="Times New Roman" w:hAnsi="Times New Roman" w:cs="Times New Roman"/>
          <w:color w:val="FF0000"/>
          <w:sz w:val="24"/>
          <w:szCs w:val="24"/>
          <w:u w:val="single"/>
        </w:rPr>
        <w:t xml:space="preserve">Eso es ingenio. Pero, para parafrasear a Joseph Schumpeter, también es algo destructivo. </w:t>
      </w:r>
      <w:r>
        <w:rPr>
          <w:rFonts w:ascii="Times New Roman" w:hAnsi="Times New Roman" w:cs="Times New Roman"/>
          <w:color w:val="FF0000"/>
          <w:sz w:val="24"/>
          <w:szCs w:val="24"/>
          <w:u w:val="single"/>
        </w:rPr>
        <w:t>En lenguaje actual hablamos de “tecnologías disruptivas”</w:t>
      </w:r>
      <w:r w:rsidRPr="006A3F5C">
        <w:rPr>
          <w:rFonts w:ascii="Times New Roman" w:hAnsi="Times New Roman" w:cs="Times New Roman"/>
          <w:color w:val="FF0000"/>
          <w:sz w:val="24"/>
          <w:szCs w:val="24"/>
          <w:u w:val="single"/>
        </w:rPr>
        <w:t>, pero no hay que dejarse engañar por la jerga: las nuevas formas de producir cosas a menudo matan a las viejas industrias y eliminan puestos de trabajo antes de que la totalidad de los beneficios del modo sucesor de producción se haga realidad. Un cierto grado de violencia acompaña inevitablemente al progreso humano.</w:t>
      </w:r>
    </w:p>
    <w:p w:rsidR="000711BB" w:rsidRDefault="000711BB" w:rsidP="000711BB">
      <w:pPr>
        <w:shd w:val="clear" w:color="auto" w:fill="FFFFFF"/>
        <w:spacing w:line="240" w:lineRule="auto"/>
        <w:jc w:val="both"/>
        <w:textAlignment w:val="baseline"/>
        <w:rPr>
          <w:rFonts w:ascii="Times New Roman" w:hAnsi="Times New Roman" w:cs="Times New Roman"/>
          <w:sz w:val="24"/>
          <w:szCs w:val="24"/>
        </w:rPr>
      </w:pPr>
      <w:r w:rsidRPr="00AE3E0D">
        <w:rPr>
          <w:rFonts w:ascii="Times New Roman" w:hAnsi="Times New Roman" w:cs="Times New Roman"/>
          <w:sz w:val="24"/>
          <w:szCs w:val="24"/>
        </w:rPr>
        <w:t>Por eso los ejecutivos que se reúnen en Davos es</w:t>
      </w:r>
      <w:r>
        <w:rPr>
          <w:rFonts w:ascii="Times New Roman" w:hAnsi="Times New Roman" w:cs="Times New Roman"/>
          <w:sz w:val="24"/>
          <w:szCs w:val="24"/>
        </w:rPr>
        <w:t>te mes están discutiendo sobre “cómo dominar”</w:t>
      </w:r>
      <w:r w:rsidRPr="00AE3E0D">
        <w:rPr>
          <w:rFonts w:ascii="Times New Roman" w:hAnsi="Times New Roman" w:cs="Times New Roman"/>
          <w:sz w:val="24"/>
          <w:szCs w:val="24"/>
        </w:rPr>
        <w:t xml:space="preserve"> la Cuarta Revolución Industrial. Independientemente de todas las promesas que inspiran asombro por los avances tecnológicos, la suya es una preocupación acertada.</w:t>
      </w:r>
    </w:p>
    <w:p w:rsidR="000711B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AE3E0D">
        <w:rPr>
          <w:rFonts w:ascii="Times New Roman" w:hAnsi="Times New Roman" w:cs="Times New Roman"/>
          <w:sz w:val="24"/>
          <w:szCs w:val="24"/>
          <w:lang w:val="en-US"/>
        </w:rPr>
        <w:t>Larry Hatheway is Chief Economist of GAM Holdin</w:t>
      </w:r>
      <w:r>
        <w:rPr>
          <w:rFonts w:ascii="Times New Roman" w:hAnsi="Times New Roman" w:cs="Times New Roman"/>
          <w:sz w:val="24"/>
          <w:szCs w:val="24"/>
          <w:lang w:val="en-US"/>
        </w:rPr>
        <w:t>g)</w:t>
      </w:r>
    </w:p>
    <w:p w:rsidR="000711BB" w:rsidRPr="008B2426" w:rsidRDefault="000711BB" w:rsidP="000711BB">
      <w:pPr>
        <w:pStyle w:val="NormalWeb"/>
        <w:shd w:val="clear" w:color="auto" w:fill="FFFFFF"/>
        <w:spacing w:after="300"/>
        <w:jc w:val="both"/>
        <w:textAlignment w:val="baseline"/>
        <w:rPr>
          <w:color w:val="1A1816"/>
        </w:rPr>
      </w:pPr>
      <w:r>
        <w:rPr>
          <w:color w:val="1A1816"/>
        </w:rPr>
        <w:t xml:space="preserve">- </w:t>
      </w:r>
      <w:r w:rsidRPr="008B2426">
        <w:rPr>
          <w:color w:val="1A1816"/>
          <w:u w:val="single"/>
        </w:rPr>
        <w:t>La tercera y última oleada de la crisis</w:t>
      </w:r>
      <w:r>
        <w:rPr>
          <w:color w:val="1A1816"/>
        </w:rPr>
        <w:t xml:space="preserve"> (El Economista - </w:t>
      </w:r>
      <w:r w:rsidRPr="008B2426">
        <w:rPr>
          <w:b/>
          <w:color w:val="1A1816"/>
        </w:rPr>
        <w:t>25/1/16</w:t>
      </w:r>
      <w:r>
        <w:rPr>
          <w:color w:val="1A1816"/>
        </w:rPr>
        <w:t>)</w:t>
      </w:r>
    </w:p>
    <w:p w:rsidR="000711BB" w:rsidRDefault="000711BB" w:rsidP="000711BB">
      <w:pPr>
        <w:pStyle w:val="NormalWeb"/>
        <w:shd w:val="clear" w:color="auto" w:fill="FFFFFF"/>
        <w:spacing w:before="0" w:beforeAutospacing="0" w:after="300" w:afterAutospacing="0"/>
        <w:jc w:val="both"/>
        <w:textAlignment w:val="baseline"/>
        <w:rPr>
          <w:color w:val="1A1816"/>
        </w:rPr>
      </w:pPr>
      <w:r>
        <w:rPr>
          <w:color w:val="1A1816"/>
        </w:rPr>
        <w:t xml:space="preserve">(Por </w:t>
      </w:r>
      <w:r w:rsidRPr="008B2426">
        <w:rPr>
          <w:color w:val="1A1816"/>
        </w:rPr>
        <w:t>P</w:t>
      </w:r>
      <w:r>
        <w:rPr>
          <w:color w:val="1A1816"/>
        </w:rPr>
        <w:t>eter Oppenheimer)</w:t>
      </w:r>
    </w:p>
    <w:p w:rsidR="000711BB" w:rsidRPr="00B64441" w:rsidRDefault="000711BB" w:rsidP="000711BB">
      <w:pPr>
        <w:pStyle w:val="NormalWeb"/>
        <w:shd w:val="clear" w:color="auto" w:fill="FFFFFF"/>
        <w:spacing w:after="300"/>
        <w:jc w:val="both"/>
        <w:textAlignment w:val="baseline"/>
        <w:rPr>
          <w:color w:val="1A1816"/>
          <w:u w:val="single"/>
        </w:rPr>
      </w:pPr>
      <w:r w:rsidRPr="00B64441">
        <w:rPr>
          <w:color w:val="1A1816"/>
          <w:u w:val="single"/>
        </w:rPr>
        <w:t xml:space="preserve">La caída de los precios al consumo y de las materias primas, constituyen una pareja inusual, que se ha acoplado desde 2010 al rápido crecimiento de los precios de los activos. Esta aparente paradoja se explica por el débil crecimiento global y la agresiva </w:t>
      </w:r>
      <w:r w:rsidRPr="00B64441">
        <w:rPr>
          <w:color w:val="1A1816"/>
          <w:u w:val="single"/>
        </w:rPr>
        <w:lastRenderedPageBreak/>
        <w:t>respuesta de las políticas expansivas, factores ambos que han disparado las valoraciones en los mercados de capitales.</w:t>
      </w:r>
    </w:p>
    <w:p w:rsidR="000711BB" w:rsidRPr="00B64441" w:rsidRDefault="000711BB" w:rsidP="000711BB">
      <w:pPr>
        <w:pStyle w:val="NormalWeb"/>
        <w:shd w:val="clear" w:color="auto" w:fill="FFFFFF"/>
        <w:spacing w:after="300"/>
        <w:jc w:val="both"/>
        <w:textAlignment w:val="baseline"/>
        <w:rPr>
          <w:color w:val="1A1816"/>
          <w:u w:val="single"/>
        </w:rPr>
      </w:pPr>
      <w:r w:rsidRPr="00B64441">
        <w:rPr>
          <w:color w:val="1A1816"/>
          <w:u w:val="single"/>
        </w:rPr>
        <w:t>Sin embargo, están surgiendo nuevas preocupaciones sobre la sostenibilidad de los altos precios de los activos en un escenario caracterizado por la debilidad de las economías emergentes, precios de las materias primas a la baja, y la posibilidad de una subida de los tipos de interés en Estados Unidos. Todo ello hace presagiar una nueva oleada de problemas en la crisis financiera global.</w:t>
      </w:r>
    </w:p>
    <w:p w:rsidR="000711BB" w:rsidRPr="008B2426" w:rsidRDefault="000711BB" w:rsidP="000711BB">
      <w:pPr>
        <w:pStyle w:val="NormalWeb"/>
        <w:shd w:val="clear" w:color="auto" w:fill="FFFFFF"/>
        <w:spacing w:after="300"/>
        <w:jc w:val="both"/>
        <w:textAlignment w:val="baseline"/>
        <w:rPr>
          <w:color w:val="1A1816"/>
        </w:rPr>
      </w:pPr>
      <w:r w:rsidRPr="00B64441">
        <w:rPr>
          <w:color w:val="1A1816"/>
          <w:u w:val="single"/>
        </w:rPr>
        <w:t>Esta oleada, que tiene su epicentro en las economías emergentes, está relacionada con las otras fases precedentes</w:t>
      </w:r>
      <w:r w:rsidRPr="008B2426">
        <w:rPr>
          <w:color w:val="1A1816"/>
        </w:rPr>
        <w:t xml:space="preserve">. </w:t>
      </w:r>
      <w:r w:rsidRPr="00B64441">
        <w:rPr>
          <w:color w:val="1A1816"/>
          <w:u w:val="single"/>
        </w:rPr>
        <w:t>La primera se produjo en Estados Unidos a raíz del colapso del mercado inmobiliario residencial</w:t>
      </w:r>
      <w:r w:rsidRPr="008B2426">
        <w:rPr>
          <w:color w:val="1A1816"/>
        </w:rPr>
        <w:t>, posteriormente amplificada por la crisis de crédito que finalizó con la caída de Lehman Brothers y el lanzamiento de políticas de expansión cuantitativa, conocidas como Quantitative Easing (QE).</w:t>
      </w:r>
    </w:p>
    <w:p w:rsidR="000711BB" w:rsidRPr="008B2426" w:rsidRDefault="000711BB" w:rsidP="000711BB">
      <w:pPr>
        <w:pStyle w:val="NormalWeb"/>
        <w:shd w:val="clear" w:color="auto" w:fill="FFFFFF"/>
        <w:spacing w:after="300"/>
        <w:jc w:val="both"/>
        <w:textAlignment w:val="baseline"/>
        <w:rPr>
          <w:color w:val="1A1816"/>
        </w:rPr>
      </w:pPr>
      <w:r w:rsidRPr="00B64441">
        <w:rPr>
          <w:color w:val="1A1816"/>
          <w:u w:val="single"/>
        </w:rPr>
        <w:t>La respuesta a la primera inyección monetaria en Estados Unidos no se hizo esperar: la perspectiva de una recuperación de la actividad se plasmó en un decidido rally de los activos de riesgo</w:t>
      </w:r>
      <w:r w:rsidRPr="008B2426">
        <w:rPr>
          <w:color w:val="1A1816"/>
        </w:rPr>
        <w:t xml:space="preserve">. </w:t>
      </w:r>
      <w:r w:rsidRPr="00B64441">
        <w:rPr>
          <w:color w:val="1A1816"/>
          <w:u w:val="single"/>
        </w:rPr>
        <w:t>No obstante, sus efectos fueron efímeros y el foco pronto pasó a Europa, donde tomó cuerpo una segunda oleada, que comenzó cuando los bancos del continente se vieron obligados a afrontar grandes pérdidas.</w:t>
      </w:r>
      <w:r w:rsidRPr="008B2426">
        <w:rPr>
          <w:color w:val="1A1816"/>
        </w:rPr>
        <w:t xml:space="preserve"> </w:t>
      </w:r>
      <w:r w:rsidRPr="00B64441">
        <w:rPr>
          <w:color w:val="1A1816"/>
          <w:u w:val="single"/>
        </w:rPr>
        <w:t>Dicha situación se transformó posteriormente en una crisis de deuda soberana en toda regla, debido a la ausencia de mecanismos para compartir riesgos en la zona euro</w:t>
      </w:r>
      <w:r>
        <w:rPr>
          <w:color w:val="1A1816"/>
        </w:rPr>
        <w:t>. Las promesas de “hacer lo que haga falta”</w:t>
      </w:r>
      <w:r w:rsidRPr="008B2426">
        <w:rPr>
          <w:color w:val="1A1816"/>
        </w:rPr>
        <w:t>, acompañadas de medidas de QE para la eurozona ese mismo año, zanjaron el asunto.</w:t>
      </w:r>
    </w:p>
    <w:p w:rsidR="000711BB" w:rsidRPr="00B64441" w:rsidRDefault="000711BB" w:rsidP="000711BB">
      <w:pPr>
        <w:pStyle w:val="NormalWeb"/>
        <w:shd w:val="clear" w:color="auto" w:fill="FFFFFF"/>
        <w:spacing w:after="300"/>
        <w:jc w:val="both"/>
        <w:textAlignment w:val="baseline"/>
        <w:rPr>
          <w:color w:val="1A1816"/>
          <w:u w:val="single"/>
        </w:rPr>
      </w:pPr>
      <w:r w:rsidRPr="00B64441">
        <w:rPr>
          <w:color w:val="1A1816"/>
          <w:u w:val="single"/>
        </w:rPr>
        <w:t>Cuando Europa parecía emerger de la crisis, una tercera oleada golpeó las materias primas y debilitó a los mercados emergentes. El punto de partida de esta tercera oleada hay que ubicarlo en economías con grandes desequilibrios externos desde donde se contagió a otros países, incluida China, cuya ralentización contribuyó a incrementar los problemas. No en vano muchos países emergentes dependen de las exportaciones al gigante asiático.</w:t>
      </w:r>
    </w:p>
    <w:p w:rsidR="000711BB" w:rsidRPr="00B64441" w:rsidRDefault="000711BB" w:rsidP="000711BB">
      <w:pPr>
        <w:pStyle w:val="NormalWeb"/>
        <w:shd w:val="clear" w:color="auto" w:fill="FFFFFF"/>
        <w:spacing w:after="300"/>
        <w:jc w:val="both"/>
        <w:textAlignment w:val="baseline"/>
        <w:rPr>
          <w:color w:val="FF0000"/>
          <w:u w:val="single"/>
        </w:rPr>
      </w:pPr>
      <w:r w:rsidRPr="00B64441">
        <w:rPr>
          <w:color w:val="FF0000"/>
          <w:u w:val="single"/>
        </w:rPr>
        <w:t>Ahora, tanto las economías como los mercados financieros están en una encrucijada. Uno de los caminos lleva al estancamiento persistente, un destino no descartable si tenemos en cuenta la debilidad de los emergentes y el temor que infunden las economías desarrolladas por sus cada vez más ineficaces políticas para desactivar las fuerzas deflacionarias.</w:t>
      </w:r>
    </w:p>
    <w:p w:rsidR="000711BB" w:rsidRPr="009723F6" w:rsidRDefault="000711BB" w:rsidP="000711BB">
      <w:pPr>
        <w:pStyle w:val="NormalWeb"/>
        <w:shd w:val="clear" w:color="auto" w:fill="FFFFFF"/>
        <w:spacing w:after="300"/>
        <w:jc w:val="both"/>
        <w:textAlignment w:val="baseline"/>
        <w:rPr>
          <w:color w:val="FF0000"/>
          <w:u w:val="single"/>
        </w:rPr>
      </w:pPr>
      <w:r w:rsidRPr="009723F6">
        <w:rPr>
          <w:color w:val="FF0000"/>
          <w:u w:val="single"/>
        </w:rPr>
        <w:t>El otro camino conduce hacia la normalización de la actividad mundial. En el mejor de los escenarios y si la tercera oleada fuese el último episodio de la crisis, con adecuadas políticas la economía mundial podría salir fortalecida y, por tanto, más estable y resistente.</w:t>
      </w:r>
    </w:p>
    <w:p w:rsidR="000711BB" w:rsidRPr="009723F6" w:rsidRDefault="000711BB" w:rsidP="000711BB">
      <w:pPr>
        <w:pStyle w:val="NormalWeb"/>
        <w:shd w:val="clear" w:color="auto" w:fill="FFFFFF"/>
        <w:spacing w:after="300"/>
        <w:jc w:val="both"/>
        <w:textAlignment w:val="baseline"/>
        <w:rPr>
          <w:color w:val="1A1816"/>
          <w:u w:val="single"/>
        </w:rPr>
      </w:pPr>
      <w:r w:rsidRPr="008B2426">
        <w:rPr>
          <w:color w:val="1A1816"/>
        </w:rPr>
        <w:t xml:space="preserve">El miedo a que se produzca el escenario de estancamiento se está consolidando no sólo por la ralentización de los emergentes y la caída de las materias primas, sino por las tensiones financieras que se viven en los países desarrollados y el comportamiento del sector privado. </w:t>
      </w:r>
      <w:r w:rsidRPr="009723F6">
        <w:rPr>
          <w:color w:val="1A1816"/>
          <w:u w:val="single"/>
        </w:rPr>
        <w:t>Actuaciones como incrementar el reparto de dividendos o la proporción de gasto de capital en programas de recompra de acciones son vistas como perjudiciales a largo plazo para las perspectivas de flujo de caja y justifican primas de riesgo más elevadas.</w:t>
      </w:r>
    </w:p>
    <w:p w:rsidR="000711BB" w:rsidRPr="009723F6" w:rsidRDefault="000711BB" w:rsidP="000711BB">
      <w:pPr>
        <w:pStyle w:val="NormalWeb"/>
        <w:shd w:val="clear" w:color="auto" w:fill="FFFFFF"/>
        <w:spacing w:after="300"/>
        <w:jc w:val="both"/>
        <w:textAlignment w:val="baseline"/>
        <w:rPr>
          <w:color w:val="FF0000"/>
          <w:u w:val="single"/>
        </w:rPr>
      </w:pPr>
      <w:r w:rsidRPr="009723F6">
        <w:rPr>
          <w:color w:val="FF0000"/>
          <w:u w:val="single"/>
        </w:rPr>
        <w:lastRenderedPageBreak/>
        <w:t>El panorama actual requiere de una cuidadosa contextualización. La debilidad de los emergentes es un paso necesario para forzarles al equilibrio y el desapalancamiento, bases sobre las que estas economías edificarán un crecimiento a largo plazo. La caída de las materias primas tiene que ver mucho más con la oferta que con la demanda.</w:t>
      </w:r>
    </w:p>
    <w:p w:rsidR="000711BB" w:rsidRPr="009723F6" w:rsidRDefault="000711BB" w:rsidP="000711BB">
      <w:pPr>
        <w:pStyle w:val="NormalWeb"/>
        <w:shd w:val="clear" w:color="auto" w:fill="FFFFFF"/>
        <w:spacing w:after="300"/>
        <w:jc w:val="both"/>
        <w:textAlignment w:val="baseline"/>
        <w:rPr>
          <w:color w:val="FF0000"/>
          <w:u w:val="single"/>
        </w:rPr>
      </w:pPr>
      <w:r w:rsidRPr="009723F6">
        <w:rPr>
          <w:color w:val="FF0000"/>
          <w:u w:val="single"/>
        </w:rPr>
        <w:t>Asimismo, la recompra de acciones es una respuesta justificada al desajuste entre una deuda barata y un mercado de valores caro. Por último, el impulso de las inversiones en tecnología, en detrimento de las materias primas, refleja que los gastos en software son hoy en día más atractivos que las tradicionales inversiones en bienes de equipo.</w:t>
      </w:r>
    </w:p>
    <w:p w:rsidR="000711BB" w:rsidRPr="008B2426" w:rsidRDefault="000711BB" w:rsidP="000711BB">
      <w:pPr>
        <w:pStyle w:val="NormalWeb"/>
        <w:shd w:val="clear" w:color="auto" w:fill="FFFFFF"/>
        <w:spacing w:after="300"/>
        <w:jc w:val="both"/>
        <w:textAlignment w:val="baseline"/>
        <w:rPr>
          <w:color w:val="1A1816"/>
        </w:rPr>
      </w:pPr>
      <w:r w:rsidRPr="008B2426">
        <w:rPr>
          <w:color w:val="1A1816"/>
        </w:rPr>
        <w:t>En cualquier caso, el trasvase de poder de los productores (industrias, empresas de materias primas y beneficiarios de inversiones de capital) a los consumidores va a continuar. Los primeros han gozado de más de una década favorable debido al boom de las inversiones en materias primas, la capitalización de los emergentes y un fuerte aumento del comercio mundial. Todos estos factores están siendo sustituidos por una persistente desaceleración.</w:t>
      </w:r>
    </w:p>
    <w:p w:rsidR="000711BB" w:rsidRPr="009723F6" w:rsidRDefault="000711BB" w:rsidP="000711BB">
      <w:pPr>
        <w:pStyle w:val="NormalWeb"/>
        <w:shd w:val="clear" w:color="auto" w:fill="FFFFFF"/>
        <w:spacing w:after="300"/>
        <w:jc w:val="both"/>
        <w:textAlignment w:val="baseline"/>
        <w:rPr>
          <w:color w:val="1A1816"/>
          <w:u w:val="single"/>
        </w:rPr>
      </w:pPr>
      <w:r w:rsidRPr="008B2426">
        <w:rPr>
          <w:color w:val="1A1816"/>
        </w:rPr>
        <w:t xml:space="preserve">Los consumidores, por el contrario, se han enfrentado a muchas dificultades: endurecimiento de la política fiscal, recorte del ahorro familiar, caída de los ingresos e incertidumbre. Las condiciones están empezando a mejorar, alentadas por la caída de las materias primas y la disrupción tecnológica. Según nuestro punto de vista, la amenaza que supone </w:t>
      </w:r>
      <w:r w:rsidRPr="009723F6">
        <w:rPr>
          <w:color w:val="1A1816"/>
          <w:u w:val="single"/>
        </w:rPr>
        <w:t>la ralentización de los emergentes para el crecimiento mundial se ha exagerado. La oleada que afecta a estas economías es probablemente la fase final de la crisis. Y pasará sin arrastrar a la economía global a la recesión.</w:t>
      </w:r>
    </w:p>
    <w:p w:rsidR="000711BB" w:rsidRDefault="000711BB" w:rsidP="000711BB">
      <w:pPr>
        <w:pStyle w:val="NormalWeb"/>
        <w:shd w:val="clear" w:color="auto" w:fill="FFFFFF"/>
        <w:spacing w:after="300"/>
        <w:jc w:val="both"/>
        <w:textAlignment w:val="baseline"/>
        <w:rPr>
          <w:color w:val="1A1816"/>
        </w:rPr>
      </w:pPr>
      <w:r>
        <w:rPr>
          <w:color w:val="1A1816"/>
        </w:rPr>
        <w:t>(</w:t>
      </w:r>
      <w:r w:rsidRPr="008B2426">
        <w:rPr>
          <w:color w:val="1A1816"/>
        </w:rPr>
        <w:t>Economista jefe de renta variable global en Goldman Sachs</w:t>
      </w:r>
      <w:r>
        <w:rPr>
          <w:color w:val="1A1816"/>
        </w:rPr>
        <w:t>)</w:t>
      </w:r>
    </w:p>
    <w:p w:rsidR="000711BB" w:rsidRPr="00D3548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D3548B">
        <w:rPr>
          <w:rFonts w:ascii="Times New Roman" w:hAnsi="Times New Roman" w:cs="Times New Roman"/>
          <w:sz w:val="24"/>
          <w:szCs w:val="24"/>
          <w:lang w:val="en-US"/>
        </w:rPr>
        <w:t>¿</w:t>
      </w:r>
      <w:r w:rsidRPr="00D3548B">
        <w:rPr>
          <w:rFonts w:ascii="Times New Roman" w:hAnsi="Times New Roman" w:cs="Times New Roman"/>
          <w:sz w:val="24"/>
          <w:szCs w:val="24"/>
          <w:u w:val="single"/>
          <w:lang w:val="en-US"/>
        </w:rPr>
        <w:t>Cuánta deuda es demasiada</w:t>
      </w:r>
      <w:r w:rsidRPr="00D3548B">
        <w:rPr>
          <w:rFonts w:ascii="Times New Roman" w:hAnsi="Times New Roman" w:cs="Times New Roman"/>
          <w:sz w:val="24"/>
          <w:szCs w:val="24"/>
          <w:lang w:val="en-US"/>
        </w:rPr>
        <w:t>?</w:t>
      </w:r>
      <w:r>
        <w:rPr>
          <w:rFonts w:ascii="Times New Roman" w:hAnsi="Times New Roman" w:cs="Times New Roman"/>
          <w:sz w:val="24"/>
          <w:szCs w:val="24"/>
          <w:lang w:val="en-US"/>
        </w:rPr>
        <w:t xml:space="preserve"> (Project Syndicate - </w:t>
      </w:r>
      <w:r w:rsidRPr="00D3548B">
        <w:rPr>
          <w:rFonts w:ascii="Times New Roman" w:hAnsi="Times New Roman" w:cs="Times New Roman"/>
          <w:b/>
          <w:sz w:val="24"/>
          <w:szCs w:val="24"/>
          <w:lang w:val="en-US"/>
        </w:rPr>
        <w:t>28/1/16</w:t>
      </w:r>
      <w:r>
        <w:rPr>
          <w:rFonts w:ascii="Times New Roman" w:hAnsi="Times New Roman" w:cs="Times New Roman"/>
          <w:sz w:val="24"/>
          <w:szCs w:val="24"/>
          <w:lang w:val="en-US"/>
        </w:rPr>
        <w:t>)</w:t>
      </w:r>
    </w:p>
    <w:p w:rsidR="000711BB" w:rsidRPr="00D3548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Londres.-</w:t>
      </w:r>
      <w:r w:rsidRPr="00D3548B">
        <w:rPr>
          <w:rFonts w:ascii="Times New Roman" w:hAnsi="Times New Roman" w:cs="Times New Roman"/>
          <w:sz w:val="24"/>
          <w:szCs w:val="24"/>
          <w:lang w:val="en-US"/>
        </w:rPr>
        <w:t xml:space="preserve"> </w:t>
      </w:r>
      <w:r>
        <w:rPr>
          <w:rFonts w:ascii="Times New Roman" w:hAnsi="Times New Roman" w:cs="Times New Roman"/>
          <w:color w:val="FF0000"/>
          <w:sz w:val="24"/>
          <w:szCs w:val="24"/>
          <w:u w:val="single"/>
          <w:lang w:val="en-US"/>
        </w:rPr>
        <w:t>¿Existe un ratio “seguro”</w:t>
      </w:r>
      <w:r w:rsidRPr="007C7DB6">
        <w:rPr>
          <w:rFonts w:ascii="Times New Roman" w:hAnsi="Times New Roman" w:cs="Times New Roman"/>
          <w:color w:val="FF0000"/>
          <w:sz w:val="24"/>
          <w:szCs w:val="24"/>
          <w:u w:val="single"/>
          <w:lang w:val="en-US"/>
        </w:rPr>
        <w:t xml:space="preserve"> de deuda/ingreso para los hogares o de deuda/PIB para los gobiernos? En ambos casos, la respuesta es sí</w:t>
      </w:r>
      <w:r w:rsidRPr="00D3548B">
        <w:rPr>
          <w:rFonts w:ascii="Times New Roman" w:hAnsi="Times New Roman" w:cs="Times New Roman"/>
          <w:sz w:val="24"/>
          <w:szCs w:val="24"/>
          <w:lang w:val="en-US"/>
        </w:rPr>
        <w:t>. Y, en ambos casos, es imposible decir exactamente cuál es ese ratio. Sin embargo, ésta se ha convertido en la cuestión macroeconómica más urgente del momento, debido no sólo a una espiral de deuda de los hogares y del gobierno desde el año 2000, sino también -y más importante- a la preocupación excesiva que está generando ahora la deuda del gobierno.</w:t>
      </w:r>
    </w:p>
    <w:p w:rsidR="000711BB" w:rsidRPr="007C7DB6"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7C7DB6">
        <w:rPr>
          <w:rFonts w:ascii="Times New Roman" w:hAnsi="Times New Roman" w:cs="Times New Roman"/>
          <w:color w:val="FF0000"/>
          <w:sz w:val="24"/>
          <w:szCs w:val="24"/>
          <w:u w:val="single"/>
          <w:lang w:val="en-US"/>
        </w:rPr>
        <w:t xml:space="preserve">Según un informe de 2015 realizado por el McKinsey Global Institute, la deuda de los hogares en muchos países avanzados se duplicó, a más del 200% de los ingresos, entre 2000 y 2007. Desde entonces, los hogares en los países más afectados por la crisis económica de 2008-2009 se han desendeudado de alguna manera, pero el ratio de deuda de los hogares en la mayoría de los países avanzados siguió creciendo. </w:t>
      </w:r>
    </w:p>
    <w:p w:rsidR="000711BB" w:rsidRPr="007C7DB6"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7C7DB6">
        <w:rPr>
          <w:rFonts w:ascii="Times New Roman" w:hAnsi="Times New Roman" w:cs="Times New Roman"/>
          <w:color w:val="FF0000"/>
          <w:sz w:val="24"/>
          <w:szCs w:val="24"/>
          <w:u w:val="single"/>
          <w:lang w:val="en-US"/>
        </w:rPr>
        <w:t>El aumento significativo de la deuda gubernamental se produjo tras el colapso de 2008-2009. Por ejemplo, la deuda del gobierno británico creció de apenas por encima del 40% del PIB en 2007 al 92% hoy. Los esfuerzos persistentes por parte de los gobiernos altamente endeudados por eliminar sus déficits han hecho que los ratios de deuda aumentaran, reduciendo el PIB, como en Grecia, o retardando la recuperación, como en el Reino Unido.</w:t>
      </w:r>
    </w:p>
    <w:p w:rsidR="000711BB" w:rsidRPr="007C7DB6"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sz w:val="24"/>
          <w:szCs w:val="24"/>
          <w:u w:val="single"/>
          <w:lang w:val="en-US"/>
        </w:rPr>
        <w:t>Antes de que las finanzas modernas facilitaran la posibilidad de vivir de dinero prestado, endeu</w:t>
      </w:r>
      <w:r>
        <w:rPr>
          <w:rFonts w:ascii="Times New Roman" w:hAnsi="Times New Roman" w:cs="Times New Roman"/>
          <w:sz w:val="24"/>
          <w:szCs w:val="24"/>
          <w:u w:val="single"/>
          <w:lang w:val="en-US"/>
        </w:rPr>
        <w:t>darse era considerado inmoral. “</w:t>
      </w:r>
      <w:r w:rsidRPr="007C7DB6">
        <w:rPr>
          <w:rFonts w:ascii="Times New Roman" w:hAnsi="Times New Roman" w:cs="Times New Roman"/>
          <w:sz w:val="24"/>
          <w:szCs w:val="24"/>
          <w:u w:val="single"/>
          <w:lang w:val="en-US"/>
        </w:rPr>
        <w:t>Ni s</w:t>
      </w:r>
      <w:r>
        <w:rPr>
          <w:rFonts w:ascii="Times New Roman" w:hAnsi="Times New Roman" w:cs="Times New Roman"/>
          <w:sz w:val="24"/>
          <w:szCs w:val="24"/>
          <w:u w:val="single"/>
          <w:lang w:val="en-US"/>
        </w:rPr>
        <w:t>eas ni prestatario ni prestador”</w:t>
      </w:r>
      <w:r w:rsidRPr="007C7DB6">
        <w:rPr>
          <w:rFonts w:ascii="Times New Roman" w:hAnsi="Times New Roman" w:cs="Times New Roman"/>
          <w:sz w:val="24"/>
          <w:szCs w:val="24"/>
          <w:u w:val="single"/>
          <w:lang w:val="en-US"/>
        </w:rPr>
        <w:t xml:space="preserve">, le </w:t>
      </w:r>
      <w:r w:rsidRPr="007C7DB6">
        <w:rPr>
          <w:rFonts w:ascii="Times New Roman" w:hAnsi="Times New Roman" w:cs="Times New Roman"/>
          <w:sz w:val="24"/>
          <w:szCs w:val="24"/>
          <w:u w:val="single"/>
          <w:lang w:val="en-US"/>
        </w:rPr>
        <w:lastRenderedPageBreak/>
        <w:t>aconseja Polonio de Shakespeare a su hijo Laertes</w:t>
      </w:r>
      <w:r w:rsidRPr="00D3548B">
        <w:rPr>
          <w:rFonts w:ascii="Times New Roman" w:hAnsi="Times New Roman" w:cs="Times New Roman"/>
          <w:sz w:val="24"/>
          <w:szCs w:val="24"/>
          <w:lang w:val="en-US"/>
        </w:rPr>
        <w:t xml:space="preserve">. </w:t>
      </w:r>
      <w:r w:rsidRPr="007C7DB6">
        <w:rPr>
          <w:rFonts w:ascii="Times New Roman" w:hAnsi="Times New Roman" w:cs="Times New Roman"/>
          <w:sz w:val="24"/>
          <w:szCs w:val="24"/>
          <w:u w:val="single"/>
          <w:lang w:val="en-US"/>
        </w:rPr>
        <w:t>La expectativa de un crecimiento económico ininterrumpido trajo una nueva perspectiva.</w:t>
      </w:r>
      <w:r w:rsidRPr="00D3548B">
        <w:rPr>
          <w:rFonts w:ascii="Times New Roman" w:hAnsi="Times New Roman" w:cs="Times New Roman"/>
          <w:sz w:val="24"/>
          <w:szCs w:val="24"/>
          <w:lang w:val="en-US"/>
        </w:rPr>
        <w:t xml:space="preserve"> La deuda hipotecaria, desconocida hace un siglo, hoy representa el 74% de la deuda de los hogares en los países desarrollados (43% en los países en desarrollo). </w:t>
      </w:r>
      <w:r w:rsidRPr="007C7DB6">
        <w:rPr>
          <w:rFonts w:ascii="Times New Roman" w:hAnsi="Times New Roman" w:cs="Times New Roman"/>
          <w:sz w:val="24"/>
          <w:szCs w:val="24"/>
          <w:u w:val="single"/>
          <w:lang w:val="en-US"/>
        </w:rPr>
        <w:t>Los bancos han prestado, y los hogares se han endeudado, como si mañana con certeza fuera a ser mejor que hoy.</w:t>
      </w:r>
    </w:p>
    <w:p w:rsidR="000711BB" w:rsidRPr="007C7DB6"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sz w:val="24"/>
          <w:szCs w:val="24"/>
          <w:u w:val="single"/>
          <w:lang w:val="en-US"/>
        </w:rPr>
        <w:t>De la misma manera, se solía esperar que los gobiernos equilibraran sus presupuestos, excepto en tiempos de guerra. Pero ellos también llegaron a esperar ingresos siempre en alza a tasas impositivas intactas, o incluso en descenso. De manera que parecía prudente endeudarse a futuro.</w:t>
      </w:r>
    </w:p>
    <w:p w:rsidR="000711BB" w:rsidRPr="007C7DB6"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7C7DB6">
        <w:rPr>
          <w:rFonts w:ascii="Times New Roman" w:hAnsi="Times New Roman" w:cs="Times New Roman"/>
          <w:color w:val="FF0000"/>
          <w:sz w:val="24"/>
          <w:szCs w:val="24"/>
          <w:u w:val="single"/>
          <w:lang w:val="en-US"/>
        </w:rPr>
        <w:t>Hoy, en un momento en que muchos hogares y gobiernos enfrentan serios problemas financieros, eso ya no parece ser así. Pero la única ce</w:t>
      </w:r>
      <w:r>
        <w:rPr>
          <w:rFonts w:ascii="Times New Roman" w:hAnsi="Times New Roman" w:cs="Times New Roman"/>
          <w:color w:val="FF0000"/>
          <w:sz w:val="24"/>
          <w:szCs w:val="24"/>
          <w:u w:val="single"/>
          <w:lang w:val="en-US"/>
        </w:rPr>
        <w:t>rteza es que el ratio de deuda “seguro”</w:t>
      </w:r>
      <w:r w:rsidRPr="007C7DB6">
        <w:rPr>
          <w:rFonts w:ascii="Times New Roman" w:hAnsi="Times New Roman" w:cs="Times New Roman"/>
          <w:color w:val="FF0000"/>
          <w:sz w:val="24"/>
          <w:szCs w:val="24"/>
          <w:u w:val="single"/>
          <w:lang w:val="en-US"/>
        </w:rPr>
        <w:t xml:space="preserve"> depende del contexto.</w:t>
      </w:r>
    </w:p>
    <w:p w:rsidR="000711BB" w:rsidRPr="007C7DB6"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sz w:val="24"/>
          <w:szCs w:val="24"/>
          <w:u w:val="single"/>
          <w:lang w:val="en-US"/>
        </w:rPr>
        <w:t xml:space="preserve">Consideremos el caso de Dinamarca y Estados Unidos. En 2007, el ratio de deuda/ingresos de los hogares en Dinamarca alcanzó el 269%, mientras que el pico en Estados Unidos fue del 125%. Pero las tasas de impago de los hogares han sido insignificantes en Dinamarca, a diferencia de Estados Unidos donde, en los momentos más álgidos de la recesión, casi una cuarta </w:t>
      </w:r>
      <w:r>
        <w:rPr>
          <w:rFonts w:ascii="Times New Roman" w:hAnsi="Times New Roman" w:cs="Times New Roman"/>
          <w:sz w:val="24"/>
          <w:szCs w:val="24"/>
          <w:u w:val="single"/>
          <w:lang w:val="en-US"/>
        </w:rPr>
        <w:t>parte de las hipotecas estaban “bajo el agua”</w:t>
      </w:r>
      <w:r w:rsidRPr="007C7DB6">
        <w:rPr>
          <w:rFonts w:ascii="Times New Roman" w:hAnsi="Times New Roman" w:cs="Times New Roman"/>
          <w:sz w:val="24"/>
          <w:szCs w:val="24"/>
          <w:u w:val="single"/>
          <w:lang w:val="en-US"/>
        </w:rPr>
        <w:t xml:space="preserve"> y algunos propietarios optaron por un impago estratégico -impulsando una mayor presión a la baja sobre los precios de las viviendas y perjudicando a otros hogares endeudados.</w:t>
      </w:r>
    </w:p>
    <w:p w:rsidR="000711BB" w:rsidRPr="007C7DB6"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sz w:val="24"/>
          <w:szCs w:val="24"/>
          <w:u w:val="single"/>
          <w:lang w:val="en-US"/>
        </w:rPr>
        <w:t>Esto se puede atribuir a la distribución de los prestatarios. En Dinamarca, los hogares de altos ingresos son los que más se endeudaron, en relación a sus ingresos, y las exigencias para los préstamos hipotecarios se mantuvieron altas (las hipotecas no podían superar el 80% del valor de la propiedad). En Estados Unidos, los hogares con los ingresos más bajos (el quintil inferior) tenían el mayor ratio deuda/ingresos que el 10% superior, y las hipotecas se repartían como chicles. En Estados Unidos, así como en España e Irlanda, los bancos y los hogares se convirtieron en lo que el columnista del Financial T</w:t>
      </w:r>
      <w:r>
        <w:rPr>
          <w:rFonts w:ascii="Times New Roman" w:hAnsi="Times New Roman" w:cs="Times New Roman"/>
          <w:sz w:val="24"/>
          <w:szCs w:val="24"/>
          <w:u w:val="single"/>
          <w:lang w:val="en-US"/>
        </w:rPr>
        <w:t>imes Martin Wolf dio en llamar “</w:t>
      </w:r>
      <w:r w:rsidRPr="007C7DB6">
        <w:rPr>
          <w:rFonts w:ascii="Times New Roman" w:hAnsi="Times New Roman" w:cs="Times New Roman"/>
          <w:sz w:val="24"/>
          <w:szCs w:val="24"/>
          <w:u w:val="single"/>
          <w:lang w:val="en-US"/>
        </w:rPr>
        <w:t>especuladores altament</w:t>
      </w:r>
      <w:r>
        <w:rPr>
          <w:rFonts w:ascii="Times New Roman" w:hAnsi="Times New Roman" w:cs="Times New Roman"/>
          <w:sz w:val="24"/>
          <w:szCs w:val="24"/>
          <w:u w:val="single"/>
          <w:lang w:val="en-US"/>
        </w:rPr>
        <w:t>e apalancados en un activo fijo”</w:t>
      </w:r>
      <w:r w:rsidRPr="007C7DB6">
        <w:rPr>
          <w:rFonts w:ascii="Times New Roman" w:hAnsi="Times New Roman" w:cs="Times New Roman"/>
          <w:sz w:val="24"/>
          <w:szCs w:val="24"/>
          <w:u w:val="single"/>
          <w:lang w:val="en-US"/>
        </w:rPr>
        <w:t>.</w:t>
      </w:r>
    </w:p>
    <w:p w:rsidR="000711BB" w:rsidRPr="00D3548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7C7DB6">
        <w:rPr>
          <w:rFonts w:ascii="Times New Roman" w:hAnsi="Times New Roman" w:cs="Times New Roman"/>
          <w:sz w:val="24"/>
          <w:szCs w:val="24"/>
          <w:u w:val="single"/>
          <w:lang w:val="en-US"/>
        </w:rPr>
        <w:t>En cuanto a la deuda gubernamental, el ratio deuda/PIB de Japón es de 230%, comparado con el 177% de Grecia. Pero las consecuencias han sido mucho más sombrías en Grecia que en Japón. La distribución de los acreedores es crucial.</w:t>
      </w:r>
      <w:r w:rsidRPr="00D3548B">
        <w:rPr>
          <w:rFonts w:ascii="Times New Roman" w:hAnsi="Times New Roman" w:cs="Times New Roman"/>
          <w:sz w:val="24"/>
          <w:szCs w:val="24"/>
          <w:lang w:val="en-US"/>
        </w:rPr>
        <w:t xml:space="preserve"> La mayoría de los tenedores de bonos de Japón son ciudadanos japoneses (si no el banco central) y les interesa la estabilidad política. La mayoría de los tenedores de bonos griegos son bancos extranjeros. Aun así, si bien las crisis de confianza surgen mucho antes si la deuda está esencialmente en manos de extranjeros, no se han tomado medidas para restringir el endeudamiento del gobierno a fuentes domésticas.</w:t>
      </w:r>
    </w:p>
    <w:p w:rsidR="000711BB" w:rsidRPr="00D3548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7C7DB6">
        <w:rPr>
          <w:rFonts w:ascii="Times New Roman" w:hAnsi="Times New Roman" w:cs="Times New Roman"/>
          <w:color w:val="FF0000"/>
          <w:sz w:val="24"/>
          <w:szCs w:val="24"/>
          <w:u w:val="single"/>
          <w:lang w:val="en-US"/>
        </w:rPr>
        <w:t>Ahora sabemos que la expectativa de crecimiento ininterrumpido fue una ilusión. Pero los gobiernos han sido lentos a la hora de rearmarse contra la nueva crisis.</w:t>
      </w:r>
      <w:r w:rsidRPr="00D3548B">
        <w:rPr>
          <w:rFonts w:ascii="Times New Roman" w:hAnsi="Times New Roman" w:cs="Times New Roman"/>
          <w:sz w:val="24"/>
          <w:szCs w:val="24"/>
          <w:lang w:val="en-US"/>
        </w:rPr>
        <w:t xml:space="preserve"> </w:t>
      </w:r>
      <w:r w:rsidRPr="007C7DB6">
        <w:rPr>
          <w:rFonts w:ascii="Times New Roman" w:hAnsi="Times New Roman" w:cs="Times New Roman"/>
          <w:color w:val="FF0000"/>
          <w:sz w:val="24"/>
          <w:szCs w:val="24"/>
          <w:u w:val="single"/>
          <w:lang w:val="en-US"/>
        </w:rPr>
        <w:t>Las herramientas macro-prudenciales como el capital contracíclico y los requerimientos de reservas a los bancos se han visto debilitadas por los intereses particulares de la industria financiera</w:t>
      </w:r>
      <w:r w:rsidRPr="00D3548B">
        <w:rPr>
          <w:rFonts w:ascii="Times New Roman" w:hAnsi="Times New Roman" w:cs="Times New Roman"/>
          <w:sz w:val="24"/>
          <w:szCs w:val="24"/>
          <w:lang w:val="en-US"/>
        </w:rPr>
        <w:t>. Y, si bien los gobiernos han intentado (aunque de manera ineficaz) reducir su pasivo neto, han venido estimulando a los hogares para que aumentaran su deuda, a fin de respaldar el rest</w:t>
      </w:r>
      <w:r>
        <w:rPr>
          <w:rFonts w:ascii="Times New Roman" w:hAnsi="Times New Roman" w:cs="Times New Roman"/>
          <w:sz w:val="24"/>
          <w:szCs w:val="24"/>
          <w:lang w:val="en-US"/>
        </w:rPr>
        <w:t>ablecimiento de un crecimiento “saludable”</w:t>
      </w:r>
      <w:r w:rsidRPr="00D3548B">
        <w:rPr>
          <w:rFonts w:ascii="Times New Roman" w:hAnsi="Times New Roman" w:cs="Times New Roman"/>
          <w:sz w:val="24"/>
          <w:szCs w:val="24"/>
          <w:lang w:val="en-US"/>
        </w:rPr>
        <w:t>.</w:t>
      </w:r>
    </w:p>
    <w:p w:rsidR="000711BB" w:rsidRPr="00D3548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7C7DB6">
        <w:rPr>
          <w:rFonts w:ascii="Times New Roman" w:hAnsi="Times New Roman" w:cs="Times New Roman"/>
          <w:color w:val="FF0000"/>
          <w:sz w:val="24"/>
          <w:szCs w:val="24"/>
          <w:u w:val="single"/>
          <w:lang w:val="en-US"/>
        </w:rPr>
        <w:lastRenderedPageBreak/>
        <w:t>El informe de McKinsey utiliza datos de consenso del Fondo Monetario Internacional y la OCDE para pronosticar que, con las excepciones destacadas de Alemania, Grecia e Irlanda, todo indica que el ratio deuda/PIB en las economías avanzadas va a aumentar.</w:t>
      </w:r>
      <w:r w:rsidRPr="007C7DB6">
        <w:rPr>
          <w:rFonts w:ascii="Times New Roman" w:hAnsi="Times New Roman" w:cs="Times New Roman"/>
          <w:color w:val="FF0000"/>
          <w:sz w:val="24"/>
          <w:szCs w:val="24"/>
          <w:lang w:val="en-US"/>
        </w:rPr>
        <w:t xml:space="preserve"> </w:t>
      </w:r>
      <w:r w:rsidRPr="00D3548B">
        <w:rPr>
          <w:rFonts w:ascii="Times New Roman" w:hAnsi="Times New Roman" w:cs="Times New Roman"/>
          <w:sz w:val="24"/>
          <w:szCs w:val="24"/>
          <w:lang w:val="en-US"/>
        </w:rPr>
        <w:t>Esto parece alarmante. Pero gran parte de la alarma se basa en el concepto muchas veces repetido de que el gasto del gobierno es improductivo y una carga para las generaciones futuras. En verdad, las generaciones futuras se beneficiarán más que la actual con la inversión del gobierno en infraestructura, de manera que es razonable que deban hacerse cargo de gran parte de esa inversión.</w:t>
      </w:r>
    </w:p>
    <w:p w:rsidR="000711BB" w:rsidRPr="007C7DB6"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7C7DB6">
        <w:rPr>
          <w:rFonts w:ascii="Times New Roman" w:hAnsi="Times New Roman" w:cs="Times New Roman"/>
          <w:color w:val="FF0000"/>
          <w:sz w:val="24"/>
          <w:szCs w:val="24"/>
          <w:u w:val="single"/>
          <w:lang w:val="en-US"/>
        </w:rPr>
        <w:t>El objetivo por el cual se incurre en deuda es importante. Las crisis de deuda son más probables si la deuda se utiliza para cubrir el gasto actual. Pero ahora, cuando las tasas de interés real son de casi cero o negativas, es el momento ideal para que los gobiernos se endeuden para gastos de capital. Los tenedores de bonos no deberían preocuparse por la deuda si ésta da lugar a un activo productivo.</w:t>
      </w:r>
    </w:p>
    <w:p w:rsidR="000711BB" w:rsidRPr="00D3548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7C7DB6">
        <w:rPr>
          <w:rFonts w:ascii="Times New Roman" w:hAnsi="Times New Roman" w:cs="Times New Roman"/>
          <w:sz w:val="24"/>
          <w:szCs w:val="24"/>
          <w:u w:val="single"/>
          <w:lang w:val="en-US"/>
        </w:rPr>
        <w:t>Hoy en día todos los gobiernos apuntan a que un excedente fiscal pague la deuda. Esto es sensato, pero lo importante es cómo se hace.</w:t>
      </w:r>
      <w:r w:rsidRPr="00D3548B">
        <w:rPr>
          <w:rFonts w:ascii="Times New Roman" w:hAnsi="Times New Roman" w:cs="Times New Roman"/>
          <w:sz w:val="24"/>
          <w:szCs w:val="24"/>
          <w:lang w:val="en-US"/>
        </w:rPr>
        <w:t xml:space="preserve"> En condiciones de recuperación incompleta y de crecimiento que se estanca, aumentar los impuestos o recortar el gasto en asistencia social es la estrategia equivocada; </w:t>
      </w:r>
      <w:r w:rsidRPr="007C7DB6">
        <w:rPr>
          <w:rFonts w:ascii="Times New Roman" w:hAnsi="Times New Roman" w:cs="Times New Roman"/>
          <w:color w:val="FF0000"/>
          <w:sz w:val="24"/>
          <w:szCs w:val="24"/>
          <w:u w:val="single"/>
          <w:lang w:val="en-US"/>
        </w:rPr>
        <w:t>la consolidación fiscal exige tomar medidas activas para aumentar el crecimiento del PIB.</w:t>
      </w:r>
    </w:p>
    <w:p w:rsidR="000711BB" w:rsidRPr="007C7DB6"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color w:val="FF0000"/>
          <w:sz w:val="24"/>
          <w:szCs w:val="24"/>
          <w:u w:val="single"/>
          <w:lang w:val="en-US"/>
        </w:rPr>
        <w:t>En el largo plazo, esto se puede lograr sólo si se aumenta la productividad. Pero los gobiernos pueden ayudar a que el largo plazo se vuelva más corto. Se han basado en la impresión de billetes para compensar los efectos deflacionarios de sus políticas fiscales.</w:t>
      </w:r>
      <w:r w:rsidRPr="007C7DB6">
        <w:rPr>
          <w:rFonts w:ascii="Times New Roman" w:hAnsi="Times New Roman" w:cs="Times New Roman"/>
          <w:color w:val="FF0000"/>
          <w:sz w:val="24"/>
          <w:szCs w:val="24"/>
          <w:lang w:val="en-US"/>
        </w:rPr>
        <w:t xml:space="preserve"> </w:t>
      </w:r>
      <w:r>
        <w:rPr>
          <w:rFonts w:ascii="Times New Roman" w:hAnsi="Times New Roman" w:cs="Times New Roman"/>
          <w:sz w:val="24"/>
          <w:szCs w:val="24"/>
          <w:u w:val="single"/>
          <w:lang w:val="en-US"/>
        </w:rPr>
        <w:t>Pero como señala McKinsey, “</w:t>
      </w:r>
      <w:r w:rsidRPr="007C7DB6">
        <w:rPr>
          <w:rFonts w:ascii="Times New Roman" w:hAnsi="Times New Roman" w:cs="Times New Roman"/>
          <w:sz w:val="24"/>
          <w:szCs w:val="24"/>
          <w:u w:val="single"/>
          <w:lang w:val="en-US"/>
        </w:rPr>
        <w:t>la liquidez… no puede traducirse en inflación cuando la demanda está deprimida, la tendencia al ahorro es alta y los banco</w:t>
      </w:r>
      <w:r>
        <w:rPr>
          <w:rFonts w:ascii="Times New Roman" w:hAnsi="Times New Roman" w:cs="Times New Roman"/>
          <w:sz w:val="24"/>
          <w:szCs w:val="24"/>
          <w:u w:val="single"/>
          <w:lang w:val="en-US"/>
        </w:rPr>
        <w:t>s siguen desendeudándose”</w:t>
      </w:r>
      <w:r w:rsidRPr="007C7DB6">
        <w:rPr>
          <w:rFonts w:ascii="Times New Roman" w:hAnsi="Times New Roman" w:cs="Times New Roman"/>
          <w:sz w:val="24"/>
          <w:szCs w:val="24"/>
          <w:u w:val="single"/>
          <w:lang w:val="en-US"/>
        </w:rPr>
        <w:t>.</w:t>
      </w:r>
    </w:p>
    <w:p w:rsidR="000711BB" w:rsidRPr="007C7DB6"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sz w:val="24"/>
          <w:szCs w:val="24"/>
          <w:u w:val="single"/>
          <w:lang w:val="en-US"/>
        </w:rPr>
        <w:t>La política fiscal expansionaria es un tabú, porque amenaza con aumentar aún más la deuda nacional. Pero en gran medida depende de cómo los gobiernos presentan sus cuentas. En 2014, el Banco de Inglaterra tenía el 24% de la deuda gubernamental del Reino Unido. Si descontamos esto, el ratio deuda/PIB del Reino Unido era del 63%, no del 92%.</w:t>
      </w:r>
    </w:p>
    <w:p w:rsidR="000711BB" w:rsidRPr="007C7DB6"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C7DB6">
        <w:rPr>
          <w:rFonts w:ascii="Times New Roman" w:hAnsi="Times New Roman" w:cs="Times New Roman"/>
          <w:color w:val="FF0000"/>
          <w:sz w:val="24"/>
          <w:szCs w:val="24"/>
          <w:u w:val="single"/>
          <w:lang w:val="en-US"/>
        </w:rPr>
        <w:t>De manera que resulta más sensato centrarse en la deuda sin incluir el endeudamiento gubernamental con el banco central</w:t>
      </w:r>
      <w:r w:rsidRPr="00D3548B">
        <w:rPr>
          <w:rFonts w:ascii="Times New Roman" w:hAnsi="Times New Roman" w:cs="Times New Roman"/>
          <w:sz w:val="24"/>
          <w:szCs w:val="24"/>
          <w:lang w:val="en-US"/>
        </w:rPr>
        <w:t xml:space="preserve">. </w:t>
      </w:r>
      <w:r w:rsidRPr="007C7DB6">
        <w:rPr>
          <w:rFonts w:ascii="Times New Roman" w:hAnsi="Times New Roman" w:cs="Times New Roman"/>
          <w:sz w:val="24"/>
          <w:szCs w:val="24"/>
          <w:u w:val="single"/>
          <w:lang w:val="en-US"/>
        </w:rPr>
        <w:t>Los gobiernos deberían estar dispuestos a decir que no tienen ninguna intención de saldar la deuda que le deben a su propio banco. El financiamiento monetario del gasto del gobierno es una de esas ideas tabú que seguramente ganará respaldo si, como es probable, la recuperación económica se paraliza.</w:t>
      </w:r>
    </w:p>
    <w:p w:rsidR="000711B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D3548B">
        <w:rPr>
          <w:rFonts w:ascii="Times New Roman" w:hAnsi="Times New Roman" w:cs="Times New Roman"/>
          <w:sz w:val="24"/>
          <w:szCs w:val="24"/>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w:t>
      </w:r>
      <w:r>
        <w:rPr>
          <w:rFonts w:ascii="Times New Roman" w:hAnsi="Times New Roman" w:cs="Times New Roman"/>
          <w:sz w:val="24"/>
          <w:szCs w:val="24"/>
          <w:lang w:val="en-US"/>
        </w:rPr>
        <w:t>al career in the Labour party</w:t>
      </w:r>
      <w:r w:rsidRPr="00D3548B">
        <w:rPr>
          <w:rFonts w:ascii="Times New Roman" w:hAnsi="Times New Roman" w:cs="Times New Roman"/>
          <w:sz w:val="24"/>
          <w:szCs w:val="24"/>
          <w:lang w:val="en-US"/>
        </w:rPr>
        <w:t>…</w:t>
      </w:r>
      <w:r>
        <w:rPr>
          <w:rFonts w:ascii="Times New Roman" w:hAnsi="Times New Roman" w:cs="Times New Roman"/>
          <w:sz w:val="24"/>
          <w:szCs w:val="24"/>
          <w:lang w:val="en-US"/>
        </w:rPr>
        <w:t>)</w:t>
      </w:r>
      <w:r w:rsidRPr="00D3548B">
        <w:rPr>
          <w:rFonts w:ascii="Times New Roman" w:hAnsi="Times New Roman" w:cs="Times New Roman"/>
          <w:sz w:val="24"/>
          <w:szCs w:val="24"/>
          <w:lang w:val="en-US"/>
        </w:rPr>
        <w:t xml:space="preserve"> </w:t>
      </w:r>
    </w:p>
    <w:p w:rsidR="000711BB" w:rsidRPr="006A217C"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sz w:val="24"/>
          <w:szCs w:val="24"/>
          <w:u w:val="single"/>
          <w:lang w:val="en-US"/>
        </w:rPr>
        <w:t>Rusia y Brasil “matan”</w:t>
      </w:r>
      <w:r w:rsidRPr="006A217C">
        <w:rPr>
          <w:rFonts w:ascii="Times New Roman" w:hAnsi="Times New Roman" w:cs="Times New Roman"/>
          <w:sz w:val="24"/>
          <w:szCs w:val="24"/>
          <w:u w:val="single"/>
          <w:lang w:val="en-US"/>
        </w:rPr>
        <w:t xml:space="preserve"> a los Brics, mientras Corea y Taiwan dan a luz a los Ticks</w:t>
      </w:r>
      <w:r>
        <w:rPr>
          <w:rFonts w:ascii="Times New Roman" w:hAnsi="Times New Roman" w:cs="Times New Roman"/>
          <w:sz w:val="24"/>
          <w:szCs w:val="24"/>
          <w:lang w:val="en-US"/>
        </w:rPr>
        <w:t xml:space="preserve"> (El Economista - </w:t>
      </w:r>
      <w:r>
        <w:rPr>
          <w:rFonts w:ascii="Times New Roman" w:hAnsi="Times New Roman" w:cs="Times New Roman"/>
          <w:b/>
          <w:sz w:val="24"/>
          <w:szCs w:val="24"/>
          <w:lang w:val="en-US"/>
        </w:rPr>
        <w:t>29</w:t>
      </w:r>
      <w:r w:rsidRPr="006A217C">
        <w:rPr>
          <w:rFonts w:ascii="Times New Roman" w:hAnsi="Times New Roman" w:cs="Times New Roman"/>
          <w:b/>
          <w:sz w:val="24"/>
          <w:szCs w:val="24"/>
          <w:lang w:val="en-US"/>
        </w:rPr>
        <w:t>/1/16</w:t>
      </w:r>
      <w:r>
        <w:rPr>
          <w:rFonts w:ascii="Times New Roman" w:hAnsi="Times New Roman" w:cs="Times New Roman"/>
          <w:sz w:val="24"/>
          <w:szCs w:val="24"/>
          <w:lang w:val="en-US"/>
        </w:rPr>
        <w:t>)</w:t>
      </w:r>
    </w:p>
    <w:p w:rsidR="000711BB" w:rsidRPr="00055B3C" w:rsidRDefault="000711BB" w:rsidP="000711BB">
      <w:pPr>
        <w:pStyle w:val="NormalWeb"/>
        <w:shd w:val="clear" w:color="auto" w:fill="FFFFFF"/>
        <w:spacing w:before="0" w:beforeAutospacing="0" w:after="0" w:afterAutospacing="0"/>
        <w:jc w:val="both"/>
        <w:textAlignment w:val="baseline"/>
        <w:rPr>
          <w:color w:val="FF0000"/>
          <w:u w:val="single"/>
        </w:rPr>
      </w:pPr>
      <w:r w:rsidRPr="00055B3C">
        <w:rPr>
          <w:color w:val="000000"/>
          <w:u w:val="single"/>
        </w:rPr>
        <w:t>Los Brics (Brasil, Rusia, India, China y Sudáfrica), un término en desuso</w:t>
      </w:r>
      <w:r w:rsidRPr="006A217C">
        <w:rPr>
          <w:color w:val="000000"/>
        </w:rPr>
        <w:t xml:space="preserve">. Se comenzó a emplear este concepto en 2001, fue el entonces economista jefe de Goldman Sachs, Jim O'Neill, quien comenzó a usarlo. Estos países estaban llamados a dominar la economía </w:t>
      </w:r>
      <w:r w:rsidRPr="006A217C">
        <w:rPr>
          <w:color w:val="000000"/>
        </w:rPr>
        <w:lastRenderedPageBreak/>
        <w:t>mundial en el futuro, sin embargo</w:t>
      </w:r>
      <w:r w:rsidRPr="006A217C">
        <w:rPr>
          <w:rStyle w:val="apple-converted-space"/>
          <w:rFonts w:eastAsiaTheme="majorEastAsia"/>
          <w:color w:val="000000"/>
        </w:rPr>
        <w:t> </w:t>
      </w:r>
      <w:hyperlink r:id="rId152" w:history="1">
        <w:r w:rsidRPr="00804FAA">
          <w:rPr>
            <w:rStyle w:val="Hipervnculo"/>
            <w:color w:val="auto"/>
            <w:u w:val="none"/>
            <w:bdr w:val="none" w:sz="0" w:space="0" w:color="auto" w:frame="1"/>
          </w:rPr>
          <w:t>la fuerte crisis que atraviesan Rusia</w:t>
        </w:r>
      </w:hyperlink>
      <w:r w:rsidRPr="00804FAA">
        <w:rPr>
          <w:rStyle w:val="apple-converted-space"/>
          <w:rFonts w:eastAsiaTheme="majorEastAsia"/>
        </w:rPr>
        <w:t> </w:t>
      </w:r>
      <w:r w:rsidRPr="006A217C">
        <w:rPr>
          <w:color w:val="000000"/>
        </w:rPr>
        <w:t xml:space="preserve">y Brasil ha podido acabar con este nombre </w:t>
      </w:r>
      <w:r w:rsidRPr="00055B3C">
        <w:rPr>
          <w:color w:val="FF0000"/>
          <w:u w:val="single"/>
        </w:rPr>
        <w:t xml:space="preserve">para dar a luz la nueva denominación de Ticks, que incluye a Corea del Sur (Korea en inglés) y </w:t>
      </w:r>
      <w:r w:rsidR="00BB21D6" w:rsidRPr="00055B3C">
        <w:rPr>
          <w:color w:val="FF0000"/>
          <w:u w:val="single"/>
        </w:rPr>
        <w:t>Taiwán</w:t>
      </w:r>
      <w:r w:rsidRPr="00055B3C">
        <w:rPr>
          <w:color w:val="FF0000"/>
          <w:u w:val="single"/>
        </w:rPr>
        <w:t>. Dos países que se están especializando en el sector tecnológico de alto valor añadido, un estrategia que puede ser el mejor escudo para detener en seco las turbulencias económicas globales.</w:t>
      </w:r>
    </w:p>
    <w:p w:rsidR="000711BB" w:rsidRPr="006A217C" w:rsidRDefault="000711BB" w:rsidP="000711BB">
      <w:pPr>
        <w:pStyle w:val="NormalWeb"/>
        <w:shd w:val="clear" w:color="auto" w:fill="FFFFFF"/>
        <w:spacing w:before="0" w:beforeAutospacing="0" w:after="0" w:afterAutospacing="0"/>
        <w:jc w:val="both"/>
        <w:textAlignment w:val="baseline"/>
        <w:rPr>
          <w:color w:val="000000"/>
        </w:rPr>
      </w:pPr>
    </w:p>
    <w:p w:rsidR="000711BB" w:rsidRPr="00055B3C" w:rsidRDefault="000711BB" w:rsidP="000711BB">
      <w:pPr>
        <w:pStyle w:val="NormalWeb"/>
        <w:shd w:val="clear" w:color="auto" w:fill="FFFFFF"/>
        <w:spacing w:before="0" w:beforeAutospacing="0" w:after="0" w:afterAutospacing="0"/>
        <w:jc w:val="both"/>
        <w:textAlignment w:val="baseline"/>
        <w:rPr>
          <w:color w:val="000000"/>
          <w:u w:val="single"/>
        </w:rPr>
      </w:pPr>
      <w:r w:rsidRPr="006A217C">
        <w:rPr>
          <w:color w:val="000000"/>
        </w:rPr>
        <w:t>Tal y como explica el prestigioso diario</w:t>
      </w:r>
      <w:r w:rsidRPr="006A217C">
        <w:rPr>
          <w:rStyle w:val="apple-converted-space"/>
          <w:rFonts w:eastAsiaTheme="majorEastAsia"/>
          <w:color w:val="000000"/>
        </w:rPr>
        <w:t> </w:t>
      </w:r>
      <w:r w:rsidRPr="006A217C">
        <w:rPr>
          <w:i/>
          <w:iCs/>
          <w:color w:val="000000"/>
          <w:bdr w:val="none" w:sz="0" w:space="0" w:color="auto" w:frame="1"/>
        </w:rPr>
        <w:t>Financial Times,</w:t>
      </w:r>
      <w:r w:rsidRPr="006A217C">
        <w:rPr>
          <w:rStyle w:val="apple-converted-space"/>
          <w:rFonts w:eastAsiaTheme="majorEastAsia"/>
          <w:i/>
          <w:iCs/>
          <w:color w:val="000000"/>
          <w:bdr w:val="none" w:sz="0" w:space="0" w:color="auto" w:frame="1"/>
        </w:rPr>
        <w:t> </w:t>
      </w:r>
      <w:r w:rsidRPr="006A217C">
        <w:rPr>
          <w:color w:val="000000"/>
        </w:rPr>
        <w:t xml:space="preserve">este cambio de cromos en la lista de países con más futuro dice mucho de lo que se espera de la economía en el futuro. </w:t>
      </w:r>
      <w:r w:rsidRPr="00055B3C">
        <w:rPr>
          <w:color w:val="000000"/>
          <w:u w:val="single"/>
        </w:rPr>
        <w:t xml:space="preserve">Mientras que Rusia y Brasil son países con una gran dependencia de las materias primas, </w:t>
      </w:r>
      <w:r w:rsidR="00BB21D6" w:rsidRPr="00055B3C">
        <w:rPr>
          <w:color w:val="FF0000"/>
          <w:u w:val="single"/>
        </w:rPr>
        <w:t>Taiwán</w:t>
      </w:r>
      <w:r w:rsidRPr="00055B3C">
        <w:rPr>
          <w:color w:val="FF0000"/>
          <w:u w:val="single"/>
        </w:rPr>
        <w:t xml:space="preserve"> y Corea del Sur son potencias tecnológicas</w:t>
      </w:r>
      <w:r w:rsidRPr="00055B3C">
        <w:rPr>
          <w:color w:val="000000"/>
          <w:u w:val="single"/>
        </w:rPr>
        <w:t>, un sector que está demostrando ser más estable y menos vulnerable a los movimientos del ciclo económico.</w:t>
      </w:r>
    </w:p>
    <w:p w:rsidR="000711BB" w:rsidRPr="00055B3C" w:rsidRDefault="000711BB" w:rsidP="000711BB">
      <w:pPr>
        <w:pStyle w:val="NormalWeb"/>
        <w:shd w:val="clear" w:color="auto" w:fill="FFFFFF"/>
        <w:spacing w:before="0" w:beforeAutospacing="0" w:after="0" w:afterAutospacing="0"/>
        <w:jc w:val="both"/>
        <w:textAlignment w:val="baseline"/>
        <w:rPr>
          <w:color w:val="000000"/>
          <w:u w:val="single"/>
        </w:rPr>
      </w:pPr>
    </w:p>
    <w:p w:rsidR="000711BB" w:rsidRPr="006A217C" w:rsidRDefault="000711BB" w:rsidP="000711BB">
      <w:pPr>
        <w:pStyle w:val="NormalWeb"/>
        <w:shd w:val="clear" w:color="auto" w:fill="FFFFFF"/>
        <w:spacing w:before="0" w:beforeAutospacing="0" w:after="0" w:afterAutospacing="0"/>
        <w:jc w:val="both"/>
        <w:textAlignment w:val="baseline"/>
        <w:rPr>
          <w:color w:val="000000"/>
        </w:rPr>
      </w:pPr>
      <w:r w:rsidRPr="006A217C">
        <w:rPr>
          <w:color w:val="000000"/>
        </w:rPr>
        <w:t>Al calor del petróleo a 100 dólares y del elevado precio de otras materias primas</w:t>
      </w:r>
      <w:r w:rsidRPr="006A217C">
        <w:rPr>
          <w:rStyle w:val="apple-converted-space"/>
          <w:rFonts w:eastAsiaTheme="majorEastAsia"/>
          <w:color w:val="000000"/>
        </w:rPr>
        <w:t> </w:t>
      </w:r>
      <w:hyperlink r:id="rId153" w:history="1">
        <w:r w:rsidRPr="00804FAA">
          <w:rPr>
            <w:rStyle w:val="Hipervnculo"/>
            <w:color w:val="auto"/>
            <w:u w:val="none"/>
            <w:bdr w:val="none" w:sz="0" w:space="0" w:color="auto" w:frame="1"/>
          </w:rPr>
          <w:t>(súper-ciclo de las materias primas)</w:t>
        </w:r>
      </w:hyperlink>
      <w:r w:rsidRPr="006A217C">
        <w:rPr>
          <w:rStyle w:val="apple-converted-space"/>
          <w:rFonts w:eastAsiaTheme="majorEastAsia"/>
          <w:color w:val="000000"/>
        </w:rPr>
        <w:t> </w:t>
      </w:r>
      <w:r w:rsidRPr="006A217C">
        <w:rPr>
          <w:color w:val="000000"/>
        </w:rPr>
        <w:t>muchos países lograron fuertes tasas de crecimiento, bajo desempleo y niveles de deuda pública casi inexistentes. Sin embargo, cuando la marea de las materias primas comenzó a bajar a mediados de 2014, se ha visto que algunos de estos países dependían excesivamente de las</w:t>
      </w:r>
      <w:r w:rsidRPr="006A217C">
        <w:rPr>
          <w:rStyle w:val="apple-converted-space"/>
          <w:rFonts w:eastAsiaTheme="majorEastAsia"/>
          <w:color w:val="000000"/>
        </w:rPr>
        <w:t> </w:t>
      </w:r>
      <w:r w:rsidRPr="006A217C">
        <w:rPr>
          <w:i/>
          <w:iCs/>
          <w:color w:val="000000"/>
          <w:bdr w:val="none" w:sz="0" w:space="0" w:color="auto" w:frame="1"/>
        </w:rPr>
        <w:t>commodities</w:t>
      </w:r>
      <w:r w:rsidRPr="006A217C">
        <w:rPr>
          <w:rStyle w:val="apple-converted-space"/>
          <w:rFonts w:eastAsiaTheme="majorEastAsia"/>
          <w:color w:val="000000"/>
        </w:rPr>
        <w:t> </w:t>
      </w:r>
      <w:r w:rsidRPr="006A217C">
        <w:rPr>
          <w:color w:val="000000"/>
        </w:rPr>
        <w:t>y sus precios. </w:t>
      </w:r>
    </w:p>
    <w:p w:rsidR="000711BB" w:rsidRPr="006A217C" w:rsidRDefault="000711BB" w:rsidP="000711BB">
      <w:pPr>
        <w:pStyle w:val="Ttulo2"/>
        <w:shd w:val="clear" w:color="auto" w:fill="FFFFFF"/>
        <w:spacing w:before="300" w:after="150" w:line="240" w:lineRule="auto"/>
        <w:jc w:val="both"/>
        <w:textAlignment w:val="baseline"/>
        <w:rPr>
          <w:rFonts w:ascii="Times New Roman" w:hAnsi="Times New Roman" w:cs="Times New Roman"/>
          <w:b w:val="0"/>
          <w:bCs w:val="0"/>
          <w:color w:val="000000"/>
          <w:sz w:val="24"/>
          <w:szCs w:val="24"/>
        </w:rPr>
      </w:pPr>
      <w:r w:rsidRPr="006A217C">
        <w:rPr>
          <w:rFonts w:ascii="Times New Roman" w:hAnsi="Times New Roman" w:cs="Times New Roman"/>
          <w:b w:val="0"/>
          <w:bCs w:val="0"/>
          <w:color w:val="000000"/>
          <w:sz w:val="24"/>
          <w:szCs w:val="24"/>
        </w:rPr>
        <w:t>La tecnología gana frente al petróleo</w:t>
      </w:r>
    </w:p>
    <w:p w:rsidR="000711BB" w:rsidRPr="00055B3C" w:rsidRDefault="000711BB" w:rsidP="000711BB">
      <w:pPr>
        <w:pStyle w:val="NormalWeb"/>
        <w:shd w:val="clear" w:color="auto" w:fill="FFFFFF"/>
        <w:spacing w:before="0" w:beforeAutospacing="0" w:after="300" w:afterAutospacing="0"/>
        <w:jc w:val="both"/>
        <w:textAlignment w:val="baseline"/>
        <w:rPr>
          <w:color w:val="FF0000"/>
          <w:u w:val="single"/>
        </w:rPr>
      </w:pPr>
      <w:r w:rsidRPr="006A217C">
        <w:rPr>
          <w:color w:val="000000"/>
        </w:rPr>
        <w:t xml:space="preserve">Stephen Holden, fundador de Copley Fund Research, que asesora en 120 fondos de inversión en mercados emergentes, explica que </w:t>
      </w:r>
      <w:r>
        <w:rPr>
          <w:color w:val="FF0000"/>
          <w:u w:val="single"/>
        </w:rPr>
        <w:t>“</w:t>
      </w:r>
      <w:r w:rsidRPr="00055B3C">
        <w:rPr>
          <w:color w:val="FF0000"/>
          <w:u w:val="single"/>
        </w:rPr>
        <w:t xml:space="preserve">los Brics ya no son el motor del crecimiento de los mercados emergentes. Ahora existe un nuevo orden de </w:t>
      </w:r>
      <w:r>
        <w:rPr>
          <w:color w:val="FF0000"/>
          <w:u w:val="single"/>
        </w:rPr>
        <w:t>las cosas”</w:t>
      </w:r>
      <w:r w:rsidRPr="00055B3C">
        <w:rPr>
          <w:color w:val="FF0000"/>
          <w:u w:val="single"/>
        </w:rPr>
        <w:t>. </w:t>
      </w:r>
    </w:p>
    <w:p w:rsidR="000711BB" w:rsidRPr="00055B3C" w:rsidRDefault="000711BB" w:rsidP="000711BB">
      <w:pPr>
        <w:pStyle w:val="NormalWeb"/>
        <w:shd w:val="clear" w:color="auto" w:fill="FFFFFF"/>
        <w:spacing w:before="0" w:beforeAutospacing="0" w:after="300" w:afterAutospacing="0"/>
        <w:jc w:val="both"/>
        <w:textAlignment w:val="baseline"/>
        <w:rPr>
          <w:color w:val="000000"/>
          <w:u w:val="single"/>
        </w:rPr>
      </w:pPr>
      <w:r>
        <w:rPr>
          <w:color w:val="000000"/>
          <w:u w:val="single"/>
        </w:rPr>
        <w:t>“</w:t>
      </w:r>
      <w:r w:rsidRPr="00055B3C">
        <w:rPr>
          <w:color w:val="000000"/>
          <w:u w:val="single"/>
        </w:rPr>
        <w:t xml:space="preserve">La tecnología es un sector al alza y el consumidor </w:t>
      </w:r>
      <w:r w:rsidR="00BE04EF" w:rsidRPr="00055B3C">
        <w:rPr>
          <w:color w:val="000000"/>
          <w:u w:val="single"/>
        </w:rPr>
        <w:t>está</w:t>
      </w:r>
      <w:r w:rsidRPr="00055B3C">
        <w:rPr>
          <w:color w:val="000000"/>
          <w:u w:val="single"/>
        </w:rPr>
        <w:t xml:space="preserve"> invirtiendo en estos productos ahora. No creo que las personas sean conscientes de esta nueva historia en los mercados emergentes, al menos no tanto como deberían de estarlo. Ellos piensan en Brasil, Rusia; grandes potencias energéticas, con fuertes empresas. Per</w:t>
      </w:r>
      <w:r>
        <w:rPr>
          <w:color w:val="000000"/>
          <w:u w:val="single"/>
        </w:rPr>
        <w:t>o esto ha cambiado radicalmente”</w:t>
      </w:r>
      <w:r w:rsidRPr="00055B3C">
        <w:rPr>
          <w:color w:val="000000"/>
          <w:u w:val="single"/>
        </w:rPr>
        <w:t>.</w:t>
      </w:r>
    </w:p>
    <w:p w:rsidR="000711BB" w:rsidRPr="00055B3C" w:rsidRDefault="000711BB" w:rsidP="000711BB">
      <w:pPr>
        <w:pStyle w:val="NormalWeb"/>
        <w:shd w:val="clear" w:color="auto" w:fill="FFFFFF"/>
        <w:spacing w:before="0" w:beforeAutospacing="0" w:after="300" w:afterAutospacing="0"/>
        <w:jc w:val="both"/>
        <w:textAlignment w:val="baseline"/>
        <w:rPr>
          <w:color w:val="000000"/>
          <w:u w:val="single"/>
        </w:rPr>
      </w:pPr>
      <w:r w:rsidRPr="006A217C">
        <w:rPr>
          <w:color w:val="000000"/>
        </w:rPr>
        <w:t xml:space="preserve">Richard Sneller, director de renta variable emergente en Baillie Gifford, cree que </w:t>
      </w:r>
      <w:r>
        <w:rPr>
          <w:color w:val="000000"/>
          <w:u w:val="single"/>
        </w:rPr>
        <w:t>“</w:t>
      </w:r>
      <w:r w:rsidRPr="00055B3C">
        <w:rPr>
          <w:color w:val="000000"/>
          <w:u w:val="single"/>
        </w:rPr>
        <w:t>algunos mercados emergentes se están adaptando al gusto de los consumidores más jóvenes, se adaptan a la tecnología, al comercio electrónico, a las tiendas online, in</w:t>
      </w:r>
      <w:r>
        <w:rPr>
          <w:color w:val="000000"/>
          <w:u w:val="single"/>
        </w:rPr>
        <w:t>cluso mucho más rápido que EEUU”</w:t>
      </w:r>
      <w:r w:rsidRPr="00055B3C">
        <w:rPr>
          <w:color w:val="000000"/>
          <w:u w:val="single"/>
        </w:rPr>
        <w:t>.</w:t>
      </w:r>
    </w:p>
    <w:p w:rsidR="000711BB" w:rsidRPr="00055B3C" w:rsidRDefault="000711BB" w:rsidP="000711BB">
      <w:pPr>
        <w:pStyle w:val="NormalWeb"/>
        <w:shd w:val="clear" w:color="auto" w:fill="FFFFFF"/>
        <w:spacing w:before="0" w:beforeAutospacing="0" w:after="300" w:afterAutospacing="0"/>
        <w:jc w:val="both"/>
        <w:textAlignment w:val="baseline"/>
        <w:rPr>
          <w:color w:val="000000"/>
          <w:u w:val="single"/>
        </w:rPr>
      </w:pPr>
      <w:r w:rsidRPr="006A217C">
        <w:rPr>
          <w:color w:val="000000"/>
        </w:rPr>
        <w:t xml:space="preserve">Antes de que comenzase el súper-ciclo de las materias primas, </w:t>
      </w:r>
      <w:r w:rsidR="00BB21D6" w:rsidRPr="006A217C">
        <w:rPr>
          <w:color w:val="000000"/>
        </w:rPr>
        <w:t>Taiwán</w:t>
      </w:r>
      <w:r w:rsidRPr="006A217C">
        <w:rPr>
          <w:color w:val="000000"/>
        </w:rPr>
        <w:t xml:space="preserve"> tenía la mayor ponderación en </w:t>
      </w:r>
      <w:r w:rsidRPr="00055B3C">
        <w:rPr>
          <w:color w:val="000000"/>
          <w:u w:val="single"/>
        </w:rPr>
        <w:t>el índice MSCI EM</w:t>
      </w:r>
      <w:r w:rsidRPr="006A217C">
        <w:rPr>
          <w:color w:val="000000"/>
        </w:rPr>
        <w:t xml:space="preserve">, el índice que aglutina más de 800 empresas de 23 países emergentes. Pero cuando las materias primas comenzaron a subir de precios, las empresas que trabajan con ellas aumentaron su capitalización en bolsa. </w:t>
      </w:r>
      <w:r w:rsidRPr="00055B3C">
        <w:rPr>
          <w:color w:val="000000"/>
          <w:u w:val="single"/>
        </w:rPr>
        <w:t>Las firmas de Brasil llegaron a representar un 17,6% de este índice, sin embargo, ahora tan sólo representan un 5,2%.</w:t>
      </w:r>
    </w:p>
    <w:p w:rsidR="000711BB" w:rsidRPr="006A217C" w:rsidRDefault="000711BB" w:rsidP="000711BB">
      <w:pPr>
        <w:pStyle w:val="NormalWeb"/>
        <w:shd w:val="clear" w:color="auto" w:fill="FFFFFF"/>
        <w:spacing w:before="0" w:beforeAutospacing="0" w:after="300" w:afterAutospacing="0"/>
        <w:jc w:val="both"/>
        <w:textAlignment w:val="baseline"/>
        <w:rPr>
          <w:color w:val="000000"/>
        </w:rPr>
      </w:pPr>
      <w:r w:rsidRPr="00055B3C">
        <w:rPr>
          <w:color w:val="000000"/>
          <w:u w:val="single"/>
        </w:rPr>
        <w:t>En estos últimos años se ha producido una fuerte rotación dentro de este índice. Las industrias y empresas dedicadas a las materias primas y al sector primario están siendo superadas por las tecnológicas.</w:t>
      </w:r>
      <w:r w:rsidRPr="006A217C">
        <w:rPr>
          <w:color w:val="000000"/>
        </w:rPr>
        <w:t xml:space="preserve"> Las empresas que trabajan con materias primas dependen del precio de las mismas, mientras que las que trabajan con tecnología dependen de su trabajo e inversión.</w:t>
      </w:r>
    </w:p>
    <w:p w:rsidR="000711BB" w:rsidRPr="00055B3C"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055B3C">
        <w:rPr>
          <w:rFonts w:ascii="Times New Roman" w:hAnsi="Times New Roman" w:cs="Times New Roman"/>
          <w:color w:val="FF0000"/>
          <w:sz w:val="24"/>
          <w:szCs w:val="24"/>
          <w:u w:val="single"/>
          <w:lang w:val="en-US"/>
        </w:rPr>
        <w:lastRenderedPageBreak/>
        <w:t>Sobre todo, el clima de inversiones resulta favorecido por la estabilidad: una gestión macroeconómica competente y alerta, y la eficacia y continuidad de la política. A la inversa, la incertidumbre respecto del crecimiento o del compromiso con un programa de reformas razonablemente coherente repercute negativamente sobre las inversiones.</w:t>
      </w:r>
    </w:p>
    <w:p w:rsidR="000711BB" w:rsidRPr="00257080"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055B3C">
        <w:rPr>
          <w:rFonts w:ascii="Times New Roman" w:hAnsi="Times New Roman" w:cs="Times New Roman"/>
          <w:color w:val="FF0000"/>
          <w:sz w:val="24"/>
          <w:szCs w:val="24"/>
          <w:u w:val="single"/>
          <w:lang w:val="en-US"/>
        </w:rPr>
        <w:t>Un segundo ingrediente común de las estrategias de crecimiento sostenible es que esos niveles de inversión relativamente altos se financian con ahorro local</w:t>
      </w:r>
      <w:r w:rsidRPr="00D3548B">
        <w:rPr>
          <w:rFonts w:ascii="Times New Roman" w:hAnsi="Times New Roman" w:cs="Times New Roman"/>
          <w:sz w:val="24"/>
          <w:szCs w:val="24"/>
          <w:lang w:val="en-US"/>
        </w:rPr>
        <w:t xml:space="preserve">. </w:t>
      </w:r>
      <w:r w:rsidRPr="00257080">
        <w:rPr>
          <w:rFonts w:ascii="Times New Roman" w:hAnsi="Times New Roman" w:cs="Times New Roman"/>
          <w:sz w:val="24"/>
          <w:szCs w:val="24"/>
          <w:u w:val="single"/>
          <w:lang w:val="en-US"/>
        </w:rPr>
        <w:t>La dependencia sustancial del ahorro externo (que se manifiesta por la persistencia de grandes déficit de cuenta corriente) suele terminar mal, en forma de crisis de deuda y grandes retrocesos en la senda del crecimiento.</w:t>
      </w:r>
    </w:p>
    <w:p w:rsidR="000711BB" w:rsidRPr="00D3548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257080">
        <w:rPr>
          <w:rFonts w:ascii="Times New Roman" w:hAnsi="Times New Roman" w:cs="Times New Roman"/>
          <w:color w:val="FF0000"/>
          <w:sz w:val="24"/>
          <w:szCs w:val="24"/>
          <w:u w:val="single"/>
          <w:lang w:val="en-US"/>
        </w:rPr>
        <w:t>También es crucial la apertura a la economía global en relación con el comercio internacional y las inversiones</w:t>
      </w:r>
      <w:r w:rsidRPr="00D3548B">
        <w:rPr>
          <w:rFonts w:ascii="Times New Roman" w:hAnsi="Times New Roman" w:cs="Times New Roman"/>
          <w:sz w:val="24"/>
          <w:szCs w:val="24"/>
          <w:lang w:val="en-US"/>
        </w:rPr>
        <w:t>. Por ejemplo, la inversión extranjera directa es un canal fundamental para transmitir y adaptar el stock acumulado global de tecnología y conocimiento. Y la competitividad de las exportaciones mejora conforme se invierte en construir eslabones en las cadenas globales de suministro.</w:t>
      </w:r>
    </w:p>
    <w:p w:rsidR="000711BB" w:rsidRPr="00D3548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257080">
        <w:rPr>
          <w:rFonts w:ascii="Times New Roman" w:hAnsi="Times New Roman" w:cs="Times New Roman"/>
          <w:color w:val="FF0000"/>
          <w:sz w:val="24"/>
          <w:szCs w:val="24"/>
          <w:u w:val="single"/>
          <w:lang w:val="en-US"/>
        </w:rPr>
        <w:t>La cuenta de capital es un asunto más complejo</w:t>
      </w:r>
      <w:r w:rsidRPr="00D3548B">
        <w:rPr>
          <w:rFonts w:ascii="Times New Roman" w:hAnsi="Times New Roman" w:cs="Times New Roman"/>
          <w:sz w:val="24"/>
          <w:szCs w:val="24"/>
          <w:lang w:val="en-US"/>
        </w:rPr>
        <w:t>. En general, las economías en desarrollo exitosas la administran para evitar una volatilidad excesiva, incluida la resultante de perturbaciones o desequilibrios procedentes del exterior y de la dependencia excesiva de la financiación externa. Además, la mayoría de los países exitosos administran el tipo de cambio para adecuarlo al crecimiento de la productividad, mediante una combinación de controles de capitales, política monetaria y acumulación o desacumulación de reservas. Tanto la sobrevaluación como la subvaluación de la divisa producen diversos efectos adversos, pero la persistencia de lo primero es más problemática para la estabilidad y el crecimiento.</w:t>
      </w:r>
    </w:p>
    <w:p w:rsidR="000711BB" w:rsidRPr="00D3548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257080">
        <w:rPr>
          <w:rFonts w:ascii="Times New Roman" w:hAnsi="Times New Roman" w:cs="Times New Roman"/>
          <w:color w:val="FF0000"/>
          <w:sz w:val="24"/>
          <w:szCs w:val="24"/>
          <w:u w:val="single"/>
          <w:lang w:val="en-US"/>
        </w:rPr>
        <w:t>Por último, la inclusión también es un componente clave de las estrategias de desarrollo exitosas</w:t>
      </w:r>
      <w:r w:rsidRPr="00D3548B">
        <w:rPr>
          <w:rFonts w:ascii="Times New Roman" w:hAnsi="Times New Roman" w:cs="Times New Roman"/>
          <w:sz w:val="24"/>
          <w:szCs w:val="24"/>
          <w:lang w:val="en-US"/>
        </w:rPr>
        <w:t xml:space="preserve">. </w:t>
      </w:r>
      <w:r w:rsidRPr="00257080">
        <w:rPr>
          <w:rFonts w:ascii="Times New Roman" w:hAnsi="Times New Roman" w:cs="Times New Roman"/>
          <w:sz w:val="24"/>
          <w:szCs w:val="24"/>
          <w:u w:val="single"/>
          <w:lang w:val="en-US"/>
        </w:rPr>
        <w:t>Los modelos de crecimiento que sistemáticamente excluyen a subgrupos fracasan por la pérdida de cohesión política y social, y en última instancia, de apoyo.</w:t>
      </w:r>
      <w:r w:rsidRPr="00D3548B">
        <w:rPr>
          <w:rFonts w:ascii="Times New Roman" w:hAnsi="Times New Roman" w:cs="Times New Roman"/>
          <w:sz w:val="24"/>
          <w:szCs w:val="24"/>
          <w:lang w:val="en-US"/>
        </w:rPr>
        <w:t xml:space="preserve"> Pero una desigualdad de ingresos que no sea exagerada y que no surja de la corrupción o del acceso privilegiado a mercados se comprende y acepta. La provisión de servicios básicos (como educación y atención médica) de alta calidad se ve como un elemento crucial para la igualdad de oportunidades y la movilidad intergeneracional.</w:t>
      </w:r>
    </w:p>
    <w:p w:rsidR="000711BB" w:rsidRPr="00257080"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257080">
        <w:rPr>
          <w:rFonts w:ascii="Times New Roman" w:hAnsi="Times New Roman" w:cs="Times New Roman"/>
          <w:sz w:val="24"/>
          <w:szCs w:val="24"/>
          <w:u w:val="single"/>
          <w:lang w:val="en-US"/>
        </w:rPr>
        <w:t>Hechas estas consideraciones, podemos evaluar la situación actual en materia de crecimiento, en la economía global y en sus diversas partes.</w:t>
      </w:r>
    </w:p>
    <w:p w:rsidR="000711BB" w:rsidRPr="00D3548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257080">
        <w:rPr>
          <w:rFonts w:ascii="Times New Roman" w:hAnsi="Times New Roman" w:cs="Times New Roman"/>
          <w:color w:val="FF0000"/>
          <w:sz w:val="24"/>
          <w:szCs w:val="24"/>
          <w:u w:val="single"/>
          <w:lang w:val="en-US"/>
        </w:rPr>
        <w:t>Lo primero que observamos es que la inversión del sector público está por debajo de los niveles necesarios para recrear y sostener el crecimiento, lo que se debe en parte a restricciones fiscales en países excesivamente endeudados</w:t>
      </w:r>
      <w:r w:rsidRPr="00D3548B">
        <w:rPr>
          <w:rFonts w:ascii="Times New Roman" w:hAnsi="Times New Roman" w:cs="Times New Roman"/>
          <w:sz w:val="24"/>
          <w:szCs w:val="24"/>
          <w:lang w:val="en-US"/>
        </w:rPr>
        <w:t xml:space="preserve">. </w:t>
      </w:r>
      <w:r w:rsidRPr="00257080">
        <w:rPr>
          <w:rFonts w:ascii="Times New Roman" w:hAnsi="Times New Roman" w:cs="Times New Roman"/>
          <w:sz w:val="24"/>
          <w:szCs w:val="24"/>
          <w:u w:val="single"/>
          <w:lang w:val="en-US"/>
        </w:rPr>
        <w:t>Descartada la cesación de pagos, la forma normal de reducir el peso de las deudas soberanas es el crecimiento nominal. Pero no se ven políticas orientadas al crecimiento, más allá de la contribución que pueda hacer la política monetaria, y la inflación es inferior a las metas fijadas</w:t>
      </w:r>
      <w:r w:rsidRPr="00D3548B">
        <w:rPr>
          <w:rFonts w:ascii="Times New Roman" w:hAnsi="Times New Roman" w:cs="Times New Roman"/>
          <w:sz w:val="24"/>
          <w:szCs w:val="24"/>
          <w:lang w:val="en-US"/>
        </w:rPr>
        <w:t>. En tanto, grandes reservas de ahorro en fondos soberanos de inversión, fondos de pensiones y compañías aseguradoras no encuentran una adecuada utilización en el sector público, tal vez por obstáculos en los canales de intermediación relacionados con el riesgo y los incentivos.</w:t>
      </w:r>
    </w:p>
    <w:p w:rsidR="000711BB" w:rsidRPr="00D3548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257080">
        <w:rPr>
          <w:rFonts w:ascii="Times New Roman" w:hAnsi="Times New Roman" w:cs="Times New Roman"/>
          <w:color w:val="FF0000"/>
          <w:sz w:val="24"/>
          <w:szCs w:val="24"/>
          <w:u w:val="single"/>
          <w:lang w:val="en-US"/>
        </w:rPr>
        <w:t>La inversión del sector privado (en activos tangibles e intangibles) también está por debajo de los niveles de crecimiento sostenible (aunque en algunos sectores tecnológicos de alto crecimiento vemos tendencias contrarias).</w:t>
      </w:r>
      <w:r w:rsidRPr="00257080">
        <w:rPr>
          <w:rFonts w:ascii="Times New Roman" w:hAnsi="Times New Roman" w:cs="Times New Roman"/>
          <w:color w:val="FF0000"/>
          <w:sz w:val="24"/>
          <w:szCs w:val="24"/>
          <w:lang w:val="en-US"/>
        </w:rPr>
        <w:t xml:space="preserve"> </w:t>
      </w:r>
      <w:r w:rsidRPr="00D3548B">
        <w:rPr>
          <w:rFonts w:ascii="Times New Roman" w:hAnsi="Times New Roman" w:cs="Times New Roman"/>
          <w:sz w:val="24"/>
          <w:szCs w:val="24"/>
          <w:lang w:val="en-US"/>
        </w:rPr>
        <w:t xml:space="preserve">Los factores </w:t>
      </w:r>
      <w:r w:rsidRPr="00D3548B">
        <w:rPr>
          <w:rFonts w:ascii="Times New Roman" w:hAnsi="Times New Roman" w:cs="Times New Roman"/>
          <w:sz w:val="24"/>
          <w:szCs w:val="24"/>
          <w:lang w:val="en-US"/>
        </w:rPr>
        <w:lastRenderedPageBreak/>
        <w:t>intervinientes incluyen la escasez de demanda agregada, altos niveles de incertidumbre respecto de las políticas y agendas regulatorias, y dudas crecientes sobre importantes motores del crecimiento global como China. Además, en algunas economías repercuten negativamente la lentitud de la reforma impositiva y rigideces estructurales en los mercados de productos y factores inducidas por las políticas.</w:t>
      </w:r>
    </w:p>
    <w:p w:rsidR="000711BB" w:rsidRPr="00257080"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257080">
        <w:rPr>
          <w:rFonts w:ascii="Times New Roman" w:hAnsi="Times New Roman" w:cs="Times New Roman"/>
          <w:color w:val="FF0000"/>
          <w:sz w:val="24"/>
          <w:szCs w:val="24"/>
          <w:u w:val="single"/>
          <w:lang w:val="en-US"/>
        </w:rPr>
        <w:t>En relación con la inclusión, buena parte de un esclarecedor análisis reciente señala los cambios impulsados por la tecnología en la estructura económica y los mercados laborales, por el lado de la demanda, y la globalización, que dejó falencias educativas y de capacidades en el lado de la oferta, que cambia más lentamente</w:t>
      </w:r>
      <w:r w:rsidRPr="00257080">
        <w:rPr>
          <w:rFonts w:ascii="Times New Roman" w:hAnsi="Times New Roman" w:cs="Times New Roman"/>
          <w:sz w:val="24"/>
          <w:szCs w:val="24"/>
          <w:u w:val="single"/>
          <w:lang w:val="en-US"/>
        </w:rPr>
        <w:t>. La polarización del mercado laboral y el aumento de la desigualdad de ingresos, en parte resultado de estas fuerzas, tienen efectos adversos sobre la demanda final y, más importante, sobre los recursos que las personas y las familias tienen para invertir en su propio capital humano.</w:t>
      </w:r>
    </w:p>
    <w:p w:rsidR="000711BB" w:rsidRPr="00257080"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257080">
        <w:rPr>
          <w:rFonts w:ascii="Times New Roman" w:hAnsi="Times New Roman" w:cs="Times New Roman"/>
          <w:color w:val="FF0000"/>
          <w:sz w:val="24"/>
          <w:szCs w:val="24"/>
          <w:u w:val="single"/>
          <w:lang w:val="en-US"/>
        </w:rPr>
        <w:t>En síntesis, una estrategia razonablemente integral para recrear crecimiento en el nivel nacional e internacional debería incluir medidas para liberar y aumentar la inversión pública y privada, lo que contribuiría a la demanda agregada. También incluiría una variedad de reformas para fortalecer los incentivos a la inversión privada. Y una agenda de inclusión que apunte al desequilibrio estructural en los mercados de mano de obra y a la potencialmente destructiva desigualdad de ingresos. Pero hasta ahora, con pocas excepciones, no se han visto estrategias de crecimiento integrales como las descritas.</w:t>
      </w:r>
    </w:p>
    <w:p w:rsidR="000711B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257080">
        <w:rPr>
          <w:rFonts w:ascii="Times New Roman" w:hAnsi="Times New Roman" w:cs="Times New Roman"/>
          <w:sz w:val="24"/>
          <w:szCs w:val="24"/>
          <w:u w:val="single"/>
          <w:lang w:val="en-US"/>
        </w:rPr>
        <w:t>Si no solo se implementaran, sino que también se las sincronizara entre las principales economías, se reforzarían mutuamente por los efectos derrame positivos del comercio internacional (una clara tarea para el G-20).</w:t>
      </w:r>
      <w:r w:rsidRPr="00D3548B">
        <w:rPr>
          <w:rFonts w:ascii="Times New Roman" w:hAnsi="Times New Roman" w:cs="Times New Roman"/>
          <w:sz w:val="24"/>
          <w:szCs w:val="24"/>
          <w:lang w:val="en-US"/>
        </w:rPr>
        <w:t xml:space="preserve"> </w:t>
      </w:r>
      <w:r w:rsidRPr="00257080">
        <w:rPr>
          <w:rFonts w:ascii="Times New Roman" w:hAnsi="Times New Roman" w:cs="Times New Roman"/>
          <w:sz w:val="24"/>
          <w:szCs w:val="24"/>
          <w:u w:val="single"/>
          <w:lang w:val="en-US"/>
        </w:rPr>
        <w:t>A falta de tales estrategias, es previsible un largo período de crecimiento insuficiente e incierto (en el mejor de los casos), con riesgos derivados del aumento de endeudamiento en un contexto prolongado de deflación y bajos tipos de interés.</w:t>
      </w:r>
      <w:r w:rsidRPr="00D3548B">
        <w:rPr>
          <w:rFonts w:ascii="Times New Roman" w:hAnsi="Times New Roman" w:cs="Times New Roman"/>
          <w:sz w:val="24"/>
          <w:szCs w:val="24"/>
          <w:lang w:val="en-US"/>
        </w:rPr>
        <w:t xml:space="preserve"> Y lamentablemente puede imaginarse un resultado todavía peor: una pérdida mayor de la cohesión política y social de la que depende una respuesta política vigorosa. Si se llegara a ese punto, sería difícil salir del estancamiento.</w:t>
      </w:r>
    </w:p>
    <w:p w:rsidR="000711BB" w:rsidRPr="00D3548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D3548B">
        <w:rPr>
          <w:rFonts w:ascii="Times New Roman" w:hAnsi="Times New Roman" w:cs="Times New Roman"/>
          <w:sz w:val="24"/>
          <w:szCs w:val="24"/>
          <w:lang w:val="en-US"/>
        </w:rPr>
        <w:t>Michael Spence, a Nobel laureate in economics, is Professor of Economics at NYU’s Stern School of Business, Distinguished Visiting Fellow at the Council on Foreign Relations, Senior Fellow at the Hoover Institution at Stanford University, Academic Board Chairman of the Asia Global Institute in Hong</w:t>
      </w:r>
      <w:r>
        <w:rPr>
          <w:rFonts w:ascii="Times New Roman" w:hAnsi="Times New Roman" w:cs="Times New Roman"/>
          <w:sz w:val="24"/>
          <w:szCs w:val="24"/>
          <w:lang w:val="en-US"/>
        </w:rPr>
        <w:t xml:space="preserve"> Kong</w:t>
      </w:r>
      <w:r w:rsidRPr="00D3548B">
        <w:rPr>
          <w:rFonts w:ascii="Times New Roman" w:hAnsi="Times New Roman" w:cs="Times New Roman"/>
          <w:sz w:val="24"/>
          <w:szCs w:val="24"/>
          <w:lang w:val="en-US"/>
        </w:rPr>
        <w:t xml:space="preserve"> …</w:t>
      </w:r>
      <w:r>
        <w:rPr>
          <w:rFonts w:ascii="Times New Roman" w:hAnsi="Times New Roman" w:cs="Times New Roman"/>
          <w:sz w:val="24"/>
          <w:szCs w:val="24"/>
          <w:lang w:val="en-US"/>
        </w:rPr>
        <w:t>)</w:t>
      </w:r>
    </w:p>
    <w:p w:rsidR="000711BB" w:rsidRPr="00F80A63"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F80A63">
        <w:rPr>
          <w:rFonts w:ascii="Times New Roman" w:hAnsi="Times New Roman" w:cs="Times New Roman"/>
          <w:sz w:val="24"/>
          <w:szCs w:val="24"/>
          <w:u w:val="single"/>
          <w:lang w:val="en-US"/>
        </w:rPr>
        <w:t>La invención de la desigualdad</w:t>
      </w:r>
      <w:r>
        <w:rPr>
          <w:rFonts w:ascii="Times New Roman" w:hAnsi="Times New Roman" w:cs="Times New Roman"/>
          <w:sz w:val="24"/>
          <w:szCs w:val="24"/>
          <w:lang w:val="en-US"/>
        </w:rPr>
        <w:t xml:space="preserve"> (Project Syndicate - </w:t>
      </w:r>
      <w:r w:rsidRPr="00F80A63">
        <w:rPr>
          <w:rFonts w:ascii="Times New Roman" w:hAnsi="Times New Roman" w:cs="Times New Roman"/>
          <w:b/>
          <w:sz w:val="24"/>
          <w:szCs w:val="24"/>
          <w:lang w:val="en-US"/>
        </w:rPr>
        <w:t>29/1/16</w:t>
      </w:r>
      <w:r>
        <w:rPr>
          <w:rFonts w:ascii="Times New Roman" w:hAnsi="Times New Roman" w:cs="Times New Roman"/>
          <w:sz w:val="24"/>
          <w:szCs w:val="24"/>
          <w:lang w:val="en-US"/>
        </w:rPr>
        <w:t>)</w:t>
      </w:r>
    </w:p>
    <w:p w:rsidR="000711BB" w:rsidRPr="00F80A63"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Londres.-</w:t>
      </w:r>
      <w:r w:rsidRPr="00F80A63">
        <w:rPr>
          <w:rFonts w:ascii="Times New Roman" w:hAnsi="Times New Roman" w:cs="Times New Roman"/>
          <w:sz w:val="24"/>
          <w:szCs w:val="24"/>
          <w:lang w:val="en-US"/>
        </w:rPr>
        <w:t xml:space="preserve"> </w:t>
      </w:r>
      <w:r w:rsidRPr="00292B52">
        <w:rPr>
          <w:rFonts w:ascii="Times New Roman" w:hAnsi="Times New Roman" w:cs="Times New Roman"/>
          <w:sz w:val="24"/>
          <w:szCs w:val="24"/>
          <w:u w:val="single"/>
          <w:lang w:val="en-US"/>
        </w:rPr>
        <w:t>Todo el mundo parece mencionar -y condenar- el creciente nivel de desigualdad económica de hoy. Alimentado por estadísticas estridentes como la reciente revelación de Oxfam de que las 62 personas más ricas del mundo poseen la misma riqueza que los 3.600 millones de personas más pobres, el respaldo popular por figuras de izquierda como Bernie Sanders en Estados Unidos y Jeremy Corbyn en Gran Bretaña está creciendo.</w:t>
      </w:r>
      <w:r w:rsidRPr="00F80A63">
        <w:rPr>
          <w:rFonts w:ascii="Times New Roman" w:hAnsi="Times New Roman" w:cs="Times New Roman"/>
          <w:sz w:val="24"/>
          <w:szCs w:val="24"/>
          <w:lang w:val="en-US"/>
        </w:rPr>
        <w:t xml:space="preserve"> Pero los debates actuales impulsados por la ideología simplifican demasiado una cuestión que es extremadamente compleja -y está afectada por procesos que no llegamos a entender plenamente.</w:t>
      </w:r>
    </w:p>
    <w:p w:rsidR="000711BB" w:rsidRPr="00292B52"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F80A63">
        <w:rPr>
          <w:rFonts w:ascii="Times New Roman" w:hAnsi="Times New Roman" w:cs="Times New Roman"/>
          <w:sz w:val="24"/>
          <w:szCs w:val="24"/>
          <w:lang w:val="en-US"/>
        </w:rPr>
        <w:t xml:space="preserve">Muchos de quienes participan del debate sobre la desigualdad hoy citan </w:t>
      </w:r>
      <w:r w:rsidRPr="00292B52">
        <w:rPr>
          <w:rFonts w:ascii="Times New Roman" w:hAnsi="Times New Roman" w:cs="Times New Roman"/>
          <w:sz w:val="24"/>
          <w:szCs w:val="24"/>
          <w:u w:val="single"/>
          <w:lang w:val="en-US"/>
        </w:rPr>
        <w:t xml:space="preserve">el libro de 2014 del economista francés Thomas Piketty El capital en el siglo XXI, que destaca tres puntos fundamentales. Primero, en los últimos 30 años, el ratio de riqueza e ingreso ha aumentado de manera constante. Segundo, si el retorno total sobre la riqueza es superior </w:t>
      </w:r>
      <w:r w:rsidRPr="00292B52">
        <w:rPr>
          <w:rFonts w:ascii="Times New Roman" w:hAnsi="Times New Roman" w:cs="Times New Roman"/>
          <w:sz w:val="24"/>
          <w:szCs w:val="24"/>
          <w:u w:val="single"/>
          <w:lang w:val="en-US"/>
        </w:rPr>
        <w:lastRenderedPageBreak/>
        <w:t>al crecimiento de los ingresos, la riqueza necesariamente está cada vez más concentrada. Tercero, esta desigualdad creciente se debe revertir a través de impuestos confiscatorios antes de que destruya a la sociedad.</w:t>
      </w:r>
    </w:p>
    <w:p w:rsidR="000711BB" w:rsidRPr="00292B52"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292B52">
        <w:rPr>
          <w:rFonts w:ascii="Times New Roman" w:hAnsi="Times New Roman" w:cs="Times New Roman"/>
          <w:color w:val="FF0000"/>
          <w:sz w:val="24"/>
          <w:szCs w:val="24"/>
          <w:u w:val="single"/>
          <w:lang w:val="en-US"/>
        </w:rPr>
        <w:t>A primera vista, los puntos podrían parecer convincentes. Pero la primera afirmación es poco más que una perogrullada, y a la segunda la contradicen los propios datos de Piketty, lo cual hace que el tercer punto resulte irrelevante.</w:t>
      </w:r>
    </w:p>
    <w:p w:rsidR="000711BB" w:rsidRPr="00754DB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Piketty observa un creciente ratio riqueza/ingresos de 1970 a 2010 -un período dividido por un cambio significativo en el contexto monetario-. De 1970 a 1980, las economías occidentales experimentaron una creciente inflación, acompañada de subas de las tasas de interés. Durante ese período, el ratio riqueza/ingresos aumentó sólo modestamente  -si es que aumentó- en esos países.</w:t>
      </w:r>
    </w:p>
    <w:p w:rsidR="000711BB" w:rsidRPr="00754DB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De 1980 en adelante, las tasas de interés nominal cayeron drásticamente. No sorprende que el valor de la riqueza aumentara mucho más rápido que el del ingreso durante este período, porque el valor de los activos que conforman la riqueza representa esencialmente el valor actual neto de los flujos de caja que se esperan en el futuro, descontado a la tasa de interés actual.</w:t>
      </w:r>
    </w:p>
    <w:p w:rsidR="000711BB" w:rsidRPr="00F80A63"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F80A63">
        <w:rPr>
          <w:rFonts w:ascii="Times New Roman" w:hAnsi="Times New Roman" w:cs="Times New Roman"/>
          <w:sz w:val="24"/>
          <w:szCs w:val="24"/>
          <w:lang w:val="en-US"/>
        </w:rPr>
        <w:t>El ejemplo más claro es un bono gubernamental. Pero el valor de una vivienda se determina de manera similar: de acuerdo con la renta que se espera que genere, capitalizada a la tasa de interés nominal actual. Las acciones también están valuadas a un múltiplo superior de ingresos cuando las tasas de interés caen.</w:t>
      </w:r>
    </w:p>
    <w:p w:rsidR="000711BB" w:rsidRPr="00754DB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Al determinar el valor de la riqueza total, Piketty incluyó tanto el ingreso generado por los activos como su apreciación. Mientras tanto, los ingresos se capitalizaron a tasas de interés en baja durante más de una generación. En este sentido, su observación de que la riqueza creció más rápido que el ingreso tiene sentido -es una consecuencia directa de la caída de las tasas de interés.</w:t>
      </w:r>
    </w:p>
    <w:p w:rsidR="000711BB" w:rsidRPr="00754DB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¿Qué impacto tienen las tasas de interés más bajas en la desigualdad medida? Si yo tengo una casa y mi vecino tiene dos, y las tasas de interés en baja hacen que el valor de esas casas se duplique, la desigualdad monetaria entre nosotros también se duplica, afectando una variedad de indicadores estadísticos y generando una preocupación bien intencionada. Pero la realidad es que yo sigo teniendo una casa y mi vecino sigue teniendo dos. Inclusive la accesibilidad relativa de las casas no cambia demasiado, porque las tasas de interés más bajas hacen posibles hipotecas mayores.</w:t>
      </w:r>
    </w:p>
    <w:p w:rsidR="000711BB" w:rsidRPr="00754DB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Para una mayor evidencia de este fenómeno, consideremos los propios datos de Piketty. En Europa, Piketty señala a Italia como el país donde el ratio riqueza/ingresos creció más, a aproximadamente 680% en 2010, comparado con 230% en 1970. A</w:t>
      </w:r>
      <w:r>
        <w:rPr>
          <w:rFonts w:ascii="Times New Roman" w:hAnsi="Times New Roman" w:cs="Times New Roman"/>
          <w:sz w:val="24"/>
          <w:szCs w:val="24"/>
          <w:u w:val="single"/>
          <w:lang w:val="en-US"/>
        </w:rPr>
        <w:t>lemania parece ser un país más “virtuoso”</w:t>
      </w:r>
      <w:r w:rsidRPr="00754DB8">
        <w:rPr>
          <w:rFonts w:ascii="Times New Roman" w:hAnsi="Times New Roman" w:cs="Times New Roman"/>
          <w:sz w:val="24"/>
          <w:szCs w:val="24"/>
          <w:u w:val="single"/>
          <w:lang w:val="en-US"/>
        </w:rPr>
        <w:t>, con un ratio riqueza/ingresos de 400%, superior al 210% de 1970. Lo que Piketty no menciona es que, en este período, las tasas de interés cayeron mucho más en Italia (del 20% al 4%) que en Alemania (del 10% al 2%).</w:t>
      </w:r>
    </w:p>
    <w:p w:rsidR="000711BB" w:rsidRPr="00754DB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El impacto real de esta dinámica en la desigualdad es precisamente lo opuesto de lo que esperaría Piketty. De hecho, no sólo los italianos, en promedio, son mucho más ricos que los alemanes; la distribución de riqueza general de Italia es mucho más equilibrada.</w:t>
      </w:r>
    </w:p>
    <w:p w:rsidR="000711BB" w:rsidRPr="00754DB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F80A63">
        <w:rPr>
          <w:rFonts w:ascii="Times New Roman" w:hAnsi="Times New Roman" w:cs="Times New Roman"/>
          <w:sz w:val="24"/>
          <w:szCs w:val="24"/>
          <w:lang w:val="en-US"/>
        </w:rPr>
        <w:t xml:space="preserve">Un estudio de 2013 de las finanzas de los hogares en la eurozona, realizado por el Banco Central Europeo, demostró que en 2010 -el último año de la investigación de Piketty-, </w:t>
      </w:r>
      <w:r w:rsidRPr="00754DB8">
        <w:rPr>
          <w:rFonts w:ascii="Times New Roman" w:hAnsi="Times New Roman" w:cs="Times New Roman"/>
          <w:sz w:val="24"/>
          <w:szCs w:val="24"/>
          <w:u w:val="single"/>
          <w:lang w:val="en-US"/>
        </w:rPr>
        <w:t xml:space="preserve">el hogar italiano promedio era 41% más rico que el hogar alemán promedio. Es </w:t>
      </w:r>
      <w:r w:rsidRPr="00754DB8">
        <w:rPr>
          <w:rFonts w:ascii="Times New Roman" w:hAnsi="Times New Roman" w:cs="Times New Roman"/>
          <w:sz w:val="24"/>
          <w:szCs w:val="24"/>
          <w:u w:val="single"/>
          <w:lang w:val="en-US"/>
        </w:rPr>
        <w:lastRenderedPageBreak/>
        <w:t>más, mientras que la diferencia entre una riqueza media y mediana de los hogares es del 59% en Italia, es de un gigantesco 282% en Alemania.</w:t>
      </w:r>
    </w:p>
    <w:p w:rsidR="000711BB" w:rsidRPr="00F80A63"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754DB8">
        <w:rPr>
          <w:rFonts w:ascii="Times New Roman" w:hAnsi="Times New Roman" w:cs="Times New Roman"/>
          <w:sz w:val="24"/>
          <w:szCs w:val="24"/>
          <w:u w:val="single"/>
          <w:lang w:val="en-US"/>
        </w:rPr>
        <w:t>Esta diferencia encuentra explicación, en gran medida, en el hecho de que el 59% de los hogares en Italia son propietarios de viviendas, comparado con apenas el 26% en Alemania</w:t>
      </w:r>
      <w:r w:rsidRPr="00F80A63">
        <w:rPr>
          <w:rFonts w:ascii="Times New Roman" w:hAnsi="Times New Roman" w:cs="Times New Roman"/>
          <w:sz w:val="24"/>
          <w:szCs w:val="24"/>
          <w:lang w:val="en-US"/>
        </w:rPr>
        <w:t>. Un porcentaje mayor de italianos, en consecuencia, han resultado más beneficiados con una mayor caída de las tasas de interés.</w:t>
      </w:r>
    </w:p>
    <w:p w:rsidR="000711BB" w:rsidRPr="00754DB8" w:rsidRDefault="000711BB" w:rsidP="000711BB">
      <w:pPr>
        <w:shd w:val="clear" w:color="auto" w:fill="FFFFFF"/>
        <w:spacing w:line="240" w:lineRule="auto"/>
        <w:jc w:val="both"/>
        <w:textAlignment w:val="baseline"/>
        <w:rPr>
          <w:rFonts w:ascii="Times New Roman" w:hAnsi="Times New Roman" w:cs="Times New Roman"/>
          <w:b/>
          <w:sz w:val="24"/>
          <w:szCs w:val="24"/>
          <w:u w:val="single"/>
          <w:lang w:val="en-US"/>
        </w:rPr>
      </w:pPr>
      <w:r w:rsidRPr="00754DB8">
        <w:rPr>
          <w:rFonts w:ascii="Times New Roman" w:hAnsi="Times New Roman" w:cs="Times New Roman"/>
          <w:b/>
          <w:sz w:val="24"/>
          <w:szCs w:val="24"/>
          <w:u w:val="single"/>
          <w:lang w:val="en-US"/>
        </w:rPr>
        <w:t>Este ejemplo resalta de qué manera las decisiones de los hogares en materia de inversión inciden en los resultados de la riqueza. Lo que complica aún más las mediciones de la riqueza es el hecho de que, como señaló recientemente Martin Feldstein, para la gran mayoría de los hogares, una proporción importante de la riqueza está representada por beneficios sociales futuros no registrados.</w:t>
      </w:r>
    </w:p>
    <w:p w:rsidR="000711BB" w:rsidRPr="00F80A63"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F80A63">
        <w:rPr>
          <w:rFonts w:ascii="Times New Roman" w:hAnsi="Times New Roman" w:cs="Times New Roman"/>
          <w:sz w:val="24"/>
          <w:szCs w:val="24"/>
          <w:lang w:val="en-US"/>
        </w:rPr>
        <w:t>Luego están los numerosos factores que afectan los ingresos, como la demanda de habilidades particulares. En el caso de aquellas personas cuyas capacidades no están solicitadas, la posibilidad de mejorar esas capacidades o las oportunidades de capacitación tendrán un impacto significativo en las perspectivas de ingresos. Al mismo tiempo, por encima de ciertos niveles de ingresos, una persona podría exigir un incentivo monetario sustancial para absorber el impacto en la calidad de vida asociado con una mayor responsabilidad laboral.</w:t>
      </w:r>
    </w:p>
    <w:p w:rsidR="000711BB" w:rsidRPr="00754DB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Claramente, la desigualdad económica es un fenómeno sumamente complejo, que se ve afectado por una gran variedad de factores -muchos de los cuales no llegamos a entender plenamente, mucho menos controlar-. Teniendo en cuenta esto, deberíamos ser cautelosos con los tipos de políticas radicales que algunos políticos están promoviendo hoy. Su impacto es impredecible, y eso puede terminar haciendo más mal que bien.</w:t>
      </w:r>
    </w:p>
    <w:p w:rsidR="000711BB" w:rsidRPr="00754DB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Tal vez no haga falta en absoluto una nueva estrategia. Después de todo, a nivel global, los niveles de vida están mejorando y convergiendo continuamente. Eso es algo en lo que todos, desde los populistas emergentes hasta los capitalistas acérrimos, deberían poder coincidir.</w:t>
      </w:r>
    </w:p>
    <w:p w:rsidR="000711B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F80A63">
        <w:rPr>
          <w:rFonts w:ascii="Times New Roman" w:hAnsi="Times New Roman" w:cs="Times New Roman"/>
          <w:sz w:val="24"/>
          <w:szCs w:val="24"/>
          <w:lang w:val="en-US"/>
        </w:rPr>
        <w:t>Antonio Foglia, a board member of Banca del Ceresio, is a member of the Global Partners’ Council of the Inst</w:t>
      </w:r>
      <w:r>
        <w:rPr>
          <w:rFonts w:ascii="Times New Roman" w:hAnsi="Times New Roman" w:cs="Times New Roman"/>
          <w:sz w:val="24"/>
          <w:szCs w:val="24"/>
          <w:lang w:val="en-US"/>
        </w:rPr>
        <w:t>itute for New Economic Thinking)</w:t>
      </w:r>
    </w:p>
    <w:p w:rsidR="000711BB" w:rsidRPr="00F80A63"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F80A63">
        <w:rPr>
          <w:rFonts w:ascii="Times New Roman" w:hAnsi="Times New Roman" w:cs="Times New Roman"/>
          <w:sz w:val="24"/>
          <w:szCs w:val="24"/>
          <w:u w:val="single"/>
          <w:lang w:val="en-US"/>
        </w:rPr>
        <w:t>Los límites de la expansión cuantitativa europea</w:t>
      </w:r>
      <w:r>
        <w:rPr>
          <w:rFonts w:ascii="Times New Roman" w:hAnsi="Times New Roman" w:cs="Times New Roman"/>
          <w:sz w:val="24"/>
          <w:szCs w:val="24"/>
          <w:lang w:val="en-US"/>
        </w:rPr>
        <w:t xml:space="preserve"> (Project Syndicate - </w:t>
      </w:r>
      <w:r w:rsidRPr="00F80A63">
        <w:rPr>
          <w:rFonts w:ascii="Times New Roman" w:hAnsi="Times New Roman" w:cs="Times New Roman"/>
          <w:b/>
          <w:sz w:val="24"/>
          <w:szCs w:val="24"/>
          <w:lang w:val="en-US"/>
        </w:rPr>
        <w:t>29/1/16</w:t>
      </w:r>
      <w:r>
        <w:rPr>
          <w:rFonts w:ascii="Times New Roman" w:hAnsi="Times New Roman" w:cs="Times New Roman"/>
          <w:sz w:val="24"/>
          <w:szCs w:val="24"/>
          <w:lang w:val="en-US"/>
        </w:rPr>
        <w:t>)</w:t>
      </w:r>
    </w:p>
    <w:p w:rsidR="000711BB" w:rsidRPr="00754DB8"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Pr>
          <w:rFonts w:ascii="Times New Roman" w:hAnsi="Times New Roman" w:cs="Times New Roman"/>
          <w:sz w:val="24"/>
          <w:szCs w:val="24"/>
          <w:lang w:val="en-US"/>
        </w:rPr>
        <w:t>Cambridge.-</w:t>
      </w:r>
      <w:r w:rsidRPr="00F80A63">
        <w:rPr>
          <w:rFonts w:ascii="Times New Roman" w:hAnsi="Times New Roman" w:cs="Times New Roman"/>
          <w:sz w:val="24"/>
          <w:szCs w:val="24"/>
          <w:lang w:val="en-US"/>
        </w:rPr>
        <w:t xml:space="preserve"> </w:t>
      </w:r>
      <w:r w:rsidRPr="00754DB8">
        <w:rPr>
          <w:rFonts w:ascii="Times New Roman" w:hAnsi="Times New Roman" w:cs="Times New Roman"/>
          <w:color w:val="FF0000"/>
          <w:sz w:val="24"/>
          <w:szCs w:val="24"/>
          <w:u w:val="single"/>
          <w:lang w:val="en-US"/>
        </w:rPr>
        <w:t>¿Por qué la política de expansión cuantitat</w:t>
      </w:r>
      <w:r>
        <w:rPr>
          <w:rFonts w:ascii="Times New Roman" w:hAnsi="Times New Roman" w:cs="Times New Roman"/>
          <w:color w:val="FF0000"/>
          <w:sz w:val="24"/>
          <w:szCs w:val="24"/>
          <w:u w:val="single"/>
          <w:lang w:val="en-US"/>
        </w:rPr>
        <w:t>iva de la Reserva Federal de EE UU</w:t>
      </w:r>
      <w:r w:rsidRPr="00754DB8">
        <w:rPr>
          <w:rFonts w:ascii="Times New Roman" w:hAnsi="Times New Roman" w:cs="Times New Roman"/>
          <w:color w:val="FF0000"/>
          <w:sz w:val="24"/>
          <w:szCs w:val="24"/>
          <w:u w:val="single"/>
          <w:lang w:val="en-US"/>
        </w:rPr>
        <w:t xml:space="preserve"> ha sido mucho más exitosa que la versión implementada por el Banco Central Europeo? Esa pregunta intelectual nos lleva directamente a una pregunta práctica: ¿podrá el BCE convertir la expansión cuantitativa en un mayor crecimiento económico y una inflación más elevada?</w:t>
      </w:r>
    </w:p>
    <w:p w:rsidR="000711BB" w:rsidRPr="00754DB8"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754DB8">
        <w:rPr>
          <w:rFonts w:ascii="Times New Roman" w:hAnsi="Times New Roman" w:cs="Times New Roman"/>
          <w:color w:val="FF0000"/>
          <w:sz w:val="24"/>
          <w:szCs w:val="24"/>
          <w:u w:val="single"/>
          <w:lang w:val="en-US"/>
        </w:rPr>
        <w:t>La Fed intro</w:t>
      </w:r>
      <w:r>
        <w:rPr>
          <w:rFonts w:ascii="Times New Roman" w:hAnsi="Times New Roman" w:cs="Times New Roman"/>
          <w:color w:val="FF0000"/>
          <w:sz w:val="24"/>
          <w:szCs w:val="24"/>
          <w:u w:val="single"/>
          <w:lang w:val="en-US"/>
        </w:rPr>
        <w:t>dujo la expansión cuantitativa -</w:t>
      </w:r>
      <w:r w:rsidRPr="00754DB8">
        <w:rPr>
          <w:rFonts w:ascii="Times New Roman" w:hAnsi="Times New Roman" w:cs="Times New Roman"/>
          <w:color w:val="FF0000"/>
          <w:sz w:val="24"/>
          <w:szCs w:val="24"/>
          <w:u w:val="single"/>
          <w:lang w:val="en-US"/>
        </w:rPr>
        <w:t>la compra de grandes cantidades de bonos a largo plazo y la promesa de mantener bajas las tasas de interé</w:t>
      </w:r>
      <w:r>
        <w:rPr>
          <w:rFonts w:ascii="Times New Roman" w:hAnsi="Times New Roman" w:cs="Times New Roman"/>
          <w:color w:val="FF0000"/>
          <w:sz w:val="24"/>
          <w:szCs w:val="24"/>
          <w:u w:val="single"/>
          <w:lang w:val="en-US"/>
        </w:rPr>
        <w:t>s durante un periodo prolongado-</w:t>
      </w:r>
      <w:r w:rsidRPr="00754DB8">
        <w:rPr>
          <w:rFonts w:ascii="Times New Roman" w:hAnsi="Times New Roman" w:cs="Times New Roman"/>
          <w:color w:val="FF0000"/>
          <w:sz w:val="24"/>
          <w:szCs w:val="24"/>
          <w:u w:val="single"/>
          <w:lang w:val="en-US"/>
        </w:rPr>
        <w:t xml:space="preserve"> después de llegar a la conclusión de que la economía estadounidense no estaba respondiendo adecuadamente a la política monetaria tradicional y al paquete de estímulo fiscal aprobado en 2009. El presidente de la Fed en ese momento, Ben Bernanke, razonó que la política monetaria no convencional reduciría las tasas de largo plazo, induciendo a los inversores a pasar de bonos de alta calidad a acciones y otros valores riesgosos. Así aumentaría el valor de esos activos, incrementando la riqueza de los hogares y, con ella, el gasto de consumo.</w:t>
      </w:r>
    </w:p>
    <w:p w:rsidR="000711BB" w:rsidRPr="00F80A63"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754DB8">
        <w:rPr>
          <w:rFonts w:ascii="Times New Roman" w:hAnsi="Times New Roman" w:cs="Times New Roman"/>
          <w:sz w:val="24"/>
          <w:szCs w:val="24"/>
          <w:u w:val="single"/>
          <w:lang w:val="en-US"/>
        </w:rPr>
        <w:lastRenderedPageBreak/>
        <w:t>La estrategia funcionó bien. El precio de las acciones subió el 30 % tan solo en 2013 y los precios de las viviendas aumentaron el 13 % en esos mismos 12 meses</w:t>
      </w:r>
      <w:r w:rsidRPr="00F80A63">
        <w:rPr>
          <w:rFonts w:ascii="Times New Roman" w:hAnsi="Times New Roman" w:cs="Times New Roman"/>
          <w:sz w:val="24"/>
          <w:szCs w:val="24"/>
          <w:lang w:val="en-US"/>
        </w:rPr>
        <w:t xml:space="preserve">. Como resultado, el patrimonio de los hogares aumentó en 10 billones de USD ese año. </w:t>
      </w:r>
      <w:r w:rsidRPr="00754DB8">
        <w:rPr>
          <w:rFonts w:ascii="Times New Roman" w:hAnsi="Times New Roman" w:cs="Times New Roman"/>
          <w:sz w:val="24"/>
          <w:szCs w:val="24"/>
          <w:u w:val="single"/>
          <w:lang w:val="en-US"/>
        </w:rPr>
        <w:t>El aumento de la riqueza indujo a los consumidores a incrementar el gasto, que puso nuevamente en marcha al habitual proceso multiplicador, con una suba del PIB del 2,5 % en 2013 y una baja de la tasa de desempleo del 8 % al 6,7 %</w:t>
      </w:r>
      <w:r w:rsidRPr="00F80A63">
        <w:rPr>
          <w:rFonts w:ascii="Times New Roman" w:hAnsi="Times New Roman" w:cs="Times New Roman"/>
          <w:sz w:val="24"/>
          <w:szCs w:val="24"/>
          <w:lang w:val="en-US"/>
        </w:rPr>
        <w:t>. La expansión continuó en los años subsiguientes y redujo el desempleo al 5 %, y la tasa de desempleo para los graduados universitarios a tan solo el 2,5 %.</w:t>
      </w:r>
    </w:p>
    <w:p w:rsidR="000711BB" w:rsidRPr="00754DB8"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754DB8">
        <w:rPr>
          <w:rFonts w:ascii="Times New Roman" w:hAnsi="Times New Roman" w:cs="Times New Roman"/>
          <w:color w:val="FF0000"/>
          <w:sz w:val="24"/>
          <w:szCs w:val="24"/>
          <w:u w:val="single"/>
          <w:lang w:val="en-US"/>
        </w:rPr>
        <w:t>El BCE ha seguido una estrategia similar de compras de activos a gran escala y tasas de interés a corto plazo extremadamente bajas (de hecho, negativas). Pero, aunque la política es la misma que la de la Fed, su propósito es muy diferente.</w:t>
      </w:r>
    </w:p>
    <w:p w:rsidR="000711BB" w:rsidRPr="00754DB8"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754DB8">
        <w:rPr>
          <w:rFonts w:ascii="Times New Roman" w:hAnsi="Times New Roman" w:cs="Times New Roman"/>
          <w:color w:val="FF0000"/>
          <w:sz w:val="24"/>
          <w:szCs w:val="24"/>
          <w:u w:val="single"/>
          <w:lang w:val="en-US"/>
        </w:rPr>
        <w:t>Debido a que Europa carece de la tenencia generalizada de acciones que existe en Estados Unidos, no se puede usar la expansión cuantitativa para estimular el gasto de consumo aumentando la riqueza de los hogares. E</w:t>
      </w:r>
      <w:r>
        <w:rPr>
          <w:rFonts w:ascii="Times New Roman" w:hAnsi="Times New Roman" w:cs="Times New Roman"/>
          <w:color w:val="FF0000"/>
          <w:sz w:val="24"/>
          <w:szCs w:val="24"/>
          <w:u w:val="single"/>
          <w:lang w:val="en-US"/>
        </w:rPr>
        <w:t>n lugar de ello, un importante -aunque tácito-</w:t>
      </w:r>
      <w:r w:rsidRPr="00754DB8">
        <w:rPr>
          <w:rFonts w:ascii="Times New Roman" w:hAnsi="Times New Roman" w:cs="Times New Roman"/>
          <w:color w:val="FF0000"/>
          <w:sz w:val="24"/>
          <w:szCs w:val="24"/>
          <w:u w:val="single"/>
          <w:lang w:val="en-US"/>
        </w:rPr>
        <w:t xml:space="preserve"> propósito de la política de bajas tasas de interés del BCE ha sido el de estimular las exportaciones netas a través de una depreciación del euro. El BCE tuvo éxito en esto y el valor del euro cayó aproximadamente el 25 %: de 1,40 USD en el verano de 2014 a 1,06 USD en el otoño de 2015.</w:t>
      </w:r>
    </w:p>
    <w:p w:rsidR="000711BB" w:rsidRPr="00754DB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Desde hace varios años que recomiendo una reducción del valor del euro, por lo que creo que esta estrategia fue buena. Pero, aunque la caída del valor del euro ha estimulado las exportaciones netas de la eurozona, su impacto sobre las exportaciones y el PIB de sus miembros ha resultado muy limitado.</w:t>
      </w:r>
    </w:p>
    <w:p w:rsidR="000711BB" w:rsidRPr="00F80A63"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754DB8">
        <w:rPr>
          <w:rFonts w:ascii="Times New Roman" w:hAnsi="Times New Roman" w:cs="Times New Roman"/>
          <w:sz w:val="24"/>
          <w:szCs w:val="24"/>
          <w:u w:val="single"/>
          <w:lang w:val="en-US"/>
        </w:rPr>
        <w:t>Uno de los motivos es que gran parte del comercio de los países de la zona del euro se lleva a cabo con otros países que también pertenecen a ella y usan la misma moneda.</w:t>
      </w:r>
      <w:r w:rsidRPr="00F80A63">
        <w:rPr>
          <w:rFonts w:ascii="Times New Roman" w:hAnsi="Times New Roman" w:cs="Times New Roman"/>
          <w:sz w:val="24"/>
          <w:szCs w:val="24"/>
          <w:lang w:val="en-US"/>
        </w:rPr>
        <w:t xml:space="preserve"> </w:t>
      </w:r>
      <w:r>
        <w:rPr>
          <w:rFonts w:ascii="Times New Roman" w:hAnsi="Times New Roman" w:cs="Times New Roman"/>
          <w:sz w:val="24"/>
          <w:szCs w:val="24"/>
          <w:lang w:val="en-US"/>
        </w:rPr>
        <w:t>Además, las exportaciones a EEUU</w:t>
      </w:r>
      <w:r w:rsidRPr="00F80A63">
        <w:rPr>
          <w:rFonts w:ascii="Times New Roman" w:hAnsi="Times New Roman" w:cs="Times New Roman"/>
          <w:sz w:val="24"/>
          <w:szCs w:val="24"/>
          <w:lang w:val="en-US"/>
        </w:rPr>
        <w:t xml:space="preserve"> no se benefician mucho por la caída del tipo de cambio euro-dólar. Los exportadores europeos habitualmente facturan sus exportaciones en dólares y ajustan sus precios en dólares muy lentamente, un punto que quedó claro en un importante escrito de Gita Gopinath, de Harvard, presentado en la conferencia de la Reserva Federal en Jackson Hole, en agosto de 2015.</w:t>
      </w:r>
    </w:p>
    <w:p w:rsidR="000711BB" w:rsidRPr="00754DB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754DB8">
        <w:rPr>
          <w:rFonts w:ascii="Times New Roman" w:hAnsi="Times New Roman" w:cs="Times New Roman"/>
          <w:sz w:val="24"/>
          <w:szCs w:val="24"/>
          <w:u w:val="single"/>
          <w:lang w:val="en-US"/>
        </w:rPr>
        <w:t>En consecuencia, las exportaciones netas totales de la zona del euro crecieron menos de 3000 millones de EUR (3200 millones de USD) entre septiembre de 2014 y de 2015, un importe insignificante para una economía de 11 billones de EUR.</w:t>
      </w:r>
    </w:p>
    <w:p w:rsidR="000711BB" w:rsidRPr="00754DB8"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754DB8">
        <w:rPr>
          <w:rFonts w:ascii="Times New Roman" w:hAnsi="Times New Roman" w:cs="Times New Roman"/>
          <w:color w:val="FF0000"/>
          <w:sz w:val="24"/>
          <w:szCs w:val="24"/>
          <w:u w:val="single"/>
          <w:lang w:val="en-US"/>
        </w:rPr>
        <w:t>Un motivo adicional para la compra de bonos por el BCE sido aumentar en efectivo disponible de los bancos en la zona del euro para prestar a empresas y hogares. Pero, hasta el momento, ese tipo de créditos aumentó poco.</w:t>
      </w:r>
    </w:p>
    <w:p w:rsidR="000711BB" w:rsidRPr="00826E3D"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826E3D">
        <w:rPr>
          <w:rFonts w:ascii="Times New Roman" w:hAnsi="Times New Roman" w:cs="Times New Roman"/>
          <w:sz w:val="24"/>
          <w:szCs w:val="24"/>
          <w:u w:val="single"/>
          <w:lang w:val="en-US"/>
        </w:rPr>
        <w:t xml:space="preserve">Finalmente, el BCE ansía elevar la tasa de inflación para alcanzar su meta, apenas por debajo del 2 </w:t>
      </w:r>
      <w:r w:rsidR="00766445">
        <w:rPr>
          <w:rFonts w:ascii="Times New Roman" w:hAnsi="Times New Roman" w:cs="Times New Roman"/>
          <w:sz w:val="24"/>
          <w:szCs w:val="24"/>
          <w:u w:val="single"/>
          <w:lang w:val="en-US"/>
        </w:rPr>
        <w:t>%. En EEUU</w:t>
      </w:r>
      <w:r w:rsidRPr="00826E3D">
        <w:rPr>
          <w:rFonts w:ascii="Times New Roman" w:hAnsi="Times New Roman" w:cs="Times New Roman"/>
          <w:sz w:val="24"/>
          <w:szCs w:val="24"/>
          <w:u w:val="single"/>
          <w:lang w:val="en-US"/>
        </w:rPr>
        <w:t>, la estrategia de EC ha logrado</w:t>
      </w:r>
      <w:r>
        <w:rPr>
          <w:rFonts w:ascii="Times New Roman" w:hAnsi="Times New Roman" w:cs="Times New Roman"/>
          <w:sz w:val="24"/>
          <w:szCs w:val="24"/>
          <w:u w:val="single"/>
          <w:lang w:val="en-US"/>
        </w:rPr>
        <w:t xml:space="preserve"> aumentar la tasa de inflación “básica” -</w:t>
      </w:r>
      <w:r w:rsidRPr="00826E3D">
        <w:rPr>
          <w:rFonts w:ascii="Times New Roman" w:hAnsi="Times New Roman" w:cs="Times New Roman"/>
          <w:sz w:val="24"/>
          <w:szCs w:val="24"/>
          <w:u w:val="single"/>
          <w:lang w:val="en-US"/>
        </w:rPr>
        <w:t>que excluye el efecto directo de la reciente baja de los precio</w:t>
      </w:r>
      <w:r>
        <w:rPr>
          <w:rFonts w:ascii="Times New Roman" w:hAnsi="Times New Roman" w:cs="Times New Roman"/>
          <w:sz w:val="24"/>
          <w:szCs w:val="24"/>
          <w:u w:val="single"/>
          <w:lang w:val="en-US"/>
        </w:rPr>
        <w:t>s de la energía y los alimentos-</w:t>
      </w:r>
      <w:r w:rsidRPr="00826E3D">
        <w:rPr>
          <w:rFonts w:ascii="Times New Roman" w:hAnsi="Times New Roman" w:cs="Times New Roman"/>
          <w:sz w:val="24"/>
          <w:szCs w:val="24"/>
          <w:u w:val="single"/>
          <w:lang w:val="en-US"/>
        </w:rPr>
        <w:t xml:space="preserve"> al 2,1 % en los últimos 12 meses. Esto ha sido consecuencia del incremento de la demanda real, logrado mediante la reducción del desempleo a un nivel en el que el aumento de los salarios contribuye a un mayor crecimiento de los precios.</w:t>
      </w:r>
    </w:p>
    <w:p w:rsidR="000711BB" w:rsidRPr="00826E3D"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826E3D">
        <w:rPr>
          <w:rFonts w:ascii="Times New Roman" w:hAnsi="Times New Roman" w:cs="Times New Roman"/>
          <w:color w:val="FF0000"/>
          <w:sz w:val="24"/>
          <w:szCs w:val="24"/>
          <w:u w:val="single"/>
          <w:lang w:val="en-US"/>
        </w:rPr>
        <w:t xml:space="preserve">Es poco probable que esta estrategia funcione en la zona del euro, porque la tasa de desempleo aún está cerca del 12 %, unos 5 puntos porcentuales más que antes de que comenzara la recesión. La política de expansión cuantitativa del BCE probablemente </w:t>
      </w:r>
      <w:r w:rsidRPr="00826E3D">
        <w:rPr>
          <w:rFonts w:ascii="Times New Roman" w:hAnsi="Times New Roman" w:cs="Times New Roman"/>
          <w:color w:val="FF0000"/>
          <w:sz w:val="24"/>
          <w:szCs w:val="24"/>
          <w:u w:val="single"/>
          <w:lang w:val="en-US"/>
        </w:rPr>
        <w:lastRenderedPageBreak/>
        <w:t>pueda lograr una mayor inflación solo a través del aumento de los precios de las importaciones resultante de una caída en el valor del eu</w:t>
      </w:r>
      <w:r w:rsidR="00766445">
        <w:rPr>
          <w:rFonts w:ascii="Times New Roman" w:hAnsi="Times New Roman" w:cs="Times New Roman"/>
          <w:color w:val="FF0000"/>
          <w:sz w:val="24"/>
          <w:szCs w:val="24"/>
          <w:u w:val="single"/>
          <w:lang w:val="en-US"/>
        </w:rPr>
        <w:t>ro. Este proceso tan limitado aú</w:t>
      </w:r>
      <w:r w:rsidRPr="00826E3D">
        <w:rPr>
          <w:rFonts w:ascii="Times New Roman" w:hAnsi="Times New Roman" w:cs="Times New Roman"/>
          <w:color w:val="FF0000"/>
          <w:sz w:val="24"/>
          <w:szCs w:val="24"/>
          <w:u w:val="single"/>
          <w:lang w:val="en-US"/>
        </w:rPr>
        <w:t>n deja la inflación básica de la eurozona por debajo del 1 %.</w:t>
      </w:r>
    </w:p>
    <w:p w:rsidR="000711BB" w:rsidRPr="00826E3D"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826E3D">
        <w:rPr>
          <w:rFonts w:ascii="Times New Roman" w:hAnsi="Times New Roman" w:cs="Times New Roman"/>
          <w:sz w:val="24"/>
          <w:szCs w:val="24"/>
          <w:u w:val="single"/>
          <w:lang w:val="en-US"/>
        </w:rPr>
        <w:t>El presidente del BCE, Mario Draghi, respondió</w:t>
      </w:r>
      <w:r w:rsidRPr="00F80A63">
        <w:rPr>
          <w:rFonts w:ascii="Times New Roman" w:hAnsi="Times New Roman" w:cs="Times New Roman"/>
          <w:sz w:val="24"/>
          <w:szCs w:val="24"/>
          <w:lang w:val="en-US"/>
        </w:rPr>
        <w:t xml:space="preserve"> recientemente a la nueva evidencia de debilidad e inflación extremadamente baja en la zona del euro </w:t>
      </w:r>
      <w:r w:rsidRPr="00826E3D">
        <w:rPr>
          <w:rFonts w:ascii="Times New Roman" w:hAnsi="Times New Roman" w:cs="Times New Roman"/>
          <w:sz w:val="24"/>
          <w:szCs w:val="24"/>
          <w:u w:val="single"/>
          <w:lang w:val="en-US"/>
        </w:rPr>
        <w:t>indicando que el banco probablemente flexibilizará aún más las condiciones monetarias en su próxima reunión de fijación de políticas en marzo. Esto podría implicar una reducción mayor de las ya negativas tasas de interés a corto y la ampliación y/o extensión de su programa de compra de bonos.</w:t>
      </w:r>
    </w:p>
    <w:p w:rsidR="000711BB" w:rsidRPr="00826E3D"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826E3D">
        <w:rPr>
          <w:rFonts w:ascii="Times New Roman" w:hAnsi="Times New Roman" w:cs="Times New Roman"/>
          <w:sz w:val="24"/>
          <w:szCs w:val="24"/>
          <w:u w:val="single"/>
          <w:lang w:val="en-US"/>
        </w:rPr>
        <w:t>Los mercados financieros de la zona del euro reaccionaron de la manera esperada. Las tasas de largo plazo cayeron, los precios de las acciones aumentaron y el euro se depreció frente al dólar.</w:t>
      </w:r>
      <w:r w:rsidRPr="00F80A63">
        <w:rPr>
          <w:rFonts w:ascii="Times New Roman" w:hAnsi="Times New Roman" w:cs="Times New Roman"/>
          <w:sz w:val="24"/>
          <w:szCs w:val="24"/>
          <w:lang w:val="en-US"/>
        </w:rPr>
        <w:t xml:space="preserve"> </w:t>
      </w:r>
      <w:r w:rsidRPr="00826E3D">
        <w:rPr>
          <w:rFonts w:ascii="Times New Roman" w:hAnsi="Times New Roman" w:cs="Times New Roman"/>
          <w:color w:val="FF0000"/>
          <w:sz w:val="24"/>
          <w:szCs w:val="24"/>
          <w:u w:val="single"/>
          <w:lang w:val="en-US"/>
        </w:rPr>
        <w:t>Pero la experiencia anterior y los motivos que aquí hemos explicado sugieren que estas políticas lograrán muy poco en términos de aumentar la actividad real y la inflación de los precios en la zona del euro. Para lograr un avance real y reactivar sus economías, los países deben depender menos de la expansión cuantitativa del BCE y centrarse individual y directamente en las reformas estructurales y el estímulo fiscal.</w:t>
      </w:r>
    </w:p>
    <w:p w:rsidR="000711B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w:t>
      </w:r>
      <w:r w:rsidRPr="00F80A63">
        <w:rPr>
          <w:rFonts w:ascii="Times New Roman" w:hAnsi="Times New Roman" w:cs="Times New Roman"/>
          <w:sz w:val="24"/>
          <w:szCs w:val="24"/>
          <w:lang w:val="en-US"/>
        </w:rPr>
        <w:t>Martin Feldstein, Professor of Economics at Harvard University and President Emeritus of the National Bureau of Economic Research, chaired President Ronald Reagan’s Council of Economic Advisers from 1982 to 1984. In 2006, he was appointed to President Bush's Foreign I</w:t>
      </w:r>
      <w:r>
        <w:rPr>
          <w:rFonts w:ascii="Times New Roman" w:hAnsi="Times New Roman" w:cs="Times New Roman"/>
          <w:sz w:val="24"/>
          <w:szCs w:val="24"/>
          <w:lang w:val="en-US"/>
        </w:rPr>
        <w:t>ntelligence Advisory Board</w:t>
      </w:r>
      <w:r w:rsidRPr="00F80A63">
        <w:rPr>
          <w:rFonts w:ascii="Times New Roman" w:hAnsi="Times New Roman" w:cs="Times New Roman"/>
          <w:sz w:val="24"/>
          <w:szCs w:val="24"/>
          <w:lang w:val="en-US"/>
        </w:rPr>
        <w:t>…</w:t>
      </w:r>
      <w:r>
        <w:rPr>
          <w:rFonts w:ascii="Times New Roman" w:hAnsi="Times New Roman" w:cs="Times New Roman"/>
          <w:sz w:val="24"/>
          <w:szCs w:val="24"/>
          <w:lang w:val="en-US"/>
        </w:rPr>
        <w:t>)</w:t>
      </w:r>
    </w:p>
    <w:p w:rsidR="000711B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EA3E98">
        <w:rPr>
          <w:rFonts w:ascii="Times New Roman" w:hAnsi="Times New Roman" w:cs="Times New Roman"/>
          <w:sz w:val="24"/>
          <w:szCs w:val="24"/>
          <w:u w:val="single"/>
          <w:lang w:val="en-US"/>
        </w:rPr>
        <w:t>Así</w:t>
      </w:r>
      <w:bookmarkStart w:id="0" w:name="_GoBack"/>
      <w:bookmarkEnd w:id="0"/>
      <w:r w:rsidRPr="00EA3E98">
        <w:rPr>
          <w:rFonts w:ascii="Times New Roman" w:hAnsi="Times New Roman" w:cs="Times New Roman"/>
          <w:sz w:val="24"/>
          <w:szCs w:val="24"/>
          <w:u w:val="single"/>
          <w:lang w:val="en-US"/>
        </w:rPr>
        <w:t xml:space="preserve"> nos ha cambiado la vida la tecnología</w:t>
      </w:r>
      <w:r>
        <w:rPr>
          <w:rFonts w:ascii="Times New Roman" w:hAnsi="Times New Roman" w:cs="Times New Roman"/>
          <w:sz w:val="24"/>
          <w:szCs w:val="24"/>
          <w:lang w:val="en-US"/>
        </w:rPr>
        <w:t xml:space="preserve"> (Expansión </w:t>
      </w:r>
      <w:r w:rsidR="00804FAA">
        <w:rPr>
          <w:rFonts w:ascii="Times New Roman" w:hAnsi="Times New Roman" w:cs="Times New Roman"/>
          <w:sz w:val="24"/>
          <w:szCs w:val="24"/>
          <w:lang w:val="en-US"/>
        </w:rPr>
        <w:t>- FT -</w:t>
      </w:r>
      <w:r>
        <w:rPr>
          <w:rFonts w:ascii="Times New Roman" w:hAnsi="Times New Roman" w:cs="Times New Roman"/>
          <w:sz w:val="24"/>
          <w:szCs w:val="24"/>
          <w:lang w:val="en-US"/>
        </w:rPr>
        <w:t xml:space="preserve"> </w:t>
      </w:r>
      <w:r w:rsidRPr="00EA3E98">
        <w:rPr>
          <w:rFonts w:ascii="Times New Roman" w:hAnsi="Times New Roman" w:cs="Times New Roman"/>
          <w:b/>
          <w:sz w:val="24"/>
          <w:szCs w:val="24"/>
          <w:lang w:val="en-US"/>
        </w:rPr>
        <w:t>31/1/16</w:t>
      </w:r>
      <w:r>
        <w:rPr>
          <w:rFonts w:ascii="Times New Roman" w:hAnsi="Times New Roman" w:cs="Times New Roman"/>
          <w:sz w:val="24"/>
          <w:szCs w:val="24"/>
          <w:lang w:val="en-US"/>
        </w:rPr>
        <w:t>)</w:t>
      </w:r>
    </w:p>
    <w:p w:rsidR="000711B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 xml:space="preserve">(Por Martin Wolf </w:t>
      </w:r>
      <w:r w:rsidR="00804FAA">
        <w:rPr>
          <w:rFonts w:ascii="Times New Roman" w:hAnsi="Times New Roman" w:cs="Times New Roman"/>
          <w:sz w:val="24"/>
          <w:szCs w:val="24"/>
          <w:lang w:val="en-US"/>
        </w:rPr>
        <w:t>-</w:t>
      </w:r>
      <w:r>
        <w:rPr>
          <w:rFonts w:ascii="Times New Roman" w:hAnsi="Times New Roman" w:cs="Times New Roman"/>
          <w:sz w:val="24"/>
          <w:szCs w:val="24"/>
          <w:lang w:val="en-US"/>
        </w:rPr>
        <w:t xml:space="preserve"> F</w:t>
      </w:r>
      <w:r w:rsidR="00804FAA">
        <w:rPr>
          <w:rFonts w:ascii="Times New Roman" w:hAnsi="Times New Roman" w:cs="Times New Roman"/>
          <w:sz w:val="24"/>
          <w:szCs w:val="24"/>
          <w:lang w:val="en-US"/>
        </w:rPr>
        <w:t xml:space="preserve">inancial </w:t>
      </w:r>
      <w:r>
        <w:rPr>
          <w:rFonts w:ascii="Times New Roman" w:hAnsi="Times New Roman" w:cs="Times New Roman"/>
          <w:sz w:val="24"/>
          <w:szCs w:val="24"/>
          <w:lang w:val="en-US"/>
        </w:rPr>
        <w:t>T</w:t>
      </w:r>
      <w:r w:rsidR="00804FAA">
        <w:rPr>
          <w:rFonts w:ascii="Times New Roman" w:hAnsi="Times New Roman" w:cs="Times New Roman"/>
          <w:sz w:val="24"/>
          <w:szCs w:val="24"/>
          <w:lang w:val="en-US"/>
        </w:rPr>
        <w:t>imes</w:t>
      </w:r>
      <w:r>
        <w:rPr>
          <w:rFonts w:ascii="Times New Roman" w:hAnsi="Times New Roman" w:cs="Times New Roman"/>
          <w:sz w:val="24"/>
          <w:szCs w:val="24"/>
          <w:lang w:val="en-US"/>
        </w:rPr>
        <w:t>)</w:t>
      </w:r>
    </w:p>
    <w:p w:rsidR="000711BB" w:rsidRPr="00B50CA8" w:rsidRDefault="000711BB" w:rsidP="000711BB">
      <w:pPr>
        <w:shd w:val="clear" w:color="auto" w:fill="FFFFFF"/>
        <w:spacing w:line="240" w:lineRule="auto"/>
        <w:jc w:val="both"/>
        <w:textAlignment w:val="baseline"/>
        <w:rPr>
          <w:rFonts w:ascii="Times New Roman" w:hAnsi="Times New Roman" w:cs="Times New Roman"/>
          <w:color w:val="FF0000"/>
          <w:sz w:val="24"/>
          <w:szCs w:val="24"/>
          <w:u w:val="single"/>
          <w:lang w:val="en-US"/>
        </w:rPr>
      </w:pPr>
      <w:r w:rsidRPr="00B50CA8">
        <w:rPr>
          <w:rFonts w:ascii="Times New Roman" w:hAnsi="Times New Roman" w:cs="Times New Roman"/>
          <w:color w:val="FF0000"/>
          <w:sz w:val="24"/>
          <w:szCs w:val="24"/>
          <w:u w:val="single"/>
          <w:lang w:val="en-US"/>
        </w:rPr>
        <w:t>Las innovaciones tecnológicas tienen impacto social, económico y político.</w:t>
      </w:r>
    </w:p>
    <w:p w:rsidR="000711BB" w:rsidRPr="00B50CA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B50CA8">
        <w:rPr>
          <w:rFonts w:ascii="Times New Roman" w:hAnsi="Times New Roman" w:cs="Times New Roman"/>
          <w:sz w:val="24"/>
          <w:szCs w:val="24"/>
          <w:u w:val="single"/>
          <w:lang w:val="en-US"/>
        </w:rPr>
        <w:t>Se ha vuelto habitual hablar de tecnología como si fuera un sector especial de la economía que consiste en la fabricación de productos electrónicos sofisticados, la creación de software, y la prestación de servicios que dependen de la tecnología de la información.</w:t>
      </w:r>
    </w:p>
    <w:p w:rsidR="000711BB" w:rsidRPr="00B50CA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B50CA8">
        <w:rPr>
          <w:rFonts w:ascii="Times New Roman" w:hAnsi="Times New Roman" w:cs="Times New Roman"/>
          <w:sz w:val="24"/>
          <w:szCs w:val="24"/>
          <w:u w:val="single"/>
          <w:lang w:val="en-US"/>
        </w:rPr>
        <w:t>Esta es una definición demasiado escueta</w:t>
      </w:r>
      <w:r w:rsidRPr="00EA3E98">
        <w:rPr>
          <w:rFonts w:ascii="Times New Roman" w:hAnsi="Times New Roman" w:cs="Times New Roman"/>
          <w:sz w:val="24"/>
          <w:szCs w:val="24"/>
          <w:lang w:val="en-US"/>
        </w:rPr>
        <w:t xml:space="preserve">. Cada técnica que los seres humanos han inventado, desde el hacha de piedra en adelante, es tecnología. La capacidad de los humanos para inventar tecnologías es su principal característica. Por otra parte, las nuevas tecnologías como el ordenador e Internet, tienen efectos que se encuentran muy lejos del sector de la tecnología, en sentido estricto. </w:t>
      </w:r>
      <w:r w:rsidRPr="00B50CA8">
        <w:rPr>
          <w:rFonts w:ascii="Times New Roman" w:hAnsi="Times New Roman" w:cs="Times New Roman"/>
          <w:sz w:val="24"/>
          <w:szCs w:val="24"/>
          <w:u w:val="single"/>
          <w:lang w:val="en-US"/>
        </w:rPr>
        <w:t>Necesitamos evaluar las innovaciones contemporáneas en un contexto más amplio. He aquí seis puntos sobre estos cambios.</w:t>
      </w:r>
    </w:p>
    <w:p w:rsidR="000711BB" w:rsidRPr="00B50CA8" w:rsidRDefault="000711BB" w:rsidP="000711BB">
      <w:pPr>
        <w:shd w:val="clear" w:color="auto" w:fill="FFFFFF"/>
        <w:spacing w:line="240" w:lineRule="auto"/>
        <w:jc w:val="both"/>
        <w:textAlignment w:val="baseline"/>
        <w:rPr>
          <w:rFonts w:ascii="Times New Roman" w:hAnsi="Times New Roman" w:cs="Times New Roman"/>
          <w:color w:val="FF0000"/>
          <w:sz w:val="24"/>
          <w:szCs w:val="24"/>
          <w:lang w:val="en-US"/>
        </w:rPr>
      </w:pPr>
      <w:r w:rsidRPr="00EA3E98">
        <w:rPr>
          <w:rFonts w:ascii="Times New Roman" w:hAnsi="Times New Roman" w:cs="Times New Roman"/>
          <w:sz w:val="24"/>
          <w:szCs w:val="24"/>
          <w:lang w:val="en-US"/>
        </w:rPr>
        <w:t xml:space="preserve">1. </w:t>
      </w:r>
      <w:r w:rsidRPr="00B50CA8">
        <w:rPr>
          <w:rFonts w:ascii="Times New Roman" w:hAnsi="Times New Roman" w:cs="Times New Roman"/>
          <w:color w:val="FF0000"/>
          <w:sz w:val="24"/>
          <w:szCs w:val="24"/>
          <w:lang w:val="en-US"/>
        </w:rPr>
        <w:t>PENETRACIÓN DE LA TECNOLOGÍA EN LAS COMUNICACIONES</w:t>
      </w:r>
    </w:p>
    <w:p w:rsidR="000711BB" w:rsidRPr="00B50CA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EA3E98">
        <w:rPr>
          <w:rFonts w:ascii="Times New Roman" w:hAnsi="Times New Roman" w:cs="Times New Roman"/>
          <w:sz w:val="24"/>
          <w:szCs w:val="24"/>
          <w:lang w:val="en-US"/>
        </w:rPr>
        <w:t xml:space="preserve">La penetración de las recientes innovaciones en la tecnología de las comunicaciones ha sido sorprendentemente rápida. </w:t>
      </w:r>
      <w:r w:rsidRPr="00B50CA8">
        <w:rPr>
          <w:rFonts w:ascii="Times New Roman" w:hAnsi="Times New Roman" w:cs="Times New Roman"/>
          <w:sz w:val="24"/>
          <w:szCs w:val="24"/>
          <w:u w:val="single"/>
          <w:lang w:val="en-US"/>
        </w:rPr>
        <w:t>A finales de 2015, había más de 7.000 millones de suscripciones de telefonía móvil, una tasa de penetración del 97% frente al 10% de 2000. El acceso a Internet aumentó del 7% al 43% en el mismo periodo</w:t>
      </w:r>
      <w:r w:rsidRPr="00EA3E98">
        <w:rPr>
          <w:rFonts w:ascii="Times New Roman" w:hAnsi="Times New Roman" w:cs="Times New Roman"/>
          <w:sz w:val="24"/>
          <w:szCs w:val="24"/>
          <w:lang w:val="en-US"/>
        </w:rPr>
        <w:t xml:space="preserve">. </w:t>
      </w:r>
      <w:r w:rsidRPr="00B50CA8">
        <w:rPr>
          <w:rFonts w:ascii="Times New Roman" w:hAnsi="Times New Roman" w:cs="Times New Roman"/>
          <w:sz w:val="24"/>
          <w:szCs w:val="24"/>
          <w:u w:val="single"/>
          <w:lang w:val="en-US"/>
        </w:rPr>
        <w:t>En términos económicos, esto ha dado lugar al auge del comercio electrónico</w:t>
      </w:r>
      <w:r w:rsidRPr="00EA3E98">
        <w:rPr>
          <w:rFonts w:ascii="Times New Roman" w:hAnsi="Times New Roman" w:cs="Times New Roman"/>
          <w:sz w:val="24"/>
          <w:szCs w:val="24"/>
          <w:lang w:val="en-US"/>
        </w:rPr>
        <w:t xml:space="preserve">, la transformación de las industrias cuyos productos se pueden convertir en bits (la música, el cine y las noticias, por ejemplo) y el surgimiento de la economía colaborativa. </w:t>
      </w:r>
      <w:r w:rsidRPr="00B50CA8">
        <w:rPr>
          <w:rFonts w:ascii="Times New Roman" w:hAnsi="Times New Roman" w:cs="Times New Roman"/>
          <w:sz w:val="24"/>
          <w:szCs w:val="24"/>
          <w:u w:val="single"/>
          <w:lang w:val="en-US"/>
        </w:rPr>
        <w:t xml:space="preserve">En el ámbito </w:t>
      </w:r>
      <w:r w:rsidRPr="00B50CA8">
        <w:rPr>
          <w:rFonts w:ascii="Times New Roman" w:hAnsi="Times New Roman" w:cs="Times New Roman"/>
          <w:sz w:val="24"/>
          <w:szCs w:val="24"/>
          <w:u w:val="single"/>
          <w:lang w:val="en-US"/>
        </w:rPr>
        <w:lastRenderedPageBreak/>
        <w:t>social, ha alterado la interacción humana. Con respecto a la política, ha afectado a las relaciones entre gobernantes y gobernados.</w:t>
      </w:r>
    </w:p>
    <w:p w:rsidR="000711BB" w:rsidRPr="00B50CA8" w:rsidRDefault="000711BB" w:rsidP="000711BB">
      <w:pPr>
        <w:shd w:val="clear" w:color="auto" w:fill="FFFFFF"/>
        <w:spacing w:line="240" w:lineRule="auto"/>
        <w:jc w:val="both"/>
        <w:textAlignment w:val="baseline"/>
        <w:rPr>
          <w:rFonts w:ascii="Times New Roman" w:hAnsi="Times New Roman" w:cs="Times New Roman"/>
          <w:color w:val="FF0000"/>
          <w:sz w:val="24"/>
          <w:szCs w:val="24"/>
          <w:lang w:val="en-US"/>
        </w:rPr>
      </w:pPr>
      <w:r w:rsidRPr="00EA3E98">
        <w:rPr>
          <w:rFonts w:ascii="Times New Roman" w:hAnsi="Times New Roman" w:cs="Times New Roman"/>
          <w:sz w:val="24"/>
          <w:szCs w:val="24"/>
          <w:lang w:val="en-US"/>
        </w:rPr>
        <w:t xml:space="preserve">2. </w:t>
      </w:r>
      <w:r w:rsidRPr="00B50CA8">
        <w:rPr>
          <w:rFonts w:ascii="Times New Roman" w:hAnsi="Times New Roman" w:cs="Times New Roman"/>
          <w:color w:val="FF0000"/>
          <w:sz w:val="24"/>
          <w:szCs w:val="24"/>
          <w:lang w:val="en-US"/>
        </w:rPr>
        <w:t>BRECHA DIGITAL</w:t>
      </w:r>
    </w:p>
    <w:p w:rsidR="000711BB" w:rsidRPr="00B50CA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B50CA8">
        <w:rPr>
          <w:rFonts w:ascii="Times New Roman" w:hAnsi="Times New Roman" w:cs="Times New Roman"/>
          <w:sz w:val="24"/>
          <w:szCs w:val="24"/>
          <w:u w:val="single"/>
          <w:lang w:val="en-US"/>
        </w:rPr>
        <w:t>Existe una brecha digital sustancial. En 2015, el 81% de los hogares de países desarrollados tenía acceso a Internet, en los países emergentes la proporción fue del 34% y en los países menos desarrollados no superaba el 7%.</w:t>
      </w:r>
    </w:p>
    <w:p w:rsidR="000711BB" w:rsidRPr="00B50CA8" w:rsidRDefault="000711BB" w:rsidP="000711BB">
      <w:pPr>
        <w:shd w:val="clear" w:color="auto" w:fill="FFFFFF"/>
        <w:spacing w:line="240" w:lineRule="auto"/>
        <w:jc w:val="both"/>
        <w:textAlignment w:val="baseline"/>
        <w:rPr>
          <w:rFonts w:ascii="Times New Roman" w:hAnsi="Times New Roman" w:cs="Times New Roman"/>
          <w:color w:val="FF0000"/>
          <w:sz w:val="24"/>
          <w:szCs w:val="24"/>
          <w:lang w:val="en-US"/>
        </w:rPr>
      </w:pPr>
      <w:r w:rsidRPr="00EA3E98">
        <w:rPr>
          <w:rFonts w:ascii="Times New Roman" w:hAnsi="Times New Roman" w:cs="Times New Roman"/>
          <w:sz w:val="24"/>
          <w:szCs w:val="24"/>
          <w:lang w:val="en-US"/>
        </w:rPr>
        <w:t xml:space="preserve">3. </w:t>
      </w:r>
      <w:r w:rsidRPr="00B50CA8">
        <w:rPr>
          <w:rFonts w:ascii="Times New Roman" w:hAnsi="Times New Roman" w:cs="Times New Roman"/>
          <w:color w:val="FF0000"/>
          <w:sz w:val="24"/>
          <w:szCs w:val="24"/>
          <w:lang w:val="en-US"/>
        </w:rPr>
        <w:t>PRODUCTIVIDAD</w:t>
      </w:r>
    </w:p>
    <w:p w:rsidR="000711BB" w:rsidRPr="00EA3E98"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B50CA8">
        <w:rPr>
          <w:rFonts w:ascii="Times New Roman" w:hAnsi="Times New Roman" w:cs="Times New Roman"/>
          <w:sz w:val="24"/>
          <w:szCs w:val="24"/>
          <w:u w:val="single"/>
          <w:lang w:val="en-US"/>
        </w:rPr>
        <w:t>La llegada de Internet y de los móviles no ha logrado generar un repunte sostenido del crecimiento de la productividad. Esto es más evidente en EEUU, la economía más productiva e innovadora del mundo durante más de un siglo</w:t>
      </w:r>
      <w:r w:rsidRPr="00EA3E98">
        <w:rPr>
          <w:rFonts w:ascii="Times New Roman" w:hAnsi="Times New Roman" w:cs="Times New Roman"/>
          <w:sz w:val="24"/>
          <w:szCs w:val="24"/>
          <w:lang w:val="en-US"/>
        </w:rPr>
        <w:t xml:space="preserve">. La producción por hora trabajada en EEUU creció a un ritmo del 3% anual en los 10 años previos a 1966. A partir de esa fecha, el ritmo de crecimiento se redujo, cayendo a sólo un 1,2% en los diez años anteriores al inicio de la década de 1980. Tras el lanzamiento de la web a nivel mundial, la media variable aumentó al 2,5% en los diez años previos a 2005. Pero luego cayó a apenas un 1% en la década previa a 2015. No debería sorprendernos. Como Robert Gordon de la Universidad de Northwestern argumenta, el agua potable, el alcantarillado moderno, la electricidad, el teléfono, la radio, la industria del petróleo, el motor de combustión interna, el automóvil y el avión -todas las innovaciones de finales del siglo XIX y de principios del siglo XX- fueron mucho más transformadoras que las tecnologías de la información de los últimos 75 años. </w:t>
      </w:r>
      <w:r w:rsidRPr="00B50CA8">
        <w:rPr>
          <w:rFonts w:ascii="Times New Roman" w:hAnsi="Times New Roman" w:cs="Times New Roman"/>
          <w:sz w:val="24"/>
          <w:szCs w:val="24"/>
          <w:u w:val="single"/>
          <w:lang w:val="en-US"/>
        </w:rPr>
        <w:t>Algunos argumentan que las estadísticas no miden la producción correctamente, al no capturar servicios gratuitos, como las búsquedas, que generan importantes plusvalías.</w:t>
      </w:r>
      <w:r w:rsidRPr="00EA3E98">
        <w:rPr>
          <w:rFonts w:ascii="Times New Roman" w:hAnsi="Times New Roman" w:cs="Times New Roman"/>
          <w:sz w:val="24"/>
          <w:szCs w:val="24"/>
          <w:lang w:val="en-US"/>
        </w:rPr>
        <w:t xml:space="preserve"> Y piense en los beneficios de la luz eléctrica para los estudiantes.</w:t>
      </w:r>
    </w:p>
    <w:p w:rsidR="000711BB" w:rsidRPr="00B50CA8" w:rsidRDefault="000711BB" w:rsidP="000711BB">
      <w:pPr>
        <w:shd w:val="clear" w:color="auto" w:fill="FFFFFF"/>
        <w:spacing w:line="240" w:lineRule="auto"/>
        <w:jc w:val="both"/>
        <w:textAlignment w:val="baseline"/>
        <w:rPr>
          <w:rFonts w:ascii="Times New Roman" w:hAnsi="Times New Roman" w:cs="Times New Roman"/>
          <w:color w:val="FF0000"/>
          <w:sz w:val="24"/>
          <w:szCs w:val="24"/>
          <w:lang w:val="en-US"/>
        </w:rPr>
      </w:pPr>
      <w:r w:rsidRPr="00EA3E98">
        <w:rPr>
          <w:rFonts w:ascii="Times New Roman" w:hAnsi="Times New Roman" w:cs="Times New Roman"/>
          <w:sz w:val="24"/>
          <w:szCs w:val="24"/>
          <w:lang w:val="en-US"/>
        </w:rPr>
        <w:t xml:space="preserve">4. </w:t>
      </w:r>
      <w:r w:rsidRPr="00B50CA8">
        <w:rPr>
          <w:rFonts w:ascii="Times New Roman" w:hAnsi="Times New Roman" w:cs="Times New Roman"/>
          <w:color w:val="FF0000"/>
          <w:sz w:val="24"/>
          <w:szCs w:val="24"/>
          <w:lang w:val="en-US"/>
        </w:rPr>
        <w:t>MÁS DESIGUALDAD</w:t>
      </w:r>
    </w:p>
    <w:p w:rsidR="000711BB" w:rsidRPr="00B50CA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B50CA8">
        <w:rPr>
          <w:rFonts w:ascii="Times New Roman" w:hAnsi="Times New Roman" w:cs="Times New Roman"/>
          <w:sz w:val="24"/>
          <w:szCs w:val="24"/>
          <w:u w:val="single"/>
          <w:lang w:val="en-US"/>
        </w:rPr>
        <w:t>Las nuevas tecnologías han conducido a una mayor desigualdad, por lo menos en tres aspectos. Uno de ellos es el surgimiento de mercados donde el ganador se lo lleva todo. Otro es el aumento de la globalización, y un último es la explosión de las operaciones financieras y otras actividades financieras lucrativas.</w:t>
      </w:r>
    </w:p>
    <w:p w:rsidR="000711BB" w:rsidRPr="00B50CA8" w:rsidRDefault="000711BB" w:rsidP="000711BB">
      <w:pPr>
        <w:shd w:val="clear" w:color="auto" w:fill="FFFFFF"/>
        <w:spacing w:line="240" w:lineRule="auto"/>
        <w:jc w:val="both"/>
        <w:textAlignment w:val="baseline"/>
        <w:rPr>
          <w:rFonts w:ascii="Times New Roman" w:hAnsi="Times New Roman" w:cs="Times New Roman"/>
          <w:color w:val="FF0000"/>
          <w:sz w:val="24"/>
          <w:szCs w:val="24"/>
          <w:lang w:val="en-US"/>
        </w:rPr>
      </w:pPr>
      <w:r w:rsidRPr="00EA3E98">
        <w:rPr>
          <w:rFonts w:ascii="Times New Roman" w:hAnsi="Times New Roman" w:cs="Times New Roman"/>
          <w:sz w:val="24"/>
          <w:szCs w:val="24"/>
          <w:lang w:val="en-US"/>
        </w:rPr>
        <w:t xml:space="preserve">5. </w:t>
      </w:r>
      <w:r w:rsidRPr="00B50CA8">
        <w:rPr>
          <w:rFonts w:ascii="Times New Roman" w:hAnsi="Times New Roman" w:cs="Times New Roman"/>
          <w:color w:val="FF0000"/>
          <w:sz w:val="24"/>
          <w:szCs w:val="24"/>
          <w:lang w:val="en-US"/>
        </w:rPr>
        <w:t>INTELIGENCIA ARTIFICIAL</w:t>
      </w:r>
    </w:p>
    <w:p w:rsidR="000711BB" w:rsidRPr="00B50CA8" w:rsidRDefault="000711BB" w:rsidP="000711BB">
      <w:pPr>
        <w:shd w:val="clear" w:color="auto" w:fill="FFFFFF"/>
        <w:spacing w:line="240" w:lineRule="auto"/>
        <w:jc w:val="both"/>
        <w:textAlignment w:val="baseline"/>
        <w:rPr>
          <w:rFonts w:ascii="Times New Roman" w:hAnsi="Times New Roman" w:cs="Times New Roman"/>
          <w:sz w:val="24"/>
          <w:szCs w:val="24"/>
          <w:u w:val="single"/>
          <w:lang w:val="en-US"/>
        </w:rPr>
      </w:pPr>
      <w:r w:rsidRPr="00B50CA8">
        <w:rPr>
          <w:rFonts w:ascii="Times New Roman" w:hAnsi="Times New Roman" w:cs="Times New Roman"/>
          <w:sz w:val="24"/>
          <w:szCs w:val="24"/>
          <w:u w:val="single"/>
          <w:lang w:val="en-US"/>
        </w:rPr>
        <w:t>Algunos sostienen que la llegada de los robots y la inteligencia artificial transformarán los mercados de trabajo, haciendo que incluso habilidades muy sofisticadas estén de más. Esto podría, de ser cierto, generar divisiones fundamentales entre los propietarios de los robots y el resto de la población como las que existen entre terratenientes y los campesinos sin tierra.</w:t>
      </w:r>
    </w:p>
    <w:p w:rsidR="000711BB" w:rsidRPr="00B50CA8" w:rsidRDefault="000711BB" w:rsidP="000711BB">
      <w:pPr>
        <w:shd w:val="clear" w:color="auto" w:fill="FFFFFF"/>
        <w:spacing w:line="240" w:lineRule="auto"/>
        <w:jc w:val="both"/>
        <w:textAlignment w:val="baseline"/>
        <w:rPr>
          <w:rFonts w:ascii="Times New Roman" w:hAnsi="Times New Roman" w:cs="Times New Roman"/>
          <w:color w:val="FF0000"/>
          <w:sz w:val="24"/>
          <w:szCs w:val="24"/>
          <w:lang w:val="en-US"/>
        </w:rPr>
      </w:pPr>
      <w:r w:rsidRPr="00EA3E98">
        <w:rPr>
          <w:rFonts w:ascii="Times New Roman" w:hAnsi="Times New Roman" w:cs="Times New Roman"/>
          <w:sz w:val="24"/>
          <w:szCs w:val="24"/>
          <w:lang w:val="en-US"/>
        </w:rPr>
        <w:t xml:space="preserve">6. </w:t>
      </w:r>
      <w:r w:rsidRPr="00B50CA8">
        <w:rPr>
          <w:rFonts w:ascii="Times New Roman" w:hAnsi="Times New Roman" w:cs="Times New Roman"/>
          <w:color w:val="FF0000"/>
          <w:sz w:val="24"/>
          <w:szCs w:val="24"/>
          <w:lang w:val="en-US"/>
        </w:rPr>
        <w:t>PRIVACIDAD</w:t>
      </w:r>
    </w:p>
    <w:p w:rsidR="000711B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r w:rsidRPr="00B50CA8">
        <w:rPr>
          <w:rFonts w:ascii="Times New Roman" w:hAnsi="Times New Roman" w:cs="Times New Roman"/>
          <w:sz w:val="24"/>
          <w:szCs w:val="24"/>
          <w:u w:val="single"/>
          <w:lang w:val="en-US"/>
        </w:rPr>
        <w:t>El aumento de las comunicaciones globales, de las enormes corporaciones habilitadas con tecnología y del big data plantean preguntas difíciles sobre la privacidad, la seguridad nacional, la capacidad fiscal y, en términos más generales, la relación entre los gobiernos, las corporaciones y los ciudadanos</w:t>
      </w:r>
      <w:r w:rsidRPr="00EA3E98">
        <w:rPr>
          <w:rFonts w:ascii="Times New Roman" w:hAnsi="Times New Roman" w:cs="Times New Roman"/>
          <w:sz w:val="24"/>
          <w:szCs w:val="24"/>
          <w:lang w:val="en-US"/>
        </w:rPr>
        <w:t>. Las tecnologías son herramientas. Ofrecen oportunidades y riesgos. Lo que hacemos con ellas, como siempre, depende de nosotros.</w:t>
      </w:r>
    </w:p>
    <w:p w:rsidR="000711BB" w:rsidRDefault="000711BB" w:rsidP="000711BB">
      <w:pPr>
        <w:shd w:val="clear" w:color="auto" w:fill="FFFFFF"/>
        <w:spacing w:line="240" w:lineRule="auto"/>
        <w:jc w:val="both"/>
        <w:textAlignment w:val="baseline"/>
        <w:rPr>
          <w:rFonts w:ascii="Times New Roman" w:hAnsi="Times New Roman" w:cs="Times New Roman"/>
          <w:sz w:val="24"/>
          <w:szCs w:val="24"/>
          <w:lang w:val="en-US"/>
        </w:rPr>
      </w:pPr>
    </w:p>
    <w:p w:rsidR="000711BB" w:rsidRPr="00F61398"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61398">
        <w:rPr>
          <w:rFonts w:ascii="Times New Roman" w:hAnsi="Times New Roman" w:cs="Times New Roman"/>
          <w:sz w:val="24"/>
          <w:szCs w:val="24"/>
          <w:u w:val="single"/>
        </w:rPr>
        <w:t>Bienvenidos al siglo XXI</w:t>
      </w:r>
      <w:r>
        <w:rPr>
          <w:rFonts w:ascii="Times New Roman" w:hAnsi="Times New Roman" w:cs="Times New Roman"/>
          <w:sz w:val="24"/>
          <w:szCs w:val="24"/>
        </w:rPr>
        <w:t xml:space="preserve"> (Project Syndicate - </w:t>
      </w:r>
      <w:r w:rsidRPr="00F61398">
        <w:rPr>
          <w:rFonts w:ascii="Times New Roman" w:hAnsi="Times New Roman" w:cs="Times New Roman"/>
          <w:b/>
          <w:sz w:val="24"/>
          <w:szCs w:val="24"/>
        </w:rPr>
        <w:t>1/2/16</w:t>
      </w:r>
      <w:r>
        <w:rPr>
          <w:rFonts w:ascii="Times New Roman" w:hAnsi="Times New Roman" w:cs="Times New Roman"/>
          <w:sz w:val="24"/>
          <w:szCs w:val="24"/>
        </w:rPr>
        <w:t>)</w:t>
      </w:r>
    </w:p>
    <w:p w:rsidR="000711BB" w:rsidRPr="00F61398"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Berlín.-</w:t>
      </w:r>
      <w:r w:rsidRPr="00F61398">
        <w:rPr>
          <w:rFonts w:ascii="Times New Roman" w:hAnsi="Times New Roman" w:cs="Times New Roman"/>
          <w:sz w:val="24"/>
          <w:szCs w:val="24"/>
        </w:rPr>
        <w:t xml:space="preserve"> </w:t>
      </w:r>
      <w:r w:rsidRPr="000F7ACD">
        <w:rPr>
          <w:rFonts w:ascii="Times New Roman" w:hAnsi="Times New Roman" w:cs="Times New Roman"/>
          <w:color w:val="FF0000"/>
          <w:sz w:val="24"/>
          <w:szCs w:val="24"/>
          <w:u w:val="single"/>
        </w:rPr>
        <w:t>El inicio de 2016 fue de todo menos calmo. La caída de las bolsas en China desestabilizó los mercados de todo el mundo. Las economías emergentes parecen paralizadas. El precio del petróleo se derrumbó y puso en crisis a los productores. Corea del Norte exhibe su poder nuclear. Y en Europa, la crisis de los refugiados fomenta una ola tóxica de nacionalismo, que amenaza con despedazar a la Unión Europea. Sumemos las ambiciones neoimperiales de Rusia y la amenaza del terrorismo islámico, y lo único que faltaría para completar la descripción de un año con visos de maldición profética sería que aparezca un cometa en el cielo.</w:t>
      </w:r>
    </w:p>
    <w:p w:rsidR="000711BB" w:rsidRPr="000F7ACD" w:rsidRDefault="000711BB" w:rsidP="000711BB">
      <w:pPr>
        <w:spacing w:line="240" w:lineRule="auto"/>
        <w:jc w:val="both"/>
        <w:rPr>
          <w:rFonts w:ascii="Times New Roman" w:hAnsi="Times New Roman" w:cs="Times New Roman"/>
          <w:b/>
          <w:color w:val="FF0000"/>
          <w:sz w:val="24"/>
          <w:szCs w:val="24"/>
          <w:u w:val="single"/>
        </w:rPr>
      </w:pPr>
      <w:r w:rsidRPr="000F7ACD">
        <w:rPr>
          <w:rFonts w:ascii="Times New Roman" w:hAnsi="Times New Roman" w:cs="Times New Roman"/>
          <w:b/>
          <w:color w:val="FF0000"/>
          <w:sz w:val="24"/>
          <w:szCs w:val="24"/>
          <w:u w:val="single"/>
        </w:rPr>
        <w:t>Allí donde uno mire verá caos creciente. Parece que el orden internacional que se forjó en la fragua del siglo XX se está acabando, y todavía no tenemos ni el menor atisbo de lo que vendrá a reemplazarlo.</w:t>
      </w:r>
    </w:p>
    <w:p w:rsidR="000711BB" w:rsidRPr="000F7ACD" w:rsidRDefault="000711BB" w:rsidP="000711BB">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Los desafíos a los que nos enfrentamos son bien conocidos: globalización, digitalización, cambio climático, etc. Lo que no está claro es el contexto en el que surgirá la respuesta (si es que surge). ¿En qué estructuras políticas, por iniciativa de quién y según qué reglas se negociarán (o dirimirán por la fuerza, si negociar fuera imposible) estas cuestiones?</w:t>
      </w:r>
    </w:p>
    <w:p w:rsidR="000711BB" w:rsidRPr="000F7ACD" w:rsidRDefault="000711BB" w:rsidP="000711BB">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El orden político y económico (particularmente a escala global) no surge simplemente del consenso pacífico o de la imposición no discutida del más poderoso</w:t>
      </w:r>
      <w:r w:rsidRPr="00F61398">
        <w:rPr>
          <w:rFonts w:ascii="Times New Roman" w:hAnsi="Times New Roman" w:cs="Times New Roman"/>
          <w:sz w:val="24"/>
          <w:szCs w:val="24"/>
        </w:rPr>
        <w:t xml:space="preserve">. Siempre ha sido resultado de una lucha por el dominio (a menudo brutal, sangrienta y prolongada) entre potencias rivales. </w:t>
      </w:r>
      <w:r w:rsidRPr="000F7ACD">
        <w:rPr>
          <w:rFonts w:ascii="Times New Roman" w:hAnsi="Times New Roman" w:cs="Times New Roman"/>
          <w:sz w:val="24"/>
          <w:szCs w:val="24"/>
          <w:u w:val="single"/>
        </w:rPr>
        <w:t>Solo a través del conflicto se establecen los pilares, las instituciones y los actores de un nuevo orden.</w:t>
      </w:r>
    </w:p>
    <w:p w:rsidR="000711BB" w:rsidRPr="00F61398" w:rsidRDefault="000711BB" w:rsidP="000711BB">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El orden occidental liberal que ha regido desde el fin de la Segunda Guerra Mundial se basó en la hegemonía de Estados Unidos. Como única auténtica potencia global, fue dominante no solo en el campo del poder duro militar (además de económica y financieramente), sino en casi todas las dimensiones del poder blando (por ejemplo, la cultura, el idioma, los medios de comunicación masivos, la tecnología y la moda).</w:t>
      </w:r>
    </w:p>
    <w:p w:rsidR="000711BB" w:rsidRPr="000F7ACD" w:rsidRDefault="000711BB" w:rsidP="000711BB">
      <w:pPr>
        <w:spacing w:line="240" w:lineRule="auto"/>
        <w:jc w:val="both"/>
        <w:rPr>
          <w:rFonts w:ascii="Times New Roman" w:hAnsi="Times New Roman" w:cs="Times New Roman"/>
          <w:color w:val="FF0000"/>
          <w:sz w:val="24"/>
          <w:szCs w:val="24"/>
          <w:u w:val="single"/>
        </w:rPr>
      </w:pPr>
      <w:r w:rsidRPr="000F7ACD">
        <w:rPr>
          <w:rFonts w:ascii="Times New Roman" w:hAnsi="Times New Roman" w:cs="Times New Roman"/>
          <w:sz w:val="24"/>
          <w:szCs w:val="24"/>
          <w:u w:val="single"/>
        </w:rPr>
        <w:t>Hoy, la Pax Americana que aseguró un alto grado de estabilidad global comenzó a flaquear (sobre todo, en Medio Oriente y la península coreana). Aunque Estados Unidos siga siendo la primera potencia planetaria, ya no tiene capacidad o voluntad de ser el policía del mundo o hacer los sacrificios necesarios para garantizar el orden</w:t>
      </w:r>
      <w:r w:rsidRPr="00F61398">
        <w:rPr>
          <w:rFonts w:ascii="Times New Roman" w:hAnsi="Times New Roman" w:cs="Times New Roman"/>
          <w:sz w:val="24"/>
          <w:szCs w:val="24"/>
        </w:rPr>
        <w:t xml:space="preserve">. </w:t>
      </w:r>
      <w:r w:rsidRPr="000F7ACD">
        <w:rPr>
          <w:rFonts w:ascii="Times New Roman" w:hAnsi="Times New Roman" w:cs="Times New Roman"/>
          <w:color w:val="FF0000"/>
          <w:sz w:val="24"/>
          <w:szCs w:val="24"/>
          <w:u w:val="single"/>
        </w:rPr>
        <w:t>En un mundo globalizado, cuya integración en cuestiones de comunicación, tecnología y (como hemos visto últimamente) movimiento de personas es cada vez mayor, los centros de poder se diluyen y dispersan; por su misma naturaleza, un mundo globalizado rehúye la imposición del orden del siglo XXI.</w:t>
      </w:r>
    </w:p>
    <w:p w:rsidR="000711BB" w:rsidRPr="000F7ACD" w:rsidRDefault="000711BB" w:rsidP="000711BB">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Y aunque el surgimiento de un nuevo orden mundial puede ser inevitable, todavía no se distinguen sus fundamentos. Parece improbable que sea uno liderado por China</w:t>
      </w:r>
      <w:r w:rsidRPr="00F61398">
        <w:rPr>
          <w:rFonts w:ascii="Times New Roman" w:hAnsi="Times New Roman" w:cs="Times New Roman"/>
          <w:sz w:val="24"/>
          <w:szCs w:val="24"/>
        </w:rPr>
        <w:t xml:space="preserve">; esta se mantendrá ensimismada y concentrada en la estabilidad interna y el desarrollo, y es probable que sus ambiciones se limiten al control de su vecindario inmediato y los mares que la rodean. </w:t>
      </w:r>
      <w:r w:rsidRPr="000F7ACD">
        <w:rPr>
          <w:rFonts w:ascii="Times New Roman" w:hAnsi="Times New Roman" w:cs="Times New Roman"/>
          <w:sz w:val="24"/>
          <w:szCs w:val="24"/>
          <w:u w:val="single"/>
        </w:rPr>
        <w:t>Además, le falta (en casi todo) el poder blando indispensable para tratar de convertirse en una fuerza de orden mundial.</w:t>
      </w:r>
    </w:p>
    <w:p w:rsidR="00590CA6" w:rsidRDefault="000711BB" w:rsidP="000711BB">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Tampoco parece que estos tiempos de transición turbulenta vayan a terminar con el surgimiento de una segunda Pax Americana. A pesar del dominio tecnológico de Estados Unidos, la resistencia de potencias regionales y posibles contraalianzas sería</w:t>
      </w:r>
      <w:r w:rsidR="00804FAA">
        <w:rPr>
          <w:rFonts w:ascii="Times New Roman" w:hAnsi="Times New Roman" w:cs="Times New Roman"/>
          <w:sz w:val="24"/>
          <w:szCs w:val="24"/>
          <w:u w:val="single"/>
        </w:rPr>
        <w:t xml:space="preserve"> </w:t>
      </w:r>
      <w:r w:rsidR="00804FAA">
        <w:rPr>
          <w:rFonts w:ascii="Times New Roman" w:hAnsi="Times New Roman" w:cs="Times New Roman"/>
          <w:sz w:val="24"/>
          <w:szCs w:val="24"/>
          <w:u w:val="single"/>
        </w:rPr>
        <w:lastRenderedPageBreak/>
        <w:t>excesiva.</w:t>
      </w:r>
      <w:r w:rsidR="00804FAA">
        <w:rPr>
          <w:rFonts w:ascii="Times New Roman" w:hAnsi="Times New Roman" w:cs="Times New Roman"/>
          <w:sz w:val="24"/>
          <w:szCs w:val="24"/>
          <w:u w:val="single"/>
        </w:rPr>
        <w:cr/>
      </w:r>
    </w:p>
    <w:p w:rsidR="000711BB" w:rsidRPr="00F173B1" w:rsidRDefault="000711BB" w:rsidP="000711BB">
      <w:pPr>
        <w:spacing w:line="240" w:lineRule="auto"/>
        <w:jc w:val="both"/>
        <w:rPr>
          <w:rFonts w:ascii="Times New Roman" w:hAnsi="Times New Roman" w:cs="Times New Roman"/>
          <w:sz w:val="24"/>
          <w:szCs w:val="24"/>
          <w:u w:val="single"/>
        </w:rPr>
      </w:pPr>
      <w:r w:rsidRPr="000F7ACD">
        <w:rPr>
          <w:rFonts w:ascii="Times New Roman" w:hAnsi="Times New Roman" w:cs="Times New Roman"/>
          <w:color w:val="FF0000"/>
          <w:sz w:val="24"/>
          <w:szCs w:val="24"/>
          <w:u w:val="single"/>
        </w:rPr>
        <w:t>De hecho, es probable que el principal desafío de los años venideros sea manejar la pérdida de influencia de Estados Unidos. No hay un marco establecido para la retirada de un conductor global. Una potencia dominante puede caer como resultado de una lucha por el dominio, pero no por retirada voluntaria, porque el vacío de poder resultante pondría en peligro la estabilidad de todo el sistema. Es de prever que el próximo presidente estadounidense, quienquiera que sea, se pase su mandato supervisando el fin de la Pax Americana.</w:t>
      </w:r>
    </w:p>
    <w:p w:rsidR="000711BB" w:rsidRPr="000F7ACD" w:rsidRDefault="000711BB" w:rsidP="000711BB">
      <w:pPr>
        <w:spacing w:line="240" w:lineRule="auto"/>
        <w:jc w:val="both"/>
        <w:rPr>
          <w:rFonts w:ascii="Times New Roman" w:hAnsi="Times New Roman" w:cs="Times New Roman"/>
          <w:color w:val="FF0000"/>
          <w:sz w:val="24"/>
          <w:szCs w:val="24"/>
          <w:u w:val="single"/>
        </w:rPr>
      </w:pPr>
      <w:r w:rsidRPr="000F7ACD">
        <w:rPr>
          <w:rFonts w:ascii="Times New Roman" w:hAnsi="Times New Roman" w:cs="Times New Roman"/>
          <w:color w:val="FF0000"/>
          <w:sz w:val="24"/>
          <w:szCs w:val="24"/>
          <w:u w:val="single"/>
        </w:rPr>
        <w:t>Para Europa, esto supone un problema igualmente difícil. ¿Será la decadencia de la Pax Americana (que durante siete décadas obró como garantía del orden liberal interno de Europa) antesala de una crisis o un conflicto inevitables? El ascenso del neonacionalismo por todo el continente parece apuntar en esa dirección, y las implicaciones son desalentadoras.</w:t>
      </w:r>
    </w:p>
    <w:p w:rsidR="000711BB" w:rsidRPr="000F7ACD" w:rsidRDefault="000711BB" w:rsidP="000711BB">
      <w:pPr>
        <w:spacing w:line="240" w:lineRule="auto"/>
        <w:jc w:val="both"/>
        <w:rPr>
          <w:rFonts w:ascii="Times New Roman" w:hAnsi="Times New Roman" w:cs="Times New Roman"/>
          <w:b/>
          <w:color w:val="FF0000"/>
          <w:sz w:val="24"/>
          <w:szCs w:val="24"/>
          <w:u w:val="single"/>
        </w:rPr>
      </w:pPr>
      <w:r w:rsidRPr="000F7ACD">
        <w:rPr>
          <w:rFonts w:ascii="Times New Roman" w:hAnsi="Times New Roman" w:cs="Times New Roman"/>
          <w:b/>
          <w:color w:val="FF0000"/>
          <w:sz w:val="24"/>
          <w:szCs w:val="24"/>
          <w:u w:val="single"/>
        </w:rPr>
        <w:t>La aciaga posibilidad del suicidio de Europa ya no es impensable. ¿Qué pasará si la política de la canciller alemana Angela Merkel hacia los refugiados supone el fin de su gobierno, si el Reino Unido abandona la Unión Europea o si la populista francesa Marine Le Pen se hace con la presidencia? Un descenso hacia los abismos es el resultado más peligroso que uno pueda imaginar, si acaso no es el más probable.</w:t>
      </w:r>
    </w:p>
    <w:p w:rsidR="000711BB" w:rsidRPr="000F7ACD" w:rsidRDefault="000711BB" w:rsidP="000711BB">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Claro que el suicidio es evitable. Pero quienes alegremente cincelan la posición de Merkel, la identidad europea del Reino Unido y los valores iluministas de Francia amenazan con socavar la cornisa en la que hoy todos estamos parados.</w:t>
      </w:r>
    </w:p>
    <w:p w:rsidR="000711BB"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 xml:space="preserve">(Joschka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 </w:t>
      </w:r>
    </w:p>
    <w:p w:rsidR="000711BB" w:rsidRPr="00BC3F39"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 xml:space="preserve">- </w:t>
      </w:r>
      <w:r w:rsidRPr="00BC3F39">
        <w:rPr>
          <w:rFonts w:ascii="Times New Roman" w:hAnsi="Times New Roman" w:cs="Times New Roman"/>
          <w:sz w:val="24"/>
          <w:szCs w:val="24"/>
          <w:u w:val="single"/>
          <w:lang w:val="en-US"/>
        </w:rPr>
        <w:t>Is the TPP Good for America</w:t>
      </w:r>
      <w:r w:rsidR="00766445">
        <w:rPr>
          <w:rFonts w:ascii="Times New Roman" w:hAnsi="Times New Roman" w:cs="Times New Roman"/>
          <w:sz w:val="24"/>
          <w:szCs w:val="24"/>
          <w:lang w:val="en-US"/>
        </w:rPr>
        <w:t>? (Project Sy</w:t>
      </w:r>
      <w:r w:rsidRPr="00BC3F39">
        <w:rPr>
          <w:rFonts w:ascii="Times New Roman" w:hAnsi="Times New Roman" w:cs="Times New Roman"/>
          <w:sz w:val="24"/>
          <w:szCs w:val="24"/>
          <w:lang w:val="en-US"/>
        </w:rPr>
        <w:t xml:space="preserve">ndicate - </w:t>
      </w:r>
      <w:r w:rsidRPr="00BC3F39">
        <w:rPr>
          <w:rFonts w:ascii="Times New Roman" w:hAnsi="Times New Roman" w:cs="Times New Roman"/>
          <w:b/>
          <w:sz w:val="24"/>
          <w:szCs w:val="24"/>
          <w:lang w:val="en-US"/>
        </w:rPr>
        <w:t>1/2/16</w:t>
      </w:r>
      <w:r w:rsidRPr="00BC3F39">
        <w:rPr>
          <w:rFonts w:ascii="Times New Roman" w:hAnsi="Times New Roman" w:cs="Times New Roman"/>
          <w:sz w:val="24"/>
          <w:szCs w:val="24"/>
          <w:lang w:val="en-US"/>
        </w:rPr>
        <w:t>)</w:t>
      </w:r>
    </w:p>
    <w:p w:rsidR="000711BB" w:rsidRPr="00BC3F39" w:rsidRDefault="000711BB" w:rsidP="000711B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Washington, DC.-</w:t>
      </w:r>
      <w:r w:rsidRPr="00BC3F39">
        <w:rPr>
          <w:rFonts w:ascii="Times New Roman" w:hAnsi="Times New Roman" w:cs="Times New Roman"/>
          <w:sz w:val="24"/>
          <w:szCs w:val="24"/>
          <w:lang w:val="en-US"/>
        </w:rPr>
        <w:t xml:space="preserve"> The Trans-Pacific Partnership, the far-reaching trade and investment agreement that the United States has negotiated with 11 other countries, including Canada, Mexico, Japan, Malaysia, Australia, and Vietnam, is now up for debate. In order to enter into effect, the US Congress must approve the TPP, which is not likely until enough members make up their minds about the merits of the case. So, what does the TPP mean for US voters now and in the future?</w:t>
      </w:r>
    </w:p>
    <w:p w:rsidR="000711BB" w:rsidRPr="00BC3F39"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For starters, while the TPP would most likely generate some overall gain for the US economy, measured in terms of GDP and people’s incomes, that gain is very small and comes mostly from providing greater opportunities for US exports – by reducing tariff and non-tariff barriers in other countries. Some imports would become cheaper as well, benefiting American consumers.</w:t>
      </w:r>
    </w:p>
    <w:p w:rsidR="000711BB" w:rsidRPr="00BC3F39"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In analytical work favored by President Barack Obama’s administration, the projections suggest that approval of the TPP could cause the total size of the US economy to be 0.5% higher in 2030 than it would be otherwise. Note that this estimate is of the TPP’s effect on the level of aggregate income after 15 years, not of its impact on the annual growth rate.</w:t>
      </w:r>
    </w:p>
    <w:p w:rsidR="000711BB" w:rsidRPr="00BC3F39"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lastRenderedPageBreak/>
        <w:t>Given that this assessment is advanced by TPP supporters, it seems reasonable to suppose that it represents the higher end of what they regard as plausible. (I am a senior fellow at the Peterson Institute for International Economics, under whose auspices the study was published, but I had no part in its preparation.) Unfortunately, the models used in this field do not generate error bands or confidence intervals. In fact, given the comp</w:t>
      </w:r>
      <w:r w:rsidR="00C544E2">
        <w:rPr>
          <w:rFonts w:ascii="Times New Roman" w:hAnsi="Times New Roman" w:cs="Times New Roman"/>
          <w:sz w:val="24"/>
          <w:szCs w:val="24"/>
          <w:lang w:val="en-US"/>
        </w:rPr>
        <w:t>lexity of the trade agreement -</w:t>
      </w:r>
      <w:r w:rsidRPr="00BC3F39">
        <w:rPr>
          <w:rFonts w:ascii="Times New Roman" w:hAnsi="Times New Roman" w:cs="Times New Roman"/>
          <w:sz w:val="24"/>
          <w:szCs w:val="24"/>
          <w:lang w:val="en-US"/>
        </w:rPr>
        <w:t>including the emphasis on hard-to-qu</w:t>
      </w:r>
      <w:r w:rsidR="00C544E2">
        <w:rPr>
          <w:rFonts w:ascii="Times New Roman" w:hAnsi="Times New Roman" w:cs="Times New Roman"/>
          <w:sz w:val="24"/>
          <w:szCs w:val="24"/>
          <w:lang w:val="en-US"/>
        </w:rPr>
        <w:t>antify non-tariff barriers-</w:t>
      </w:r>
      <w:r w:rsidRPr="00BC3F39">
        <w:rPr>
          <w:rFonts w:ascii="Times New Roman" w:hAnsi="Times New Roman" w:cs="Times New Roman"/>
          <w:sz w:val="24"/>
          <w:szCs w:val="24"/>
          <w:lang w:val="en-US"/>
        </w:rPr>
        <w:t xml:space="preserve"> these estimates are likely to be highly imprecise.</w:t>
      </w:r>
    </w:p>
    <w:p w:rsidR="000711BB" w:rsidRPr="00BC3F39"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Second, such models ignore key issues that belong in any quantitative analysis. For example, when imports surge, there are significant negative effects on employment. Compelling evidence on this point comes from outstanding research by Daron Acemoglu, David Autor, David Dorn, Gordon Hanson, and Brendan Price, who found that “total job losses from rising Chinese import competition over 1999-2011” were in the range of 2-2.4 million.</w:t>
      </w:r>
    </w:p>
    <w:p w:rsidR="000711BB" w:rsidRPr="00BC3F39"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People who lose high-paying jobs in manufacturing can find alternative work – but typically at a much lower wage in a low-productivity part of the service sector. In principle, they could be compensated for this loss of lifetime income; but such compensation is very limited in the US. In reality, there are long-lasting or even permane</w:t>
      </w:r>
      <w:r>
        <w:rPr>
          <w:rFonts w:ascii="Times New Roman" w:hAnsi="Times New Roman" w:cs="Times New Roman"/>
          <w:sz w:val="24"/>
          <w:szCs w:val="24"/>
          <w:lang w:val="en-US"/>
        </w:rPr>
        <w:t>nt effects on some communities -</w:t>
      </w:r>
      <w:r w:rsidRPr="00BC3F39">
        <w:rPr>
          <w:rFonts w:ascii="Times New Roman" w:hAnsi="Times New Roman" w:cs="Times New Roman"/>
          <w:sz w:val="24"/>
          <w:szCs w:val="24"/>
          <w:lang w:val="en-US"/>
        </w:rPr>
        <w:t xml:space="preserve"> and particularly on people with less education in places where prosperity was based on manufacturing that is now exposed to more competition from imports.</w:t>
      </w:r>
    </w:p>
    <w:p w:rsidR="000711BB" w:rsidRPr="00BC3F39"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In addition, the pro-TPP model assumes that wages rise with productivity. This used to be the case in the US; but the relationship has been greatly weakened in recent decades – precisely as globalization has deepened. As a result, the model’s estimates regarding how unskilled workers will benefit from the TPP thus seem like a stretch.</w:t>
      </w:r>
    </w:p>
    <w:p w:rsidR="000711BB" w:rsidRPr="00BC3F39"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Third, basing any policy decision on models alone is fraught with danger. The TPP will change many other dimensions of public policy, including the protections afforded to foreign investors (making it easier for them to sue governments) and access to affordable medicines (for low-income countries but also potentially for Americans).</w:t>
      </w:r>
    </w:p>
    <w:p w:rsidR="000711BB" w:rsidRPr="00BC3F39"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And it is striking that the TPP currently does essentially nothing to discourage currency manipulation – sustained one-way intervention in the foreign-exchange market, aimed at devaluing a currency and gaining a competitive advantage. In the 1980s, imports of goods and services into the US were about 10% of GDP; now that figure is about 17%, and the TPP would presumably push it higher (so the models say). But as the US trades more with the world, it becomes more vulnerable to job loss caused by currency manipulation.</w:t>
      </w:r>
    </w:p>
    <w:p w:rsidR="000711BB" w:rsidRPr="00BC3F39"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Based on available evidence, it seems fair to conclude the following about the TPP: It would result in a very small increase in total GDP; it would increase at least some measures of inequality; and it would increase the number of jobs at risk, without providing a commensurate safeguard against currency manipulation.</w:t>
      </w:r>
    </w:p>
    <w:p w:rsidR="000711BB" w:rsidRPr="00BC3F39"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The International Trade Commission is conducting an in-depth assessment of the TPP, which should be ready in a few months. One hopes that the ITC will provide a more complete and granular analysi</w:t>
      </w:r>
      <w:r>
        <w:rPr>
          <w:rFonts w:ascii="Times New Roman" w:hAnsi="Times New Roman" w:cs="Times New Roman"/>
          <w:sz w:val="24"/>
          <w:szCs w:val="24"/>
          <w:lang w:val="en-US"/>
        </w:rPr>
        <w:t>s -</w:t>
      </w:r>
      <w:r w:rsidRPr="00BC3F39">
        <w:rPr>
          <w:rFonts w:ascii="Times New Roman" w:hAnsi="Times New Roman" w:cs="Times New Roman"/>
          <w:sz w:val="24"/>
          <w:szCs w:val="24"/>
          <w:lang w:val="en-US"/>
        </w:rPr>
        <w:t xml:space="preserve">including of potential </w:t>
      </w:r>
      <w:r>
        <w:rPr>
          <w:rFonts w:ascii="Times New Roman" w:hAnsi="Times New Roman" w:cs="Times New Roman"/>
          <w:sz w:val="24"/>
          <w:szCs w:val="24"/>
          <w:lang w:val="en-US"/>
        </w:rPr>
        <w:t xml:space="preserve">downsides for various sectors- </w:t>
      </w:r>
      <w:r w:rsidRPr="00BC3F39">
        <w:rPr>
          <w:rFonts w:ascii="Times New Roman" w:hAnsi="Times New Roman" w:cs="Times New Roman"/>
          <w:sz w:val="24"/>
          <w:szCs w:val="24"/>
          <w:lang w:val="en-US"/>
        </w:rPr>
        <w:t>than is currently available.</w:t>
      </w:r>
    </w:p>
    <w:p w:rsidR="000711BB"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lastRenderedPageBreak/>
        <w:t>An objective assessment will find that the TPP is no “slam dunk” that should be approved automatically. Much greater scrutiny and discussion of the agreement’s details is warranted. The good news is that this process of care</w:t>
      </w:r>
      <w:r w:rsidR="00804FAA">
        <w:rPr>
          <w:rFonts w:ascii="Times New Roman" w:hAnsi="Times New Roman" w:cs="Times New Roman"/>
          <w:sz w:val="24"/>
          <w:szCs w:val="24"/>
          <w:lang w:val="en-US"/>
        </w:rPr>
        <w:t>ful assessment is now underway.</w:t>
      </w:r>
    </w:p>
    <w:p w:rsidR="000711BB"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 xml:space="preserve">(Simon Johnson, a former chief economist of the IMF, is a professor at MIT Sloan, a senior fellow at the Peterson Institute for International Economics, and co-founder of a leading economics blog, The Baseline Scenario. He is the co-author, with James Kwak, of White House Burning: The Founding Fathers…) </w:t>
      </w:r>
    </w:p>
    <w:p w:rsidR="000711BB" w:rsidRPr="00F61398"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1398">
        <w:rPr>
          <w:rFonts w:ascii="Times New Roman" w:hAnsi="Times New Roman" w:cs="Times New Roman"/>
          <w:sz w:val="24"/>
          <w:szCs w:val="24"/>
          <w:u w:val="single"/>
        </w:rPr>
        <w:t>Una política intergeneracional</w:t>
      </w:r>
      <w:r>
        <w:rPr>
          <w:rFonts w:ascii="Times New Roman" w:hAnsi="Times New Roman" w:cs="Times New Roman"/>
          <w:sz w:val="24"/>
          <w:szCs w:val="24"/>
        </w:rPr>
        <w:t xml:space="preserve"> (Project Syndicate - </w:t>
      </w:r>
      <w:r w:rsidRPr="00F61398">
        <w:rPr>
          <w:rFonts w:ascii="Times New Roman" w:hAnsi="Times New Roman" w:cs="Times New Roman"/>
          <w:b/>
          <w:sz w:val="24"/>
          <w:szCs w:val="24"/>
        </w:rPr>
        <w:t>2/2/16</w:t>
      </w:r>
      <w:r>
        <w:rPr>
          <w:rFonts w:ascii="Times New Roman" w:hAnsi="Times New Roman" w:cs="Times New Roman"/>
          <w:sz w:val="24"/>
          <w:szCs w:val="24"/>
        </w:rPr>
        <w:t>)</w:t>
      </w:r>
    </w:p>
    <w:p w:rsidR="000711BB" w:rsidRPr="00AD2C88" w:rsidRDefault="000711BB" w:rsidP="000711B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París.-</w:t>
      </w:r>
      <w:r w:rsidRPr="00F61398">
        <w:rPr>
          <w:rFonts w:ascii="Times New Roman" w:hAnsi="Times New Roman" w:cs="Times New Roman"/>
          <w:sz w:val="24"/>
          <w:szCs w:val="24"/>
        </w:rPr>
        <w:t xml:space="preserve"> </w:t>
      </w:r>
      <w:r w:rsidRPr="00AD2C88">
        <w:rPr>
          <w:rFonts w:ascii="Times New Roman" w:hAnsi="Times New Roman" w:cs="Times New Roman"/>
          <w:color w:val="FF0000"/>
          <w:sz w:val="24"/>
          <w:szCs w:val="24"/>
          <w:u w:val="single"/>
        </w:rPr>
        <w:t xml:space="preserve">Si uno se detiene a considerar algunos de los principales desafíos de la actualidad (incluidos el cambio climático, las pensiones, la deuda pública y el mercado laboral), surge una conclusión obvia: </w:t>
      </w:r>
      <w:r w:rsidRPr="00AD2C88">
        <w:rPr>
          <w:rFonts w:ascii="Times New Roman" w:hAnsi="Times New Roman" w:cs="Times New Roman"/>
          <w:b/>
          <w:color w:val="FF0000"/>
          <w:sz w:val="24"/>
          <w:szCs w:val="24"/>
          <w:u w:val="single"/>
        </w:rPr>
        <w:t>hoy ser joven es relativamente mucho peor que hace un cuarto de siglo</w:t>
      </w:r>
      <w:r w:rsidRPr="00AD2C88">
        <w:rPr>
          <w:rFonts w:ascii="Times New Roman" w:hAnsi="Times New Roman" w:cs="Times New Roman"/>
          <w:color w:val="FF0000"/>
          <w:sz w:val="24"/>
          <w:szCs w:val="24"/>
          <w:u w:val="single"/>
        </w:rPr>
        <w:t>.</w:t>
      </w:r>
      <w:r w:rsidRPr="00F61398">
        <w:rPr>
          <w:rFonts w:ascii="Times New Roman" w:hAnsi="Times New Roman" w:cs="Times New Roman"/>
          <w:sz w:val="24"/>
          <w:szCs w:val="24"/>
        </w:rPr>
        <w:t xml:space="preserve"> </w:t>
      </w:r>
      <w:r w:rsidRPr="00AD2C88">
        <w:rPr>
          <w:rFonts w:ascii="Times New Roman" w:hAnsi="Times New Roman" w:cs="Times New Roman"/>
          <w:sz w:val="24"/>
          <w:szCs w:val="24"/>
          <w:u w:val="single"/>
        </w:rPr>
        <w:t>Pero en la mayoría de los países, la dimensión generacional brilla por su ausencia en el debate político. Hace cincuenta años, se hablaba mucho, y con énfasis, de una “brecha generacional”. Hoy esa brecha se ha vuelto invisible. Eso es malo para los jóvenes, para la democracia y para la justicia social.</w:t>
      </w:r>
    </w:p>
    <w:p w:rsidR="000711BB" w:rsidRPr="00F61398" w:rsidRDefault="000711BB" w:rsidP="000711BB">
      <w:pPr>
        <w:spacing w:line="240" w:lineRule="auto"/>
        <w:jc w:val="both"/>
        <w:rPr>
          <w:rFonts w:ascii="Times New Roman" w:hAnsi="Times New Roman" w:cs="Times New Roman"/>
          <w:sz w:val="24"/>
          <w:szCs w:val="24"/>
        </w:rPr>
      </w:pPr>
      <w:r w:rsidRPr="00AD2C88">
        <w:rPr>
          <w:rFonts w:ascii="Times New Roman" w:hAnsi="Times New Roman" w:cs="Times New Roman"/>
          <w:sz w:val="24"/>
          <w:szCs w:val="24"/>
          <w:u w:val="single"/>
        </w:rPr>
        <w:t>Comencemos por el cambio climático</w:t>
      </w:r>
      <w:r w:rsidRPr="00F61398">
        <w:rPr>
          <w:rFonts w:ascii="Times New Roman" w:hAnsi="Times New Roman" w:cs="Times New Roman"/>
          <w:sz w:val="24"/>
          <w:szCs w:val="24"/>
        </w:rPr>
        <w:t>. Su contención demanda modificar hábitos e invertir en reducción de emisiones, para que las generaciones futuras tengan un planeta habitable. Aunque la alarma sonó por primera vez en 1992 en la Cumbre de la Tierra en Río de Janeiro, a lo largo de la última generación poco se hizo por poner límite a las emisiones. Y es poco probable que el histórico acuerdo alcanzado en París en diciembre dé lugar a avances rápidos, porque se basó en posponer las acciones más importantes. El compromiso universal sólo fue posible a cambio de esa demora.</w:t>
      </w:r>
    </w:p>
    <w:p w:rsidR="000711BB" w:rsidRPr="00F61398" w:rsidRDefault="000711BB" w:rsidP="000711BB">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Dada la enorme inercia inherente al efecto invernadero, la diferencia entre actuar con responsabilidad o sin ella no comenzará a verse en un descenso de las temperaturas sino dentro de un cuarto de siglo, y los efectos más importantes se producirán en 50 años. Para alguien que hoy tenga más de sesenta, la diferencia será inapreciable. Pero el destino de la mayoría de los ciudadanos que hoy tienen menos de treinta será totalmente distinto. A su debido momento, los jóvenes tendrán que pagar la prórroga obtenida por las generaciones mayores.</w:t>
      </w:r>
    </w:p>
    <w:p w:rsidR="000711BB" w:rsidRPr="00F61398" w:rsidRDefault="000711BB" w:rsidP="000711BB">
      <w:pPr>
        <w:spacing w:line="240" w:lineRule="auto"/>
        <w:jc w:val="both"/>
        <w:rPr>
          <w:rFonts w:ascii="Times New Roman" w:hAnsi="Times New Roman" w:cs="Times New Roman"/>
          <w:sz w:val="24"/>
          <w:szCs w:val="24"/>
        </w:rPr>
      </w:pPr>
      <w:r w:rsidRPr="00AD2C88">
        <w:rPr>
          <w:rFonts w:ascii="Times New Roman" w:hAnsi="Times New Roman" w:cs="Times New Roman"/>
          <w:sz w:val="24"/>
          <w:szCs w:val="24"/>
          <w:u w:val="single"/>
        </w:rPr>
        <w:t>Pasemos a la deuda</w:t>
      </w:r>
      <w:r w:rsidRPr="00F61398">
        <w:rPr>
          <w:rFonts w:ascii="Times New Roman" w:hAnsi="Times New Roman" w:cs="Times New Roman"/>
          <w:sz w:val="24"/>
          <w:szCs w:val="24"/>
        </w:rPr>
        <w:t>. Desde 1990, la deuda pública respecto del PIB aumentó unos 40 puntos porcentuales en la Unión Europea y Estados Unidos (mucho más en Japón). Con tipos de interés casi nulos, el lastre sobre los ingresos es poco; pero como casi no hay inflación y el crecimiento es escaso, los cocientes de endeudamiento solo se han estabilizado. De modo que la reducción de la deuda tomará más de lo previsto tras la crisis global, lo que privará a las generaciones futuras del espacio fiscal que tal vez necesiten para invertir en acciones climáticas o en la contención de amenazas a la seguridad.</w:t>
      </w:r>
    </w:p>
    <w:p w:rsidR="000711BB" w:rsidRPr="00F61398" w:rsidRDefault="000711BB" w:rsidP="000711BB">
      <w:pPr>
        <w:spacing w:line="240" w:lineRule="auto"/>
        <w:jc w:val="both"/>
        <w:rPr>
          <w:rFonts w:ascii="Times New Roman" w:hAnsi="Times New Roman" w:cs="Times New Roman"/>
          <w:sz w:val="24"/>
          <w:szCs w:val="24"/>
        </w:rPr>
      </w:pPr>
      <w:r w:rsidRPr="00AD2C88">
        <w:rPr>
          <w:rFonts w:ascii="Times New Roman" w:hAnsi="Times New Roman" w:cs="Times New Roman"/>
          <w:sz w:val="24"/>
          <w:szCs w:val="24"/>
          <w:u w:val="single"/>
        </w:rPr>
        <w:t>Otra forma de deuda son las pensiones futuras</w:t>
      </w:r>
      <w:r w:rsidRPr="00F61398">
        <w:rPr>
          <w:rFonts w:ascii="Times New Roman" w:hAnsi="Times New Roman" w:cs="Times New Roman"/>
          <w:sz w:val="24"/>
          <w:szCs w:val="24"/>
        </w:rPr>
        <w:t>. Los sistemas contributivos que aplican muchos países son inmensos esquemas de transferencia intergeneracional. Es cierto que todos aportan algo durante la carrera laboral antes de convertirse en receptores de una jubilación. En un estado estacionario ideal, los regímenes de pensiones no redistribuirían ingresos entre cohortes nacidas en diferentes momentos. En la jerga de los especialistas, serían generacionalmente neutros.</w:t>
      </w:r>
    </w:p>
    <w:p w:rsidR="000711BB" w:rsidRPr="00AD2C88" w:rsidRDefault="000711BB" w:rsidP="000711BB">
      <w:pPr>
        <w:spacing w:line="240" w:lineRule="auto"/>
        <w:jc w:val="both"/>
        <w:rPr>
          <w:rFonts w:ascii="Times New Roman" w:hAnsi="Times New Roman" w:cs="Times New Roman"/>
          <w:sz w:val="24"/>
          <w:szCs w:val="24"/>
          <w:u w:val="single"/>
        </w:rPr>
      </w:pPr>
      <w:r w:rsidRPr="00AD2C88">
        <w:rPr>
          <w:rFonts w:ascii="Times New Roman" w:hAnsi="Times New Roman" w:cs="Times New Roman"/>
          <w:sz w:val="24"/>
          <w:szCs w:val="24"/>
          <w:u w:val="single"/>
        </w:rPr>
        <w:lastRenderedPageBreak/>
        <w:t>Pero los baby boomers (los nacidos desde mediados de los cuarenta a mediados de los sesenta) aportaron poco a los esquemas contributivos, porque el crecimiento económico, el tamaño de la población y la corta expectativa de vida de sus padres facilitaban la financiación de las pensiones. Hoy todos esos factores se han invertido: el crecimiento se frenó, y los baby boomers son un peso demográfico adicional sobre sus hijos, con una expectativa de vida prolongada.</w:t>
      </w:r>
    </w:p>
    <w:p w:rsidR="000711BB" w:rsidRPr="00F61398" w:rsidRDefault="000711BB" w:rsidP="000711BB">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Los países que iniciaron reformas del sistema de pensiones antes pudieron limitar la carga resultante sobre los jóvenes y mantener cierta justicia intergeneracional. Pero los países que las postergaron dejaron a los jóvenes quedar en desventaja.</w:t>
      </w:r>
    </w:p>
    <w:p w:rsidR="000711BB" w:rsidRPr="000F7ACD" w:rsidRDefault="000711BB" w:rsidP="000711BB">
      <w:pPr>
        <w:spacing w:line="240" w:lineRule="auto"/>
        <w:jc w:val="both"/>
        <w:rPr>
          <w:rFonts w:ascii="Times New Roman" w:hAnsi="Times New Roman" w:cs="Times New Roman"/>
          <w:color w:val="FF0000"/>
          <w:sz w:val="24"/>
          <w:szCs w:val="24"/>
          <w:u w:val="single"/>
        </w:rPr>
      </w:pPr>
      <w:r w:rsidRPr="00AD2C88">
        <w:rPr>
          <w:rFonts w:ascii="Times New Roman" w:hAnsi="Times New Roman" w:cs="Times New Roman"/>
          <w:sz w:val="24"/>
          <w:szCs w:val="24"/>
          <w:u w:val="single"/>
        </w:rPr>
        <w:t>Pensemos por último en el mercado laboral</w:t>
      </w:r>
      <w:r w:rsidRPr="00F61398">
        <w:rPr>
          <w:rFonts w:ascii="Times New Roman" w:hAnsi="Times New Roman" w:cs="Times New Roman"/>
          <w:sz w:val="24"/>
          <w:szCs w:val="24"/>
        </w:rPr>
        <w:t xml:space="preserve">. </w:t>
      </w:r>
      <w:r w:rsidRPr="000F7ACD">
        <w:rPr>
          <w:rFonts w:ascii="Times New Roman" w:hAnsi="Times New Roman" w:cs="Times New Roman"/>
          <w:color w:val="FF0000"/>
          <w:sz w:val="24"/>
          <w:szCs w:val="24"/>
          <w:u w:val="single"/>
        </w:rPr>
        <w:t>A lo largo de la última década, las condiciones para los ingresantes han empeorado apreciablemente en muchos países. Los jóvenes “ni ni” (que ni estudian ni trabajan) hoy son 10,2 millones en Estados Unidos y 14 millones en la UE. Además, muchos de los que ingresaron al mercado hace poco han sufrido precariedad laboral y períodos reiterados de desempleo. En Europa continental, sobre todo, los trabajadores jóvenes son los primeros en sufrir las desaceleraciones económicas.</w:t>
      </w:r>
    </w:p>
    <w:p w:rsidR="000711BB" w:rsidRPr="00F61398" w:rsidRDefault="000711BB" w:rsidP="000711BB">
      <w:pPr>
        <w:spacing w:line="240" w:lineRule="auto"/>
        <w:jc w:val="both"/>
        <w:rPr>
          <w:rFonts w:ascii="Times New Roman" w:hAnsi="Times New Roman" w:cs="Times New Roman"/>
          <w:sz w:val="24"/>
          <w:szCs w:val="24"/>
        </w:rPr>
      </w:pPr>
      <w:r w:rsidRPr="000F7ACD">
        <w:rPr>
          <w:rFonts w:ascii="Times New Roman" w:hAnsi="Times New Roman" w:cs="Times New Roman"/>
          <w:color w:val="FF0000"/>
          <w:sz w:val="24"/>
          <w:szCs w:val="24"/>
          <w:u w:val="single"/>
        </w:rPr>
        <w:t>En todas estas cuestiones (el clima, la deuda, las pensiones y el empleo), cambios sucedidos a lo largo del último cuarto de siglo perjudicaron relativamente más a las generaciones jóvenes. Un símbolo elocuente es que a menudo la pobreza es mayor entre los jóvenes que entre los viejos.</w:t>
      </w:r>
      <w:r w:rsidRPr="000F7ACD">
        <w:rPr>
          <w:rFonts w:ascii="Times New Roman" w:hAnsi="Times New Roman" w:cs="Times New Roman"/>
          <w:color w:val="FF0000"/>
          <w:sz w:val="24"/>
          <w:szCs w:val="24"/>
        </w:rPr>
        <w:t xml:space="preserve"> </w:t>
      </w:r>
      <w:r w:rsidRPr="00F61398">
        <w:rPr>
          <w:rFonts w:ascii="Times New Roman" w:hAnsi="Times New Roman" w:cs="Times New Roman"/>
          <w:sz w:val="24"/>
          <w:szCs w:val="24"/>
        </w:rPr>
        <w:t>Esto debería ser un tema político prioritario, con importantes consecuencias para las finanzas públicas, la protección social, la política impositiva y la regulación del mercado laboral. Y que hace más fuerte el imperativo de revitalizar el crecimiento por medio de políticas que mejoren la productividad.</w:t>
      </w:r>
    </w:p>
    <w:p w:rsidR="000711BB" w:rsidRPr="000F7ACD" w:rsidRDefault="000711BB" w:rsidP="000711BB">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Pero la nueva brecha generacional ha tenido poco efecto político directo. Apenas se menciona en los debates electorales y generalmente no condujo a la aparición de nuevos partidos o movimientos. Donde sí se ve la divisoria generacional es en la participación electoral.</w:t>
      </w:r>
    </w:p>
    <w:p w:rsidR="000711BB" w:rsidRPr="000F7ACD" w:rsidRDefault="000711BB" w:rsidP="000711BB">
      <w:pPr>
        <w:spacing w:line="240" w:lineRule="auto"/>
        <w:jc w:val="both"/>
        <w:rPr>
          <w:rFonts w:ascii="Times New Roman" w:hAnsi="Times New Roman" w:cs="Times New Roman"/>
          <w:sz w:val="24"/>
          <w:szCs w:val="24"/>
          <w:u w:val="single"/>
        </w:rPr>
      </w:pPr>
      <w:r w:rsidRPr="000F7ACD">
        <w:rPr>
          <w:rFonts w:ascii="Times New Roman" w:hAnsi="Times New Roman" w:cs="Times New Roman"/>
          <w:color w:val="FF0000"/>
          <w:sz w:val="24"/>
          <w:szCs w:val="24"/>
          <w:u w:val="single"/>
        </w:rPr>
        <w:t>En las últimas elecciones legislativas en Estados Unidos, la tasa de participación de los ciudadanos más jóvenes fue menos de 20%, contra más del 50% de los votantes mayores. En otros países se observan tendencias similares</w:t>
      </w:r>
      <w:r w:rsidRPr="00F61398">
        <w:rPr>
          <w:rFonts w:ascii="Times New Roman" w:hAnsi="Times New Roman" w:cs="Times New Roman"/>
          <w:sz w:val="24"/>
          <w:szCs w:val="24"/>
        </w:rPr>
        <w:t xml:space="preserve">. </w:t>
      </w:r>
      <w:r w:rsidRPr="000F7ACD">
        <w:rPr>
          <w:rFonts w:ascii="Times New Roman" w:hAnsi="Times New Roman" w:cs="Times New Roman"/>
          <w:sz w:val="24"/>
          <w:szCs w:val="24"/>
          <w:u w:val="single"/>
        </w:rPr>
        <w:t>A pesar del aumento de la incertidumbre a la que se enfrentan, los ciudadanos más jóvenes están mucho más desconectados de la política electoral que sus padres y abuelos cuando tenían la misma edad.</w:t>
      </w:r>
    </w:p>
    <w:p w:rsidR="000711BB" w:rsidRPr="00F61398" w:rsidRDefault="000711BB" w:rsidP="000711BB">
      <w:pPr>
        <w:spacing w:line="240" w:lineRule="auto"/>
        <w:jc w:val="both"/>
        <w:rPr>
          <w:rFonts w:ascii="Times New Roman" w:hAnsi="Times New Roman" w:cs="Times New Roman"/>
          <w:sz w:val="24"/>
          <w:szCs w:val="24"/>
        </w:rPr>
      </w:pPr>
      <w:r w:rsidRPr="00F61398">
        <w:rPr>
          <w:rFonts w:ascii="Times New Roman" w:hAnsi="Times New Roman" w:cs="Times New Roman"/>
          <w:sz w:val="24"/>
          <w:szCs w:val="24"/>
        </w:rPr>
        <w:t>Esta brecha generacional en la participación electoral explica por qué los políticos se preocupan más por los mayores que por los jóvenes. Pero en sociedades que envejecen, cuanto más se abstengan los jóvenes de votar, más se alejarán de sus intereses las decisiones de parlamentos y gobiernos.</w:t>
      </w:r>
    </w:p>
    <w:p w:rsidR="000711BB" w:rsidRPr="000F7ACD" w:rsidRDefault="000711BB" w:rsidP="000711BB">
      <w:pPr>
        <w:spacing w:line="240" w:lineRule="auto"/>
        <w:jc w:val="both"/>
        <w:rPr>
          <w:rFonts w:ascii="Times New Roman" w:hAnsi="Times New Roman" w:cs="Times New Roman"/>
          <w:color w:val="FF0000"/>
          <w:sz w:val="24"/>
          <w:szCs w:val="24"/>
          <w:u w:val="single"/>
        </w:rPr>
      </w:pPr>
      <w:r w:rsidRPr="000F7ACD">
        <w:rPr>
          <w:rFonts w:ascii="Times New Roman" w:hAnsi="Times New Roman" w:cs="Times New Roman"/>
          <w:color w:val="FF0000"/>
          <w:sz w:val="24"/>
          <w:szCs w:val="24"/>
          <w:u w:val="single"/>
        </w:rPr>
        <w:t>Es verdad que en general, los padres no son egoístas, y ayudan a sus hijos con transferencias y subvenciones privadas. Pero solo aquellos que cuentan con ingresos y patrimonio suficiente pueden dar una ayuda significativa. El resultado de descuidar a los jóvenes colectivamente mientras se los ayuda privadamente es desigualdad social a gran escala.</w:t>
      </w:r>
    </w:p>
    <w:p w:rsidR="000711BB" w:rsidRPr="000F7ACD" w:rsidRDefault="000711BB" w:rsidP="000711BB">
      <w:pPr>
        <w:spacing w:line="240" w:lineRule="auto"/>
        <w:jc w:val="both"/>
        <w:rPr>
          <w:rFonts w:ascii="Times New Roman" w:hAnsi="Times New Roman" w:cs="Times New Roman"/>
          <w:sz w:val="24"/>
          <w:szCs w:val="24"/>
          <w:u w:val="single"/>
        </w:rPr>
      </w:pPr>
      <w:r w:rsidRPr="000F7ACD">
        <w:rPr>
          <w:rFonts w:ascii="Times New Roman" w:hAnsi="Times New Roman" w:cs="Times New Roman"/>
          <w:sz w:val="24"/>
          <w:szCs w:val="24"/>
          <w:u w:val="single"/>
        </w:rPr>
        <w:t xml:space="preserve">Corregir los sesgos generacionales del sistema político es una cuestión clave para todas las democracias. Soluciones hay: por ejemplo el voto obligatorio, la limitación de </w:t>
      </w:r>
      <w:r w:rsidRPr="000F7ACD">
        <w:rPr>
          <w:rFonts w:ascii="Times New Roman" w:hAnsi="Times New Roman" w:cs="Times New Roman"/>
          <w:sz w:val="24"/>
          <w:szCs w:val="24"/>
          <w:u w:val="single"/>
        </w:rPr>
        <w:lastRenderedPageBreak/>
        <w:t>mandatos de los funcionarios electos y la formación de parlamentos juveniles u otros organismos especiales abocados a examinar cuestiones intergeneracionales. Pero tales medidas son difíciles de implementar o insuficientemente efectivas en vista de la magnitud de los desafíos.</w:t>
      </w:r>
    </w:p>
    <w:p w:rsidR="000711BB" w:rsidRPr="000F7ACD" w:rsidRDefault="000711BB" w:rsidP="000711BB">
      <w:pPr>
        <w:spacing w:line="240" w:lineRule="auto"/>
        <w:jc w:val="both"/>
        <w:rPr>
          <w:rFonts w:ascii="Times New Roman" w:hAnsi="Times New Roman" w:cs="Times New Roman"/>
          <w:color w:val="FF0000"/>
          <w:sz w:val="24"/>
          <w:szCs w:val="24"/>
          <w:u w:val="single"/>
        </w:rPr>
      </w:pPr>
      <w:r w:rsidRPr="000F7ACD">
        <w:rPr>
          <w:rFonts w:ascii="Times New Roman" w:hAnsi="Times New Roman" w:cs="Times New Roman"/>
          <w:color w:val="FF0000"/>
          <w:sz w:val="24"/>
          <w:szCs w:val="24"/>
          <w:u w:val="single"/>
        </w:rPr>
        <w:t>Está claro que las tendencias actuales son política y socialmente insostenibles. Lo que no está claro es cómo y cuándo los jóvenes se darán cuenta y harán oír su voz.</w:t>
      </w:r>
    </w:p>
    <w:p w:rsidR="000711BB"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(Jean Pisani-Ferry is a professor at the Hertie School of Governance in Berlin, and currently serves as Commissioner-General of France Stratégie, a policy advisory institution in Paris)</w:t>
      </w:r>
    </w:p>
    <w:p w:rsidR="000711BB" w:rsidRPr="001D4F82"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D4F82">
        <w:rPr>
          <w:rFonts w:ascii="Times New Roman" w:hAnsi="Times New Roman" w:cs="Times New Roman"/>
          <w:sz w:val="24"/>
          <w:szCs w:val="24"/>
        </w:rPr>
        <w:t>¿</w:t>
      </w:r>
      <w:r w:rsidRPr="001D4F82">
        <w:rPr>
          <w:rFonts w:ascii="Times New Roman" w:hAnsi="Times New Roman" w:cs="Times New Roman"/>
          <w:sz w:val="24"/>
          <w:szCs w:val="24"/>
          <w:u w:val="single"/>
        </w:rPr>
        <w:t>El fin de la nueva normalidad</w:t>
      </w:r>
      <w:r w:rsidRPr="001D4F82">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1D4F82">
        <w:rPr>
          <w:rFonts w:ascii="Times New Roman" w:hAnsi="Times New Roman" w:cs="Times New Roman"/>
          <w:b/>
          <w:sz w:val="24"/>
          <w:szCs w:val="24"/>
        </w:rPr>
        <w:t>2/2/16</w:t>
      </w:r>
      <w:r>
        <w:rPr>
          <w:rFonts w:ascii="Times New Roman" w:hAnsi="Times New Roman" w:cs="Times New Roman"/>
          <w:sz w:val="24"/>
          <w:szCs w:val="24"/>
        </w:rPr>
        <w:t>)</w:t>
      </w:r>
    </w:p>
    <w:p w:rsidR="000711BB" w:rsidRPr="00E34F8E" w:rsidRDefault="000711BB" w:rsidP="000711BB">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Washington, DC.-</w:t>
      </w:r>
      <w:r w:rsidRPr="001D4F82">
        <w:rPr>
          <w:rFonts w:ascii="Times New Roman" w:hAnsi="Times New Roman" w:cs="Times New Roman"/>
          <w:sz w:val="24"/>
          <w:szCs w:val="24"/>
        </w:rPr>
        <w:t xml:space="preserve"> </w:t>
      </w:r>
      <w:r w:rsidRPr="00E34F8E">
        <w:rPr>
          <w:rFonts w:ascii="Times New Roman" w:hAnsi="Times New Roman" w:cs="Times New Roman"/>
          <w:color w:val="FF0000"/>
          <w:sz w:val="24"/>
          <w:szCs w:val="24"/>
          <w:u w:val="single"/>
        </w:rPr>
        <w:t>Justo cuando comienza a ganar aceptación general la noción de que las economías occidentales entran en una “nueva normalidad” de bajos índices de crecimiento, comienzan a surgir dudas sobre su continuidad. En lugar de ello, puede que el mundo se encamine hacia una encrucijada económica y financiera cuya dirección dependa de las decisiones de políticas clave que se adopten.</w:t>
      </w:r>
    </w:p>
    <w:p w:rsidR="000711BB" w:rsidRPr="001D4F82" w:rsidRDefault="000711BB" w:rsidP="000711BB">
      <w:pPr>
        <w:spacing w:line="240" w:lineRule="auto"/>
        <w:jc w:val="both"/>
        <w:rPr>
          <w:rFonts w:ascii="Times New Roman" w:hAnsi="Times New Roman" w:cs="Times New Roman"/>
          <w:sz w:val="24"/>
          <w:szCs w:val="24"/>
        </w:rPr>
      </w:pPr>
      <w:r w:rsidRPr="00E34F8E">
        <w:rPr>
          <w:rFonts w:ascii="Times New Roman" w:hAnsi="Times New Roman" w:cs="Times New Roman"/>
          <w:sz w:val="24"/>
          <w:szCs w:val="24"/>
          <w:u w:val="single"/>
        </w:rPr>
        <w:t>A principios de 2009, prácticamente nadie hablaba de la “nueva normalidad”.</w:t>
      </w:r>
      <w:r w:rsidRPr="001D4F82">
        <w:rPr>
          <w:rFonts w:ascii="Times New Roman" w:hAnsi="Times New Roman" w:cs="Times New Roman"/>
          <w:sz w:val="24"/>
          <w:szCs w:val="24"/>
        </w:rPr>
        <w:t xml:space="preserve"> Por supuesto, la crisis financiera global que había estallado hacía unos cuantos meses generó caos en todo el mundo, contracción de la producción, aumento del desempleo y el colapso del comercio. La disfunción era evidente incluso en los segmentos más estables y sofisticados de los mercados financieros.</w:t>
      </w:r>
    </w:p>
    <w:p w:rsidR="000711BB" w:rsidRPr="001D4F82" w:rsidRDefault="000711BB" w:rsidP="000711BB">
      <w:pPr>
        <w:spacing w:line="240" w:lineRule="auto"/>
        <w:jc w:val="both"/>
        <w:rPr>
          <w:rFonts w:ascii="Times New Roman" w:hAnsi="Times New Roman" w:cs="Times New Roman"/>
          <w:sz w:val="24"/>
          <w:szCs w:val="24"/>
        </w:rPr>
      </w:pPr>
      <w:r w:rsidRPr="00E34F8E">
        <w:rPr>
          <w:rFonts w:ascii="Times New Roman" w:hAnsi="Times New Roman" w:cs="Times New Roman"/>
          <w:sz w:val="24"/>
          <w:szCs w:val="24"/>
          <w:u w:val="single"/>
        </w:rPr>
        <w:t>Sin embargo, el instinto de la mayoría de la gente tendió a caracterizar el shock como temporal y reversible, una alteración en forma de V con una aguda caída y una recuperación rápida.</w:t>
      </w:r>
      <w:r w:rsidRPr="001D4F82">
        <w:rPr>
          <w:rFonts w:ascii="Times New Roman" w:hAnsi="Times New Roman" w:cs="Times New Roman"/>
          <w:sz w:val="24"/>
          <w:szCs w:val="24"/>
        </w:rPr>
        <w:t xml:space="preserve"> Después de todo, la crisis se había originado en las economías avanzadas, habituadas a manejarse con ciclos de negocios, y no en los mercados de los países emergentes, donde predominan fuerzas estructurales y seculares.</w:t>
      </w:r>
    </w:p>
    <w:p w:rsidR="000711BB" w:rsidRPr="00E34F8E" w:rsidRDefault="000711BB" w:rsidP="000711BB">
      <w:pPr>
        <w:spacing w:line="240" w:lineRule="auto"/>
        <w:jc w:val="both"/>
        <w:rPr>
          <w:rFonts w:ascii="Times New Roman" w:hAnsi="Times New Roman" w:cs="Times New Roman"/>
          <w:color w:val="FF0000"/>
          <w:sz w:val="24"/>
          <w:szCs w:val="24"/>
          <w:u w:val="single"/>
        </w:rPr>
      </w:pPr>
      <w:r w:rsidRPr="00E34F8E">
        <w:rPr>
          <w:rFonts w:ascii="Times New Roman" w:hAnsi="Times New Roman" w:cs="Times New Roman"/>
          <w:sz w:val="24"/>
          <w:szCs w:val="24"/>
          <w:u w:val="single"/>
        </w:rPr>
        <w:t xml:space="preserve">Pero la mayoría de los observadores ya vieron signos de que tendría consecuencias más profundas y que las economías avanzadas se enquistarían en una frustrante e inusual trayectoria de bajo crecimiento. </w:t>
      </w:r>
      <w:r w:rsidRPr="00E34F8E">
        <w:rPr>
          <w:rFonts w:ascii="Times New Roman" w:hAnsi="Times New Roman" w:cs="Times New Roman"/>
          <w:color w:val="FF0000"/>
          <w:sz w:val="24"/>
          <w:szCs w:val="24"/>
          <w:u w:val="single"/>
        </w:rPr>
        <w:t>En mayo de 2009, mis colegas de PIMCO y yo hicimos pública esta hipótesis, llamándola la “nueva normalidad”.</w:t>
      </w:r>
    </w:p>
    <w:p w:rsidR="000711BB" w:rsidRPr="00E34F8E" w:rsidRDefault="000711BB" w:rsidP="000711BB">
      <w:pPr>
        <w:spacing w:line="240" w:lineRule="auto"/>
        <w:jc w:val="both"/>
        <w:rPr>
          <w:rFonts w:ascii="Times New Roman" w:hAnsi="Times New Roman" w:cs="Times New Roman"/>
          <w:color w:val="FF0000"/>
          <w:sz w:val="24"/>
          <w:szCs w:val="24"/>
          <w:u w:val="single"/>
        </w:rPr>
      </w:pPr>
      <w:r w:rsidRPr="00E34F8E">
        <w:rPr>
          <w:rFonts w:ascii="Times New Roman" w:hAnsi="Times New Roman" w:cs="Times New Roman"/>
          <w:sz w:val="24"/>
          <w:szCs w:val="24"/>
          <w:u w:val="single"/>
        </w:rPr>
        <w:t>El concepto tuvo una recepción más bien gélida en los círculos académicos y políticos, respuesta comprensible si se considera el fuerte condicionamiento a pensar y actuar cíclicamente</w:t>
      </w:r>
      <w:r w:rsidRPr="001D4F82">
        <w:rPr>
          <w:rFonts w:ascii="Times New Roman" w:hAnsi="Times New Roman" w:cs="Times New Roman"/>
          <w:sz w:val="24"/>
          <w:szCs w:val="24"/>
        </w:rPr>
        <w:t xml:space="preserve">. </w:t>
      </w:r>
      <w:r w:rsidRPr="00E34F8E">
        <w:rPr>
          <w:rFonts w:ascii="Times New Roman" w:hAnsi="Times New Roman" w:cs="Times New Roman"/>
          <w:color w:val="FF0000"/>
          <w:sz w:val="24"/>
          <w:szCs w:val="24"/>
          <w:u w:val="single"/>
        </w:rPr>
        <w:t>Pocos estaban preparados para admitir que las economías avanzadas lo habían apostado todo al modelo equivocado, y mucho menos que deberían dirigir la mirada hacia las economías emergentes para tener mejores perspectivas sobre los impedimentos estructurales al crecimiento, como el sobreendeudamiento y el exceso de la desigualdad.</w:t>
      </w:r>
    </w:p>
    <w:p w:rsidR="000711BB" w:rsidRPr="00E34F8E" w:rsidRDefault="000711BB" w:rsidP="000711BB">
      <w:pPr>
        <w:spacing w:line="240" w:lineRule="auto"/>
        <w:jc w:val="both"/>
        <w:rPr>
          <w:rFonts w:ascii="Times New Roman" w:hAnsi="Times New Roman" w:cs="Times New Roman"/>
          <w:color w:val="FF0000"/>
          <w:sz w:val="24"/>
          <w:szCs w:val="24"/>
          <w:u w:val="single"/>
        </w:rPr>
      </w:pPr>
      <w:r w:rsidRPr="00E34F8E">
        <w:rPr>
          <w:rFonts w:ascii="Times New Roman" w:hAnsi="Times New Roman" w:cs="Times New Roman"/>
          <w:color w:val="FF0000"/>
          <w:sz w:val="24"/>
          <w:szCs w:val="24"/>
          <w:u w:val="single"/>
        </w:rPr>
        <w:t>Pero la economía no se recuperaba. Por el contrario, el lento crecimiento y el alto desempleo no sólo persistieron por años, sino que también empeoraron los tres factores de la desigualdad (ingreso, riqueza y oportunidades). Las consecuencias se extendieron mucho más allá de la economía y las finanzas, afectando los acuerdos políticos regionales, amplificando las disfunciones políticas nacionales y alimentando a los partidos y movimientos antisistema.</w:t>
      </w:r>
    </w:p>
    <w:p w:rsidR="000711BB" w:rsidRPr="001D4F82" w:rsidRDefault="000711BB" w:rsidP="000711BB">
      <w:pPr>
        <w:spacing w:line="240" w:lineRule="auto"/>
        <w:jc w:val="both"/>
        <w:rPr>
          <w:rFonts w:ascii="Times New Roman" w:hAnsi="Times New Roman" w:cs="Times New Roman"/>
          <w:sz w:val="24"/>
          <w:szCs w:val="24"/>
        </w:rPr>
      </w:pPr>
      <w:r w:rsidRPr="00E34F8E">
        <w:rPr>
          <w:rFonts w:ascii="Times New Roman" w:hAnsi="Times New Roman" w:cs="Times New Roman"/>
          <w:b/>
          <w:color w:val="FF0000"/>
          <w:sz w:val="24"/>
          <w:szCs w:val="24"/>
          <w:u w:val="single"/>
        </w:rPr>
        <w:lastRenderedPageBreak/>
        <w:t>Puesto que se hace cada vez más difícil justificar la expectativa de una recuperación en V, finalmente la “nueva normalidad” ha ido ganando una aceptación generalizada</w:t>
      </w:r>
      <w:r w:rsidRPr="001D4F82">
        <w:rPr>
          <w:rFonts w:ascii="Times New Roman" w:hAnsi="Times New Roman" w:cs="Times New Roman"/>
          <w:sz w:val="24"/>
          <w:szCs w:val="24"/>
        </w:rPr>
        <w:t xml:space="preserve">. En el proceso, adquirió algunos nuevos calificativos. La Directora Gerente del Fondo Monetario Internacional, </w:t>
      </w:r>
      <w:r w:rsidRPr="00E34F8E">
        <w:rPr>
          <w:rFonts w:ascii="Times New Roman" w:hAnsi="Times New Roman" w:cs="Times New Roman"/>
          <w:color w:val="FF0000"/>
          <w:sz w:val="24"/>
          <w:szCs w:val="24"/>
        </w:rPr>
        <w:t>Christine Lagarde</w:t>
      </w:r>
      <w:r w:rsidRPr="001D4F82">
        <w:rPr>
          <w:rFonts w:ascii="Times New Roman" w:hAnsi="Times New Roman" w:cs="Times New Roman"/>
          <w:sz w:val="24"/>
          <w:szCs w:val="24"/>
        </w:rPr>
        <w:t>, advirtió en octubre de 2014 que las economías avanzadas se enfrentaban a una “</w:t>
      </w:r>
      <w:r w:rsidRPr="00E34F8E">
        <w:rPr>
          <w:rFonts w:ascii="Times New Roman" w:hAnsi="Times New Roman" w:cs="Times New Roman"/>
          <w:color w:val="FF0000"/>
          <w:sz w:val="24"/>
          <w:szCs w:val="24"/>
        </w:rPr>
        <w:t>nueva mediocridad.</w:t>
      </w:r>
      <w:r w:rsidRPr="001D4F82">
        <w:rPr>
          <w:rFonts w:ascii="Times New Roman" w:hAnsi="Times New Roman" w:cs="Times New Roman"/>
          <w:sz w:val="24"/>
          <w:szCs w:val="24"/>
        </w:rPr>
        <w:t>” El</w:t>
      </w:r>
      <w:r w:rsidR="00A21D27">
        <w:rPr>
          <w:rFonts w:ascii="Times New Roman" w:hAnsi="Times New Roman" w:cs="Times New Roman"/>
          <w:sz w:val="24"/>
          <w:szCs w:val="24"/>
        </w:rPr>
        <w:t xml:space="preserve"> ex Secretario del Tesoro de EEUU</w:t>
      </w:r>
      <w:r w:rsidRPr="001D4F82">
        <w:rPr>
          <w:rFonts w:ascii="Times New Roman" w:hAnsi="Times New Roman" w:cs="Times New Roman"/>
          <w:sz w:val="24"/>
          <w:szCs w:val="24"/>
        </w:rPr>
        <w:t xml:space="preserve"> </w:t>
      </w:r>
      <w:r w:rsidRPr="00E34F8E">
        <w:rPr>
          <w:rFonts w:ascii="Times New Roman" w:hAnsi="Times New Roman" w:cs="Times New Roman"/>
          <w:color w:val="FF0000"/>
          <w:sz w:val="24"/>
          <w:szCs w:val="24"/>
        </w:rPr>
        <w:t xml:space="preserve">Larry Summers </w:t>
      </w:r>
      <w:r w:rsidRPr="001D4F82">
        <w:rPr>
          <w:rFonts w:ascii="Times New Roman" w:hAnsi="Times New Roman" w:cs="Times New Roman"/>
          <w:sz w:val="24"/>
          <w:szCs w:val="24"/>
        </w:rPr>
        <w:t>previó una era de “</w:t>
      </w:r>
      <w:r w:rsidRPr="00E34F8E">
        <w:rPr>
          <w:rFonts w:ascii="Times New Roman" w:hAnsi="Times New Roman" w:cs="Times New Roman"/>
          <w:color w:val="FF0000"/>
          <w:sz w:val="24"/>
          <w:szCs w:val="24"/>
        </w:rPr>
        <w:t>estancamiento secular</w:t>
      </w:r>
      <w:r w:rsidRPr="001D4F82">
        <w:rPr>
          <w:rFonts w:ascii="Times New Roman" w:hAnsi="Times New Roman" w:cs="Times New Roman"/>
          <w:sz w:val="24"/>
          <w:szCs w:val="24"/>
        </w:rPr>
        <w:t>.”</w:t>
      </w:r>
    </w:p>
    <w:p w:rsidR="000711BB" w:rsidRPr="00E34F8E" w:rsidRDefault="000711BB" w:rsidP="000711BB">
      <w:pPr>
        <w:spacing w:line="240" w:lineRule="auto"/>
        <w:jc w:val="both"/>
        <w:rPr>
          <w:rFonts w:ascii="Times New Roman" w:hAnsi="Times New Roman" w:cs="Times New Roman"/>
          <w:sz w:val="24"/>
          <w:szCs w:val="24"/>
          <w:u w:val="single"/>
        </w:rPr>
      </w:pPr>
      <w:r w:rsidRPr="00E34F8E">
        <w:rPr>
          <w:rFonts w:ascii="Times New Roman" w:hAnsi="Times New Roman" w:cs="Times New Roman"/>
          <w:sz w:val="24"/>
          <w:szCs w:val="24"/>
          <w:u w:val="single"/>
        </w:rPr>
        <w:t>Hoy ya no es inusual sugerir que Occidente podría permanecer en un equilibrio de crecimiento de bajo nivel por un periodo inusualmente largo. Sin embargo, como explico en mi libro The Only Game in Town: Central Banks, Instability, and Avoiding the Next Collapse (</w:t>
      </w:r>
      <w:r w:rsidRPr="00E34F8E">
        <w:rPr>
          <w:rFonts w:ascii="Times New Roman" w:hAnsi="Times New Roman" w:cs="Times New Roman"/>
          <w:color w:val="FF0000"/>
          <w:sz w:val="24"/>
          <w:szCs w:val="24"/>
          <w:u w:val="single"/>
        </w:rPr>
        <w:t>La única apuesta: los bancos centrales, la inestabilidad y la necesidad de evitar el próximo colapso</w:t>
      </w:r>
      <w:r w:rsidRPr="00E34F8E">
        <w:rPr>
          <w:rFonts w:ascii="Times New Roman" w:hAnsi="Times New Roman" w:cs="Times New Roman"/>
          <w:sz w:val="24"/>
          <w:szCs w:val="24"/>
          <w:u w:val="single"/>
        </w:rPr>
        <w:t>), ese equilibrio se está desestabilizando por las crecientes tensiones y contradicciones internas, junto con la excesiva dependencia en las políticas monetarias.</w:t>
      </w:r>
    </w:p>
    <w:p w:rsidR="000711BB" w:rsidRPr="00E34F8E" w:rsidRDefault="000711BB" w:rsidP="000711BB">
      <w:pPr>
        <w:spacing w:line="240" w:lineRule="auto"/>
        <w:jc w:val="both"/>
        <w:rPr>
          <w:rFonts w:ascii="Times New Roman" w:hAnsi="Times New Roman" w:cs="Times New Roman"/>
          <w:b/>
          <w:color w:val="FF0000"/>
          <w:sz w:val="24"/>
          <w:szCs w:val="24"/>
          <w:u w:val="single"/>
        </w:rPr>
      </w:pPr>
      <w:r w:rsidRPr="00E34F8E">
        <w:rPr>
          <w:rFonts w:ascii="Times New Roman" w:hAnsi="Times New Roman" w:cs="Times New Roman"/>
          <w:color w:val="FF0000"/>
          <w:sz w:val="24"/>
          <w:szCs w:val="24"/>
          <w:u w:val="single"/>
        </w:rPr>
        <w:t xml:space="preserve">De hecho, la influencia paliativa de las políticas monetarias no convencionales está llegando a sus límites por el aumento de las burbujas financieras, el empeoramiento de la desigualdad y el empuje que han ido ganando las fuerzas políticas no tradicionales (y, en algunos casos, extremas). Parecen cada vez más débiles las perspectivas de que esas políticas sean capaces de mantener en marcha los motores de la economía, incluso en niveles bajos. En lugar de ello, </w:t>
      </w:r>
      <w:r w:rsidRPr="00E34F8E">
        <w:rPr>
          <w:rFonts w:ascii="Times New Roman" w:hAnsi="Times New Roman" w:cs="Times New Roman"/>
          <w:b/>
          <w:color w:val="FF0000"/>
          <w:sz w:val="24"/>
          <w:szCs w:val="24"/>
          <w:u w:val="single"/>
        </w:rPr>
        <w:t>la economía mundial parece encaminarse a otras encrucijadas, situación que creo se alcanzará dentro de los próximos tres años.</w:t>
      </w:r>
    </w:p>
    <w:p w:rsidR="000711BB" w:rsidRPr="001D4F82" w:rsidRDefault="000711BB" w:rsidP="000711BB">
      <w:pPr>
        <w:spacing w:line="240" w:lineRule="auto"/>
        <w:jc w:val="both"/>
        <w:rPr>
          <w:rFonts w:ascii="Times New Roman" w:hAnsi="Times New Roman" w:cs="Times New Roman"/>
          <w:sz w:val="24"/>
          <w:szCs w:val="24"/>
        </w:rPr>
      </w:pPr>
      <w:r w:rsidRPr="00E34F8E">
        <w:rPr>
          <w:rFonts w:ascii="Times New Roman" w:hAnsi="Times New Roman" w:cs="Times New Roman"/>
          <w:sz w:val="24"/>
          <w:szCs w:val="24"/>
          <w:u w:val="single"/>
        </w:rPr>
        <w:t>Tal vez no sea un panorama indeseable. Si las autoridades ponen en práctica una respuesta más amplia, pueden hacer que sus economías sigan un camino más estable y próspero que implique un crecimiento alto e inclusivo, la reducción de la desigualdad y una genuina estabilidad financiera. Sería una respuesta que incluya reformas estructurales de fomento al crecimiento (como una mayor inversión en infraestructura, una reforma tributaria y la reorientación del mercado laboral), una política fiscal con mayor capacidad de respuesta, alivio a los focos de endeudamiento excesivo y una mejor coordinación global.</w:t>
      </w:r>
      <w:r w:rsidRPr="001D4F82">
        <w:rPr>
          <w:rFonts w:ascii="Times New Roman" w:hAnsi="Times New Roman" w:cs="Times New Roman"/>
          <w:sz w:val="24"/>
          <w:szCs w:val="24"/>
        </w:rPr>
        <w:t xml:space="preserve"> Todo ello, en conjunto con las innovaciones tecnológicas y la disposición de fondos corporativos que se encuentran en segundo plano, podría dar impulso a la capacidad productiva y generar un crecimiento más rápido e inclusivo, al tiempo que se validan los precios de los activos, que hoy están en niveles artificialmente altos.</w:t>
      </w:r>
    </w:p>
    <w:p w:rsidR="000711BB" w:rsidRPr="00E34F8E" w:rsidRDefault="000711BB" w:rsidP="000711BB">
      <w:pPr>
        <w:spacing w:line="240" w:lineRule="auto"/>
        <w:jc w:val="both"/>
        <w:rPr>
          <w:rFonts w:ascii="Times New Roman" w:hAnsi="Times New Roman" w:cs="Times New Roman"/>
          <w:sz w:val="24"/>
          <w:szCs w:val="24"/>
          <w:u w:val="single"/>
        </w:rPr>
      </w:pPr>
      <w:r w:rsidRPr="00E34F8E">
        <w:rPr>
          <w:rFonts w:ascii="Times New Roman" w:hAnsi="Times New Roman" w:cs="Times New Roman"/>
          <w:sz w:val="24"/>
          <w:szCs w:val="24"/>
          <w:u w:val="single"/>
        </w:rPr>
        <w:t>El otro camino al que el mundo se vería empujado si se sigue con la actual disfunción política llevaría a una multitud de políticas localistas y sin coordinación entre sí para hacer frente a la recesión económica, la mayor desigualdad y la grave inestabilidad financiera. Además de afectar el bienestar económico de las generaciones actuales y futuras, este resultado socavaría la cohesión social y política.</w:t>
      </w:r>
    </w:p>
    <w:p w:rsidR="000711BB" w:rsidRPr="001D4F82" w:rsidRDefault="000711BB" w:rsidP="000711BB">
      <w:pPr>
        <w:spacing w:line="240" w:lineRule="auto"/>
        <w:jc w:val="both"/>
        <w:rPr>
          <w:rFonts w:ascii="Times New Roman" w:hAnsi="Times New Roman" w:cs="Times New Roman"/>
          <w:sz w:val="24"/>
          <w:szCs w:val="24"/>
        </w:rPr>
      </w:pPr>
      <w:r w:rsidRPr="001D4F82">
        <w:rPr>
          <w:rFonts w:ascii="Times New Roman" w:hAnsi="Times New Roman" w:cs="Times New Roman"/>
          <w:sz w:val="24"/>
          <w:szCs w:val="24"/>
        </w:rPr>
        <w:t xml:space="preserve">No hay nada predestinado en la manera en que se adopte una u otra opción. En realidad, </w:t>
      </w:r>
      <w:r w:rsidRPr="00E34F8E">
        <w:rPr>
          <w:rFonts w:ascii="Times New Roman" w:hAnsi="Times New Roman" w:cs="Times New Roman"/>
          <w:sz w:val="24"/>
          <w:szCs w:val="24"/>
          <w:u w:val="single"/>
        </w:rPr>
        <w:t>tal como están las cosas, es frustrante la dificultad que existe para predecirlo</w:t>
      </w:r>
      <w:r w:rsidRPr="001D4F82">
        <w:rPr>
          <w:rFonts w:ascii="Times New Roman" w:hAnsi="Times New Roman" w:cs="Times New Roman"/>
          <w:sz w:val="24"/>
          <w:szCs w:val="24"/>
        </w:rPr>
        <w:t>. Pero en los meses venideros, a medida que las autoridades se enfrenten a una cada vez mayor volatilidad financiera, veremos algunas señales de cómo se irá desenvolviendo la situación.</w:t>
      </w:r>
    </w:p>
    <w:p w:rsidR="000711BB" w:rsidRPr="00E34F8E" w:rsidRDefault="000711BB" w:rsidP="000711BB">
      <w:pPr>
        <w:spacing w:line="240" w:lineRule="auto"/>
        <w:jc w:val="both"/>
        <w:rPr>
          <w:rFonts w:ascii="Times New Roman" w:hAnsi="Times New Roman" w:cs="Times New Roman"/>
          <w:color w:val="FF0000"/>
          <w:sz w:val="24"/>
          <w:szCs w:val="24"/>
          <w:u w:val="single"/>
        </w:rPr>
      </w:pPr>
      <w:r w:rsidRPr="00E34F8E">
        <w:rPr>
          <w:rFonts w:ascii="Times New Roman" w:hAnsi="Times New Roman" w:cs="Times New Roman"/>
          <w:color w:val="FF0000"/>
          <w:sz w:val="24"/>
          <w:szCs w:val="24"/>
          <w:u w:val="single"/>
        </w:rPr>
        <w:t xml:space="preserve">La esperanza es que apunten a medidas más sistemáticas y, por ende, eficaces. El temor es que no logren salir de una excesiva dependencia en los bancos centrales y acabemos </w:t>
      </w:r>
      <w:r w:rsidRPr="00E34F8E">
        <w:rPr>
          <w:rFonts w:ascii="Times New Roman" w:hAnsi="Times New Roman" w:cs="Times New Roman"/>
          <w:color w:val="FF0000"/>
          <w:sz w:val="24"/>
          <w:szCs w:val="24"/>
          <w:u w:val="single"/>
        </w:rPr>
        <w:lastRenderedPageBreak/>
        <w:t>por mirar, en retrospectiva, al periodo de la nueva normalidad como uno de relativa calma y bienestar, a pesar de sus limitaciones y frustraciones.</w:t>
      </w:r>
    </w:p>
    <w:p w:rsidR="000711BB"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 xml:space="preserve">(Mohamed A. El-Erian, Chief Economic Adviser at Allianz and a member of its International Executive Committee, is Chairman of US President Barack Obama’s Global Development Council. He previously served as CEO and co-Chief Investment Officer of PIMCO. He was named one of </w:t>
      </w:r>
      <w:r>
        <w:rPr>
          <w:rFonts w:ascii="Times New Roman" w:hAnsi="Times New Roman" w:cs="Times New Roman"/>
          <w:sz w:val="24"/>
          <w:szCs w:val="24"/>
          <w:lang w:val="en-US"/>
        </w:rPr>
        <w:t>Foreign Policy's Top 100 Glob…)</w:t>
      </w:r>
    </w:p>
    <w:p w:rsidR="000711BB" w:rsidRPr="00F0579C"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0579C">
        <w:rPr>
          <w:rFonts w:ascii="Times New Roman" w:hAnsi="Times New Roman" w:cs="Times New Roman"/>
          <w:sz w:val="24"/>
          <w:szCs w:val="24"/>
          <w:u w:val="single"/>
        </w:rPr>
        <w:t>La nueva anormalidad de la economía mundial</w:t>
      </w:r>
      <w:r>
        <w:rPr>
          <w:rFonts w:ascii="Times New Roman" w:hAnsi="Times New Roman" w:cs="Times New Roman"/>
          <w:sz w:val="24"/>
          <w:szCs w:val="24"/>
        </w:rPr>
        <w:t xml:space="preserve"> (Project Syndicate - </w:t>
      </w:r>
      <w:r w:rsidRPr="00F0579C">
        <w:rPr>
          <w:rFonts w:ascii="Times New Roman" w:hAnsi="Times New Roman" w:cs="Times New Roman"/>
          <w:b/>
          <w:sz w:val="24"/>
          <w:szCs w:val="24"/>
        </w:rPr>
        <w:t>4/2/16</w:t>
      </w:r>
      <w:r>
        <w:rPr>
          <w:rFonts w:ascii="Times New Roman" w:hAnsi="Times New Roman" w:cs="Times New Roman"/>
          <w:sz w:val="24"/>
          <w:szCs w:val="24"/>
        </w:rPr>
        <w:t>)</w:t>
      </w:r>
    </w:p>
    <w:p w:rsidR="000711BB" w:rsidRPr="00F0579C"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Nueva York.-</w:t>
      </w:r>
      <w:r w:rsidRPr="00F0579C">
        <w:rPr>
          <w:rFonts w:ascii="Times New Roman" w:hAnsi="Times New Roman" w:cs="Times New Roman"/>
          <w:sz w:val="24"/>
          <w:szCs w:val="24"/>
        </w:rPr>
        <w:t xml:space="preserve"> </w:t>
      </w:r>
      <w:r w:rsidRPr="00A165AF">
        <w:rPr>
          <w:rFonts w:ascii="Times New Roman" w:hAnsi="Times New Roman" w:cs="Times New Roman"/>
          <w:color w:val="FF0000"/>
          <w:sz w:val="24"/>
          <w:szCs w:val="24"/>
          <w:u w:val="single"/>
        </w:rPr>
        <w:t>Desde principios de este año, la economía mundial enfrenta un nuevo período de intensa volatilidad en los mercados financieros, marcado por la brusca caída de los precios de las acciones y otros activos riesgosos</w:t>
      </w:r>
      <w:r w:rsidRPr="00F0579C">
        <w:rPr>
          <w:rFonts w:ascii="Times New Roman" w:hAnsi="Times New Roman" w:cs="Times New Roman"/>
          <w:sz w:val="24"/>
          <w:szCs w:val="24"/>
        </w:rPr>
        <w:t>. Son diversos los factores en juego: la preocupación por un aterrizaje forzoso de la economía china y el posible decaimiento del crecimiento en Estados Unidos en un momento en que la Fed ha comenzado a elevar las tasas de interés, los temores por la escalada en el confli</w:t>
      </w:r>
      <w:r>
        <w:rPr>
          <w:rFonts w:ascii="Times New Roman" w:hAnsi="Times New Roman" w:cs="Times New Roman"/>
          <w:sz w:val="24"/>
          <w:szCs w:val="24"/>
        </w:rPr>
        <w:t>cto saudí-iraní, y las señales -</w:t>
      </w:r>
      <w:r w:rsidRPr="00F0579C">
        <w:rPr>
          <w:rFonts w:ascii="Times New Roman" w:hAnsi="Times New Roman" w:cs="Times New Roman"/>
          <w:sz w:val="24"/>
          <w:szCs w:val="24"/>
        </w:rPr>
        <w:t>principalmente el desplome de los precios del</w:t>
      </w:r>
      <w:r>
        <w:rPr>
          <w:rFonts w:ascii="Times New Roman" w:hAnsi="Times New Roman" w:cs="Times New Roman"/>
          <w:sz w:val="24"/>
          <w:szCs w:val="24"/>
        </w:rPr>
        <w:t xml:space="preserve"> petróleo y las materias prima-</w:t>
      </w:r>
      <w:r w:rsidRPr="00F0579C">
        <w:rPr>
          <w:rFonts w:ascii="Times New Roman" w:hAnsi="Times New Roman" w:cs="Times New Roman"/>
          <w:sz w:val="24"/>
          <w:szCs w:val="24"/>
        </w:rPr>
        <w:t xml:space="preserve"> de una intensa debilidad en la demanda mundial.</w:t>
      </w:r>
    </w:p>
    <w:p w:rsidR="000711BB" w:rsidRPr="00A165AF" w:rsidRDefault="000711BB" w:rsidP="000711BB">
      <w:pPr>
        <w:spacing w:line="240" w:lineRule="auto"/>
        <w:jc w:val="both"/>
        <w:rPr>
          <w:rFonts w:ascii="Times New Roman" w:hAnsi="Times New Roman" w:cs="Times New Roman"/>
          <w:sz w:val="24"/>
          <w:szCs w:val="24"/>
          <w:u w:val="single"/>
        </w:rPr>
      </w:pPr>
      <w:r w:rsidRPr="00F0579C">
        <w:rPr>
          <w:rFonts w:ascii="Times New Roman" w:hAnsi="Times New Roman" w:cs="Times New Roman"/>
          <w:sz w:val="24"/>
          <w:szCs w:val="24"/>
        </w:rPr>
        <w:t xml:space="preserve">Y hay más: </w:t>
      </w:r>
      <w:r w:rsidRPr="00A165AF">
        <w:rPr>
          <w:rFonts w:ascii="Times New Roman" w:hAnsi="Times New Roman" w:cs="Times New Roman"/>
          <w:sz w:val="24"/>
          <w:szCs w:val="24"/>
          <w:u w:val="single"/>
        </w:rPr>
        <w:t>la caída de los pre</w:t>
      </w:r>
      <w:r>
        <w:rPr>
          <w:rFonts w:ascii="Times New Roman" w:hAnsi="Times New Roman" w:cs="Times New Roman"/>
          <w:sz w:val="24"/>
          <w:szCs w:val="24"/>
          <w:u w:val="single"/>
        </w:rPr>
        <w:t>cios del petróleo -</w:t>
      </w:r>
      <w:r w:rsidRPr="00A165AF">
        <w:rPr>
          <w:rFonts w:ascii="Times New Roman" w:hAnsi="Times New Roman" w:cs="Times New Roman"/>
          <w:sz w:val="24"/>
          <w:szCs w:val="24"/>
          <w:u w:val="single"/>
        </w:rPr>
        <w:t>junto con la falta de liquidez en el mercado, el aumento del apalancamiento de las empresas energéticas estadounidenses, de las empresas energéticas y de la frágil deuda soberana en las eco</w:t>
      </w:r>
      <w:r>
        <w:rPr>
          <w:rFonts w:ascii="Times New Roman" w:hAnsi="Times New Roman" w:cs="Times New Roman"/>
          <w:sz w:val="24"/>
          <w:szCs w:val="24"/>
          <w:u w:val="single"/>
        </w:rPr>
        <w:t>nomías exportadoras de petróleo-</w:t>
      </w:r>
      <w:r w:rsidRPr="00A165AF">
        <w:rPr>
          <w:rFonts w:ascii="Times New Roman" w:hAnsi="Times New Roman" w:cs="Times New Roman"/>
          <w:sz w:val="24"/>
          <w:szCs w:val="24"/>
          <w:u w:val="single"/>
        </w:rPr>
        <w:t xml:space="preserve"> están agudizando el temor por graves eventos crediticios (incumplimientos) y una crisis sistémica en los mercados de crédito</w:t>
      </w:r>
      <w:r w:rsidRPr="00F0579C">
        <w:rPr>
          <w:rFonts w:ascii="Times New Roman" w:hAnsi="Times New Roman" w:cs="Times New Roman"/>
          <w:sz w:val="24"/>
          <w:szCs w:val="24"/>
        </w:rPr>
        <w:t xml:space="preserve">. </w:t>
      </w:r>
      <w:r w:rsidRPr="00A165AF">
        <w:rPr>
          <w:rFonts w:ascii="Times New Roman" w:hAnsi="Times New Roman" w:cs="Times New Roman"/>
          <w:sz w:val="24"/>
          <w:szCs w:val="24"/>
          <w:u w:val="single"/>
        </w:rPr>
        <w:t>Luego tenemos las aparentemente interminables preocupaciones por Europa, con un aumento de la probabilidad de que Gran Bretaña abandone la Unión Europea (la llamada Brexit), mientras los partidos populistas de la derecha y la izquierda ganan terreno en todo el continente.</w:t>
      </w:r>
    </w:p>
    <w:p w:rsidR="000711BB" w:rsidRPr="00A165AF" w:rsidRDefault="000711BB" w:rsidP="000711BB">
      <w:pPr>
        <w:spacing w:line="240" w:lineRule="auto"/>
        <w:jc w:val="both"/>
        <w:rPr>
          <w:rFonts w:ascii="Times New Roman" w:hAnsi="Times New Roman" w:cs="Times New Roman"/>
          <w:color w:val="FF0000"/>
          <w:sz w:val="24"/>
          <w:szCs w:val="24"/>
          <w:u w:val="single"/>
        </w:rPr>
      </w:pPr>
      <w:r w:rsidRPr="00F0579C">
        <w:rPr>
          <w:rFonts w:ascii="Times New Roman" w:hAnsi="Times New Roman" w:cs="Times New Roman"/>
          <w:sz w:val="24"/>
          <w:szCs w:val="24"/>
        </w:rPr>
        <w:t xml:space="preserve">Estos riesgos se ven amplificados por algunas sombrías tendencias para el mediano plazo, que implican crecimiento mediocre generalizado. </w:t>
      </w:r>
      <w:r w:rsidRPr="00A165AF">
        <w:rPr>
          <w:rFonts w:ascii="Times New Roman" w:hAnsi="Times New Roman" w:cs="Times New Roman"/>
          <w:color w:val="FF0000"/>
          <w:sz w:val="24"/>
          <w:szCs w:val="24"/>
          <w:u w:val="single"/>
        </w:rPr>
        <w:t>De hecho, la economía mundial en 2016 seguirá estando caracterizada por una nueva anormalidad en términos del producto, las políticas económicas, la inflación y el comportamiento de los precios de los activos clave y los mercados financieros.</w:t>
      </w:r>
    </w:p>
    <w:p w:rsidR="000711BB" w:rsidRPr="00A165AF" w:rsidRDefault="000711BB" w:rsidP="000711BB">
      <w:pPr>
        <w:spacing w:line="240" w:lineRule="auto"/>
        <w:jc w:val="both"/>
        <w:rPr>
          <w:rFonts w:ascii="Times New Roman" w:hAnsi="Times New Roman" w:cs="Times New Roman"/>
          <w:color w:val="FF0000"/>
          <w:sz w:val="24"/>
          <w:szCs w:val="24"/>
          <w:u w:val="single"/>
        </w:rPr>
      </w:pPr>
      <w:r w:rsidRPr="00A165AF">
        <w:rPr>
          <w:rFonts w:ascii="Times New Roman" w:hAnsi="Times New Roman" w:cs="Times New Roman"/>
          <w:color w:val="FF0000"/>
          <w:sz w:val="24"/>
          <w:szCs w:val="24"/>
          <w:u w:val="single"/>
        </w:rPr>
        <w:t>¿Cuál es la causa entonces de la anormalidad de la economía mundial actual?</w:t>
      </w:r>
    </w:p>
    <w:p w:rsidR="000711BB" w:rsidRPr="00F0579C" w:rsidRDefault="000711BB" w:rsidP="000711BB">
      <w:pPr>
        <w:spacing w:line="240" w:lineRule="auto"/>
        <w:jc w:val="both"/>
        <w:rPr>
          <w:rFonts w:ascii="Times New Roman" w:hAnsi="Times New Roman" w:cs="Times New Roman"/>
          <w:sz w:val="24"/>
          <w:szCs w:val="24"/>
        </w:rPr>
      </w:pPr>
      <w:r w:rsidRPr="00D6517C">
        <w:rPr>
          <w:rFonts w:ascii="Times New Roman" w:hAnsi="Times New Roman" w:cs="Times New Roman"/>
          <w:sz w:val="24"/>
          <w:szCs w:val="24"/>
          <w:u w:val="single"/>
        </w:rPr>
        <w:t>En primer lugar, el crecimiento potencial de los países desarrollados y emergentes ha caído debido a la carga de la elevada deuda privada y pública, el rápido envejecimiento poblacional (que implica mayor ahorro y menor inversión) y diversas incertidumbres que limitan el gasto de capital</w:t>
      </w:r>
      <w:r w:rsidRPr="00F0579C">
        <w:rPr>
          <w:rFonts w:ascii="Times New Roman" w:hAnsi="Times New Roman" w:cs="Times New Roman"/>
          <w:sz w:val="24"/>
          <w:szCs w:val="24"/>
        </w:rPr>
        <w:t>. Además, muchas innovaciones tecnológicas no se han traducido en un mayor crecimiento de la productividad, el ritmo de las reformas estructurales continúa siendo lento y un prolongado estancamiento cíclico ha erosionado la base de habilidades y de capital físico.</w:t>
      </w:r>
    </w:p>
    <w:p w:rsidR="000711BB" w:rsidRPr="00D6517C" w:rsidRDefault="000711BB" w:rsidP="000711BB">
      <w:pPr>
        <w:spacing w:line="240" w:lineRule="auto"/>
        <w:jc w:val="both"/>
        <w:rPr>
          <w:rFonts w:ascii="Times New Roman" w:hAnsi="Times New Roman" w:cs="Times New Roman"/>
          <w:sz w:val="24"/>
          <w:szCs w:val="24"/>
          <w:u w:val="single"/>
        </w:rPr>
      </w:pPr>
      <w:r w:rsidRPr="00D6517C">
        <w:rPr>
          <w:rFonts w:ascii="Times New Roman" w:hAnsi="Times New Roman" w:cs="Times New Roman"/>
          <w:sz w:val="24"/>
          <w:szCs w:val="24"/>
          <w:u w:val="single"/>
        </w:rPr>
        <w:t>En segundo lugar, el crecimiento real ha resultado anémico y ha estado por debajo de su tendencia potencial debido al doloroso proceso de desapalanca</w:t>
      </w:r>
      <w:r>
        <w:rPr>
          <w:rFonts w:ascii="Times New Roman" w:hAnsi="Times New Roman" w:cs="Times New Roman"/>
          <w:sz w:val="24"/>
          <w:szCs w:val="24"/>
          <w:u w:val="single"/>
        </w:rPr>
        <w:t>miento en curso, primero en EEUU</w:t>
      </w:r>
      <w:r w:rsidRPr="00D6517C">
        <w:rPr>
          <w:rFonts w:ascii="Times New Roman" w:hAnsi="Times New Roman" w:cs="Times New Roman"/>
          <w:sz w:val="24"/>
          <w:szCs w:val="24"/>
          <w:u w:val="single"/>
        </w:rPr>
        <w:t>, luego en Europa y ahora en los mercados emergentes altamente apalancados.</w:t>
      </w:r>
    </w:p>
    <w:p w:rsidR="000711BB" w:rsidRPr="00D6517C" w:rsidRDefault="000711BB" w:rsidP="000711BB">
      <w:pPr>
        <w:spacing w:line="240" w:lineRule="auto"/>
        <w:jc w:val="both"/>
        <w:rPr>
          <w:rFonts w:ascii="Times New Roman" w:hAnsi="Times New Roman" w:cs="Times New Roman"/>
          <w:sz w:val="24"/>
          <w:szCs w:val="24"/>
          <w:u w:val="single"/>
        </w:rPr>
      </w:pPr>
      <w:r w:rsidRPr="00D6517C">
        <w:rPr>
          <w:rFonts w:ascii="Times New Roman" w:hAnsi="Times New Roman" w:cs="Times New Roman"/>
          <w:sz w:val="24"/>
          <w:szCs w:val="24"/>
          <w:u w:val="single"/>
        </w:rPr>
        <w:t>En tercer l</w:t>
      </w:r>
      <w:r>
        <w:rPr>
          <w:rFonts w:ascii="Times New Roman" w:hAnsi="Times New Roman" w:cs="Times New Roman"/>
          <w:sz w:val="24"/>
          <w:szCs w:val="24"/>
          <w:u w:val="single"/>
        </w:rPr>
        <w:t>ugar, las políticas económicas -especialmente las monetarias-</w:t>
      </w:r>
      <w:r w:rsidRPr="00D6517C">
        <w:rPr>
          <w:rFonts w:ascii="Times New Roman" w:hAnsi="Times New Roman" w:cs="Times New Roman"/>
          <w:sz w:val="24"/>
          <w:szCs w:val="24"/>
          <w:u w:val="single"/>
        </w:rPr>
        <w:t xml:space="preserve"> se han ido tornando cada vez menos convencionales</w:t>
      </w:r>
      <w:r w:rsidRPr="00F0579C">
        <w:rPr>
          <w:rFonts w:ascii="Times New Roman" w:hAnsi="Times New Roman" w:cs="Times New Roman"/>
          <w:sz w:val="24"/>
          <w:szCs w:val="24"/>
        </w:rPr>
        <w:t xml:space="preserve">. De hecho, la distinción entre la política monetaria y la fiscal se ha desdibujado cada vez más. </w:t>
      </w:r>
      <w:r w:rsidRPr="00D6517C">
        <w:rPr>
          <w:rFonts w:ascii="Times New Roman" w:hAnsi="Times New Roman" w:cs="Times New Roman"/>
          <w:sz w:val="24"/>
          <w:szCs w:val="24"/>
          <w:u w:val="single"/>
        </w:rPr>
        <w:t xml:space="preserve">Diez años atrás, ¿quién había escuchado términos como política con tasas de interés nulas (ZIRP), expansión cuantitativa (QE), expansión del crédito (CE), orientación prospectiva (FG), tasas de </w:t>
      </w:r>
      <w:r w:rsidRPr="00D6517C">
        <w:rPr>
          <w:rFonts w:ascii="Times New Roman" w:hAnsi="Times New Roman" w:cs="Times New Roman"/>
          <w:sz w:val="24"/>
          <w:szCs w:val="24"/>
          <w:u w:val="single"/>
        </w:rPr>
        <w:lastRenderedPageBreak/>
        <w:t>depósito negativas (NDR) o intervención no esterilizada en el mercado cambiario (UFXInt)? (Todas las siglas corresponden a los nombres en inglés). Nadie, porque no existían.</w:t>
      </w:r>
    </w:p>
    <w:p w:rsidR="000711BB" w:rsidRPr="00F0579C" w:rsidRDefault="000711BB" w:rsidP="000711BB">
      <w:pPr>
        <w:spacing w:line="240" w:lineRule="auto"/>
        <w:jc w:val="both"/>
        <w:rPr>
          <w:rFonts w:ascii="Times New Roman" w:hAnsi="Times New Roman" w:cs="Times New Roman"/>
          <w:sz w:val="24"/>
          <w:szCs w:val="24"/>
        </w:rPr>
      </w:pPr>
      <w:r w:rsidRPr="00F0579C">
        <w:rPr>
          <w:rFonts w:ascii="Times New Roman" w:hAnsi="Times New Roman" w:cs="Times New Roman"/>
          <w:sz w:val="24"/>
          <w:szCs w:val="24"/>
        </w:rPr>
        <w:t>Pero ahora estas herramientas no convencionales de política monetaria son lo habitual en la mayoría de las economías avanzadas, e incluso en algunos mercados emergentes. Y las acciones y señales recientes del Banco Central Europeo y el Banco de Japón refuerzan la percepción de que hay más políticas no convencionales en camino.</w:t>
      </w:r>
    </w:p>
    <w:p w:rsidR="000711BB" w:rsidRPr="00D6517C" w:rsidRDefault="000711BB" w:rsidP="000711BB">
      <w:pPr>
        <w:spacing w:line="240" w:lineRule="auto"/>
        <w:jc w:val="both"/>
        <w:rPr>
          <w:rFonts w:ascii="Times New Roman" w:hAnsi="Times New Roman" w:cs="Times New Roman"/>
          <w:sz w:val="24"/>
          <w:szCs w:val="24"/>
          <w:u w:val="single"/>
        </w:rPr>
      </w:pPr>
      <w:r w:rsidRPr="00D6517C">
        <w:rPr>
          <w:rFonts w:ascii="Times New Roman" w:hAnsi="Times New Roman" w:cs="Times New Roman"/>
          <w:sz w:val="24"/>
          <w:szCs w:val="24"/>
          <w:u w:val="single"/>
        </w:rPr>
        <w:t>Algunos afirmaron que estas política</w:t>
      </w:r>
      <w:r>
        <w:rPr>
          <w:rFonts w:ascii="Times New Roman" w:hAnsi="Times New Roman" w:cs="Times New Roman"/>
          <w:sz w:val="24"/>
          <w:szCs w:val="24"/>
          <w:u w:val="single"/>
        </w:rPr>
        <w:t>s monetarias no convencionales -</w:t>
      </w:r>
      <w:r w:rsidRPr="00D6517C">
        <w:rPr>
          <w:rFonts w:ascii="Times New Roman" w:hAnsi="Times New Roman" w:cs="Times New Roman"/>
          <w:sz w:val="24"/>
          <w:szCs w:val="24"/>
          <w:u w:val="single"/>
        </w:rPr>
        <w:t>y el enorme crecimiento de los balances de los ba</w:t>
      </w:r>
      <w:r>
        <w:rPr>
          <w:rFonts w:ascii="Times New Roman" w:hAnsi="Times New Roman" w:cs="Times New Roman"/>
          <w:sz w:val="24"/>
          <w:szCs w:val="24"/>
          <w:u w:val="single"/>
        </w:rPr>
        <w:t>ncos centrales que las acompaña-</w:t>
      </w:r>
      <w:r w:rsidRPr="00D6517C">
        <w:rPr>
          <w:rFonts w:ascii="Times New Roman" w:hAnsi="Times New Roman" w:cs="Times New Roman"/>
          <w:sz w:val="24"/>
          <w:szCs w:val="24"/>
          <w:u w:val="single"/>
        </w:rPr>
        <w:t xml:space="preserve"> implicarían la degradación de las monedas fiduciarias. El resultado, sostenían, será la inflación desbocada (e incluso, la hiperinflación), un elevado aumento de las tasas de interés a largo plazo, el colapso del valor del dólar estadounidense, un salto en el precio del oro y otras materias primas, y el reemplazo de las devaluadas monedas fiduciarias con criptomonedas, como bitcoin.</w:t>
      </w:r>
    </w:p>
    <w:p w:rsidR="000711BB" w:rsidRPr="00F0579C"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En lugar de eso -y esta es la cuarta aberración-</w:t>
      </w:r>
      <w:r w:rsidRPr="00D6517C">
        <w:rPr>
          <w:rFonts w:ascii="Times New Roman" w:hAnsi="Times New Roman" w:cs="Times New Roman"/>
          <w:sz w:val="24"/>
          <w:szCs w:val="24"/>
          <w:u w:val="single"/>
        </w:rPr>
        <w:t xml:space="preserve"> la inflación aún es demasiado baja y continúa cayendo en las economías avanzadas a pesar de las políticas no convencionales de los bancos centrales y el vertiginoso aumento de sus balances</w:t>
      </w:r>
      <w:r w:rsidRPr="00F0579C">
        <w:rPr>
          <w:rFonts w:ascii="Times New Roman" w:hAnsi="Times New Roman" w:cs="Times New Roman"/>
          <w:sz w:val="24"/>
          <w:szCs w:val="24"/>
        </w:rPr>
        <w:t>. El desafío para los bancos centrales es aumentar la inflación o incluso evitar la deflación. Simultáneamente, las tasas de interés a largo plazo continuaron descendiendo en los últimos años; el valor del dólar ha aumentado; los precios del oro y las materias primas cayeron bruscamente; y bitcoin fue la moneda con peor desempeño en 2014-2015.</w:t>
      </w:r>
    </w:p>
    <w:p w:rsidR="000711BB" w:rsidRPr="00F0579C" w:rsidRDefault="000711BB" w:rsidP="000711BB">
      <w:pPr>
        <w:spacing w:line="240" w:lineRule="auto"/>
        <w:jc w:val="both"/>
        <w:rPr>
          <w:rFonts w:ascii="Times New Roman" w:hAnsi="Times New Roman" w:cs="Times New Roman"/>
          <w:sz w:val="24"/>
          <w:szCs w:val="24"/>
        </w:rPr>
      </w:pPr>
      <w:r w:rsidRPr="00D6517C">
        <w:rPr>
          <w:rFonts w:ascii="Times New Roman" w:hAnsi="Times New Roman" w:cs="Times New Roman"/>
          <w:sz w:val="24"/>
          <w:szCs w:val="24"/>
          <w:u w:val="single"/>
        </w:rPr>
        <w:t>El motivo por el que la inflación ultrabaja continúa siendo un problema es que la relación causal tradicional entre la oferta monetaria y los precios se ha roto. Un motivo de esto que los bancos están acumulando la oferta monetaria adicional en forma de reservas excedentes en vez de prestarla (en términos económicos: la velocidad del dinero ha colapsado). Además, las tasas de desempleo continúan siendo elevadas y esto otorga poco poder de negociación a los trabajadores</w:t>
      </w:r>
      <w:r w:rsidRPr="00F0579C">
        <w:rPr>
          <w:rFonts w:ascii="Times New Roman" w:hAnsi="Times New Roman" w:cs="Times New Roman"/>
          <w:sz w:val="24"/>
          <w:szCs w:val="24"/>
        </w:rPr>
        <w:t>. Y en los mercados de productos en muchos países continúa existiendo capacidad excedente, con grandes brechas en la producción y una baja capacidad de fijación de precios por parte de las empresas (un problema de capacidad excedente exacerbado por la sobreinversión china).</w:t>
      </w:r>
    </w:p>
    <w:p w:rsidR="000711BB" w:rsidRPr="00D6517C" w:rsidRDefault="000711BB" w:rsidP="000711BB">
      <w:pPr>
        <w:spacing w:line="240" w:lineRule="auto"/>
        <w:jc w:val="both"/>
        <w:rPr>
          <w:rFonts w:ascii="Times New Roman" w:hAnsi="Times New Roman" w:cs="Times New Roman"/>
          <w:sz w:val="24"/>
          <w:szCs w:val="24"/>
          <w:u w:val="single"/>
        </w:rPr>
      </w:pPr>
      <w:r w:rsidRPr="00D6517C">
        <w:rPr>
          <w:rFonts w:ascii="Times New Roman" w:hAnsi="Times New Roman" w:cs="Times New Roman"/>
          <w:sz w:val="24"/>
          <w:szCs w:val="24"/>
          <w:u w:val="single"/>
        </w:rPr>
        <w:t>Ahora, después de una enorme caída en los precios de la vivienda en los países que experimentaron una bonanza y posterior desplome, los precios del petróleo, de la energía y de otras materias primas han colapsado. Llamemos a esto la quinta anomalía: el resultado de la desaceleración china, el aumento en la oferta energética y de metales industriales (después de una exitosa exploración y sobreinversión en nueva capacidad) y la fortaleza del dólar, que debilita los precios de las materias primas.</w:t>
      </w:r>
    </w:p>
    <w:p w:rsidR="000711BB" w:rsidRPr="00D6517C" w:rsidRDefault="000711BB" w:rsidP="000711BB">
      <w:pPr>
        <w:spacing w:line="240" w:lineRule="auto"/>
        <w:jc w:val="both"/>
        <w:rPr>
          <w:rFonts w:ascii="Times New Roman" w:hAnsi="Times New Roman" w:cs="Times New Roman"/>
          <w:color w:val="FF0000"/>
          <w:sz w:val="24"/>
          <w:szCs w:val="24"/>
          <w:u w:val="single"/>
        </w:rPr>
      </w:pPr>
      <w:r w:rsidRPr="00D6517C">
        <w:rPr>
          <w:rFonts w:ascii="Times New Roman" w:hAnsi="Times New Roman" w:cs="Times New Roman"/>
          <w:color w:val="FF0000"/>
          <w:sz w:val="24"/>
          <w:szCs w:val="24"/>
          <w:u w:val="single"/>
        </w:rPr>
        <w:t>La reciente agitación en el mercado ha iniciado la deflación de la burbuja mundial de activos generada por la QE, aunque la expansión de las políticas monetarias no convencionales puede alimentarla un tiempo más. La economía real en la mayoría de las economías avanzadas y emergentes está gravemente enferma, pero sin embargo, hasta hace poco, los mercados financieros se disparaban con el apoyo de la expansión adicional de los bancos centrales. La pregunta es durante cuánto tiempo pueden divergir los mercados financieros y la economía en general.</w:t>
      </w:r>
    </w:p>
    <w:p w:rsidR="000711BB" w:rsidRPr="00D6517C" w:rsidRDefault="000711BB" w:rsidP="000711BB">
      <w:pPr>
        <w:spacing w:line="240" w:lineRule="auto"/>
        <w:jc w:val="both"/>
        <w:rPr>
          <w:rFonts w:ascii="Times New Roman" w:hAnsi="Times New Roman" w:cs="Times New Roman"/>
          <w:color w:val="FF0000"/>
          <w:sz w:val="24"/>
          <w:szCs w:val="24"/>
          <w:u w:val="single"/>
        </w:rPr>
      </w:pPr>
      <w:r w:rsidRPr="00D6517C">
        <w:rPr>
          <w:rFonts w:ascii="Times New Roman" w:hAnsi="Times New Roman" w:cs="Times New Roman"/>
          <w:sz w:val="24"/>
          <w:szCs w:val="24"/>
          <w:u w:val="single"/>
        </w:rPr>
        <w:t xml:space="preserve">De hecho, esta divergencia es un aspecto de la última anormalidad. El otro que los mercados financieros no han reaccionado mucho, al menos hasta ahora, a los crecientes </w:t>
      </w:r>
      <w:r w:rsidRPr="00D6517C">
        <w:rPr>
          <w:rFonts w:ascii="Times New Roman" w:hAnsi="Times New Roman" w:cs="Times New Roman"/>
          <w:sz w:val="24"/>
          <w:szCs w:val="24"/>
          <w:u w:val="single"/>
        </w:rPr>
        <w:lastRenderedPageBreak/>
        <w:t>riesgos geopolíticos, como los originados en Oriente Medio, la crisis de identidad europea, las crecientes tensiones en Asia, y los persistentes riesgos de una Rusia más agresiva</w:t>
      </w:r>
      <w:r w:rsidRPr="00F0579C">
        <w:rPr>
          <w:rFonts w:ascii="Times New Roman" w:hAnsi="Times New Roman" w:cs="Times New Roman"/>
          <w:sz w:val="24"/>
          <w:szCs w:val="24"/>
        </w:rPr>
        <w:t xml:space="preserve">. </w:t>
      </w:r>
      <w:r w:rsidRPr="00D6517C">
        <w:rPr>
          <w:rFonts w:ascii="Times New Roman" w:hAnsi="Times New Roman" w:cs="Times New Roman"/>
          <w:color w:val="FF0000"/>
          <w:sz w:val="24"/>
          <w:szCs w:val="24"/>
          <w:u w:val="single"/>
        </w:rPr>
        <w:t>Nuevamente, ¿durante cuánto tiempo puede mantenerse esta situación, en la cual los mercados no solo ignoran a la economía real sino que además descuentan el riesgo político?</w:t>
      </w:r>
    </w:p>
    <w:p w:rsidR="000711BB" w:rsidRPr="00BC3F39" w:rsidRDefault="000711BB" w:rsidP="000711BB">
      <w:pPr>
        <w:spacing w:line="240" w:lineRule="auto"/>
        <w:jc w:val="both"/>
        <w:rPr>
          <w:rFonts w:ascii="Times New Roman" w:hAnsi="Times New Roman" w:cs="Times New Roman"/>
          <w:color w:val="FF0000"/>
          <w:sz w:val="24"/>
          <w:szCs w:val="24"/>
          <w:u w:val="single"/>
          <w:lang w:val="en-US"/>
        </w:rPr>
      </w:pPr>
      <w:r w:rsidRPr="00D6517C">
        <w:rPr>
          <w:rFonts w:ascii="Times New Roman" w:hAnsi="Times New Roman" w:cs="Times New Roman"/>
          <w:color w:val="FF0000"/>
          <w:sz w:val="24"/>
          <w:szCs w:val="24"/>
          <w:u w:val="single"/>
        </w:rPr>
        <w:t xml:space="preserve">Bienvenidos a la nueva anormalidad del crecimiento, la inflación, las políticas monetarias y los precios de los activos. </w:t>
      </w:r>
      <w:r w:rsidRPr="00BC3F39">
        <w:rPr>
          <w:rFonts w:ascii="Times New Roman" w:hAnsi="Times New Roman" w:cs="Times New Roman"/>
          <w:color w:val="FF0000"/>
          <w:sz w:val="24"/>
          <w:szCs w:val="24"/>
          <w:u w:val="single"/>
          <w:lang w:val="en-US"/>
        </w:rPr>
        <w:t>Pónganse cómodos... parece que durará un buen rato.</w:t>
      </w:r>
    </w:p>
    <w:p w:rsidR="000711BB"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(Nouriel Roubini, a professor at NYU’s Stern School of Business and Chairman of Roubini Global Economics, was Senior Economist for International Affairs in the White House's Council of Economic Advisers during the Clinton Administration. He has worked for the Internati</w:t>
      </w:r>
      <w:r w:rsidR="00766445">
        <w:rPr>
          <w:rFonts w:ascii="Times New Roman" w:hAnsi="Times New Roman" w:cs="Times New Roman"/>
          <w:sz w:val="24"/>
          <w:szCs w:val="24"/>
          <w:lang w:val="en-US"/>
        </w:rPr>
        <w:t>onal Monetary Fund</w:t>
      </w:r>
      <w:r w:rsidR="00C544E2">
        <w:rPr>
          <w:rFonts w:ascii="Times New Roman" w:hAnsi="Times New Roman" w:cs="Times New Roman"/>
          <w:sz w:val="24"/>
          <w:szCs w:val="24"/>
          <w:lang w:val="en-US"/>
        </w:rPr>
        <w:t>…</w:t>
      </w:r>
      <w:r w:rsidRPr="00BC3F39">
        <w:rPr>
          <w:rFonts w:ascii="Times New Roman" w:hAnsi="Times New Roman" w:cs="Times New Roman"/>
          <w:sz w:val="24"/>
          <w:szCs w:val="24"/>
          <w:lang w:val="en-US"/>
        </w:rPr>
        <w:t>)</w:t>
      </w:r>
    </w:p>
    <w:p w:rsidR="000711BB" w:rsidRPr="008865F1"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865F1">
        <w:rPr>
          <w:rFonts w:ascii="Times New Roman" w:hAnsi="Times New Roman" w:cs="Times New Roman"/>
          <w:sz w:val="24"/>
          <w:szCs w:val="24"/>
          <w:u w:val="single"/>
        </w:rPr>
        <w:t>La errónea vía de escape de Japón</w:t>
      </w:r>
      <w:r>
        <w:rPr>
          <w:rFonts w:ascii="Times New Roman" w:hAnsi="Times New Roman" w:cs="Times New Roman"/>
          <w:sz w:val="24"/>
          <w:szCs w:val="24"/>
        </w:rPr>
        <w:t xml:space="preserve"> (Project Syndicate - </w:t>
      </w:r>
      <w:r w:rsidRPr="008865F1">
        <w:rPr>
          <w:rFonts w:ascii="Times New Roman" w:hAnsi="Times New Roman" w:cs="Times New Roman"/>
          <w:b/>
          <w:sz w:val="24"/>
          <w:szCs w:val="24"/>
        </w:rPr>
        <w:t>4/2/16</w:t>
      </w:r>
      <w:r>
        <w:rPr>
          <w:rFonts w:ascii="Times New Roman" w:hAnsi="Times New Roman" w:cs="Times New Roman"/>
          <w:sz w:val="24"/>
          <w:szCs w:val="24"/>
        </w:rPr>
        <w:t>)</w:t>
      </w:r>
    </w:p>
    <w:p w:rsidR="000711BB" w:rsidRPr="00E71D1A" w:rsidRDefault="000711BB" w:rsidP="000711B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Londres.-</w:t>
      </w:r>
      <w:r w:rsidRPr="008865F1">
        <w:rPr>
          <w:rFonts w:ascii="Times New Roman" w:hAnsi="Times New Roman" w:cs="Times New Roman"/>
          <w:sz w:val="24"/>
          <w:szCs w:val="24"/>
        </w:rPr>
        <w:t xml:space="preserve"> </w:t>
      </w:r>
      <w:r w:rsidRPr="00E71D1A">
        <w:rPr>
          <w:rFonts w:ascii="Times New Roman" w:hAnsi="Times New Roman" w:cs="Times New Roman"/>
          <w:sz w:val="24"/>
          <w:szCs w:val="24"/>
          <w:u w:val="single"/>
        </w:rPr>
        <w:t>Los mercados financieros se vieron sorprendidos por la reciente introducción por parte del Banco de Japón (BDJ) de tasas de interés negativas a algunas de las reservas bancarias comerciales, pero tenían por qué</w:t>
      </w:r>
      <w:r w:rsidRPr="008865F1">
        <w:rPr>
          <w:rFonts w:ascii="Times New Roman" w:hAnsi="Times New Roman" w:cs="Times New Roman"/>
          <w:sz w:val="24"/>
          <w:szCs w:val="24"/>
        </w:rPr>
        <w:t xml:space="preserve">. </w:t>
      </w:r>
      <w:r w:rsidRPr="00E71D1A">
        <w:rPr>
          <w:rFonts w:ascii="Times New Roman" w:hAnsi="Times New Roman" w:cs="Times New Roman"/>
          <w:sz w:val="24"/>
          <w:szCs w:val="24"/>
          <w:u w:val="single"/>
        </w:rPr>
        <w:t>Es evidente que el BDJ debía adoptar nuevas medidas para lograr su objetivo inflacionario del 2%, pero ni las tasas de interés negativas ni una ampliación adicional de su ya enorme programa de facilitación cuantitativa (FC) bastarán para hacer frente a las intensas fuerzas deflacionarias que afectan hoy al país.</w:t>
      </w:r>
    </w:p>
    <w:p w:rsidR="000711BB" w:rsidRPr="008865F1" w:rsidRDefault="000711BB" w:rsidP="000711BB">
      <w:pPr>
        <w:spacing w:line="240" w:lineRule="auto"/>
        <w:jc w:val="both"/>
        <w:rPr>
          <w:rFonts w:ascii="Times New Roman" w:hAnsi="Times New Roman" w:cs="Times New Roman"/>
          <w:sz w:val="24"/>
          <w:szCs w:val="24"/>
        </w:rPr>
      </w:pPr>
      <w:r w:rsidRPr="008865F1">
        <w:rPr>
          <w:rFonts w:ascii="Times New Roman" w:hAnsi="Times New Roman" w:cs="Times New Roman"/>
          <w:sz w:val="24"/>
          <w:szCs w:val="24"/>
        </w:rPr>
        <w:t>En 2013, el BDJ predijo que sus operaciones de FC permitirían alcanzar un 2% de inflación en dos años, pero a 2015 la inflación base (que excluye a aquellos elementos volátiles como los alimentos) fue de apenas un 0,5%. Con la caída de diciembre del gasto del consumidor y las ganancias promedio, la meta del 2% parece cada vez más difícil de alcanzar.</w:t>
      </w:r>
    </w:p>
    <w:p w:rsidR="000711BB" w:rsidRPr="008865F1" w:rsidRDefault="000711BB" w:rsidP="000711BB">
      <w:pPr>
        <w:spacing w:line="240" w:lineRule="auto"/>
        <w:jc w:val="both"/>
        <w:rPr>
          <w:rFonts w:ascii="Times New Roman" w:hAnsi="Times New Roman" w:cs="Times New Roman"/>
          <w:sz w:val="24"/>
          <w:szCs w:val="24"/>
        </w:rPr>
      </w:pPr>
      <w:r w:rsidRPr="00E71D1A">
        <w:rPr>
          <w:rFonts w:ascii="Times New Roman" w:hAnsi="Times New Roman" w:cs="Times New Roman"/>
          <w:sz w:val="24"/>
          <w:szCs w:val="24"/>
          <w:u w:val="single"/>
        </w:rPr>
        <w:t>La imprevista gravedad de la desaceleración de China es el último factor en afectar los pronósticos del BDJ, pero es la consecuencia predecible (y predicha) de la dinámica de su deuda, cuyas raíces se remontan a 2008</w:t>
      </w:r>
      <w:r w:rsidRPr="008865F1">
        <w:rPr>
          <w:rFonts w:ascii="Times New Roman" w:hAnsi="Times New Roman" w:cs="Times New Roman"/>
          <w:sz w:val="24"/>
          <w:szCs w:val="24"/>
        </w:rPr>
        <w:t>.</w:t>
      </w:r>
    </w:p>
    <w:p w:rsidR="000711BB" w:rsidRPr="00E71D1A" w:rsidRDefault="000711BB" w:rsidP="000711BB">
      <w:pPr>
        <w:spacing w:line="240" w:lineRule="auto"/>
        <w:jc w:val="both"/>
        <w:rPr>
          <w:rFonts w:ascii="Times New Roman" w:hAnsi="Times New Roman" w:cs="Times New Roman"/>
          <w:sz w:val="24"/>
          <w:szCs w:val="24"/>
          <w:u w:val="single"/>
        </w:rPr>
      </w:pPr>
      <w:r w:rsidRPr="00E71D1A">
        <w:rPr>
          <w:rFonts w:ascii="Times New Roman" w:hAnsi="Times New Roman" w:cs="Times New Roman"/>
          <w:sz w:val="24"/>
          <w:szCs w:val="24"/>
          <w:u w:val="single"/>
        </w:rPr>
        <w:t>El excesivo crecimiento del crédito privado en las economías avanzadas antes de 2008 causó el sobreendeudamiento de muchas compañías y hogares, y sus intentos de desapalancamiento tras la irrupción de la crisis financiera global amenazaron las exportaciones, el empleo y el crecimiento de China. Para hacer frente a tal riesgo, las autoridades chinas generaron un enorme auge de la inversión a través del crédito, haciendo que la relación de deuda a PIB subiera del 130% a más del 230%, y que la tasa de inversión pasara de representar un 41% a un 47% del PIB. A su vez, esto causó un auge global de las commodities y una fuerte demanda de importaciones de bienes de capital procedentes de países como Corea del Sur, Japón y Alemania.</w:t>
      </w:r>
    </w:p>
    <w:p w:rsidR="000711BB" w:rsidRPr="00E71D1A" w:rsidRDefault="000711BB" w:rsidP="000711BB">
      <w:pPr>
        <w:spacing w:line="240" w:lineRule="auto"/>
        <w:jc w:val="both"/>
        <w:rPr>
          <w:rFonts w:ascii="Times New Roman" w:hAnsi="Times New Roman" w:cs="Times New Roman"/>
          <w:sz w:val="24"/>
          <w:szCs w:val="24"/>
          <w:u w:val="single"/>
        </w:rPr>
      </w:pPr>
      <w:r w:rsidRPr="00E71D1A">
        <w:rPr>
          <w:rFonts w:ascii="Times New Roman" w:hAnsi="Times New Roman" w:cs="Times New Roman"/>
          <w:sz w:val="24"/>
          <w:szCs w:val="24"/>
          <w:u w:val="single"/>
        </w:rPr>
        <w:t>Sin embargo, una consecuencia inevitable al interior de China fue el malgasto de la inversión en construcción y un enorme exceso de capacidad de sectores industriales pesados, como el acero, el cemento y el cristal. Así es que a pesar de que la expansión del sector servicios apuntala un sólido crecimiento del empleo (en 2015 se crearon 13,1 millones de nuevos puestos de trabajo en zonas urbanas), el sector industrial chino se encuentra en medio de un brusco frenazo.</w:t>
      </w:r>
    </w:p>
    <w:p w:rsidR="000711BB" w:rsidRPr="008865F1" w:rsidRDefault="000711BB" w:rsidP="000711BB">
      <w:pPr>
        <w:spacing w:line="240" w:lineRule="auto"/>
        <w:jc w:val="both"/>
        <w:rPr>
          <w:rFonts w:ascii="Times New Roman" w:hAnsi="Times New Roman" w:cs="Times New Roman"/>
          <w:sz w:val="24"/>
          <w:szCs w:val="24"/>
        </w:rPr>
      </w:pPr>
      <w:r w:rsidRPr="008865F1">
        <w:rPr>
          <w:rFonts w:ascii="Times New Roman" w:hAnsi="Times New Roman" w:cs="Times New Roman"/>
          <w:sz w:val="24"/>
          <w:szCs w:val="24"/>
        </w:rPr>
        <w:lastRenderedPageBreak/>
        <w:t>De hecho, las cifras oficiales sugieren que el sector manufacturero se ha contraído seis meses seguidos, lo que a su vez ha reducido la demanda de productos básicos y hecho caer en recesión a países como Rusia y Brasil, además de representar una amenaza importante para el crecimiento de África. Asimismo, las menores importaciones industriales están teniendo importantes efectos sobre varias economías asiáticas. Las exportaciones de Corea del Sur se redujeron un 18% interanual  hasta enero, y las de Japón cayeron un 8% en diciembre.</w:t>
      </w:r>
    </w:p>
    <w:p w:rsidR="000711BB" w:rsidRPr="00E71D1A" w:rsidRDefault="000711BB" w:rsidP="000711BB">
      <w:pPr>
        <w:spacing w:line="240" w:lineRule="auto"/>
        <w:jc w:val="both"/>
        <w:rPr>
          <w:rFonts w:ascii="Times New Roman" w:hAnsi="Times New Roman" w:cs="Times New Roman"/>
          <w:sz w:val="24"/>
          <w:szCs w:val="24"/>
          <w:u w:val="single"/>
        </w:rPr>
      </w:pPr>
      <w:r w:rsidRPr="00E71D1A">
        <w:rPr>
          <w:rFonts w:ascii="Times New Roman" w:hAnsi="Times New Roman" w:cs="Times New Roman"/>
          <w:sz w:val="24"/>
          <w:szCs w:val="24"/>
          <w:u w:val="single"/>
        </w:rPr>
        <w:t>En la eurozona, la inflación anual es de un 0,2%, todavía mucho menor que el objetivo del Banco Central Europeo, y las exportaciones alemanas a China han bajado en un 4%. Como resultado, es posible que en su reunión de marzo el Consejo de Gobierno del BCE también se plantee seguir reduciendo las tasas de interés hacia el terreno negativo, o elevar aún más escala de su programa de FC.</w:t>
      </w:r>
    </w:p>
    <w:p w:rsidR="000711BB" w:rsidRPr="008333E5" w:rsidRDefault="000711BB" w:rsidP="000711BB">
      <w:pPr>
        <w:spacing w:line="240" w:lineRule="auto"/>
        <w:jc w:val="both"/>
        <w:rPr>
          <w:rFonts w:ascii="Times New Roman" w:hAnsi="Times New Roman" w:cs="Times New Roman"/>
          <w:color w:val="FF0000"/>
          <w:sz w:val="24"/>
          <w:szCs w:val="24"/>
          <w:u w:val="single"/>
        </w:rPr>
      </w:pPr>
      <w:r w:rsidRPr="008333E5">
        <w:rPr>
          <w:rFonts w:ascii="Times New Roman" w:hAnsi="Times New Roman" w:cs="Times New Roman"/>
          <w:color w:val="FF0000"/>
          <w:sz w:val="24"/>
          <w:szCs w:val="24"/>
          <w:u w:val="single"/>
        </w:rPr>
        <w:t>Pero está quedando cada vez más claro que las tasas de interés ultra bajas a corto y largo plazo no están impulsando la demanda nominal, lo cual tampoco debería sorprendernos. La experiencia de Japón desde 1990 nos muestra que una vez que las compañías se sienten sobreapalancadas, seguir bajando las tasas de interés tiene pocos efectos sobre sus decisiones de inversión. Bajar el rendimiento a diez años de los bonos de Japón de un 0,2 a un 0,1%, y los de Alemania de un 0,5% a un 0,35% (las medidas tomadas la semana pasada) no tienen efectos significativos sobre las decisiones de consumo e inversión en la economía real.</w:t>
      </w:r>
    </w:p>
    <w:p w:rsidR="000711BB" w:rsidRPr="008865F1" w:rsidRDefault="000711BB" w:rsidP="000711BB">
      <w:pPr>
        <w:spacing w:line="240" w:lineRule="auto"/>
        <w:jc w:val="both"/>
        <w:rPr>
          <w:rFonts w:ascii="Times New Roman" w:hAnsi="Times New Roman" w:cs="Times New Roman"/>
          <w:sz w:val="24"/>
          <w:szCs w:val="24"/>
        </w:rPr>
      </w:pPr>
      <w:r w:rsidRPr="008865F1">
        <w:rPr>
          <w:rFonts w:ascii="Times New Roman" w:hAnsi="Times New Roman" w:cs="Times New Roman"/>
          <w:sz w:val="24"/>
          <w:szCs w:val="24"/>
        </w:rPr>
        <w:t>Ciertamente, el anuncio del BDJ de que aplicaría una tasa de interés negativa produjo una depreciación de la moneda, pero un yen más débil ayudaría a los exportadores japoneses sólo si China, la eurozona y Corea del Sur (todos los cuales se enfrentan a presiones deflacionarias) no imitan sus mismos recortes.</w:t>
      </w:r>
    </w:p>
    <w:p w:rsidR="000711BB" w:rsidRPr="008333E5" w:rsidRDefault="000711BB" w:rsidP="000711BB">
      <w:pPr>
        <w:spacing w:line="240" w:lineRule="auto"/>
        <w:jc w:val="both"/>
        <w:rPr>
          <w:rFonts w:ascii="Times New Roman" w:hAnsi="Times New Roman" w:cs="Times New Roman"/>
          <w:color w:val="FF0000"/>
          <w:sz w:val="24"/>
          <w:szCs w:val="24"/>
          <w:u w:val="single"/>
        </w:rPr>
      </w:pPr>
      <w:r w:rsidRPr="008333E5">
        <w:rPr>
          <w:rFonts w:ascii="Times New Roman" w:hAnsi="Times New Roman" w:cs="Times New Roman"/>
          <w:color w:val="FF0000"/>
          <w:sz w:val="24"/>
          <w:szCs w:val="24"/>
          <w:u w:val="single"/>
        </w:rPr>
        <w:t>A nivel global, en la actualidad la depreciación es un juego de suma cero: no podemos escapar de un sobreendeudamiento mundial depreciando contra otros planetas. Y si muchas monedas se deprecian ante el dólar estadounidense, los efectos sobre la industria manufacturera podrían debi</w:t>
      </w:r>
      <w:r>
        <w:rPr>
          <w:rFonts w:ascii="Times New Roman" w:hAnsi="Times New Roman" w:cs="Times New Roman"/>
          <w:color w:val="FF0000"/>
          <w:sz w:val="24"/>
          <w:szCs w:val="24"/>
          <w:u w:val="single"/>
        </w:rPr>
        <w:t>litar la economía de EEUU</w:t>
      </w:r>
      <w:r w:rsidRPr="008333E5">
        <w:rPr>
          <w:rFonts w:ascii="Times New Roman" w:hAnsi="Times New Roman" w:cs="Times New Roman"/>
          <w:color w:val="FF0000"/>
          <w:sz w:val="24"/>
          <w:szCs w:val="24"/>
          <w:u w:val="single"/>
        </w:rPr>
        <w:t>, afectando su demanda de importaciones y a los exportadores de otros países. Desde el alza de las tasas de interés anunciada en diciembre por la Reserva Federal, los pronósticos de crecimiento económico de Estados Unidos se han revisado a la baja una y otra vez.</w:t>
      </w:r>
    </w:p>
    <w:p w:rsidR="000711BB" w:rsidRPr="008333E5" w:rsidRDefault="000711BB" w:rsidP="000711BB">
      <w:pPr>
        <w:spacing w:line="240" w:lineRule="auto"/>
        <w:jc w:val="both"/>
        <w:rPr>
          <w:rFonts w:ascii="Times New Roman" w:hAnsi="Times New Roman" w:cs="Times New Roman"/>
          <w:color w:val="FF0000"/>
          <w:sz w:val="24"/>
          <w:szCs w:val="24"/>
          <w:u w:val="single"/>
        </w:rPr>
      </w:pPr>
      <w:r w:rsidRPr="008333E5">
        <w:rPr>
          <w:rFonts w:ascii="Times New Roman" w:hAnsi="Times New Roman" w:cs="Times New Roman"/>
          <w:color w:val="FF0000"/>
          <w:sz w:val="24"/>
          <w:szCs w:val="24"/>
          <w:u w:val="single"/>
        </w:rPr>
        <w:t>Así, los mercados de valores deprimidos y la caída de los rendimientos de los bonos en todo el mundo en enero de 2016 ilustran la naturaleza global del problema al que nos enfrentamos. La demanda sigue deprimida por el exceso de deuda acumulada desde 2008. De hecho, esta deuda no ha desaparecido, sino que simplemente ha cambiado de sectores y países.</w:t>
      </w:r>
    </w:p>
    <w:p w:rsidR="000711BB" w:rsidRPr="008333E5" w:rsidRDefault="000711BB" w:rsidP="000711BB">
      <w:pPr>
        <w:spacing w:line="240" w:lineRule="auto"/>
        <w:jc w:val="both"/>
        <w:rPr>
          <w:rFonts w:ascii="Times New Roman" w:hAnsi="Times New Roman" w:cs="Times New Roman"/>
          <w:b/>
          <w:color w:val="FF0000"/>
          <w:sz w:val="24"/>
          <w:szCs w:val="24"/>
          <w:u w:val="single"/>
        </w:rPr>
      </w:pPr>
      <w:r w:rsidRPr="008333E5">
        <w:rPr>
          <w:rFonts w:ascii="Times New Roman" w:hAnsi="Times New Roman" w:cs="Times New Roman"/>
          <w:b/>
          <w:color w:val="FF0000"/>
          <w:sz w:val="24"/>
          <w:szCs w:val="24"/>
          <w:u w:val="single"/>
        </w:rPr>
        <w:t>La deuda global total (pública y privada combinada) se ha elevado de cerca de un 180% a más del 210% del PIB mundial. Frente a esta realidad, a los mercados les preocupa cada vez más el que los gobiernos y bancos centrales no cuenten con más medidas para compensar la deflación global y que las únicas herramientas disponibles sencillamente apunten a redistribuir la demanda entre países.</w:t>
      </w:r>
    </w:p>
    <w:p w:rsidR="000711BB" w:rsidRPr="008333E5" w:rsidRDefault="000711BB" w:rsidP="000711BB">
      <w:pPr>
        <w:spacing w:line="240" w:lineRule="auto"/>
        <w:jc w:val="both"/>
        <w:rPr>
          <w:rFonts w:ascii="Times New Roman" w:hAnsi="Times New Roman" w:cs="Times New Roman"/>
          <w:b/>
          <w:color w:val="FF0000"/>
          <w:sz w:val="24"/>
          <w:szCs w:val="24"/>
          <w:u w:val="single"/>
        </w:rPr>
      </w:pPr>
      <w:r w:rsidRPr="008333E5">
        <w:rPr>
          <w:rFonts w:ascii="Times New Roman" w:hAnsi="Times New Roman" w:cs="Times New Roman"/>
          <w:b/>
          <w:color w:val="FF0000"/>
          <w:sz w:val="24"/>
          <w:szCs w:val="24"/>
          <w:u w:val="single"/>
        </w:rPr>
        <w:t xml:space="preserve">Pero el hecho es que, como conjunto, a los bancos centrales y gobiernos nunca se les agotan las posibles medidas para compensar la deflación, porque siempre pueden financiar recortes fiscales o elevar el gasto público emitiendo más moneda. Precisamente eso es lo que las autoridades japonesas deberían hacer hoy, anulando </w:t>
      </w:r>
      <w:r w:rsidRPr="008333E5">
        <w:rPr>
          <w:rFonts w:ascii="Times New Roman" w:hAnsi="Times New Roman" w:cs="Times New Roman"/>
          <w:b/>
          <w:color w:val="FF0000"/>
          <w:sz w:val="24"/>
          <w:szCs w:val="24"/>
          <w:u w:val="single"/>
        </w:rPr>
        <w:lastRenderedPageBreak/>
        <w:t>de manera permanente algunas de las inmensas cantidades de bonos del gobierno del Japón que posee y cancelando el aumento del impuesto a las ventas que, de ponerse en efecto en abril de 2017, deprimirá aún más el crecimiento y la inflación del país.</w:t>
      </w:r>
    </w:p>
    <w:p w:rsidR="000711BB" w:rsidRPr="008333E5" w:rsidRDefault="000711BB" w:rsidP="000711BB">
      <w:pPr>
        <w:spacing w:line="240" w:lineRule="auto"/>
        <w:jc w:val="both"/>
        <w:rPr>
          <w:rFonts w:ascii="Times New Roman" w:hAnsi="Times New Roman" w:cs="Times New Roman"/>
          <w:sz w:val="24"/>
          <w:szCs w:val="24"/>
          <w:u w:val="single"/>
        </w:rPr>
      </w:pPr>
      <w:r w:rsidRPr="008865F1">
        <w:rPr>
          <w:rFonts w:ascii="Times New Roman" w:hAnsi="Times New Roman" w:cs="Times New Roman"/>
          <w:sz w:val="24"/>
          <w:szCs w:val="24"/>
        </w:rPr>
        <w:t xml:space="preserve">Como planteé en un artículo en la 16ª Conferencia Anual de Estudios del FMI, realizada en noviembre pasado, no hay duda de que una política así es técnicamente posible. Contrariamente a ciertas objeciones, no implica comprometerse a mantener las tasas de interés indefinidamente bajas, sino que </w:t>
      </w:r>
      <w:r w:rsidRPr="008333E5">
        <w:rPr>
          <w:rFonts w:ascii="Times New Roman" w:hAnsi="Times New Roman" w:cs="Times New Roman"/>
          <w:sz w:val="24"/>
          <w:szCs w:val="24"/>
          <w:u w:val="single"/>
        </w:rPr>
        <w:t>es la única manera de lograr que Japón escape de una trampa de endeudamiento tan profunda que sea sostenible únicamente aplicando tasas de interés cero.</w:t>
      </w:r>
    </w:p>
    <w:p w:rsidR="000711BB" w:rsidRPr="008333E5" w:rsidRDefault="000711BB" w:rsidP="000711BB">
      <w:pPr>
        <w:spacing w:line="240" w:lineRule="auto"/>
        <w:jc w:val="both"/>
        <w:rPr>
          <w:rFonts w:ascii="Times New Roman" w:hAnsi="Times New Roman" w:cs="Times New Roman"/>
          <w:sz w:val="24"/>
          <w:szCs w:val="24"/>
          <w:u w:val="single"/>
        </w:rPr>
      </w:pPr>
      <w:r w:rsidRPr="008333E5">
        <w:rPr>
          <w:rFonts w:ascii="Times New Roman" w:hAnsi="Times New Roman" w:cs="Times New Roman"/>
          <w:sz w:val="24"/>
          <w:szCs w:val="24"/>
          <w:u w:val="single"/>
        </w:rPr>
        <w:t>No existen escenarios convincentes en que la deuda del gobierno japonés pueda llegar a pagarse en el sentido normal de la palabra, ni tampoco la posibilidad de que los bonos públicos japoneses en poder del BDJ se puedan vender al sector privado. Mientras antes se admita esta realidad, mejor será para que Japón tenga alguna oportunidad de cumplir sus objetivos inflacionarios y estimular la demanda total, en lugar de intentar reducirla a costa de otros países.</w:t>
      </w:r>
    </w:p>
    <w:p w:rsidR="000711BB" w:rsidRPr="00BC3F39" w:rsidRDefault="000711BB" w:rsidP="000711BB">
      <w:pPr>
        <w:pStyle w:val="NormalWeb"/>
        <w:spacing w:after="0"/>
        <w:jc w:val="both"/>
        <w:rPr>
          <w:lang w:val="en-US"/>
        </w:rPr>
      </w:pPr>
      <w:r w:rsidRPr="00BC3F39">
        <w:rPr>
          <w:lang w:val="en-US"/>
        </w:rPr>
        <w:t>(Adair Turner, a former chairman of the United Kingdom's Financial Services Authority and former member of the UK's Financial Policy Committee, is Chairman of the Institute for New Economic Thinking. His latest book is Between Debt and the Devil</w:t>
      </w:r>
      <w:r>
        <w:rPr>
          <w:lang w:val="en-US"/>
        </w:rPr>
        <w:t>)</w:t>
      </w:r>
    </w:p>
    <w:p w:rsidR="000711BB" w:rsidRPr="00F43FA2" w:rsidRDefault="000711BB" w:rsidP="000711BB">
      <w:pPr>
        <w:spacing w:line="240" w:lineRule="auto"/>
        <w:jc w:val="both"/>
        <w:rPr>
          <w:rFonts w:ascii="Times New Roman" w:hAnsi="Times New Roman" w:cs="Times New Roman"/>
          <w:sz w:val="24"/>
          <w:szCs w:val="24"/>
        </w:rPr>
      </w:pPr>
      <w:r w:rsidRPr="00F43FA2">
        <w:rPr>
          <w:rFonts w:ascii="Times New Roman" w:hAnsi="Times New Roman" w:cs="Times New Roman"/>
          <w:sz w:val="24"/>
          <w:szCs w:val="24"/>
        </w:rPr>
        <w:t>- ¿</w:t>
      </w:r>
      <w:r w:rsidRPr="00F43FA2">
        <w:rPr>
          <w:rFonts w:ascii="Times New Roman" w:hAnsi="Times New Roman" w:cs="Times New Roman"/>
          <w:sz w:val="24"/>
          <w:szCs w:val="24"/>
          <w:u w:val="single"/>
        </w:rPr>
        <w:t>Qué está frenando a la economía mundial</w:t>
      </w:r>
      <w:r w:rsidRPr="00F43FA2">
        <w:rPr>
          <w:rFonts w:ascii="Times New Roman" w:hAnsi="Times New Roman" w:cs="Times New Roman"/>
          <w:sz w:val="24"/>
          <w:szCs w:val="24"/>
        </w:rPr>
        <w:t xml:space="preserve">? (Project Syndicate - </w:t>
      </w:r>
      <w:r w:rsidRPr="00F43FA2">
        <w:rPr>
          <w:rFonts w:ascii="Times New Roman" w:hAnsi="Times New Roman" w:cs="Times New Roman"/>
          <w:b/>
          <w:sz w:val="24"/>
          <w:szCs w:val="24"/>
        </w:rPr>
        <w:t>8/2/16</w:t>
      </w:r>
      <w:r w:rsidRPr="00F43FA2">
        <w:rPr>
          <w:rFonts w:ascii="Times New Roman" w:hAnsi="Times New Roman" w:cs="Times New Roman"/>
          <w:sz w:val="24"/>
          <w:szCs w:val="24"/>
        </w:rPr>
        <w:t>)</w:t>
      </w:r>
    </w:p>
    <w:p w:rsidR="000711BB" w:rsidRPr="00A611EE" w:rsidRDefault="000711BB" w:rsidP="000711BB">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rPr>
        <w:t>Nueva York.-</w:t>
      </w:r>
      <w:r w:rsidRPr="00F43FA2">
        <w:rPr>
          <w:rFonts w:ascii="Times New Roman" w:hAnsi="Times New Roman" w:cs="Times New Roman"/>
          <w:sz w:val="24"/>
          <w:szCs w:val="24"/>
        </w:rPr>
        <w:t xml:space="preserve"> Siete años después de que el 2008 entre en erupción la crisis financiera mundial, la economía del mundo continuó dando traspiés durante el año 2015. </w:t>
      </w:r>
      <w:r w:rsidRPr="00A611EE">
        <w:rPr>
          <w:rFonts w:ascii="Times New Roman" w:hAnsi="Times New Roman" w:cs="Times New Roman"/>
          <w:b/>
          <w:color w:val="FF0000"/>
          <w:sz w:val="24"/>
          <w:szCs w:val="24"/>
          <w:u w:val="single"/>
        </w:rPr>
        <w:t>Según el informe de las Naciones Unidas titulado Situación y Perspectivas de la Economía Mundial 2016, la tasa promedio de crecimiento en los países desarrollados ha disminuido en más del 54% desde la crisis. Se estima que cerca de 44 millones de personas están desempleadas en los países desarrollados, aproximadamente 12 millones más que en el año 2007, mientras que la inflación ha alcanzado su nivel más bajo desde la crisis.</w:t>
      </w:r>
    </w:p>
    <w:p w:rsidR="000711BB" w:rsidRPr="00A611EE" w:rsidRDefault="000711BB" w:rsidP="000711BB">
      <w:pPr>
        <w:spacing w:line="240" w:lineRule="auto"/>
        <w:jc w:val="both"/>
        <w:rPr>
          <w:rFonts w:ascii="Times New Roman" w:hAnsi="Times New Roman" w:cs="Times New Roman"/>
          <w:sz w:val="24"/>
          <w:szCs w:val="24"/>
          <w:u w:val="single"/>
        </w:rPr>
      </w:pPr>
      <w:r w:rsidRPr="00A611EE">
        <w:rPr>
          <w:rFonts w:ascii="Times New Roman" w:hAnsi="Times New Roman" w:cs="Times New Roman"/>
          <w:sz w:val="24"/>
          <w:szCs w:val="24"/>
          <w:u w:val="single"/>
        </w:rPr>
        <w:t>Aún de mayor preocupación es el hecho de que las tasas de crecimiento de los países avanzados, también, se han tornado en más volátiles. Esto es sorprendente, ya que, en su posición de economías desarrolladas con cuentas de capital totalmente abiertas, estas economías deberían haberse beneficiado de la libre circulación del capital y de la distrib</w:t>
      </w:r>
      <w:r>
        <w:rPr>
          <w:rFonts w:ascii="Times New Roman" w:hAnsi="Times New Roman" w:cs="Times New Roman"/>
          <w:sz w:val="24"/>
          <w:szCs w:val="24"/>
          <w:u w:val="single"/>
        </w:rPr>
        <w:t>ución internacional del riesgo -</w:t>
      </w:r>
      <w:r w:rsidRPr="00A611EE">
        <w:rPr>
          <w:rFonts w:ascii="Times New Roman" w:hAnsi="Times New Roman" w:cs="Times New Roman"/>
          <w:sz w:val="24"/>
          <w:szCs w:val="24"/>
          <w:u w:val="single"/>
        </w:rPr>
        <w:t xml:space="preserve"> y, por lo tanto, se debería experimentar poca volatilidad macroeconómica. Además, las transferencias sociales, incluyendo las prestaciones por desempleo, deberían haber permitido que los hogares estabilicen sus niveles de consumo.</w:t>
      </w:r>
    </w:p>
    <w:p w:rsidR="000711BB" w:rsidRPr="00A611EE" w:rsidRDefault="000711BB" w:rsidP="000711BB">
      <w:pPr>
        <w:spacing w:line="240" w:lineRule="auto"/>
        <w:jc w:val="both"/>
        <w:rPr>
          <w:rFonts w:ascii="Times New Roman" w:hAnsi="Times New Roman" w:cs="Times New Roman"/>
          <w:sz w:val="24"/>
          <w:szCs w:val="24"/>
          <w:u w:val="single"/>
        </w:rPr>
      </w:pPr>
      <w:r w:rsidRPr="00A611EE">
        <w:rPr>
          <w:rFonts w:ascii="Times New Roman" w:hAnsi="Times New Roman" w:cs="Times New Roman"/>
          <w:sz w:val="24"/>
          <w:szCs w:val="24"/>
          <w:u w:val="single"/>
        </w:rPr>
        <w:t>Sin embargo, las políticas dominantes durante el períod</w:t>
      </w:r>
      <w:r>
        <w:rPr>
          <w:rFonts w:ascii="Times New Roman" w:hAnsi="Times New Roman" w:cs="Times New Roman"/>
          <w:sz w:val="24"/>
          <w:szCs w:val="24"/>
          <w:u w:val="single"/>
        </w:rPr>
        <w:t>o posterior a la crisis -</w:t>
      </w:r>
      <w:r w:rsidRPr="00A611EE">
        <w:rPr>
          <w:rFonts w:ascii="Times New Roman" w:hAnsi="Times New Roman" w:cs="Times New Roman"/>
          <w:sz w:val="24"/>
          <w:szCs w:val="24"/>
          <w:u w:val="single"/>
        </w:rPr>
        <w:t>el ajuste fiscal y la flexibilización cuantitativa (QE), políticas implementadas por lo</w:t>
      </w:r>
      <w:r>
        <w:rPr>
          <w:rFonts w:ascii="Times New Roman" w:hAnsi="Times New Roman" w:cs="Times New Roman"/>
          <w:sz w:val="24"/>
          <w:szCs w:val="24"/>
          <w:u w:val="single"/>
        </w:rPr>
        <w:t>s principales bancos centrales-</w:t>
      </w:r>
      <w:r w:rsidRPr="00A611EE">
        <w:rPr>
          <w:rFonts w:ascii="Times New Roman" w:hAnsi="Times New Roman" w:cs="Times New Roman"/>
          <w:sz w:val="24"/>
          <w:szCs w:val="24"/>
          <w:u w:val="single"/>
        </w:rPr>
        <w:t xml:space="preserve"> han ofrecido poco apoyo para estimular el consumo de los hogares, la inversión y el crecimiento. Por el contrario, han tendido a empeorar las cosas.</w:t>
      </w:r>
    </w:p>
    <w:p w:rsidR="000711BB" w:rsidRPr="00A611EE" w:rsidRDefault="000711BB" w:rsidP="000711B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EEUU</w:t>
      </w:r>
      <w:r w:rsidRPr="00A611EE">
        <w:rPr>
          <w:rFonts w:ascii="Times New Roman" w:hAnsi="Times New Roman" w:cs="Times New Roman"/>
          <w:color w:val="FF0000"/>
          <w:sz w:val="24"/>
          <w:szCs w:val="24"/>
          <w:u w:val="single"/>
        </w:rPr>
        <w:t xml:space="preserve">, la flexibilización cuantitativa no impulsó el consumo y la inversión porque, en parte, la mayor parte de la liquidez adicional regresó a las arcas de los bancos centrales, en forma de excesos de reservas. La Ley de flexibilización regulatoria de los servicios financieros de 2006 autorizó que la Reserva Federal page intereses sobre las </w:t>
      </w:r>
      <w:r w:rsidRPr="00A611EE">
        <w:rPr>
          <w:rFonts w:ascii="Times New Roman" w:hAnsi="Times New Roman" w:cs="Times New Roman"/>
          <w:color w:val="FF0000"/>
          <w:sz w:val="24"/>
          <w:szCs w:val="24"/>
          <w:u w:val="single"/>
        </w:rPr>
        <w:lastRenderedPageBreak/>
        <w:t>reservas obligatorias y sobre las reservas en exceso, socavando, de esta manera, el objetivo clave de la QE.</w:t>
      </w:r>
    </w:p>
    <w:p w:rsidR="000711BB" w:rsidRPr="00A611EE" w:rsidRDefault="000711BB" w:rsidP="000711BB">
      <w:pPr>
        <w:spacing w:line="240" w:lineRule="auto"/>
        <w:jc w:val="both"/>
        <w:rPr>
          <w:rFonts w:ascii="Times New Roman" w:hAnsi="Times New Roman" w:cs="Times New Roman"/>
          <w:color w:val="FF0000"/>
          <w:sz w:val="24"/>
          <w:szCs w:val="24"/>
          <w:u w:val="single"/>
        </w:rPr>
      </w:pPr>
      <w:r w:rsidRPr="00A611EE">
        <w:rPr>
          <w:rFonts w:ascii="Times New Roman" w:hAnsi="Times New Roman" w:cs="Times New Roman"/>
          <w:color w:val="FF0000"/>
          <w:sz w:val="24"/>
          <w:szCs w:val="24"/>
          <w:u w:val="single"/>
        </w:rPr>
        <w:t>De hecho, con el sector financiero de Estados Unidos al borde del colapso, la Ley de Estabilización Económica de Emergencia de 2008 adelantó en tres años la fecha de entrada en vigencia del ofrecimiento de pago de intereses sobre reservas, estableciendo que la misma se iniciaría el 1 de octubre de 2008. Como resultado, el exceso de reservas que se mantiene en la Reserva Federal se disparó, pasando de un promedio $</w:t>
      </w:r>
      <w:r>
        <w:rPr>
          <w:rFonts w:ascii="Times New Roman" w:hAnsi="Times New Roman" w:cs="Times New Roman"/>
          <w:color w:val="FF0000"/>
          <w:sz w:val="24"/>
          <w:szCs w:val="24"/>
          <w:u w:val="single"/>
        </w:rPr>
        <w:t xml:space="preserve"> </w:t>
      </w:r>
      <w:r w:rsidRPr="00A611EE">
        <w:rPr>
          <w:rFonts w:ascii="Times New Roman" w:hAnsi="Times New Roman" w:cs="Times New Roman"/>
          <w:color w:val="FF0000"/>
          <w:sz w:val="24"/>
          <w:szCs w:val="24"/>
          <w:u w:val="single"/>
        </w:rPr>
        <w:t>200 mil millones durante el período 2000-2008 a $</w:t>
      </w:r>
      <w:r>
        <w:rPr>
          <w:rFonts w:ascii="Times New Roman" w:hAnsi="Times New Roman" w:cs="Times New Roman"/>
          <w:color w:val="FF0000"/>
          <w:sz w:val="24"/>
          <w:szCs w:val="24"/>
          <w:u w:val="single"/>
        </w:rPr>
        <w:t xml:space="preserve"> </w:t>
      </w:r>
      <w:r w:rsidRPr="00A611EE">
        <w:rPr>
          <w:rFonts w:ascii="Times New Roman" w:hAnsi="Times New Roman" w:cs="Times New Roman"/>
          <w:color w:val="FF0000"/>
          <w:sz w:val="24"/>
          <w:szCs w:val="24"/>
          <w:u w:val="single"/>
        </w:rPr>
        <w:t>1,6 millón de millones durante el período 2009-2015. Las instituciones financieras optaron por mantener su dinero en la Fed en lugar de realizar préstamos a la economía real, ganando casi $</w:t>
      </w:r>
      <w:r>
        <w:rPr>
          <w:rFonts w:ascii="Times New Roman" w:hAnsi="Times New Roman" w:cs="Times New Roman"/>
          <w:color w:val="FF0000"/>
          <w:sz w:val="24"/>
          <w:szCs w:val="24"/>
          <w:u w:val="single"/>
        </w:rPr>
        <w:t xml:space="preserve"> </w:t>
      </w:r>
      <w:r w:rsidR="00D43A67">
        <w:rPr>
          <w:rFonts w:ascii="Times New Roman" w:hAnsi="Times New Roman" w:cs="Times New Roman"/>
          <w:color w:val="FF0000"/>
          <w:sz w:val="24"/>
          <w:szCs w:val="24"/>
          <w:u w:val="single"/>
        </w:rPr>
        <w:t>30 mil millones -</w:t>
      </w:r>
      <w:r w:rsidRPr="00A611EE">
        <w:rPr>
          <w:rFonts w:ascii="Times New Roman" w:hAnsi="Times New Roman" w:cs="Times New Roman"/>
          <w:color w:val="FF0000"/>
          <w:sz w:val="24"/>
          <w:szCs w:val="24"/>
          <w:u w:val="single"/>
        </w:rPr>
        <w:t>sin corre</w:t>
      </w:r>
      <w:r w:rsidR="00D43A67">
        <w:rPr>
          <w:rFonts w:ascii="Times New Roman" w:hAnsi="Times New Roman" w:cs="Times New Roman"/>
          <w:color w:val="FF0000"/>
          <w:sz w:val="24"/>
          <w:szCs w:val="24"/>
          <w:u w:val="single"/>
        </w:rPr>
        <w:t>r ningún riesgo en lo absoluto</w:t>
      </w:r>
      <w:r>
        <w:rPr>
          <w:rFonts w:ascii="Times New Roman" w:hAnsi="Times New Roman" w:cs="Times New Roman"/>
          <w:color w:val="FF0000"/>
          <w:sz w:val="24"/>
          <w:szCs w:val="24"/>
          <w:u w:val="single"/>
        </w:rPr>
        <w:t>-</w:t>
      </w:r>
      <w:r w:rsidRPr="00A611EE">
        <w:rPr>
          <w:rFonts w:ascii="Times New Roman" w:hAnsi="Times New Roman" w:cs="Times New Roman"/>
          <w:color w:val="FF0000"/>
          <w:sz w:val="24"/>
          <w:szCs w:val="24"/>
          <w:u w:val="single"/>
        </w:rPr>
        <w:t xml:space="preserve"> durante los pasados cinco años.</w:t>
      </w:r>
    </w:p>
    <w:p w:rsidR="000711BB" w:rsidRPr="00A611EE" w:rsidRDefault="000711BB" w:rsidP="000711BB">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Esto equivale a una generosa -</w:t>
      </w:r>
      <w:r w:rsidRPr="00A611EE">
        <w:rPr>
          <w:rFonts w:ascii="Times New Roman" w:hAnsi="Times New Roman" w:cs="Times New Roman"/>
          <w:color w:val="FF0000"/>
          <w:sz w:val="24"/>
          <w:szCs w:val="24"/>
          <w:u w:val="single"/>
        </w:rPr>
        <w:t xml:space="preserve">y en </w:t>
      </w:r>
      <w:r>
        <w:rPr>
          <w:rFonts w:ascii="Times New Roman" w:hAnsi="Times New Roman" w:cs="Times New Roman"/>
          <w:color w:val="FF0000"/>
          <w:sz w:val="24"/>
          <w:szCs w:val="24"/>
          <w:u w:val="single"/>
        </w:rPr>
        <w:t xml:space="preserve">gran medida oculta- </w:t>
      </w:r>
      <w:r w:rsidRPr="00A611EE">
        <w:rPr>
          <w:rFonts w:ascii="Times New Roman" w:hAnsi="Times New Roman" w:cs="Times New Roman"/>
          <w:color w:val="FF0000"/>
          <w:sz w:val="24"/>
          <w:szCs w:val="24"/>
          <w:u w:val="single"/>
        </w:rPr>
        <w:t>subvención de la Fed al sector financiero. Y, como consecuencia de la subida de tasas de interés de la Fed el mes pasado, la subvención se incrementará en $</w:t>
      </w:r>
      <w:r>
        <w:rPr>
          <w:rFonts w:ascii="Times New Roman" w:hAnsi="Times New Roman" w:cs="Times New Roman"/>
          <w:color w:val="FF0000"/>
          <w:sz w:val="24"/>
          <w:szCs w:val="24"/>
          <w:u w:val="single"/>
        </w:rPr>
        <w:t xml:space="preserve"> </w:t>
      </w:r>
      <w:r w:rsidRPr="00A611EE">
        <w:rPr>
          <w:rFonts w:ascii="Times New Roman" w:hAnsi="Times New Roman" w:cs="Times New Roman"/>
          <w:color w:val="FF0000"/>
          <w:sz w:val="24"/>
          <w:szCs w:val="24"/>
          <w:u w:val="single"/>
        </w:rPr>
        <w:t>13 mil millones este año.</w:t>
      </w:r>
    </w:p>
    <w:p w:rsidR="000711BB" w:rsidRPr="00A611EE" w:rsidRDefault="000711BB" w:rsidP="000711BB">
      <w:pPr>
        <w:spacing w:line="240" w:lineRule="auto"/>
        <w:jc w:val="both"/>
        <w:rPr>
          <w:rFonts w:ascii="Times New Roman" w:hAnsi="Times New Roman" w:cs="Times New Roman"/>
          <w:color w:val="FF0000"/>
          <w:sz w:val="24"/>
          <w:szCs w:val="24"/>
          <w:u w:val="single"/>
        </w:rPr>
      </w:pPr>
      <w:r w:rsidRPr="00F43FA2">
        <w:rPr>
          <w:rFonts w:ascii="Times New Roman" w:hAnsi="Times New Roman" w:cs="Times New Roman"/>
          <w:sz w:val="24"/>
          <w:szCs w:val="24"/>
        </w:rPr>
        <w:t xml:space="preserve">Los incentivos perjudiciales son solamente una de las razones por las que no se materializaron muchos de los beneficios que se esperaba recibir como resultado de las bajas tasas de interés. </w:t>
      </w:r>
      <w:r w:rsidRPr="00A611EE">
        <w:rPr>
          <w:rFonts w:ascii="Times New Roman" w:hAnsi="Times New Roman" w:cs="Times New Roman"/>
          <w:color w:val="FF0000"/>
          <w:sz w:val="24"/>
          <w:szCs w:val="24"/>
          <w:u w:val="single"/>
        </w:rPr>
        <w:t>Dado que la QE logró mantener las tasas de interés cerca a cero durante casi siete años, se debería haber incentivado a que los gobiernos de los países desarrollados obtengan préstamos e inviertan en infraestructura, educación y sectores sociales. El aumento de las transferencias sociales durante el período posterior a la crisis habría impulsado la demanda agregada y suavizado en alguna medida los patrones de consumo.</w:t>
      </w:r>
    </w:p>
    <w:p w:rsidR="000711BB" w:rsidRPr="00A611EE" w:rsidRDefault="000711BB" w:rsidP="000711BB">
      <w:pPr>
        <w:spacing w:line="240" w:lineRule="auto"/>
        <w:jc w:val="both"/>
        <w:rPr>
          <w:rFonts w:ascii="Times New Roman" w:hAnsi="Times New Roman" w:cs="Times New Roman"/>
          <w:b/>
          <w:color w:val="FF0000"/>
          <w:sz w:val="24"/>
          <w:szCs w:val="24"/>
          <w:u w:val="single"/>
        </w:rPr>
      </w:pPr>
      <w:r w:rsidRPr="00A611EE">
        <w:rPr>
          <w:rFonts w:ascii="Times New Roman" w:hAnsi="Times New Roman" w:cs="Times New Roman"/>
          <w:b/>
          <w:color w:val="FF0000"/>
          <w:sz w:val="24"/>
          <w:szCs w:val="24"/>
          <w:u w:val="single"/>
        </w:rPr>
        <w:t>Por otra parte, el informe de la ONU muestra claramente que a lo largo de todo el mundo desarrollado, la inversión privada no creció como era de esperar, tomando en consideración las extremadamente bajas tasas de interés. En 17 de las 20 mayores economías desarrolladas, el crecimiento de la inversión se mantuvo más bajo durante el periodo posterior al 2008 en comparación con el nivel alcanzado durante los años anteriores a la crisis; asimismo, cinco economías experimentaron una disminución de la inversión durante el periodo 2010-2015.</w:t>
      </w:r>
    </w:p>
    <w:p w:rsidR="000711BB" w:rsidRPr="00A611EE" w:rsidRDefault="000711BB" w:rsidP="000711BB">
      <w:pPr>
        <w:spacing w:line="240" w:lineRule="auto"/>
        <w:jc w:val="both"/>
        <w:rPr>
          <w:rFonts w:ascii="Times New Roman" w:hAnsi="Times New Roman" w:cs="Times New Roman"/>
          <w:color w:val="FF0000"/>
          <w:sz w:val="24"/>
          <w:szCs w:val="24"/>
          <w:u w:val="single"/>
        </w:rPr>
      </w:pPr>
      <w:r w:rsidRPr="00A611EE">
        <w:rPr>
          <w:rFonts w:ascii="Times New Roman" w:hAnsi="Times New Roman" w:cs="Times New Roman"/>
          <w:color w:val="FF0000"/>
          <w:sz w:val="24"/>
          <w:szCs w:val="24"/>
          <w:u w:val="single"/>
        </w:rPr>
        <w:t>A nivel mundial, los títulos-valores emitidos por las</w:t>
      </w:r>
      <w:r>
        <w:rPr>
          <w:rFonts w:ascii="Times New Roman" w:hAnsi="Times New Roman" w:cs="Times New Roman"/>
          <w:color w:val="FF0000"/>
          <w:sz w:val="24"/>
          <w:szCs w:val="24"/>
          <w:u w:val="single"/>
        </w:rPr>
        <w:t xml:space="preserve"> corporaciones no financieras -</w:t>
      </w:r>
      <w:r w:rsidRPr="00A611EE">
        <w:rPr>
          <w:rFonts w:ascii="Times New Roman" w:hAnsi="Times New Roman" w:cs="Times New Roman"/>
          <w:color w:val="FF0000"/>
          <w:sz w:val="24"/>
          <w:szCs w:val="24"/>
          <w:u w:val="single"/>
        </w:rPr>
        <w:t xml:space="preserve">mismas que se supone </w:t>
      </w:r>
      <w:r>
        <w:rPr>
          <w:rFonts w:ascii="Times New Roman" w:hAnsi="Times New Roman" w:cs="Times New Roman"/>
          <w:color w:val="FF0000"/>
          <w:sz w:val="24"/>
          <w:szCs w:val="24"/>
          <w:u w:val="single"/>
        </w:rPr>
        <w:t>que realizan inversiones fijas-</w:t>
      </w:r>
      <w:r w:rsidRPr="00A611EE">
        <w:rPr>
          <w:rFonts w:ascii="Times New Roman" w:hAnsi="Times New Roman" w:cs="Times New Roman"/>
          <w:color w:val="FF0000"/>
          <w:sz w:val="24"/>
          <w:szCs w:val="24"/>
          <w:u w:val="single"/>
        </w:rPr>
        <w:t xml:space="preserve"> aumentaron significativamente durante el mismo período. De manera consistente con otra evidencia, esto implicaría que muchas corporaciones no financieras obtuvieron préstamos, aprovechando las bajas tasas de interés. Sin embargo, en lugar de invertir, estas corporaciones utilizaron el dinero prestado para volver a comprar sus propias acciones o para adquirir otros activos financieros. Por lo tanto, la QE estimuló fuertes incrementos en el apalancamiento, la capitalización de mercado y la rentabilidad del sector financiero.</w:t>
      </w:r>
    </w:p>
    <w:p w:rsidR="000711BB" w:rsidRPr="00A611EE" w:rsidRDefault="000711BB" w:rsidP="000711BB">
      <w:pPr>
        <w:spacing w:line="240" w:lineRule="auto"/>
        <w:jc w:val="both"/>
        <w:rPr>
          <w:rFonts w:ascii="Times New Roman" w:hAnsi="Times New Roman" w:cs="Times New Roman"/>
          <w:b/>
          <w:color w:val="FF0000"/>
          <w:sz w:val="24"/>
          <w:szCs w:val="24"/>
          <w:u w:val="single"/>
        </w:rPr>
      </w:pPr>
      <w:r w:rsidRPr="00A611EE">
        <w:rPr>
          <w:rFonts w:ascii="Times New Roman" w:hAnsi="Times New Roman" w:cs="Times New Roman"/>
          <w:b/>
          <w:color w:val="FF0000"/>
          <w:sz w:val="24"/>
          <w:szCs w:val="24"/>
          <w:u w:val="single"/>
        </w:rPr>
        <w:t>Sin embargo, dígase una vez más, nada de esto fue de mucha ayuda para la economía real. De manera clara, mantener las tasas de interés en un nivel cerca de cero no conduce necesariamente a niveles más altos de crédito o inversión. Cuando a los bancos se les da la libertad de elegir, eligen ganancias libres de riesgo o incluso eligen la especulación financiera en lugar de realizar préstamos que apoyarían el objetivo más amplio de crecimiento económico.</w:t>
      </w:r>
    </w:p>
    <w:p w:rsidR="000711BB" w:rsidRPr="00A611EE" w:rsidRDefault="000711BB" w:rsidP="000711BB">
      <w:pPr>
        <w:spacing w:line="240" w:lineRule="auto"/>
        <w:jc w:val="both"/>
        <w:rPr>
          <w:rFonts w:ascii="Times New Roman" w:hAnsi="Times New Roman" w:cs="Times New Roman"/>
          <w:color w:val="FF0000"/>
          <w:sz w:val="24"/>
          <w:szCs w:val="24"/>
          <w:u w:val="single"/>
        </w:rPr>
      </w:pPr>
      <w:r w:rsidRPr="00F43FA2">
        <w:rPr>
          <w:rFonts w:ascii="Times New Roman" w:hAnsi="Times New Roman" w:cs="Times New Roman"/>
          <w:sz w:val="24"/>
          <w:szCs w:val="24"/>
        </w:rPr>
        <w:t xml:space="preserve">Por el contrario, cuando el Banco Mundial o el Fondo Monetario Internacional prestan dinero barato a los países en desarrollo, se imponen condiciones a estos países con </w:t>
      </w:r>
      <w:r w:rsidRPr="00F43FA2">
        <w:rPr>
          <w:rFonts w:ascii="Times New Roman" w:hAnsi="Times New Roman" w:cs="Times New Roman"/>
          <w:sz w:val="24"/>
          <w:szCs w:val="24"/>
        </w:rPr>
        <w:lastRenderedPageBreak/>
        <w:t xml:space="preserve">relación a lo que ellos pueden hacer con dicho dinero. </w:t>
      </w:r>
      <w:r w:rsidRPr="00A611EE">
        <w:rPr>
          <w:rFonts w:ascii="Times New Roman" w:hAnsi="Times New Roman" w:cs="Times New Roman"/>
          <w:color w:val="FF0000"/>
          <w:sz w:val="24"/>
          <w:szCs w:val="24"/>
          <w:u w:val="single"/>
        </w:rPr>
        <w:t>Para tener el efecto deseado, la QE debería haber estado acompañada no sólo por esfuerzos oficiales por restablecer los deteriorados canales de préstamos (especialmente aquellos que dirigen fondos a las pequeñas y medianas empresas), sino también por objetivos específicos de otorgamiento de créditos para los bancos. En vez de fomentar efectivamente a que los bancos no presten, la Fed debería haber  penalizando a los bancos por mantener excesos de reservas.</w:t>
      </w:r>
    </w:p>
    <w:p w:rsidR="000711BB" w:rsidRPr="00F43FA2" w:rsidRDefault="000711BB" w:rsidP="000711BB">
      <w:pPr>
        <w:spacing w:line="240" w:lineRule="auto"/>
        <w:jc w:val="both"/>
        <w:rPr>
          <w:rFonts w:ascii="Times New Roman" w:hAnsi="Times New Roman" w:cs="Times New Roman"/>
          <w:sz w:val="24"/>
          <w:szCs w:val="24"/>
        </w:rPr>
      </w:pPr>
      <w:r w:rsidRPr="00A611EE">
        <w:rPr>
          <w:rFonts w:ascii="Times New Roman" w:hAnsi="Times New Roman" w:cs="Times New Roman"/>
          <w:color w:val="FF0000"/>
          <w:sz w:val="24"/>
          <w:szCs w:val="24"/>
          <w:u w:val="single"/>
        </w:rPr>
        <w:t>Si bien las tasas de interés extremadamente bajas produjeron pocos beneficios para los países desarrollados, dichas tasas impusieron costos significativos a las economías de los mercados en desarrollo y emergentes. Una consecuencia no intencionada, pero no inesperada, de la flexibilización monetaria ha sido los fuertes aumentos en los flujos de capital transfronterizos. El total de entradas de capital a los países en desarrollo aumentó desde alrededor de $</w:t>
      </w:r>
      <w:r>
        <w:rPr>
          <w:rFonts w:ascii="Times New Roman" w:hAnsi="Times New Roman" w:cs="Times New Roman"/>
          <w:color w:val="FF0000"/>
          <w:sz w:val="24"/>
          <w:szCs w:val="24"/>
          <w:u w:val="single"/>
        </w:rPr>
        <w:t xml:space="preserve"> </w:t>
      </w:r>
      <w:r w:rsidRPr="00A611EE">
        <w:rPr>
          <w:rFonts w:ascii="Times New Roman" w:hAnsi="Times New Roman" w:cs="Times New Roman"/>
          <w:color w:val="FF0000"/>
          <w:sz w:val="24"/>
          <w:szCs w:val="24"/>
          <w:u w:val="single"/>
        </w:rPr>
        <w:t>20 mil millones en el año 2008 a más de $</w:t>
      </w:r>
      <w:r>
        <w:rPr>
          <w:rFonts w:ascii="Times New Roman" w:hAnsi="Times New Roman" w:cs="Times New Roman"/>
          <w:color w:val="FF0000"/>
          <w:sz w:val="24"/>
          <w:szCs w:val="24"/>
          <w:u w:val="single"/>
        </w:rPr>
        <w:t xml:space="preserve"> </w:t>
      </w:r>
      <w:r w:rsidRPr="00A611EE">
        <w:rPr>
          <w:rFonts w:ascii="Times New Roman" w:hAnsi="Times New Roman" w:cs="Times New Roman"/>
          <w:color w:val="FF0000"/>
          <w:sz w:val="24"/>
          <w:szCs w:val="24"/>
          <w:u w:val="single"/>
        </w:rPr>
        <w:t>600 mil millones en el 2010</w:t>
      </w:r>
      <w:r w:rsidRPr="00F43FA2">
        <w:rPr>
          <w:rFonts w:ascii="Times New Roman" w:hAnsi="Times New Roman" w:cs="Times New Roman"/>
          <w:sz w:val="24"/>
          <w:szCs w:val="24"/>
        </w:rPr>
        <w:t>.</w:t>
      </w:r>
    </w:p>
    <w:p w:rsidR="000711BB" w:rsidRPr="00A611EE" w:rsidRDefault="000711BB" w:rsidP="000711BB">
      <w:pPr>
        <w:spacing w:line="240" w:lineRule="auto"/>
        <w:jc w:val="both"/>
        <w:rPr>
          <w:rFonts w:ascii="Times New Roman" w:hAnsi="Times New Roman" w:cs="Times New Roman"/>
          <w:sz w:val="24"/>
          <w:szCs w:val="24"/>
          <w:u w:val="single"/>
        </w:rPr>
      </w:pPr>
      <w:r w:rsidRPr="00A611EE">
        <w:rPr>
          <w:rFonts w:ascii="Times New Roman" w:hAnsi="Times New Roman" w:cs="Times New Roman"/>
          <w:sz w:val="24"/>
          <w:szCs w:val="24"/>
          <w:u w:val="single"/>
        </w:rPr>
        <w:t>En dicho momento, muchos mercados emergentes tuvieron dificultades para manejar el aumento repentino de flujos de capital. Muy poco de ese flujo se dirigió a la inversión fija. De hecho, el crecimiento de la inversión en los países en desarrollo se redujo significativamente durante el período posterior a la crisis. En este año se espera que los países en desarrollo, en su conjunto, registren su primera salida net</w:t>
      </w:r>
      <w:r>
        <w:rPr>
          <w:rFonts w:ascii="Times New Roman" w:hAnsi="Times New Roman" w:cs="Times New Roman"/>
          <w:sz w:val="24"/>
          <w:szCs w:val="24"/>
          <w:u w:val="single"/>
        </w:rPr>
        <w:t>a de capital desde el año 2006 -</w:t>
      </w:r>
      <w:r w:rsidRPr="00A611EE">
        <w:rPr>
          <w:rFonts w:ascii="Times New Roman" w:hAnsi="Times New Roman" w:cs="Times New Roman"/>
          <w:sz w:val="24"/>
          <w:szCs w:val="24"/>
          <w:u w:val="single"/>
        </w:rPr>
        <w:t xml:space="preserve"> misma que se prevé que alcance un total de $</w:t>
      </w:r>
      <w:r>
        <w:rPr>
          <w:rFonts w:ascii="Times New Roman" w:hAnsi="Times New Roman" w:cs="Times New Roman"/>
          <w:sz w:val="24"/>
          <w:szCs w:val="24"/>
          <w:u w:val="single"/>
        </w:rPr>
        <w:t xml:space="preserve"> </w:t>
      </w:r>
      <w:r w:rsidRPr="00A611EE">
        <w:rPr>
          <w:rFonts w:ascii="Times New Roman" w:hAnsi="Times New Roman" w:cs="Times New Roman"/>
          <w:sz w:val="24"/>
          <w:szCs w:val="24"/>
          <w:u w:val="single"/>
        </w:rPr>
        <w:t>615 mil millones.</w:t>
      </w:r>
    </w:p>
    <w:p w:rsidR="000711BB" w:rsidRPr="00A611EE" w:rsidRDefault="000711BB" w:rsidP="000711BB">
      <w:pPr>
        <w:spacing w:line="240" w:lineRule="auto"/>
        <w:jc w:val="both"/>
        <w:rPr>
          <w:rFonts w:ascii="Times New Roman" w:hAnsi="Times New Roman" w:cs="Times New Roman"/>
          <w:b/>
          <w:color w:val="FF0000"/>
          <w:sz w:val="24"/>
          <w:szCs w:val="24"/>
          <w:u w:val="single"/>
        </w:rPr>
      </w:pPr>
      <w:r w:rsidRPr="00A611EE">
        <w:rPr>
          <w:rFonts w:ascii="Times New Roman" w:hAnsi="Times New Roman" w:cs="Times New Roman"/>
          <w:b/>
          <w:color w:val="FF0000"/>
          <w:sz w:val="24"/>
          <w:szCs w:val="24"/>
          <w:u w:val="single"/>
        </w:rPr>
        <w:t>Ni la política monetaria, ni el sector financiero, están haciendo lo que tiene que hacer. Parece ser que la inundación de liquidez se ha dirigido de manera desproporcionada hacia crear riqueza financiera e inflar burbujas de activos, en lugar de ir a fortalecer la economía real. A pesar de las fuertes caídas de los precios de las acciones, la capitalización de mercado como porcentaje del PIB mundial sigue siendo alta. El riesgo de una nueva crisis financiera no puede ser ignorado.</w:t>
      </w:r>
    </w:p>
    <w:p w:rsidR="000711BB" w:rsidRPr="00A611EE" w:rsidRDefault="000711BB" w:rsidP="000711BB">
      <w:pPr>
        <w:spacing w:line="240" w:lineRule="auto"/>
        <w:jc w:val="both"/>
        <w:rPr>
          <w:rFonts w:ascii="Times New Roman" w:hAnsi="Times New Roman" w:cs="Times New Roman"/>
          <w:color w:val="FF0000"/>
          <w:sz w:val="24"/>
          <w:szCs w:val="24"/>
          <w:u w:val="single"/>
        </w:rPr>
      </w:pPr>
      <w:r w:rsidRPr="00A611EE">
        <w:rPr>
          <w:rFonts w:ascii="Times New Roman" w:hAnsi="Times New Roman" w:cs="Times New Roman"/>
          <w:color w:val="FF0000"/>
          <w:sz w:val="24"/>
          <w:szCs w:val="24"/>
          <w:u w:val="single"/>
        </w:rPr>
        <w:t>Hay otras políticas que mantienen la promesa de restaurar el crecimiento sostenible e integrador. Estas políticas comienzan con la reinvención de reglas para la economía de mercado con el propósito de garantizar una mayor igualdad, más pensamiento a largo plazo y la aplicación de controles al mercado financiero mediante una regulación eficaz y estructuras de incentivos que sean apropiadas.</w:t>
      </w:r>
    </w:p>
    <w:p w:rsidR="000711BB" w:rsidRPr="00A611EE" w:rsidRDefault="000711BB" w:rsidP="000711BB">
      <w:pPr>
        <w:spacing w:line="240" w:lineRule="auto"/>
        <w:jc w:val="both"/>
        <w:rPr>
          <w:rFonts w:ascii="Times New Roman" w:hAnsi="Times New Roman" w:cs="Times New Roman"/>
          <w:color w:val="FF0000"/>
          <w:sz w:val="24"/>
          <w:szCs w:val="24"/>
          <w:u w:val="single"/>
        </w:rPr>
      </w:pPr>
      <w:r w:rsidRPr="00A611EE">
        <w:rPr>
          <w:rFonts w:ascii="Times New Roman" w:hAnsi="Times New Roman" w:cs="Times New Roman"/>
          <w:color w:val="FF0000"/>
          <w:sz w:val="24"/>
          <w:szCs w:val="24"/>
          <w:u w:val="single"/>
        </w:rPr>
        <w:t>Pero también se necesitará un gran aumento de la inversión pública en infraestructura, educación y tecnología. Estos incrementos tendrán que ser financiados, al menos en parte, por la imposición de impuestos ambientales, incluyendo impuestos al carbono y al monopolio, así como impuestos a otras rentas, mismas que se han tornado en omniprese</w:t>
      </w:r>
      <w:r>
        <w:rPr>
          <w:rFonts w:ascii="Times New Roman" w:hAnsi="Times New Roman" w:cs="Times New Roman"/>
          <w:color w:val="FF0000"/>
          <w:sz w:val="24"/>
          <w:szCs w:val="24"/>
          <w:u w:val="single"/>
        </w:rPr>
        <w:t>ntes en la economía de mercado -</w:t>
      </w:r>
      <w:r w:rsidRPr="00A611EE">
        <w:rPr>
          <w:rFonts w:ascii="Times New Roman" w:hAnsi="Times New Roman" w:cs="Times New Roman"/>
          <w:color w:val="FF0000"/>
          <w:sz w:val="24"/>
          <w:szCs w:val="24"/>
          <w:u w:val="single"/>
        </w:rPr>
        <w:t xml:space="preserve"> y que contribuyen enormemente a la desigualdad y al crecimiento lento.</w:t>
      </w:r>
    </w:p>
    <w:p w:rsidR="000711BB" w:rsidRDefault="000711BB" w:rsidP="000711BB">
      <w:pPr>
        <w:spacing w:line="240" w:lineRule="auto"/>
        <w:jc w:val="both"/>
        <w:rPr>
          <w:rFonts w:ascii="Times New Roman" w:hAnsi="Times New Roman" w:cs="Times New Roman"/>
          <w:sz w:val="24"/>
          <w:szCs w:val="24"/>
        </w:rPr>
      </w:pPr>
      <w:r w:rsidRPr="00F43FA2">
        <w:rPr>
          <w:rFonts w:ascii="Times New Roman" w:hAnsi="Times New Roman" w:cs="Times New Roman"/>
          <w:sz w:val="24"/>
          <w:szCs w:val="24"/>
        </w:rPr>
        <w:t>Las opiniones expresadas aquí no reflejan los puntos de vista de las Naciones Unidas o de sus Estados miembros.</w:t>
      </w:r>
    </w:p>
    <w:p w:rsidR="000711BB" w:rsidRPr="00BC3F39"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(Joseph E. Stiglitz, recipient of the Nobel Memorial Prize in Economic Sciences in 2001 and the John Bates Clark Medal in 1979, is University Professor at Columbia University, Co-Chair of the High-Level Expert Group on the Measurement of Economic Performance and Social</w:t>
      </w:r>
      <w:r>
        <w:rPr>
          <w:rFonts w:ascii="Times New Roman" w:hAnsi="Times New Roman" w:cs="Times New Roman"/>
          <w:sz w:val="24"/>
          <w:szCs w:val="24"/>
          <w:lang w:val="en-US"/>
        </w:rPr>
        <w:t xml:space="preserve"> Progress at the OECD</w:t>
      </w:r>
      <w:r w:rsidRPr="00BC3F39">
        <w:rPr>
          <w:rFonts w:ascii="Times New Roman" w:hAnsi="Times New Roman" w:cs="Times New Roman"/>
          <w:sz w:val="24"/>
          <w:szCs w:val="24"/>
          <w:lang w:val="en-US"/>
        </w:rPr>
        <w:t>…)</w:t>
      </w:r>
    </w:p>
    <w:p w:rsidR="000711BB"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63309">
        <w:rPr>
          <w:rFonts w:ascii="Times New Roman" w:hAnsi="Times New Roman" w:cs="Times New Roman"/>
          <w:sz w:val="24"/>
          <w:szCs w:val="24"/>
          <w:u w:val="single"/>
        </w:rPr>
        <w:t>Se acerca una recesión global; ¿qué hacen los bancos centrales?</w:t>
      </w:r>
      <w:r w:rsidRPr="00F63309">
        <w:rPr>
          <w:rFonts w:ascii="Times New Roman" w:hAnsi="Times New Roman" w:cs="Times New Roman"/>
          <w:sz w:val="24"/>
          <w:szCs w:val="24"/>
        </w:rPr>
        <w:t xml:space="preserve"> </w:t>
      </w:r>
      <w:r>
        <w:rPr>
          <w:rFonts w:ascii="Times New Roman" w:hAnsi="Times New Roman" w:cs="Times New Roman"/>
          <w:sz w:val="24"/>
          <w:szCs w:val="24"/>
        </w:rPr>
        <w:t xml:space="preserve">(Expansión - FT - </w:t>
      </w:r>
      <w:r w:rsidRPr="00F63309">
        <w:rPr>
          <w:rFonts w:ascii="Times New Roman" w:hAnsi="Times New Roman" w:cs="Times New Roman"/>
          <w:b/>
          <w:sz w:val="24"/>
          <w:szCs w:val="24"/>
        </w:rPr>
        <w:t>9/2/16</w:t>
      </w:r>
      <w:r>
        <w:rPr>
          <w:rFonts w:ascii="Times New Roman" w:hAnsi="Times New Roman" w:cs="Times New Roman"/>
          <w:sz w:val="24"/>
          <w:szCs w:val="24"/>
        </w:rPr>
        <w:t>)</w:t>
      </w:r>
    </w:p>
    <w:p w:rsidR="000711BB"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63309">
        <w:rPr>
          <w:rFonts w:ascii="Times New Roman" w:hAnsi="Times New Roman" w:cs="Times New Roman"/>
          <w:sz w:val="24"/>
          <w:szCs w:val="24"/>
        </w:rPr>
        <w:t>P</w:t>
      </w:r>
      <w:r>
        <w:rPr>
          <w:rFonts w:ascii="Times New Roman" w:hAnsi="Times New Roman" w:cs="Times New Roman"/>
          <w:sz w:val="24"/>
          <w:szCs w:val="24"/>
        </w:rPr>
        <w:t xml:space="preserve">or Martin Wolf, Financial Times) </w:t>
      </w:r>
    </w:p>
    <w:p w:rsidR="000711BB"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Es muy probable que los bancos centrales tengan que tomar medidas muy poco convencionales ante la situación financiera global. Deberían estar preparados ya.</w:t>
      </w:r>
    </w:p>
    <w:p w:rsidR="000711BB" w:rsidRPr="00C36601" w:rsidRDefault="000711BB" w:rsidP="000711BB">
      <w:pPr>
        <w:spacing w:line="240" w:lineRule="auto"/>
        <w:jc w:val="both"/>
        <w:rPr>
          <w:rFonts w:ascii="Times New Roman" w:hAnsi="Times New Roman" w:cs="Times New Roman"/>
          <w:color w:val="FF0000"/>
          <w:sz w:val="24"/>
          <w:szCs w:val="24"/>
          <w:u w:val="single"/>
        </w:rPr>
      </w:pPr>
      <w:r w:rsidRPr="00C36601">
        <w:rPr>
          <w:rFonts w:ascii="Times New Roman" w:hAnsi="Times New Roman" w:cs="Times New Roman"/>
          <w:color w:val="FF0000"/>
          <w:sz w:val="24"/>
          <w:szCs w:val="24"/>
          <w:u w:val="single"/>
        </w:rPr>
        <w:t>¿Qué podrían hacer los bancos centrales si llegara una nueva recesión y los tipos de interés fueran mucho menores que los de antes de 2008? Según un informe realizado por la Resolution Foundation de Londres, es muy probable que suceda esto, y los bancos centrales necesitan estar preparados ante esta eventualidad. La parte más importante de esta preparación consiste en convencer a la opinión pública de que saben qué harían si ocurriera.</w:t>
      </w:r>
    </w:p>
    <w:p w:rsidR="000711BB" w:rsidRPr="00F63309" w:rsidRDefault="000711BB" w:rsidP="000711BB">
      <w:pPr>
        <w:spacing w:line="240" w:lineRule="auto"/>
        <w:jc w:val="both"/>
        <w:rPr>
          <w:rFonts w:ascii="Times New Roman" w:hAnsi="Times New Roman" w:cs="Times New Roman"/>
          <w:sz w:val="24"/>
          <w:szCs w:val="24"/>
        </w:rPr>
      </w:pPr>
      <w:r w:rsidRPr="00F63309">
        <w:rPr>
          <w:rFonts w:ascii="Times New Roman" w:hAnsi="Times New Roman" w:cs="Times New Roman"/>
          <w:sz w:val="24"/>
          <w:szCs w:val="24"/>
        </w:rPr>
        <w:t>Actualmente, ocho años y medio después de que aparecieran los primeros signos de la crisis financiera, el tipo de interés a corto plazo más alto que aplican los principales bancos centrales del mundo -la Reserva Federal, el Banco Central Europeo (BCE), el Banco de Japón y el Banco de Inglaterra- es del 0,5%, del Banco de Inglaterra, que lleva en vigor desde marzo de 2009 y sin perspectivas de que aumente. El BCE y el Banco de Japón tienen incluso tipos negativos, el segundo después de más de 20 años con los tipos de interés a corto plazo en el 0,5% o menos. La situación en el Reino Unido podría no ser tan grave, pero a pesar de ello, según las últimas previsiones de mercado, el tipo básico será de aproximadamente el 1,6% en 2021 y de alrededor del 2,5% en 2025, menos de la mitad que en 2007.</w:t>
      </w:r>
    </w:p>
    <w:p w:rsidR="000711BB" w:rsidRPr="00C36601" w:rsidRDefault="000711BB" w:rsidP="000711BB">
      <w:pPr>
        <w:spacing w:line="240" w:lineRule="auto"/>
        <w:jc w:val="both"/>
        <w:rPr>
          <w:rFonts w:ascii="Times New Roman" w:hAnsi="Times New Roman" w:cs="Times New Roman"/>
          <w:color w:val="FF0000"/>
          <w:sz w:val="24"/>
          <w:szCs w:val="24"/>
          <w:u w:val="single"/>
        </w:rPr>
      </w:pPr>
      <w:r w:rsidRPr="00C36601">
        <w:rPr>
          <w:rFonts w:ascii="Times New Roman" w:hAnsi="Times New Roman" w:cs="Times New Roman"/>
          <w:color w:val="FF0000"/>
          <w:sz w:val="24"/>
          <w:szCs w:val="24"/>
          <w:u w:val="single"/>
        </w:rPr>
        <w:t>La probabilidad de que se produzca una recesión importante en el Reino Unido antes de 2025 es muy alta, y seguramente también lo es para Estados Unidos, la eurozona y Japón</w:t>
      </w:r>
      <w:r w:rsidRPr="00F63309">
        <w:rPr>
          <w:rFonts w:ascii="Times New Roman" w:hAnsi="Times New Roman" w:cs="Times New Roman"/>
          <w:sz w:val="24"/>
          <w:szCs w:val="24"/>
        </w:rPr>
        <w:t xml:space="preserve">. </w:t>
      </w:r>
      <w:r w:rsidRPr="00C36601">
        <w:rPr>
          <w:rFonts w:ascii="Times New Roman" w:hAnsi="Times New Roman" w:cs="Times New Roman"/>
          <w:color w:val="FF0000"/>
          <w:sz w:val="24"/>
          <w:szCs w:val="24"/>
          <w:u w:val="single"/>
        </w:rPr>
        <w:t>De hecho, actualmente ya hay riesgo de que llegue una recesión debido a los desequilibrios con la economía china y a las dificultades de muchas economías emergentes. Es probable que las economías de renta alta entren en recesión teniendo mucho menos margen de actuación en términos de medidas monetarias convencionales que antes de recesiones anteriores.</w:t>
      </w:r>
    </w:p>
    <w:p w:rsidR="000711BB" w:rsidRPr="00C36601" w:rsidRDefault="000711BB" w:rsidP="000711BB">
      <w:pPr>
        <w:spacing w:line="240" w:lineRule="auto"/>
        <w:jc w:val="both"/>
        <w:rPr>
          <w:rFonts w:ascii="Times New Roman" w:hAnsi="Times New Roman" w:cs="Times New Roman"/>
          <w:sz w:val="24"/>
          <w:szCs w:val="24"/>
          <w:u w:val="single"/>
        </w:rPr>
      </w:pPr>
      <w:r w:rsidRPr="00C36601">
        <w:rPr>
          <w:rFonts w:ascii="Times New Roman" w:hAnsi="Times New Roman" w:cs="Times New Roman"/>
          <w:sz w:val="24"/>
          <w:szCs w:val="24"/>
          <w:u w:val="single"/>
        </w:rPr>
        <w:t>Ante esta situación habría varias opciones. Una sería no hacer nada. Muchos dirían que eso sería positivo porque daría lugar a la depresión limpiadora que necesita el mundo. Pero personalmente creo que esta idea es una locura, dado el daño que haría al tejido social.</w:t>
      </w:r>
    </w:p>
    <w:p w:rsidR="000711BB" w:rsidRPr="00C36601" w:rsidRDefault="000711BB" w:rsidP="000711BB">
      <w:pPr>
        <w:spacing w:line="240" w:lineRule="auto"/>
        <w:jc w:val="both"/>
        <w:rPr>
          <w:rFonts w:ascii="Times New Roman" w:hAnsi="Times New Roman" w:cs="Times New Roman"/>
          <w:sz w:val="24"/>
          <w:szCs w:val="24"/>
          <w:u w:val="single"/>
        </w:rPr>
      </w:pPr>
      <w:r w:rsidRPr="00C36601">
        <w:rPr>
          <w:rFonts w:ascii="Times New Roman" w:hAnsi="Times New Roman" w:cs="Times New Roman"/>
          <w:sz w:val="24"/>
          <w:szCs w:val="24"/>
          <w:u w:val="single"/>
        </w:rPr>
        <w:t>Una segunda posibilidad sería cambiar de objetivos y pasar a tener, por ejemplo, objetivos de crecimiento, objetivos de PIB nominal o un objetivo de inflación más alto.</w:t>
      </w:r>
      <w:r w:rsidRPr="00F63309">
        <w:rPr>
          <w:rFonts w:ascii="Times New Roman" w:hAnsi="Times New Roman" w:cs="Times New Roman"/>
          <w:sz w:val="24"/>
          <w:szCs w:val="24"/>
        </w:rPr>
        <w:t xml:space="preserve"> Probablemente hubiera sido aconsejable haber tenido un objetivo de inflación más alto que el actual. Pero cambiarlo cuando los bancos centrales son incapaces de cumplir el objetivo más bajo de ahora podría desestabilizar las expectativas sin mejorar los resultados. Además, al no disponer de instrumentos eficaces, un objetivo más ambicioso simplemente podría parecer grandilocuencia vacía. Así que </w:t>
      </w:r>
      <w:r w:rsidRPr="00C36601">
        <w:rPr>
          <w:rFonts w:ascii="Times New Roman" w:hAnsi="Times New Roman" w:cs="Times New Roman"/>
          <w:sz w:val="24"/>
          <w:szCs w:val="24"/>
          <w:u w:val="single"/>
        </w:rPr>
        <w:t>la tercera posibilidad consistiría en cambiar de instrumentos o utilizar los ya existentes con más fuerza.</w:t>
      </w:r>
    </w:p>
    <w:p w:rsidR="000711BB" w:rsidRPr="00C36601" w:rsidRDefault="000711BB" w:rsidP="000711BB">
      <w:pPr>
        <w:spacing w:line="240" w:lineRule="auto"/>
        <w:jc w:val="both"/>
        <w:rPr>
          <w:rFonts w:ascii="Times New Roman" w:hAnsi="Times New Roman" w:cs="Times New Roman"/>
          <w:sz w:val="24"/>
          <w:szCs w:val="24"/>
          <w:u w:val="single"/>
        </w:rPr>
      </w:pPr>
      <w:r w:rsidRPr="00C36601">
        <w:rPr>
          <w:rFonts w:ascii="Times New Roman" w:hAnsi="Times New Roman" w:cs="Times New Roman"/>
          <w:sz w:val="24"/>
          <w:szCs w:val="24"/>
          <w:u w:val="single"/>
        </w:rPr>
        <w:t>Un instrumento no muy debatido sería organizar un proceso de desapalancamiento de las economías. Para ello podría ser necesario convertir deuda en capital. Pero aunque esta medida es deseable en circunstancias extremas, sería difícil de aplicar en la práctica.</w:t>
      </w:r>
    </w:p>
    <w:p w:rsidR="000711BB" w:rsidRPr="00C36601" w:rsidRDefault="000711BB" w:rsidP="000711BB">
      <w:pPr>
        <w:spacing w:line="240" w:lineRule="auto"/>
        <w:jc w:val="both"/>
        <w:rPr>
          <w:rFonts w:ascii="Times New Roman" w:hAnsi="Times New Roman" w:cs="Times New Roman"/>
          <w:sz w:val="24"/>
          <w:szCs w:val="24"/>
          <w:u w:val="single"/>
        </w:rPr>
      </w:pPr>
      <w:r w:rsidRPr="00C36601">
        <w:rPr>
          <w:rFonts w:ascii="Times New Roman" w:hAnsi="Times New Roman" w:cs="Times New Roman"/>
          <w:sz w:val="24"/>
          <w:szCs w:val="24"/>
          <w:u w:val="single"/>
        </w:rPr>
        <w:lastRenderedPageBreak/>
        <w:t>Otro sería incrementar la escala de la expansión cuantitativa</w:t>
      </w:r>
      <w:r w:rsidRPr="00F63309">
        <w:rPr>
          <w:rFonts w:ascii="Times New Roman" w:hAnsi="Times New Roman" w:cs="Times New Roman"/>
          <w:sz w:val="24"/>
          <w:szCs w:val="24"/>
        </w:rPr>
        <w:t xml:space="preserve">. </w:t>
      </w:r>
      <w:r w:rsidRPr="00C36601">
        <w:rPr>
          <w:rFonts w:ascii="Times New Roman" w:hAnsi="Times New Roman" w:cs="Times New Roman"/>
          <w:sz w:val="24"/>
          <w:szCs w:val="24"/>
          <w:u w:val="single"/>
        </w:rPr>
        <w:t>Al final del tercer trimestre del año pasado, el balance del Banco de Japón era del 70% del PIB, mientras que los de la Reserva Federal, el BCE y el Banco de Inglaterra eran de menos del 30%.</w:t>
      </w:r>
      <w:r w:rsidRPr="00F63309">
        <w:rPr>
          <w:rFonts w:ascii="Times New Roman" w:hAnsi="Times New Roman" w:cs="Times New Roman"/>
          <w:sz w:val="24"/>
          <w:szCs w:val="24"/>
        </w:rPr>
        <w:t xml:space="preserve"> </w:t>
      </w:r>
      <w:r w:rsidRPr="00C36601">
        <w:rPr>
          <w:rFonts w:ascii="Times New Roman" w:hAnsi="Times New Roman" w:cs="Times New Roman"/>
          <w:sz w:val="24"/>
          <w:szCs w:val="24"/>
          <w:u w:val="single"/>
        </w:rPr>
        <w:t>Estos tres bancos centrales podrían seguir el ejemplo de Japón</w:t>
      </w:r>
      <w:r w:rsidRPr="00F63309">
        <w:rPr>
          <w:rFonts w:ascii="Times New Roman" w:hAnsi="Times New Roman" w:cs="Times New Roman"/>
          <w:sz w:val="24"/>
          <w:szCs w:val="24"/>
        </w:rPr>
        <w:t xml:space="preserve">. También podrían comprar otros tipos de activos, como bonos en divisas extranjeras. Pero eso sería provocador e innecesario. </w:t>
      </w:r>
      <w:r w:rsidRPr="00C36601">
        <w:rPr>
          <w:rFonts w:ascii="Times New Roman" w:hAnsi="Times New Roman" w:cs="Times New Roman"/>
          <w:sz w:val="24"/>
          <w:szCs w:val="24"/>
          <w:u w:val="single"/>
        </w:rPr>
        <w:t>Las medidas del Banco de Japón y el BCE han dado lugar a grandes depreciaciones de sus monedas sin que sea tan evidente.</w:t>
      </w:r>
    </w:p>
    <w:p w:rsidR="000711BB" w:rsidRPr="00F63309" w:rsidRDefault="000711BB" w:rsidP="000711BB">
      <w:pPr>
        <w:spacing w:line="240" w:lineRule="auto"/>
        <w:jc w:val="both"/>
        <w:rPr>
          <w:rFonts w:ascii="Times New Roman" w:hAnsi="Times New Roman" w:cs="Times New Roman"/>
          <w:sz w:val="24"/>
          <w:szCs w:val="24"/>
        </w:rPr>
      </w:pPr>
      <w:r w:rsidRPr="00C36601">
        <w:rPr>
          <w:rFonts w:ascii="Times New Roman" w:hAnsi="Times New Roman" w:cs="Times New Roman"/>
          <w:sz w:val="24"/>
          <w:szCs w:val="24"/>
          <w:u w:val="single"/>
        </w:rPr>
        <w:t>Otro instrumento serían los tipos de interés negativos, que aplican actualmente el BCE, el Banco de Japón y los bancos centrales de Dinamarca, Suecia y Suiza</w:t>
      </w:r>
      <w:r w:rsidRPr="00F63309">
        <w:rPr>
          <w:rFonts w:ascii="Times New Roman" w:hAnsi="Times New Roman" w:cs="Times New Roman"/>
          <w:sz w:val="24"/>
          <w:szCs w:val="24"/>
        </w:rPr>
        <w:t>. Haciendo uso de trucos inteligentes es posible imponer tipos de interés negativos a las reservas bancarias en el margen, generando con ello tipos de interés negativos en los mercados sin imponer tipos negativos a los depositantes. No está claro hasta qué punto se puede hacer esto, teniendo en cuenta que el dinero en efectivo sigue siendo una alternativa.</w:t>
      </w:r>
    </w:p>
    <w:p w:rsidR="000711BB" w:rsidRPr="00C36601" w:rsidRDefault="000711BB" w:rsidP="000711BB">
      <w:pPr>
        <w:spacing w:line="240" w:lineRule="auto"/>
        <w:jc w:val="both"/>
        <w:rPr>
          <w:rFonts w:ascii="Times New Roman" w:hAnsi="Times New Roman" w:cs="Times New Roman"/>
          <w:sz w:val="24"/>
          <w:szCs w:val="24"/>
          <w:u w:val="single"/>
        </w:rPr>
      </w:pPr>
      <w:r w:rsidRPr="00C36601">
        <w:rPr>
          <w:rFonts w:ascii="Times New Roman" w:hAnsi="Times New Roman" w:cs="Times New Roman"/>
          <w:sz w:val="24"/>
          <w:szCs w:val="24"/>
          <w:u w:val="single"/>
        </w:rPr>
        <w:t>Pasado un cierto punto, las personas se decantan por los recibos de propiedad avalados por dinero en efectivo, a menos que se imponga un impuesto de penalización a la retirada por parte de los bancos o se abola por completo el dinero en efectivo. Por otra parte, no está claro lo económicamente eficaz que serían los tipos negativos, aparte de que provocarían la depreciación de monedas.</w:t>
      </w:r>
    </w:p>
    <w:p w:rsidR="000711BB" w:rsidRPr="00F63309" w:rsidRDefault="000711BB" w:rsidP="000711BB">
      <w:pPr>
        <w:spacing w:line="240" w:lineRule="auto"/>
        <w:jc w:val="both"/>
        <w:rPr>
          <w:rFonts w:ascii="Times New Roman" w:hAnsi="Times New Roman" w:cs="Times New Roman"/>
          <w:sz w:val="24"/>
          <w:szCs w:val="24"/>
        </w:rPr>
      </w:pPr>
      <w:r w:rsidRPr="00C36601">
        <w:rPr>
          <w:rFonts w:ascii="Times New Roman" w:hAnsi="Times New Roman" w:cs="Times New Roman"/>
          <w:sz w:val="24"/>
          <w:szCs w:val="24"/>
          <w:u w:val="single"/>
        </w:rPr>
        <w:t>Un último instrument</w:t>
      </w:r>
      <w:r>
        <w:rPr>
          <w:rFonts w:ascii="Times New Roman" w:hAnsi="Times New Roman" w:cs="Times New Roman"/>
          <w:sz w:val="24"/>
          <w:szCs w:val="24"/>
          <w:u w:val="single"/>
        </w:rPr>
        <w:t>o sería el “dinero helicóptero”</w:t>
      </w:r>
      <w:r w:rsidRPr="00C36601">
        <w:rPr>
          <w:rFonts w:ascii="Times New Roman" w:hAnsi="Times New Roman" w:cs="Times New Roman"/>
          <w:sz w:val="24"/>
          <w:szCs w:val="24"/>
          <w:u w:val="single"/>
        </w:rPr>
        <w:t>: la emisión permanente de dinero con el propósito de promover la adquisición de bienes y servicios, ya sea por el gobierno o por los ciudadanos</w:t>
      </w:r>
      <w:r w:rsidRPr="00F63309">
        <w:rPr>
          <w:rFonts w:ascii="Times New Roman" w:hAnsi="Times New Roman" w:cs="Times New Roman"/>
          <w:sz w:val="24"/>
          <w:szCs w:val="24"/>
        </w:rPr>
        <w:t xml:space="preserve">. </w:t>
      </w:r>
      <w:r w:rsidRPr="00C36601">
        <w:rPr>
          <w:rFonts w:ascii="Times New Roman" w:hAnsi="Times New Roman" w:cs="Times New Roman"/>
          <w:sz w:val="24"/>
          <w:szCs w:val="24"/>
          <w:u w:val="single"/>
        </w:rPr>
        <w:t>Desde un punto de vista monetario esto equivale a una expansión cuantitativa intencionalmente permanente</w:t>
      </w:r>
      <w:r w:rsidRPr="00F63309">
        <w:rPr>
          <w:rFonts w:ascii="Times New Roman" w:hAnsi="Times New Roman" w:cs="Times New Roman"/>
          <w:sz w:val="24"/>
          <w:szCs w:val="24"/>
        </w:rPr>
        <w:t xml:space="preserve">. Por supuesto, la expansión cuantitativa propiamente dicha podría llegar a ser permanente después: eso es lo que probablemente suceda ahora en Japón. Pero por otra parte la emisión de dinero supuestamente permanente podría resultar ser temporal. </w:t>
      </w:r>
      <w:r w:rsidRPr="00C36601">
        <w:rPr>
          <w:rFonts w:ascii="Times New Roman" w:hAnsi="Times New Roman" w:cs="Times New Roman"/>
          <w:sz w:val="24"/>
          <w:szCs w:val="24"/>
          <w:u w:val="single"/>
        </w:rPr>
        <w:t>No obstante, si el dinero se destinara directamente a aumentar el gasto del gobierno, diera lugar a una reducción de impuestos o pasara a las cuentas bancarias de la gente, sin duda tendría un efecto</w:t>
      </w:r>
      <w:r w:rsidRPr="00F63309">
        <w:rPr>
          <w:rFonts w:ascii="Times New Roman" w:hAnsi="Times New Roman" w:cs="Times New Roman"/>
          <w:sz w:val="24"/>
          <w:szCs w:val="24"/>
        </w:rPr>
        <w:t>. El punto crucial es que los bancos centrales controlen la cantidad de dinero a emitir como parte de su labor.</w:t>
      </w:r>
    </w:p>
    <w:p w:rsidR="000711BB" w:rsidRDefault="000711BB" w:rsidP="000711BB">
      <w:pPr>
        <w:spacing w:line="240" w:lineRule="auto"/>
        <w:jc w:val="both"/>
        <w:rPr>
          <w:rFonts w:ascii="Times New Roman" w:hAnsi="Times New Roman" w:cs="Times New Roman"/>
          <w:sz w:val="24"/>
          <w:szCs w:val="24"/>
        </w:rPr>
      </w:pPr>
      <w:r w:rsidRPr="00C36601">
        <w:rPr>
          <w:rFonts w:ascii="Times New Roman" w:hAnsi="Times New Roman" w:cs="Times New Roman"/>
          <w:sz w:val="24"/>
          <w:szCs w:val="24"/>
          <w:u w:val="single"/>
        </w:rPr>
        <w:t>Personalmente, yo preferiría el último instrumento. Pero en este momento es esencial reconocer que existe una gran probabilidad de que la próxima vez haya que recurrir a medidas aún menos convencionales</w:t>
      </w:r>
      <w:r w:rsidRPr="00F63309">
        <w:rPr>
          <w:rFonts w:ascii="Times New Roman" w:hAnsi="Times New Roman" w:cs="Times New Roman"/>
          <w:sz w:val="24"/>
          <w:szCs w:val="24"/>
        </w:rPr>
        <w:t>. Así que hay que preparar el terreno de antemano. Los bancos centrales deberían llenar estos espacios en blanco ahora, no después de que llegue la próxima recesión.</w:t>
      </w:r>
    </w:p>
    <w:p w:rsidR="000711BB" w:rsidRPr="009266F4"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266F4">
        <w:rPr>
          <w:rFonts w:ascii="Times New Roman" w:hAnsi="Times New Roman" w:cs="Times New Roman"/>
          <w:sz w:val="24"/>
          <w:szCs w:val="24"/>
          <w:u w:val="single"/>
        </w:rPr>
        <w:t>Los bancos centrales en la negativa</w:t>
      </w:r>
      <w:r>
        <w:rPr>
          <w:rFonts w:ascii="Times New Roman" w:hAnsi="Times New Roman" w:cs="Times New Roman"/>
          <w:sz w:val="24"/>
          <w:szCs w:val="24"/>
        </w:rPr>
        <w:t xml:space="preserve"> (Project Syndicate - </w:t>
      </w:r>
      <w:r w:rsidRPr="009266F4">
        <w:rPr>
          <w:rFonts w:ascii="Times New Roman" w:hAnsi="Times New Roman" w:cs="Times New Roman"/>
          <w:b/>
          <w:sz w:val="24"/>
          <w:szCs w:val="24"/>
        </w:rPr>
        <w:t>18/2/16</w:t>
      </w:r>
      <w:r>
        <w:rPr>
          <w:rFonts w:ascii="Times New Roman" w:hAnsi="Times New Roman" w:cs="Times New Roman"/>
          <w:sz w:val="24"/>
          <w:szCs w:val="24"/>
        </w:rPr>
        <w:t>)</w:t>
      </w:r>
    </w:p>
    <w:p w:rsidR="000711BB" w:rsidRPr="00881E0B" w:rsidRDefault="000711BB" w:rsidP="000711BB">
      <w:pPr>
        <w:spacing w:line="240" w:lineRule="auto"/>
        <w:jc w:val="both"/>
        <w:rPr>
          <w:rFonts w:ascii="Times New Roman" w:hAnsi="Times New Roman" w:cs="Times New Roman"/>
          <w:color w:val="FF0000"/>
          <w:sz w:val="24"/>
          <w:szCs w:val="24"/>
          <w:u w:val="single"/>
        </w:rPr>
      </w:pPr>
      <w:r w:rsidRPr="009266F4">
        <w:rPr>
          <w:rFonts w:ascii="Times New Roman" w:hAnsi="Times New Roman" w:cs="Times New Roman"/>
          <w:sz w:val="24"/>
          <w:szCs w:val="24"/>
        </w:rPr>
        <w:t>N</w:t>
      </w:r>
      <w:r>
        <w:rPr>
          <w:rFonts w:ascii="Times New Roman" w:hAnsi="Times New Roman" w:cs="Times New Roman"/>
          <w:sz w:val="24"/>
          <w:szCs w:val="24"/>
        </w:rPr>
        <w:t>ew Haven.-</w:t>
      </w:r>
      <w:r w:rsidRPr="009266F4">
        <w:rPr>
          <w:rFonts w:ascii="Times New Roman" w:hAnsi="Times New Roman" w:cs="Times New Roman"/>
          <w:sz w:val="24"/>
          <w:szCs w:val="24"/>
        </w:rPr>
        <w:t xml:space="preserve"> </w:t>
      </w:r>
      <w:r w:rsidRPr="00881E0B">
        <w:rPr>
          <w:rFonts w:ascii="Times New Roman" w:hAnsi="Times New Roman" w:cs="Times New Roman"/>
          <w:color w:val="FF0000"/>
          <w:sz w:val="24"/>
          <w:szCs w:val="24"/>
          <w:u w:val="single"/>
        </w:rPr>
        <w:t>En lo que bien podría ser un acto final de desesperación, los bancos centrales están renunciando al control efectivo de las economías cuya gestión se les encomendó. Primero fue el tipo de interés cero, después la flexibilización cuantitativa, y ahora las tasas negativas: un intento inútil detrás de otro. Así como los dos primeros gambitos no lograron un impacto económico significativo en recuperaciones crónicamente débiles, el paso a la tasa negativa no hará más que agravar los riesgos de inestabilidad financiera y sentar las bases de otra crisis.</w:t>
      </w:r>
    </w:p>
    <w:p w:rsidR="000711BB" w:rsidRPr="00881E0B" w:rsidRDefault="000711BB" w:rsidP="000711BB">
      <w:pPr>
        <w:spacing w:line="240" w:lineRule="auto"/>
        <w:jc w:val="both"/>
        <w:rPr>
          <w:rFonts w:ascii="Times New Roman" w:hAnsi="Times New Roman" w:cs="Times New Roman"/>
          <w:sz w:val="24"/>
          <w:szCs w:val="24"/>
          <w:u w:val="single"/>
        </w:rPr>
      </w:pPr>
      <w:r w:rsidRPr="00881E0B">
        <w:rPr>
          <w:rFonts w:ascii="Times New Roman" w:hAnsi="Times New Roman" w:cs="Times New Roman"/>
          <w:sz w:val="24"/>
          <w:szCs w:val="24"/>
          <w:u w:val="single"/>
        </w:rPr>
        <w:t>La adopción de tasas negativas (iniciada en 2014 en Europa, a la que ahora se suma Japón) representa un importante punto de inflexión en el manejo de los bancos centrales</w:t>
      </w:r>
      <w:r w:rsidRPr="009266F4">
        <w:rPr>
          <w:rFonts w:ascii="Times New Roman" w:hAnsi="Times New Roman" w:cs="Times New Roman"/>
          <w:sz w:val="24"/>
          <w:szCs w:val="24"/>
        </w:rPr>
        <w:t xml:space="preserve">. Antes, el acento estaba puesto en estimular la demanda agregada, sobre todo </w:t>
      </w:r>
      <w:r w:rsidRPr="009266F4">
        <w:rPr>
          <w:rFonts w:ascii="Times New Roman" w:hAnsi="Times New Roman" w:cs="Times New Roman"/>
          <w:sz w:val="24"/>
          <w:szCs w:val="24"/>
        </w:rPr>
        <w:lastRenderedPageBreak/>
        <w:t xml:space="preserve">mediante la reducción del costo de endeudamiento, pero también alentando efectos riqueza derivados de la apreciación de los activos financieros. Pero ahora, al imponer un costo a las reservas excedentes dejadas en depósito en los bancos centrales, las tasas negativas buscan generar un estímulo a través del lado de la oferta en la ecuación crediticia; </w:t>
      </w:r>
      <w:r w:rsidRPr="00881E0B">
        <w:rPr>
          <w:rFonts w:ascii="Times New Roman" w:hAnsi="Times New Roman" w:cs="Times New Roman"/>
          <w:sz w:val="24"/>
          <w:szCs w:val="24"/>
          <w:u w:val="single"/>
        </w:rPr>
        <w:t>en la práctica, se presiona a los bancos para que otorguen nuevos préstamos independientemente de la demanda de fondos.</w:t>
      </w:r>
    </w:p>
    <w:p w:rsidR="000711BB" w:rsidRPr="00881E0B" w:rsidRDefault="000711BB" w:rsidP="000711BB">
      <w:pPr>
        <w:spacing w:line="240" w:lineRule="auto"/>
        <w:jc w:val="both"/>
        <w:rPr>
          <w:rFonts w:ascii="Times New Roman" w:hAnsi="Times New Roman" w:cs="Times New Roman"/>
          <w:color w:val="FF0000"/>
          <w:sz w:val="24"/>
          <w:szCs w:val="24"/>
          <w:u w:val="single"/>
        </w:rPr>
      </w:pPr>
      <w:r w:rsidRPr="00881E0B">
        <w:rPr>
          <w:rFonts w:ascii="Times New Roman" w:hAnsi="Times New Roman" w:cs="Times New Roman"/>
          <w:color w:val="FF0000"/>
          <w:sz w:val="24"/>
          <w:szCs w:val="24"/>
          <w:u w:val="single"/>
        </w:rPr>
        <w:t>Pero esto es no entender la esencia del malestar que aqueja a un mundo poscrisis. Como sostiene (en el caso de Japón) Richard Koo, economista de Nomura, el énfasis debería estar puesto en el lado de la demanda, en unas economías sacudidas por la crisis cuyo crecimiento se ve debilitado por el síndrome de rechazo al endeudamiento que invariablemente cobra terreno tras una “recesión de balances”.</w:t>
      </w:r>
    </w:p>
    <w:p w:rsidR="000711BB" w:rsidRPr="00881E0B" w:rsidRDefault="000711BB" w:rsidP="000711BB">
      <w:pPr>
        <w:spacing w:line="240" w:lineRule="auto"/>
        <w:jc w:val="both"/>
        <w:rPr>
          <w:rFonts w:ascii="Times New Roman" w:hAnsi="Times New Roman" w:cs="Times New Roman"/>
          <w:color w:val="FF0000"/>
          <w:sz w:val="24"/>
          <w:szCs w:val="24"/>
          <w:u w:val="single"/>
        </w:rPr>
      </w:pPr>
      <w:r w:rsidRPr="009266F4">
        <w:rPr>
          <w:rFonts w:ascii="Times New Roman" w:hAnsi="Times New Roman" w:cs="Times New Roman"/>
          <w:sz w:val="24"/>
          <w:szCs w:val="24"/>
        </w:rPr>
        <w:t xml:space="preserve">Este obstáculo se da en todo el mundo. No solo en Japón, donde el supuestamente poderoso ímpetu de la Abenomics no consiguió poner fin a 24 años de 0,8% de crecimiento del PIB ajustado por inflación. También </w:t>
      </w:r>
      <w:r w:rsidRPr="00881E0B">
        <w:rPr>
          <w:rFonts w:ascii="Times New Roman" w:hAnsi="Times New Roman" w:cs="Times New Roman"/>
          <w:color w:val="FF0000"/>
          <w:sz w:val="24"/>
          <w:szCs w:val="24"/>
          <w:u w:val="single"/>
        </w:rPr>
        <w:t>en Estados Unidos, donde la demanda de los consumidores (epicentro de la Gran Recesión estadounidense) lleva ocho años atenazada por un crecimiento real promedio de apenas el 1,5%. Incluso peor en la eurozona, donde el crecimiento real promedio del PIB a lo largo del período que va de 2008 a 2015 fue solo 0,1%.</w:t>
      </w:r>
    </w:p>
    <w:p w:rsidR="000711BB" w:rsidRPr="009266F4" w:rsidRDefault="000711BB" w:rsidP="000711BB">
      <w:pPr>
        <w:spacing w:line="240" w:lineRule="auto"/>
        <w:jc w:val="both"/>
        <w:rPr>
          <w:rFonts w:ascii="Times New Roman" w:hAnsi="Times New Roman" w:cs="Times New Roman"/>
          <w:sz w:val="24"/>
          <w:szCs w:val="24"/>
        </w:rPr>
      </w:pPr>
      <w:r w:rsidRPr="00881E0B">
        <w:rPr>
          <w:rFonts w:ascii="Times New Roman" w:hAnsi="Times New Roman" w:cs="Times New Roman"/>
          <w:color w:val="FF0000"/>
          <w:sz w:val="24"/>
          <w:szCs w:val="24"/>
          <w:u w:val="single"/>
        </w:rPr>
        <w:t>Todo esto señala la impotencia de los bancos centrales para movilizar la demanda agregada en economías sujetas a restricciones de balance, que han caído en “trampas de liquidez” al estilo de los años treinta</w:t>
      </w:r>
      <w:r w:rsidRPr="009266F4">
        <w:rPr>
          <w:rFonts w:ascii="Times New Roman" w:hAnsi="Times New Roman" w:cs="Times New Roman"/>
          <w:sz w:val="24"/>
          <w:szCs w:val="24"/>
        </w:rPr>
        <w:t>. Como advirtió Paul Krugman hace casi 20 años, Japón ejemplifica la encarnación actual de este dilema. Cuando a principios de los noventa estallaron sus burbujas bursátil e inmobiliaria, el sistema keiretsu (grupos de empresas vinculadas estrechamente a través de un banco que oficia de nodo central) se vino abajo por el peso muerto del exceso de apalancamiento.</w:t>
      </w:r>
    </w:p>
    <w:p w:rsidR="000711BB" w:rsidRPr="009266F4" w:rsidRDefault="000711BB" w:rsidP="000711BB">
      <w:pPr>
        <w:spacing w:line="240" w:lineRule="auto"/>
        <w:jc w:val="both"/>
        <w:rPr>
          <w:rFonts w:ascii="Times New Roman" w:hAnsi="Times New Roman" w:cs="Times New Roman"/>
          <w:sz w:val="24"/>
          <w:szCs w:val="24"/>
        </w:rPr>
      </w:pPr>
      <w:r w:rsidRPr="009266F4">
        <w:rPr>
          <w:rFonts w:ascii="Times New Roman" w:hAnsi="Times New Roman" w:cs="Times New Roman"/>
          <w:sz w:val="24"/>
          <w:szCs w:val="24"/>
        </w:rPr>
        <w:t>Pero lo mismo puede decirse de los consumidores estadounidenses, sobrecargados de deudas y escasos de ahorro; y ni hablar de una eurozona que básicamente fue una apuesta apalancada dependiente de expectativas de crecimiento exageradas respecto de sus economías periféricas: Portugal, Italia, Irlanda, Grecia y España. En todos estos casos, la necesidad de reparar los balances impidió el resurgimiento de la demanda agregada, y el estímulo monetario fue mayormente ineficaz para alentar una recuperación cíclica al modo clásico.</w:t>
      </w:r>
    </w:p>
    <w:p w:rsidR="000711BB" w:rsidRPr="00881E0B" w:rsidRDefault="000711BB" w:rsidP="000711BB">
      <w:pPr>
        <w:spacing w:line="240" w:lineRule="auto"/>
        <w:jc w:val="both"/>
        <w:rPr>
          <w:rFonts w:ascii="Times New Roman" w:hAnsi="Times New Roman" w:cs="Times New Roman"/>
          <w:color w:val="FF0000"/>
          <w:sz w:val="24"/>
          <w:szCs w:val="24"/>
          <w:u w:val="single"/>
        </w:rPr>
      </w:pPr>
      <w:r w:rsidRPr="00881E0B">
        <w:rPr>
          <w:rFonts w:ascii="Times New Roman" w:hAnsi="Times New Roman" w:cs="Times New Roman"/>
          <w:color w:val="FF0000"/>
          <w:sz w:val="24"/>
          <w:szCs w:val="24"/>
          <w:u w:val="single"/>
        </w:rPr>
        <w:t>Tal vez sea el mayor fracaso de los bancos centrales modernos. Pero la negación es poderosa. Un buen ejemplo es el discurso de “misión cumplida” del expresidente de la Reserva Federal, Alan Greenspan, a principios de 2004. Greenspan se felicitó por haber usado una política monetaria ultraflexible para arreglar el lío dejado por el estallido de la burbuja de las puntocom en 2000, e insistió en que al final quedó demostrado que la Reserva Federal tuvo razón al no tratar de impedir la locura especulativa de fines de los noventa.</w:t>
      </w:r>
    </w:p>
    <w:p w:rsidR="000711BB" w:rsidRPr="00881E0B" w:rsidRDefault="000711BB" w:rsidP="000711BB">
      <w:pPr>
        <w:spacing w:line="240" w:lineRule="auto"/>
        <w:jc w:val="both"/>
        <w:rPr>
          <w:rFonts w:ascii="Times New Roman" w:hAnsi="Times New Roman" w:cs="Times New Roman"/>
          <w:color w:val="FF0000"/>
          <w:sz w:val="24"/>
          <w:szCs w:val="24"/>
          <w:u w:val="single"/>
        </w:rPr>
      </w:pPr>
      <w:r w:rsidRPr="00881E0B">
        <w:rPr>
          <w:rFonts w:ascii="Times New Roman" w:hAnsi="Times New Roman" w:cs="Times New Roman"/>
          <w:color w:val="FF0000"/>
          <w:sz w:val="24"/>
          <w:szCs w:val="24"/>
          <w:u w:val="single"/>
        </w:rPr>
        <w:t>Eso dejó al sucesor de Greenspan en una situación muy complicada. Agotadas en poco tiempo sus municiones, cuando se declaró la Gran Crisis a fines de 2008, el expresidente de la Reserva Federal, Ben Bernanke, adoptó la nueva cura milagrosa (la flexibilización cuantitativa), un poderoso antídoto para mercados en problemas que resultó ineficaz como herramienta para borrar el rojo de las cuentas de los consumidores y dar un verdadero estímulo a la demanda agregada.</w:t>
      </w:r>
    </w:p>
    <w:p w:rsidR="000711BB" w:rsidRPr="00881E0B" w:rsidRDefault="000711BB" w:rsidP="000711BB">
      <w:pPr>
        <w:spacing w:line="240" w:lineRule="auto"/>
        <w:jc w:val="both"/>
        <w:rPr>
          <w:rFonts w:ascii="Times New Roman" w:hAnsi="Times New Roman" w:cs="Times New Roman"/>
          <w:color w:val="FF0000"/>
          <w:sz w:val="24"/>
          <w:szCs w:val="24"/>
          <w:u w:val="single"/>
        </w:rPr>
      </w:pPr>
      <w:r w:rsidRPr="00881E0B">
        <w:rPr>
          <w:rFonts w:ascii="Times New Roman" w:hAnsi="Times New Roman" w:cs="Times New Roman"/>
          <w:color w:val="FF0000"/>
          <w:sz w:val="24"/>
          <w:szCs w:val="24"/>
          <w:u w:val="single"/>
        </w:rPr>
        <w:lastRenderedPageBreak/>
        <w:t>La famosa promesa formulada en 2012 por el presidente del Banco Central Europeo, Mario Draghi de hacer “lo que fuera necesario” para defender al euro llevó al BCE por el mismo camino: primero tipo de interés cero, después flexibilización cuantitativa y ahora tasas de referencia negativas. Del mismo modo, el director del Banco de Japón, Haruhiko Kuroda insiste en que la denominada FCC (flexibilización cuantitativa y cualitativa) puso fin a una deflación destructiva; pero ahora decidió adoptar las tasas negativas y postergó para mediados de 2017 la meta de 2% de inflación del Banco de Japón.</w:t>
      </w:r>
    </w:p>
    <w:p w:rsidR="000711BB" w:rsidRPr="00881E0B" w:rsidRDefault="000711BB" w:rsidP="000711BB">
      <w:pPr>
        <w:spacing w:line="240" w:lineRule="auto"/>
        <w:jc w:val="both"/>
        <w:rPr>
          <w:rFonts w:ascii="Times New Roman" w:hAnsi="Times New Roman" w:cs="Times New Roman"/>
          <w:color w:val="FF0000"/>
          <w:sz w:val="24"/>
          <w:szCs w:val="24"/>
          <w:u w:val="single"/>
        </w:rPr>
      </w:pPr>
      <w:r w:rsidRPr="00881E0B">
        <w:rPr>
          <w:rFonts w:ascii="Times New Roman" w:hAnsi="Times New Roman" w:cs="Times New Roman"/>
          <w:color w:val="FF0000"/>
          <w:sz w:val="24"/>
          <w:szCs w:val="24"/>
          <w:u w:val="single"/>
        </w:rPr>
        <w:t>Está por verse que la Reserva Federal sea capaz de resistir la tentación de las tasas negativas. Pero la mayoría de los bancos centrales importantes hoy se aferran a la falsa creencia de que no hay diferencias entre la eficacia de las tácticas convencionales de la política monetaria (que dependen de ajustes de las tasas de referencia por encima del límite de cero) y la de herramientas no convencionales como la flexibilización cuantitativa y las tasas negativas.</w:t>
      </w:r>
    </w:p>
    <w:p w:rsidR="000711BB" w:rsidRPr="009266F4" w:rsidRDefault="000711BB" w:rsidP="000711BB">
      <w:pPr>
        <w:spacing w:line="240" w:lineRule="auto"/>
        <w:jc w:val="both"/>
        <w:rPr>
          <w:rFonts w:ascii="Times New Roman" w:hAnsi="Times New Roman" w:cs="Times New Roman"/>
          <w:sz w:val="24"/>
          <w:szCs w:val="24"/>
        </w:rPr>
      </w:pPr>
      <w:r w:rsidRPr="00881E0B">
        <w:rPr>
          <w:rFonts w:ascii="Times New Roman" w:hAnsi="Times New Roman" w:cs="Times New Roman"/>
          <w:color w:val="FF0000"/>
          <w:sz w:val="24"/>
          <w:szCs w:val="24"/>
          <w:u w:val="single"/>
        </w:rPr>
        <w:t>Ahí está el problema. En la era de la política monetaria convencional</w:t>
      </w:r>
      <w:r w:rsidRPr="009266F4">
        <w:rPr>
          <w:rFonts w:ascii="Times New Roman" w:hAnsi="Times New Roman" w:cs="Times New Roman"/>
          <w:sz w:val="24"/>
          <w:szCs w:val="24"/>
        </w:rPr>
        <w:t>, los canales de transmisión principales eran los costos de endeudamiento y los consiguientes efectos en los sectores de la economía real más supeditados al crédito, como la construcción residencial, la industria automotriz y la inversión en capital de las empresas.</w:t>
      </w:r>
    </w:p>
    <w:p w:rsidR="000711BB" w:rsidRPr="00881E0B" w:rsidRDefault="000711BB" w:rsidP="000711BB">
      <w:pPr>
        <w:spacing w:line="240" w:lineRule="auto"/>
        <w:jc w:val="both"/>
        <w:rPr>
          <w:rFonts w:ascii="Times New Roman" w:hAnsi="Times New Roman" w:cs="Times New Roman"/>
          <w:color w:val="FF0000"/>
          <w:sz w:val="24"/>
          <w:szCs w:val="24"/>
          <w:u w:val="single"/>
        </w:rPr>
      </w:pPr>
      <w:r w:rsidRPr="009266F4">
        <w:rPr>
          <w:rFonts w:ascii="Times New Roman" w:hAnsi="Times New Roman" w:cs="Times New Roman"/>
          <w:sz w:val="24"/>
          <w:szCs w:val="24"/>
        </w:rPr>
        <w:t xml:space="preserve">Conforme esos sectores subían y bajaban en respuesta a cambios de las tasas de referencia, ocurría a menudo que las repercusiones sistémicas (los denominados efectos multiplicador) fueran reforzadas por ganancias reales y psicológicas en los mercados de activos (efectos riqueza). Eso era entonces. </w:t>
      </w:r>
      <w:r w:rsidRPr="00881E0B">
        <w:rPr>
          <w:rFonts w:ascii="Times New Roman" w:hAnsi="Times New Roman" w:cs="Times New Roman"/>
          <w:color w:val="FF0000"/>
          <w:sz w:val="24"/>
          <w:szCs w:val="24"/>
          <w:u w:val="single"/>
        </w:rPr>
        <w:t>En el nuevo mundo de la política monetaria no convencional, el canal de transmisión principal son los efectos riqueza en los mercados de activos.</w:t>
      </w:r>
    </w:p>
    <w:p w:rsidR="000711BB" w:rsidRPr="00A71219" w:rsidRDefault="000711BB" w:rsidP="000711BB">
      <w:pPr>
        <w:spacing w:line="240" w:lineRule="auto"/>
        <w:jc w:val="both"/>
        <w:rPr>
          <w:rFonts w:ascii="Times New Roman" w:hAnsi="Times New Roman" w:cs="Times New Roman"/>
          <w:sz w:val="24"/>
          <w:szCs w:val="24"/>
          <w:u w:val="single"/>
        </w:rPr>
      </w:pPr>
      <w:r w:rsidRPr="00881E0B">
        <w:rPr>
          <w:rFonts w:ascii="Times New Roman" w:hAnsi="Times New Roman" w:cs="Times New Roman"/>
          <w:color w:val="FF0000"/>
          <w:sz w:val="24"/>
          <w:szCs w:val="24"/>
          <w:u w:val="single"/>
        </w:rPr>
        <w:t>Esta metodología produjo dos importantes complicaciones. La primera es que los bancos centrales desestimaron los riesgos de inestabilidad financiera</w:t>
      </w:r>
      <w:r w:rsidRPr="009266F4">
        <w:rPr>
          <w:rFonts w:ascii="Times New Roman" w:hAnsi="Times New Roman" w:cs="Times New Roman"/>
          <w:sz w:val="24"/>
          <w:szCs w:val="24"/>
        </w:rPr>
        <w:t xml:space="preserve">. Excesivamente confiados por la baja inflación, aplicaron políticas monetarias demasiado flexibles que llevaron a la formación de inmensas burbujas en los mercados de crédito y activos, </w:t>
      </w:r>
      <w:r w:rsidRPr="00881E0B">
        <w:rPr>
          <w:rFonts w:ascii="Times New Roman" w:hAnsi="Times New Roman" w:cs="Times New Roman"/>
          <w:sz w:val="24"/>
          <w:szCs w:val="24"/>
          <w:u w:val="single"/>
        </w:rPr>
        <w:t>lo que dio lugar a enormes distorsiones en las economías reales.</w:t>
      </w:r>
      <w:r w:rsidRPr="009266F4">
        <w:rPr>
          <w:rFonts w:ascii="Times New Roman" w:hAnsi="Times New Roman" w:cs="Times New Roman"/>
          <w:sz w:val="24"/>
          <w:szCs w:val="24"/>
        </w:rPr>
        <w:t xml:space="preserve"> </w:t>
      </w:r>
      <w:r w:rsidRPr="00A71219">
        <w:rPr>
          <w:rFonts w:ascii="Times New Roman" w:hAnsi="Times New Roman" w:cs="Times New Roman"/>
          <w:sz w:val="24"/>
          <w:szCs w:val="24"/>
          <w:u w:val="single"/>
        </w:rPr>
        <w:t>Cuando las burbujas estallaron, y las desequilibradas economías cayeron en recesiones de balance, los bancos centrales (que debían cumplir metas de inflación) ya estaban escasos de municiones, lo que en poco tiempo los llevó al terreno incierto del tipo de interés cero y las inyecciones de liquidez de la flexibilización cuantitativa.</w:t>
      </w:r>
    </w:p>
    <w:p w:rsidR="000711BB" w:rsidRPr="00A71219" w:rsidRDefault="000711BB" w:rsidP="000711BB">
      <w:pPr>
        <w:spacing w:line="240" w:lineRule="auto"/>
        <w:jc w:val="both"/>
        <w:rPr>
          <w:rFonts w:ascii="Times New Roman" w:hAnsi="Times New Roman" w:cs="Times New Roman"/>
          <w:sz w:val="24"/>
          <w:szCs w:val="24"/>
          <w:u w:val="single"/>
        </w:rPr>
      </w:pPr>
      <w:r w:rsidRPr="00A71219">
        <w:rPr>
          <w:rFonts w:ascii="Times New Roman" w:hAnsi="Times New Roman" w:cs="Times New Roman"/>
          <w:sz w:val="24"/>
          <w:szCs w:val="24"/>
          <w:u w:val="single"/>
        </w:rPr>
        <w:t>En segundo lugar, los políticos, excesivamente confiados por la efervescencia de los mercados de activos, evitaron el uso de estímulos fiscales, lo que en la práctica anuló la única forma realmente efectiva de salir de una trampa de liquidez</w:t>
      </w:r>
      <w:r w:rsidRPr="009266F4">
        <w:rPr>
          <w:rFonts w:ascii="Times New Roman" w:hAnsi="Times New Roman" w:cs="Times New Roman"/>
          <w:sz w:val="24"/>
          <w:szCs w:val="24"/>
        </w:rPr>
        <w:t xml:space="preserve">. Ante la falta de </w:t>
      </w:r>
      <w:r w:rsidR="00766445" w:rsidRPr="009266F4">
        <w:rPr>
          <w:rFonts w:ascii="Times New Roman" w:hAnsi="Times New Roman" w:cs="Times New Roman"/>
          <w:sz w:val="24"/>
          <w:szCs w:val="24"/>
        </w:rPr>
        <w:t>est</w:t>
      </w:r>
      <w:r w:rsidR="00766445">
        <w:rPr>
          <w:rFonts w:ascii="Tahoma" w:hAnsi="Tahoma" w:cs="Tahoma"/>
          <w:sz w:val="24"/>
          <w:szCs w:val="24"/>
        </w:rPr>
        <w:t>í</w:t>
      </w:r>
      <w:r w:rsidR="00766445" w:rsidRPr="009266F4">
        <w:rPr>
          <w:rFonts w:ascii="Times New Roman" w:hAnsi="Times New Roman" w:cs="Times New Roman"/>
          <w:sz w:val="24"/>
          <w:szCs w:val="24"/>
        </w:rPr>
        <w:t>mulo</w:t>
      </w:r>
      <w:r w:rsidRPr="009266F4">
        <w:rPr>
          <w:rFonts w:ascii="Times New Roman" w:hAnsi="Times New Roman" w:cs="Times New Roman"/>
          <w:sz w:val="24"/>
          <w:szCs w:val="24"/>
        </w:rPr>
        <w:t xml:space="preserve"> fiscal, los bancos centrales siguieron subiendo la apuesta mediante la inyección de más liquidez en mercados financieros propensos a la formación de burbujas, </w:t>
      </w:r>
      <w:r w:rsidRPr="00A71219">
        <w:rPr>
          <w:rFonts w:ascii="Times New Roman" w:hAnsi="Times New Roman" w:cs="Times New Roman"/>
          <w:sz w:val="24"/>
          <w:szCs w:val="24"/>
          <w:u w:val="single"/>
        </w:rPr>
        <w:t>sin darse cuenta de que no hacían más que tratar de “empujar una cuerda”, como en los años treinta.</w:t>
      </w:r>
    </w:p>
    <w:p w:rsidR="000711BB" w:rsidRPr="00A71219" w:rsidRDefault="000711BB" w:rsidP="000711BB">
      <w:pPr>
        <w:spacing w:line="240" w:lineRule="auto"/>
        <w:jc w:val="both"/>
        <w:rPr>
          <w:rFonts w:ascii="Times New Roman" w:hAnsi="Times New Roman" w:cs="Times New Roman"/>
          <w:color w:val="FF0000"/>
          <w:sz w:val="24"/>
          <w:szCs w:val="24"/>
          <w:u w:val="single"/>
        </w:rPr>
      </w:pPr>
      <w:r w:rsidRPr="00A71219">
        <w:rPr>
          <w:rFonts w:ascii="Times New Roman" w:hAnsi="Times New Roman" w:cs="Times New Roman"/>
          <w:sz w:val="24"/>
          <w:szCs w:val="24"/>
          <w:u w:val="single"/>
        </w:rPr>
        <w:t>Las tasas negativas son todavía más problemáticas. En tiempos de persistente escasez de demanda agregada a escala mundial, introducen un nuevo conjunto de riesgos, al castigar a los bancos que no sigan prestando</w:t>
      </w:r>
      <w:r w:rsidRPr="009266F4">
        <w:rPr>
          <w:rFonts w:ascii="Times New Roman" w:hAnsi="Times New Roman" w:cs="Times New Roman"/>
          <w:sz w:val="24"/>
          <w:szCs w:val="24"/>
        </w:rPr>
        <w:t xml:space="preserve">. Esto es el equivalente funcional de promover otra ola de “crédito zombi”: los préstamos sin racionalidad económica otorgados a deudores japoneses insolventes en los noventa. </w:t>
      </w:r>
      <w:r w:rsidRPr="00A71219">
        <w:rPr>
          <w:rFonts w:ascii="Times New Roman" w:hAnsi="Times New Roman" w:cs="Times New Roman"/>
          <w:color w:val="FF0000"/>
          <w:sz w:val="24"/>
          <w:szCs w:val="24"/>
          <w:u w:val="single"/>
        </w:rPr>
        <w:t xml:space="preserve">Los bancos centrales </w:t>
      </w:r>
      <w:r w:rsidRPr="00A71219">
        <w:rPr>
          <w:rFonts w:ascii="Times New Roman" w:hAnsi="Times New Roman" w:cs="Times New Roman"/>
          <w:color w:val="FF0000"/>
          <w:sz w:val="24"/>
          <w:szCs w:val="24"/>
          <w:u w:val="single"/>
        </w:rPr>
        <w:lastRenderedPageBreak/>
        <w:t>perdieron el rumbo y están en crisis. ¿Cuánto puede tardar la economía mundial en ir tras sus pasos?</w:t>
      </w:r>
    </w:p>
    <w:p w:rsidR="000711BB" w:rsidRPr="00BC3F39"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(Stephen S. Roach, former Chairman of Morgan Stanley Asia and the firm's chief economist, is a senior fellow at Yale University's Jackson Institute of Global Affairs and a senior lecturer at Yale's School of Management. He is the author of Unbalanced: The Codependency of America and China)</w:t>
      </w:r>
    </w:p>
    <w:p w:rsidR="000711BB" w:rsidRPr="00BC3F39" w:rsidRDefault="000711BB" w:rsidP="000711BB">
      <w:pPr>
        <w:spacing w:line="240" w:lineRule="auto"/>
        <w:jc w:val="both"/>
        <w:rPr>
          <w:rFonts w:ascii="Times New Roman" w:hAnsi="Times New Roman" w:cs="Times New Roman"/>
          <w:sz w:val="24"/>
          <w:szCs w:val="24"/>
        </w:rPr>
      </w:pPr>
      <w:r w:rsidRPr="00BC3F39">
        <w:rPr>
          <w:rFonts w:ascii="Times New Roman" w:hAnsi="Times New Roman" w:cs="Times New Roman"/>
          <w:sz w:val="24"/>
          <w:szCs w:val="24"/>
        </w:rPr>
        <w:t xml:space="preserve">- </w:t>
      </w:r>
      <w:r w:rsidRPr="00BC3F39">
        <w:rPr>
          <w:rFonts w:ascii="Times New Roman" w:hAnsi="Times New Roman" w:cs="Times New Roman"/>
          <w:sz w:val="24"/>
          <w:szCs w:val="24"/>
          <w:u w:val="single"/>
        </w:rPr>
        <w:t>El rompecabezas de la desigualdad</w:t>
      </w:r>
      <w:r>
        <w:rPr>
          <w:rFonts w:ascii="Times New Roman" w:hAnsi="Times New Roman" w:cs="Times New Roman"/>
          <w:sz w:val="24"/>
          <w:szCs w:val="24"/>
        </w:rPr>
        <w:t xml:space="preserve"> (Project Syndicate - </w:t>
      </w:r>
      <w:r w:rsidRPr="00BC3F39">
        <w:rPr>
          <w:rFonts w:ascii="Times New Roman" w:hAnsi="Times New Roman" w:cs="Times New Roman"/>
          <w:b/>
          <w:sz w:val="24"/>
          <w:szCs w:val="24"/>
        </w:rPr>
        <w:t>18/2/16</w:t>
      </w:r>
      <w:r>
        <w:rPr>
          <w:rFonts w:ascii="Times New Roman" w:hAnsi="Times New Roman" w:cs="Times New Roman"/>
          <w:sz w:val="24"/>
          <w:szCs w:val="24"/>
        </w:rPr>
        <w:t>)</w:t>
      </w:r>
    </w:p>
    <w:p w:rsidR="000711BB" w:rsidRPr="00A71219" w:rsidRDefault="00766445" w:rsidP="000711BB">
      <w:pPr>
        <w:spacing w:line="240" w:lineRule="auto"/>
        <w:jc w:val="both"/>
        <w:rPr>
          <w:rFonts w:ascii="Times New Roman" w:hAnsi="Times New Roman" w:cs="Times New Roman"/>
          <w:color w:val="FF0000"/>
          <w:sz w:val="24"/>
          <w:szCs w:val="24"/>
          <w:u w:val="single"/>
        </w:rPr>
      </w:pPr>
      <w:r w:rsidRPr="00BC3F39">
        <w:rPr>
          <w:rFonts w:ascii="Times New Roman" w:hAnsi="Times New Roman" w:cs="Times New Roman"/>
          <w:sz w:val="24"/>
          <w:szCs w:val="24"/>
        </w:rPr>
        <w:t>N</w:t>
      </w:r>
      <w:r>
        <w:rPr>
          <w:rFonts w:ascii="Times New Roman" w:hAnsi="Times New Roman" w:cs="Times New Roman"/>
          <w:sz w:val="24"/>
          <w:szCs w:val="24"/>
        </w:rPr>
        <w:t>ueva</w:t>
      </w:r>
      <w:r w:rsidR="000711BB">
        <w:rPr>
          <w:rFonts w:ascii="Times New Roman" w:hAnsi="Times New Roman" w:cs="Times New Roman"/>
          <w:sz w:val="24"/>
          <w:szCs w:val="24"/>
        </w:rPr>
        <w:t xml:space="preserve"> York.-</w:t>
      </w:r>
      <w:r w:rsidR="000711BB" w:rsidRPr="00BC3F39">
        <w:rPr>
          <w:rFonts w:ascii="Times New Roman" w:hAnsi="Times New Roman" w:cs="Times New Roman"/>
          <w:sz w:val="24"/>
          <w:szCs w:val="24"/>
        </w:rPr>
        <w:t xml:space="preserve"> </w:t>
      </w:r>
      <w:r w:rsidR="000711BB" w:rsidRPr="00A71219">
        <w:rPr>
          <w:rFonts w:ascii="Times New Roman" w:hAnsi="Times New Roman" w:cs="Times New Roman"/>
          <w:color w:val="FF0000"/>
          <w:sz w:val="24"/>
          <w:szCs w:val="24"/>
          <w:u w:val="single"/>
        </w:rPr>
        <w:t>Durante la última década, la desigualdad del ingreso fue equiparada con el terrorismo, el cambio climático, las pandemias y el estancamiento económico como uno de los temas más urgentes en la agenda de la política internacional. Sin embargo, a pesar de toda la atención que recibe, han sido pocas las propuestas de soluciones potencialmente eficaces. La identificación de las mejores políticas para reducir la desigualdad continúa siendo un rompecabezas.</w:t>
      </w:r>
    </w:p>
    <w:p w:rsidR="000711BB" w:rsidRPr="00BC3F39" w:rsidRDefault="000711BB" w:rsidP="000711BB">
      <w:pPr>
        <w:spacing w:line="240" w:lineRule="auto"/>
        <w:jc w:val="both"/>
        <w:rPr>
          <w:rFonts w:ascii="Times New Roman" w:hAnsi="Times New Roman" w:cs="Times New Roman"/>
          <w:sz w:val="24"/>
          <w:szCs w:val="24"/>
        </w:rPr>
      </w:pPr>
      <w:r w:rsidRPr="00BC3F39">
        <w:rPr>
          <w:rFonts w:ascii="Times New Roman" w:hAnsi="Times New Roman" w:cs="Times New Roman"/>
          <w:sz w:val="24"/>
          <w:szCs w:val="24"/>
        </w:rPr>
        <w:t>Para entender por qué el problema confunde a los responsables de las políticas, resulta útil comparar las dos mayores economías del mundo. Estados Unidos es una democracia liberal con una economía basada en el mercado, en la cual los factores de la producción son de propiedad privada. China, por el contrario, está gobernada por una clase política que despre</w:t>
      </w:r>
      <w:r>
        <w:rPr>
          <w:rFonts w:ascii="Times New Roman" w:hAnsi="Times New Roman" w:cs="Times New Roman"/>
          <w:sz w:val="24"/>
          <w:szCs w:val="24"/>
        </w:rPr>
        <w:t>cia la democracia. Su economía -</w:t>
      </w:r>
      <w:r w:rsidRPr="00BC3F39">
        <w:rPr>
          <w:rFonts w:ascii="Times New Roman" w:hAnsi="Times New Roman" w:cs="Times New Roman"/>
          <w:sz w:val="24"/>
          <w:szCs w:val="24"/>
        </w:rPr>
        <w:t>a pesar de décadas de</w:t>
      </w:r>
      <w:r>
        <w:rPr>
          <w:rFonts w:ascii="Times New Roman" w:hAnsi="Times New Roman" w:cs="Times New Roman"/>
          <w:sz w:val="24"/>
          <w:szCs w:val="24"/>
        </w:rPr>
        <w:t xml:space="preserve"> reformas favorables al mercado-</w:t>
      </w:r>
      <w:r w:rsidRPr="00BC3F39">
        <w:rPr>
          <w:rFonts w:ascii="Times New Roman" w:hAnsi="Times New Roman" w:cs="Times New Roman"/>
          <w:sz w:val="24"/>
          <w:szCs w:val="24"/>
        </w:rPr>
        <w:t xml:space="preserve"> continúa definida por una fuerte intervención estatal.</w:t>
      </w:r>
    </w:p>
    <w:p w:rsidR="000711BB" w:rsidRPr="00A71219" w:rsidRDefault="000711BB" w:rsidP="000711BB">
      <w:pPr>
        <w:spacing w:line="240" w:lineRule="auto"/>
        <w:jc w:val="both"/>
        <w:rPr>
          <w:rFonts w:ascii="Times New Roman" w:hAnsi="Times New Roman" w:cs="Times New Roman"/>
          <w:b/>
          <w:color w:val="FF0000"/>
          <w:sz w:val="24"/>
          <w:szCs w:val="24"/>
          <w:u w:val="single"/>
        </w:rPr>
      </w:pPr>
      <w:r w:rsidRPr="00A71219">
        <w:rPr>
          <w:rFonts w:ascii="Times New Roman" w:hAnsi="Times New Roman" w:cs="Times New Roman"/>
          <w:b/>
          <w:color w:val="FF0000"/>
          <w:sz w:val="24"/>
          <w:szCs w:val="24"/>
          <w:u w:val="single"/>
        </w:rPr>
        <w:t>Pero a pesar de contar con sistemas políticos y económicos radicalmente diferentes, ambos países exhiben aproximadamente el mismo nivel de desigualdad en el i</w:t>
      </w:r>
      <w:r>
        <w:rPr>
          <w:rFonts w:ascii="Times New Roman" w:hAnsi="Times New Roman" w:cs="Times New Roman"/>
          <w:b/>
          <w:color w:val="FF0000"/>
          <w:sz w:val="24"/>
          <w:szCs w:val="24"/>
          <w:u w:val="single"/>
        </w:rPr>
        <w:t>ngreso. El coeficiente de Gini -</w:t>
      </w:r>
      <w:r w:rsidRPr="00A71219">
        <w:rPr>
          <w:rFonts w:ascii="Times New Roman" w:hAnsi="Times New Roman" w:cs="Times New Roman"/>
          <w:b/>
          <w:color w:val="FF0000"/>
          <w:sz w:val="24"/>
          <w:szCs w:val="24"/>
          <w:u w:val="single"/>
        </w:rPr>
        <w:t>la medida más frecuentemente usada de l</w:t>
      </w:r>
      <w:r>
        <w:rPr>
          <w:rFonts w:ascii="Times New Roman" w:hAnsi="Times New Roman" w:cs="Times New Roman"/>
          <w:b/>
          <w:color w:val="FF0000"/>
          <w:sz w:val="24"/>
          <w:szCs w:val="24"/>
          <w:u w:val="single"/>
        </w:rPr>
        <w:t>a desigualdad en el ingreso-</w:t>
      </w:r>
      <w:r w:rsidRPr="00A71219">
        <w:rPr>
          <w:rFonts w:ascii="Times New Roman" w:hAnsi="Times New Roman" w:cs="Times New Roman"/>
          <w:b/>
          <w:color w:val="FF0000"/>
          <w:sz w:val="24"/>
          <w:szCs w:val="24"/>
          <w:u w:val="single"/>
        </w:rPr>
        <w:t xml:space="preserve"> de ambos países es aproximadamente 0,47.</w:t>
      </w:r>
    </w:p>
    <w:p w:rsidR="000711BB" w:rsidRPr="00A71219" w:rsidRDefault="000711BB" w:rsidP="000711BB">
      <w:pPr>
        <w:spacing w:line="240" w:lineRule="auto"/>
        <w:jc w:val="both"/>
        <w:rPr>
          <w:rFonts w:ascii="Times New Roman" w:hAnsi="Times New Roman" w:cs="Times New Roman"/>
          <w:b/>
          <w:color w:val="FF0000"/>
          <w:sz w:val="24"/>
          <w:szCs w:val="24"/>
          <w:u w:val="single"/>
        </w:rPr>
      </w:pPr>
      <w:r w:rsidRPr="00A71219">
        <w:rPr>
          <w:rFonts w:ascii="Times New Roman" w:hAnsi="Times New Roman" w:cs="Times New Roman"/>
          <w:b/>
          <w:color w:val="FF0000"/>
          <w:sz w:val="24"/>
          <w:szCs w:val="24"/>
          <w:u w:val="single"/>
        </w:rPr>
        <w:t xml:space="preserve">Sin embargo, hay una gran diferencia </w:t>
      </w:r>
      <w:r>
        <w:rPr>
          <w:rFonts w:ascii="Times New Roman" w:hAnsi="Times New Roman" w:cs="Times New Roman"/>
          <w:b/>
          <w:color w:val="FF0000"/>
          <w:sz w:val="24"/>
          <w:szCs w:val="24"/>
          <w:u w:val="single"/>
        </w:rPr>
        <w:t>entre ambas situaciones: en EEUU</w:t>
      </w:r>
      <w:r w:rsidRPr="00A71219">
        <w:rPr>
          <w:rFonts w:ascii="Times New Roman" w:hAnsi="Times New Roman" w:cs="Times New Roman"/>
          <w:b/>
          <w:color w:val="FF0000"/>
          <w:sz w:val="24"/>
          <w:szCs w:val="24"/>
          <w:u w:val="single"/>
        </w:rPr>
        <w:t xml:space="preserve"> la desigualdad está empeorando rápidamente. En 1978, el 1 % con mayores ingresos de la población era 10 veces más rico que el resto del país; actualmente, el ingreso promedio del 1 % en la cima es aproximadamente 30 veces el de la persona promedio en el 99 % restante. Durante ese mismo período, la desigualdad en China se ha reducido. </w:t>
      </w:r>
    </w:p>
    <w:p w:rsidR="000711BB" w:rsidRPr="00A71219" w:rsidRDefault="000711BB" w:rsidP="000711BB">
      <w:pPr>
        <w:spacing w:line="240" w:lineRule="auto"/>
        <w:jc w:val="both"/>
        <w:rPr>
          <w:rFonts w:ascii="Times New Roman" w:hAnsi="Times New Roman" w:cs="Times New Roman"/>
          <w:b/>
          <w:color w:val="FF0000"/>
          <w:sz w:val="24"/>
          <w:szCs w:val="24"/>
          <w:u w:val="single"/>
        </w:rPr>
      </w:pPr>
      <w:r w:rsidRPr="00A71219">
        <w:rPr>
          <w:rFonts w:ascii="Times New Roman" w:hAnsi="Times New Roman" w:cs="Times New Roman"/>
          <w:b/>
          <w:color w:val="FF0000"/>
          <w:sz w:val="24"/>
          <w:szCs w:val="24"/>
          <w:u w:val="single"/>
        </w:rPr>
        <w:t>Esto plantea un desafío para los responsables de las políticas. El capitalismo de libre mercado ha demostrado ser el mejor sistema para impulsar el crecimiento del ingreso y crear un gran excedente económico, sin embargo, su desempeño no es tan bueno cuando a la hora de distribuir el ingreso.</w:t>
      </w:r>
    </w:p>
    <w:p w:rsidR="000711BB" w:rsidRPr="00BC3F39" w:rsidRDefault="000711BB" w:rsidP="000711BB">
      <w:pPr>
        <w:spacing w:line="240" w:lineRule="auto"/>
        <w:jc w:val="both"/>
        <w:rPr>
          <w:rFonts w:ascii="Times New Roman" w:hAnsi="Times New Roman" w:cs="Times New Roman"/>
          <w:sz w:val="24"/>
          <w:szCs w:val="24"/>
        </w:rPr>
      </w:pPr>
      <w:r w:rsidRPr="00A71219">
        <w:rPr>
          <w:rFonts w:ascii="Times New Roman" w:hAnsi="Times New Roman" w:cs="Times New Roman"/>
          <w:sz w:val="24"/>
          <w:szCs w:val="24"/>
          <w:u w:val="single"/>
        </w:rPr>
        <w:t>La mayoría de las sociedades democráticas han intentado ocuparse del problema a través de políticas redistributivas de izquierda o enfoques de derecha a través de la oferta. Pero ninguno de esos intentos parece especialmente eficaz</w:t>
      </w:r>
      <w:r>
        <w:rPr>
          <w:rFonts w:ascii="Times New Roman" w:hAnsi="Times New Roman" w:cs="Times New Roman"/>
          <w:sz w:val="24"/>
          <w:szCs w:val="24"/>
        </w:rPr>
        <w:t>. En EEUU</w:t>
      </w:r>
      <w:r w:rsidRPr="00BC3F39">
        <w:rPr>
          <w:rFonts w:ascii="Times New Roman" w:hAnsi="Times New Roman" w:cs="Times New Roman"/>
          <w:sz w:val="24"/>
          <w:szCs w:val="24"/>
        </w:rPr>
        <w:t xml:space="preserve"> la desigualdad del ingreso ha aumentado sostenidamente tanto con gobiernos democráticos como republicanos. El éxito chino en esta cuestión resalta las posibles ventajas de la falta de miramientos de su sistema, una conclusión que incomoda a muchos responsables de las políticas occidentales.</w:t>
      </w:r>
    </w:p>
    <w:p w:rsidR="000711BB" w:rsidRPr="00A71219" w:rsidRDefault="000711BB" w:rsidP="000711BB">
      <w:pPr>
        <w:spacing w:line="240" w:lineRule="auto"/>
        <w:jc w:val="both"/>
        <w:rPr>
          <w:rFonts w:ascii="Times New Roman" w:hAnsi="Times New Roman" w:cs="Times New Roman"/>
          <w:sz w:val="24"/>
          <w:szCs w:val="24"/>
          <w:u w:val="single"/>
        </w:rPr>
      </w:pPr>
      <w:r w:rsidRPr="00A71219">
        <w:rPr>
          <w:rFonts w:ascii="Times New Roman" w:hAnsi="Times New Roman" w:cs="Times New Roman"/>
          <w:sz w:val="24"/>
          <w:szCs w:val="24"/>
          <w:u w:val="single"/>
        </w:rPr>
        <w:t>Uno de los aspectos de la discusión, sin embargo, no genera tanta controversia. A los desafíos que plantea el debate sobre las políticas se suman quienes afirman que la desigualdad no es importante. Si la marea sube y eleva todos los botes, postulan, no importa que algunos lo hagan más lentamente que otros.</w:t>
      </w:r>
    </w:p>
    <w:p w:rsidR="000711BB" w:rsidRPr="00A71219" w:rsidRDefault="000711BB" w:rsidP="000711BB">
      <w:pPr>
        <w:spacing w:line="240" w:lineRule="auto"/>
        <w:jc w:val="both"/>
        <w:rPr>
          <w:rFonts w:ascii="Times New Roman" w:hAnsi="Times New Roman" w:cs="Times New Roman"/>
          <w:sz w:val="24"/>
          <w:szCs w:val="24"/>
          <w:u w:val="single"/>
        </w:rPr>
      </w:pPr>
      <w:r w:rsidRPr="00A71219">
        <w:rPr>
          <w:rFonts w:ascii="Times New Roman" w:hAnsi="Times New Roman" w:cs="Times New Roman"/>
          <w:sz w:val="24"/>
          <w:szCs w:val="24"/>
          <w:u w:val="single"/>
        </w:rPr>
        <w:lastRenderedPageBreak/>
        <w:t>Quienes están a favor de quitar énfasis a la desigualdad del ingreso sostienen que las políticas públicas debieran procurar que todos los ciudadanos disfruten de un nivel de</w:t>
      </w:r>
      <w:r>
        <w:rPr>
          <w:rFonts w:ascii="Times New Roman" w:hAnsi="Times New Roman" w:cs="Times New Roman"/>
          <w:sz w:val="24"/>
          <w:szCs w:val="24"/>
          <w:u w:val="single"/>
        </w:rPr>
        <w:t xml:space="preserve"> vida básico -</w:t>
      </w:r>
      <w:r w:rsidRPr="00A71219">
        <w:rPr>
          <w:rFonts w:ascii="Times New Roman" w:hAnsi="Times New Roman" w:cs="Times New Roman"/>
          <w:sz w:val="24"/>
          <w:szCs w:val="24"/>
          <w:u w:val="single"/>
        </w:rPr>
        <w:t>alimentos nutritivos, refugio adecuado, atención sanitaria de ca</w:t>
      </w:r>
      <w:r>
        <w:rPr>
          <w:rFonts w:ascii="Times New Roman" w:hAnsi="Times New Roman" w:cs="Times New Roman"/>
          <w:sz w:val="24"/>
          <w:szCs w:val="24"/>
          <w:u w:val="single"/>
        </w:rPr>
        <w:t>lidad e infraestructura moderna-</w:t>
      </w:r>
      <w:r w:rsidRPr="00A71219">
        <w:rPr>
          <w:rFonts w:ascii="Times New Roman" w:hAnsi="Times New Roman" w:cs="Times New Roman"/>
          <w:sz w:val="24"/>
          <w:szCs w:val="24"/>
          <w:u w:val="single"/>
        </w:rPr>
        <w:t xml:space="preserve"> más que intentar reducir la brecha entre los ricos y los pobres. De hecho, hay quienes sostienen que la desigualdad del ingreso impulsa el crecimiento económico y que las transferencias retributivas debilitan los incentivos para trabajar, lo que a su vez deprime la productividad, reduce la inversión y, en última instancia, perjudica a la comunidad en su conjunto.</w:t>
      </w:r>
    </w:p>
    <w:p w:rsidR="000711BB" w:rsidRPr="00A71219" w:rsidRDefault="000711BB" w:rsidP="000711BB">
      <w:pPr>
        <w:spacing w:line="240" w:lineRule="auto"/>
        <w:jc w:val="both"/>
        <w:rPr>
          <w:rFonts w:ascii="Times New Roman" w:hAnsi="Times New Roman" w:cs="Times New Roman"/>
          <w:color w:val="FF0000"/>
          <w:sz w:val="24"/>
          <w:szCs w:val="24"/>
          <w:u w:val="single"/>
        </w:rPr>
      </w:pPr>
      <w:r w:rsidRPr="00A71219">
        <w:rPr>
          <w:rFonts w:ascii="Times New Roman" w:hAnsi="Times New Roman" w:cs="Times New Roman"/>
          <w:color w:val="FF0000"/>
          <w:sz w:val="24"/>
          <w:szCs w:val="24"/>
          <w:u w:val="single"/>
        </w:rPr>
        <w:t>Pero las sociedades no prosperan solo gracias al crecimiento económico, sino que sufren cuando los pobres son incapaces de encontrar la forma de mejo</w:t>
      </w:r>
      <w:r>
        <w:rPr>
          <w:rFonts w:ascii="Times New Roman" w:hAnsi="Times New Roman" w:cs="Times New Roman"/>
          <w:color w:val="FF0000"/>
          <w:sz w:val="24"/>
          <w:szCs w:val="24"/>
          <w:u w:val="single"/>
        </w:rPr>
        <w:t>rar. La movilidad social en EEUU</w:t>
      </w:r>
      <w:r w:rsidRPr="00A71219">
        <w:rPr>
          <w:rFonts w:ascii="Times New Roman" w:hAnsi="Times New Roman" w:cs="Times New Roman"/>
          <w:color w:val="FF0000"/>
          <w:sz w:val="24"/>
          <w:szCs w:val="24"/>
          <w:u w:val="single"/>
        </w:rPr>
        <w:t xml:space="preserve"> (y otros sitios) ha disminuido, socavando la fe en el «sueño americano» (que incluye la idea de que si uno trabaja duro, le irá mejor que a sus padres). Durante los últimos 30 años, la probabilidad de que un estadounidense nacido en el último cuartil de la distribución del ingreso termine su vida en el primero se ha reducido más de la mitad.</w:t>
      </w:r>
    </w:p>
    <w:p w:rsidR="000711BB" w:rsidRPr="00BC3F39" w:rsidRDefault="000711BB" w:rsidP="000711BB">
      <w:pPr>
        <w:spacing w:line="240" w:lineRule="auto"/>
        <w:jc w:val="both"/>
        <w:rPr>
          <w:rFonts w:ascii="Times New Roman" w:hAnsi="Times New Roman" w:cs="Times New Roman"/>
          <w:sz w:val="24"/>
          <w:szCs w:val="24"/>
        </w:rPr>
      </w:pPr>
      <w:r w:rsidRPr="00BC3F39">
        <w:rPr>
          <w:rFonts w:ascii="Times New Roman" w:hAnsi="Times New Roman" w:cs="Times New Roman"/>
          <w:sz w:val="24"/>
          <w:szCs w:val="24"/>
        </w:rPr>
        <w:t xml:space="preserve">Ciertamente, se han logrado muchos avances. Durante los últimos 50 años, mientras países como China e India lograron tasas de crecimiento económico de dos dígitos, el coeficiente de Gini mundial cayó de 0,65 a 0,55. Pero es improbable que se logren mayores avances, al menos en el futuro previsible. </w:t>
      </w:r>
    </w:p>
    <w:p w:rsidR="000711BB" w:rsidRPr="00A71219" w:rsidRDefault="000711BB" w:rsidP="000711BB">
      <w:pPr>
        <w:spacing w:line="240" w:lineRule="auto"/>
        <w:jc w:val="both"/>
        <w:rPr>
          <w:rFonts w:ascii="Times New Roman" w:hAnsi="Times New Roman" w:cs="Times New Roman"/>
          <w:sz w:val="24"/>
          <w:szCs w:val="24"/>
          <w:u w:val="single"/>
        </w:rPr>
      </w:pPr>
      <w:r w:rsidRPr="00A71219">
        <w:rPr>
          <w:rFonts w:ascii="Times New Roman" w:hAnsi="Times New Roman" w:cs="Times New Roman"/>
          <w:sz w:val="24"/>
          <w:szCs w:val="24"/>
          <w:u w:val="single"/>
        </w:rPr>
        <w:t>El crecimiento económico en la mayoría de las economías emergentes ha caído por debajo del 7 %: el umbral necesario para duplicar el ingreso per cápita en una generación. En muchos países, la tasa cayó más allá del punto en que puede hacer mella en la pobreza.</w:t>
      </w:r>
    </w:p>
    <w:p w:rsidR="000711BB" w:rsidRPr="00BC3F39" w:rsidRDefault="000711BB" w:rsidP="000711BB">
      <w:pPr>
        <w:spacing w:line="240" w:lineRule="auto"/>
        <w:jc w:val="both"/>
        <w:rPr>
          <w:rFonts w:ascii="Times New Roman" w:hAnsi="Times New Roman" w:cs="Times New Roman"/>
          <w:sz w:val="24"/>
          <w:szCs w:val="24"/>
        </w:rPr>
      </w:pPr>
      <w:r w:rsidRPr="00A71219">
        <w:rPr>
          <w:rFonts w:ascii="Times New Roman" w:hAnsi="Times New Roman" w:cs="Times New Roman"/>
          <w:sz w:val="24"/>
          <w:szCs w:val="24"/>
          <w:u w:val="single"/>
        </w:rPr>
        <w:t>Esta sombría perspectiva económica tiene graves consecuencias. El aumento de la desigualdad alimenta el descontento político cuando los ciudadanos ven cómo empeoran sus perspectivas</w:t>
      </w:r>
      <w:r w:rsidRPr="00BC3F39">
        <w:rPr>
          <w:rFonts w:ascii="Times New Roman" w:hAnsi="Times New Roman" w:cs="Times New Roman"/>
          <w:sz w:val="24"/>
          <w:szCs w:val="24"/>
        </w:rPr>
        <w:t xml:space="preserve">. Los informes que indican que tan solo 158 donantes adinerados aportaron la mitad de las contribuciones totales de campaña para la primera fase del ciclo electoral presidencial estadounidense en 2016 resaltan la preocupación de que la desigualdad del ingreso puede conducir a la desigualdad política. </w:t>
      </w:r>
    </w:p>
    <w:p w:rsidR="000711BB" w:rsidRPr="00BC3F39" w:rsidRDefault="000711BB" w:rsidP="000711BB">
      <w:pPr>
        <w:spacing w:line="240" w:lineRule="auto"/>
        <w:jc w:val="both"/>
        <w:rPr>
          <w:rFonts w:ascii="Times New Roman" w:hAnsi="Times New Roman" w:cs="Times New Roman"/>
          <w:sz w:val="24"/>
          <w:szCs w:val="24"/>
        </w:rPr>
      </w:pPr>
      <w:r w:rsidRPr="00BC3F39">
        <w:rPr>
          <w:rFonts w:ascii="Times New Roman" w:hAnsi="Times New Roman" w:cs="Times New Roman"/>
          <w:sz w:val="24"/>
          <w:szCs w:val="24"/>
        </w:rPr>
        <w:t>En términos mundiales, la desaceleración de la convergencia económica tiene implicaciones similares, ya que los países más ricos mantienen su enorme influencia en todo el mundo, lo que lleva a la desafección y radicalización en los pobres. Independientemente de lo difícil que parezca actualmente el rompecabezas de la desigualdad del ingreso, si no lo solucionamos podríamos tener que enfrentar desafíos mucho más graves.</w:t>
      </w:r>
    </w:p>
    <w:p w:rsidR="000711BB" w:rsidRDefault="000711BB" w:rsidP="000711BB">
      <w:pPr>
        <w:spacing w:line="240" w:lineRule="auto"/>
        <w:jc w:val="both"/>
        <w:rPr>
          <w:rFonts w:ascii="Times New Roman" w:hAnsi="Times New Roman" w:cs="Times New Roman"/>
          <w:sz w:val="24"/>
          <w:szCs w:val="24"/>
          <w:lang w:val="en-US"/>
        </w:rPr>
      </w:pPr>
      <w:r w:rsidRPr="00BC3F39">
        <w:rPr>
          <w:rFonts w:ascii="Times New Roman" w:hAnsi="Times New Roman" w:cs="Times New Roman"/>
          <w:sz w:val="24"/>
          <w:szCs w:val="24"/>
          <w:lang w:val="en-US"/>
        </w:rPr>
        <w:t>(Dambisa Moyo, an economist and author, sits on the board of directors of a number of global corporations. She is the author of Dead Aid, Winner Take</w:t>
      </w:r>
      <w:r>
        <w:rPr>
          <w:rFonts w:ascii="Times New Roman" w:hAnsi="Times New Roman" w:cs="Times New Roman"/>
          <w:sz w:val="24"/>
          <w:szCs w:val="24"/>
          <w:lang w:val="en-US"/>
        </w:rPr>
        <w:t xml:space="preserve"> All, and How the West Was Lost)</w:t>
      </w:r>
    </w:p>
    <w:p w:rsidR="000711BB" w:rsidRPr="00550174" w:rsidRDefault="000711BB" w:rsidP="000711B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C00869">
        <w:rPr>
          <w:rFonts w:ascii="Times New Roman" w:hAnsi="Times New Roman" w:cs="Times New Roman"/>
          <w:sz w:val="24"/>
          <w:szCs w:val="24"/>
          <w:u w:val="single"/>
          <w:lang w:val="en-US"/>
        </w:rPr>
        <w:t>Al fin de cuentas, ¿quién llevó a cabo la flexibilización cuantitativa?</w:t>
      </w:r>
      <w:r>
        <w:rPr>
          <w:rFonts w:ascii="Times New Roman" w:hAnsi="Times New Roman" w:cs="Times New Roman"/>
          <w:sz w:val="24"/>
          <w:szCs w:val="24"/>
          <w:lang w:val="en-US"/>
        </w:rPr>
        <w:t xml:space="preserve"> (Project Syndicate - </w:t>
      </w:r>
      <w:r w:rsidRPr="00C00869">
        <w:rPr>
          <w:rFonts w:ascii="Times New Roman" w:hAnsi="Times New Roman" w:cs="Times New Roman"/>
          <w:b/>
          <w:sz w:val="24"/>
          <w:szCs w:val="24"/>
          <w:lang w:val="en-US"/>
        </w:rPr>
        <w:t>26/2/16</w:t>
      </w:r>
      <w:r>
        <w:rPr>
          <w:rFonts w:ascii="Times New Roman" w:hAnsi="Times New Roman" w:cs="Times New Roman"/>
          <w:sz w:val="24"/>
          <w:szCs w:val="24"/>
          <w:lang w:val="en-US"/>
        </w:rPr>
        <w:t>)</w:t>
      </w:r>
    </w:p>
    <w:p w:rsidR="000711BB" w:rsidRPr="00550174" w:rsidRDefault="000711BB" w:rsidP="000711B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Cambridge.-</w:t>
      </w:r>
      <w:r w:rsidRPr="00550174">
        <w:rPr>
          <w:rFonts w:ascii="Times New Roman" w:hAnsi="Times New Roman" w:cs="Times New Roman"/>
          <w:sz w:val="24"/>
          <w:szCs w:val="24"/>
          <w:lang w:val="en-US"/>
        </w:rPr>
        <w:t xml:space="preserve"> En lo que se refiere a quién realiza compras de valores del Tesoro de Estados Unidos, es justo decir que durante el período entre 1913 (año que se fundó la Reserva Federal de Estados Unidos) y la última parte de la década de 1980, la Fed, entre todos los bancos centrales, se constituyó en la única opción para dichas compras. </w:t>
      </w:r>
      <w:r w:rsidRPr="002E3AC9">
        <w:rPr>
          <w:rFonts w:ascii="Times New Roman" w:hAnsi="Times New Roman" w:cs="Times New Roman"/>
          <w:sz w:val="24"/>
          <w:szCs w:val="24"/>
          <w:u w:val="single"/>
          <w:lang w:val="en-US"/>
        </w:rPr>
        <w:t xml:space="preserve">Durante esa época, la Fed poseía una cantidad que oscilaba entre el 12% al 30% de </w:t>
      </w:r>
      <w:r w:rsidRPr="002E3AC9">
        <w:rPr>
          <w:rFonts w:ascii="Times New Roman" w:hAnsi="Times New Roman" w:cs="Times New Roman"/>
          <w:sz w:val="24"/>
          <w:szCs w:val="24"/>
          <w:u w:val="single"/>
          <w:lang w:val="en-US"/>
        </w:rPr>
        <w:lastRenderedPageBreak/>
        <w:t>todos los valores comerciables en circulación del Tesoro de los Estados Unidos</w:t>
      </w:r>
      <w:r w:rsidRPr="00550174">
        <w:rPr>
          <w:rFonts w:ascii="Times New Roman" w:hAnsi="Times New Roman" w:cs="Times New Roman"/>
          <w:sz w:val="24"/>
          <w:szCs w:val="24"/>
          <w:lang w:val="en-US"/>
        </w:rPr>
        <w:t xml:space="preserve"> (véase el gráfico), y se alcanzó un pico máximo posterior a la Segunda Guerra Mundial cuando la Fed trató de apuntalar la flácida economía de Estados Unidos tras el primero pico de los precios del petróleo en el año 1973.</w:t>
      </w:r>
    </w:p>
    <w:p w:rsidR="000711BB" w:rsidRPr="00550174" w:rsidRDefault="000711BB" w:rsidP="000711BB">
      <w:pPr>
        <w:spacing w:line="240" w:lineRule="auto"/>
        <w:jc w:val="both"/>
        <w:rPr>
          <w:rFonts w:ascii="Times New Roman" w:hAnsi="Times New Roman" w:cs="Times New Roman"/>
          <w:sz w:val="24"/>
          <w:szCs w:val="24"/>
          <w:lang w:val="en-US"/>
        </w:rPr>
      </w:pPr>
      <w:r w:rsidRPr="00550174">
        <w:rPr>
          <w:rFonts w:ascii="Times New Roman" w:hAnsi="Times New Roman" w:cs="Times New Roman"/>
          <w:sz w:val="24"/>
          <w:szCs w:val="24"/>
          <w:lang w:val="en-US"/>
        </w:rPr>
        <w:t>Ya no vivimos en ese mundo que giraba alrededor de Estados Unidos, en el cual la Reserva Federal se constituía en la única opción y los cambios en la política monetaria de esta institución influían fuertemente en l</w:t>
      </w:r>
      <w:r>
        <w:rPr>
          <w:rFonts w:ascii="Times New Roman" w:hAnsi="Times New Roman" w:cs="Times New Roman"/>
          <w:sz w:val="24"/>
          <w:szCs w:val="24"/>
          <w:lang w:val="en-US"/>
        </w:rPr>
        <w:t>as condiciones de liquidez en EEUU</w:t>
      </w:r>
      <w:r w:rsidRPr="00550174">
        <w:rPr>
          <w:rFonts w:ascii="Times New Roman" w:hAnsi="Times New Roman" w:cs="Times New Roman"/>
          <w:sz w:val="24"/>
          <w:szCs w:val="24"/>
          <w:lang w:val="en-US"/>
        </w:rPr>
        <w:t xml:space="preserve"> y, en gran medida, en todo el mundo. Años antes d</w:t>
      </w:r>
      <w:r w:rsidR="00D43A67">
        <w:rPr>
          <w:rFonts w:ascii="Times New Roman" w:hAnsi="Times New Roman" w:cs="Times New Roman"/>
          <w:sz w:val="24"/>
          <w:szCs w:val="24"/>
          <w:lang w:val="en-US"/>
        </w:rPr>
        <w:t>e la crisis financiera mundial -</w:t>
      </w:r>
      <w:r w:rsidRPr="00550174">
        <w:rPr>
          <w:rFonts w:ascii="Times New Roman" w:hAnsi="Times New Roman" w:cs="Times New Roman"/>
          <w:sz w:val="24"/>
          <w:szCs w:val="24"/>
          <w:lang w:val="en-US"/>
        </w:rPr>
        <w:t>y antes de que el término “flexibilización cuantitativa” (QE) se convirtiera en un término establecido y de uso corrient</w:t>
      </w:r>
      <w:r w:rsidR="00D43A67">
        <w:rPr>
          <w:rFonts w:ascii="Times New Roman" w:hAnsi="Times New Roman" w:cs="Times New Roman"/>
          <w:sz w:val="24"/>
          <w:szCs w:val="24"/>
          <w:lang w:val="en-US"/>
        </w:rPr>
        <w:t>e dentro del léxico financiero</w:t>
      </w:r>
      <w:r>
        <w:rPr>
          <w:rFonts w:ascii="Times New Roman" w:hAnsi="Times New Roman" w:cs="Times New Roman"/>
          <w:sz w:val="24"/>
          <w:szCs w:val="24"/>
          <w:lang w:val="en-US"/>
        </w:rPr>
        <w:t>-</w:t>
      </w:r>
      <w:r w:rsidRPr="00550174">
        <w:rPr>
          <w:rFonts w:ascii="Times New Roman" w:hAnsi="Times New Roman" w:cs="Times New Roman"/>
          <w:sz w:val="24"/>
          <w:szCs w:val="24"/>
          <w:lang w:val="en-US"/>
        </w:rPr>
        <w:t xml:space="preserve"> la posesión de bonos del Tesoro por parte los bancos centrales extranjeros comenzó a dar alcance, y luego a superar, el nivel de participación porcentual de la Fed.</w:t>
      </w:r>
    </w:p>
    <w:p w:rsidR="000711BB" w:rsidRPr="002E3AC9" w:rsidRDefault="000711BB" w:rsidP="000711BB">
      <w:pPr>
        <w:spacing w:line="240" w:lineRule="auto"/>
        <w:jc w:val="both"/>
        <w:rPr>
          <w:rFonts w:ascii="Times New Roman" w:hAnsi="Times New Roman" w:cs="Times New Roman"/>
          <w:sz w:val="24"/>
          <w:szCs w:val="24"/>
          <w:u w:val="single"/>
          <w:lang w:val="en-US"/>
        </w:rPr>
      </w:pPr>
      <w:r w:rsidRPr="00550174">
        <w:rPr>
          <w:rFonts w:ascii="Times New Roman" w:hAnsi="Times New Roman" w:cs="Times New Roman"/>
          <w:sz w:val="24"/>
          <w:szCs w:val="24"/>
          <w:lang w:val="en-US"/>
        </w:rPr>
        <w:t>La compra de bonos del Tesoro de Estados Unidos por parte de los bancos centrales extranjeros realmente despegó en el año 2003, años antes de que la primera ronda de flexibilización cuantitativa, o “QE1”, se pusiera en marcha a finales del año 2008. La arremetida de los</w:t>
      </w:r>
      <w:r>
        <w:rPr>
          <w:rFonts w:ascii="Times New Roman" w:hAnsi="Times New Roman" w:cs="Times New Roman"/>
          <w:sz w:val="24"/>
          <w:szCs w:val="24"/>
          <w:lang w:val="en-US"/>
        </w:rPr>
        <w:t xml:space="preserve"> bancos centrales extranjeros -vamos a llamarla “QE0”-</w:t>
      </w:r>
      <w:r w:rsidRPr="00550174">
        <w:rPr>
          <w:rFonts w:ascii="Times New Roman" w:hAnsi="Times New Roman" w:cs="Times New Roman"/>
          <w:sz w:val="24"/>
          <w:szCs w:val="24"/>
          <w:lang w:val="en-US"/>
        </w:rPr>
        <w:t xml:space="preserve"> fue liderada por el Banco Popular de China. </w:t>
      </w:r>
      <w:r w:rsidRPr="002E3AC9">
        <w:rPr>
          <w:rFonts w:ascii="Times New Roman" w:hAnsi="Times New Roman" w:cs="Times New Roman"/>
          <w:sz w:val="24"/>
          <w:szCs w:val="24"/>
          <w:u w:val="single"/>
          <w:lang w:val="en-US"/>
        </w:rPr>
        <w:t>Hasta el año 2006 (el pico de la burbuja inmobiliaria de Estados Unidos), las instituciones oficiales extranjeras tenían en su poder alrededor de un tercio de todos los bonos del Tesoro en circulación, aproximadamente el doble de la cantidad en poder de la Fed. En la víspera de la QE1 de la Fed, dicha participación se situó en aproximadamente el 40%.</w:t>
      </w:r>
    </w:p>
    <w:p w:rsidR="000711BB" w:rsidRDefault="000711BB" w:rsidP="000711BB">
      <w:pPr>
        <w:spacing w:line="240" w:lineRule="auto"/>
        <w:jc w:val="both"/>
        <w:rPr>
          <w:rFonts w:ascii="Times New Roman" w:hAnsi="Times New Roman" w:cs="Times New Roman"/>
          <w:sz w:val="24"/>
          <w:szCs w:val="24"/>
          <w:lang w:val="en-US"/>
        </w:rPr>
      </w:pPr>
      <w:r w:rsidRPr="00550174">
        <w:rPr>
          <w:rFonts w:ascii="Times New Roman" w:hAnsi="Times New Roman" w:cs="Times New Roman"/>
          <w:sz w:val="24"/>
          <w:szCs w:val="24"/>
          <w:lang w:val="en-US"/>
        </w:rPr>
        <w:t>Durante el transcurso de una década (2003-2013), la QE0 se constituyó en el aumento más sostenido e ininterrumpido en lo que se refiere a compras de bonos del Tesoro por parte de bancos centrales en toda la historia. Es difícil determinar el grado en que la QE1 de la Fed durante la crisis debió su éxito en cuanto a bajar las tasas de interés al hecho de que estaba siendo reforzada por lo que los bancos centrales</w:t>
      </w:r>
      <w:r>
        <w:rPr>
          <w:rFonts w:ascii="Times New Roman" w:hAnsi="Times New Roman" w:cs="Times New Roman"/>
          <w:sz w:val="24"/>
          <w:szCs w:val="24"/>
          <w:lang w:val="en-US"/>
        </w:rPr>
        <w:t xml:space="preserve"> extranjeros en todo el mundo -sobre todo en Asia-</w:t>
      </w:r>
      <w:r w:rsidRPr="00550174">
        <w:rPr>
          <w:rFonts w:ascii="Times New Roman" w:hAnsi="Times New Roman" w:cs="Times New Roman"/>
          <w:sz w:val="24"/>
          <w:szCs w:val="24"/>
          <w:lang w:val="en-US"/>
        </w:rPr>
        <w:t xml:space="preserve"> estaban haciendo de manera simultánea. Es ilustrativo, sin embargo, saber que las dos siguientes instauraciones de políticas de flexibilización cuantitativa por parte de la Reserva Federal, es decir QE2 y QE3, no coincidieron con grandes compras por parte de entidades extranjeras y, aparentemente, tuvieron sólo efectos modestos en los mercados financieros.</w:t>
      </w:r>
    </w:p>
    <w:p w:rsidR="000711BB" w:rsidRPr="00550174" w:rsidRDefault="000711BB" w:rsidP="000711BB">
      <w:pPr>
        <w:spacing w:line="240" w:lineRule="auto"/>
        <w:jc w:val="both"/>
        <w:rPr>
          <w:rFonts w:ascii="Times New Roman" w:hAnsi="Times New Roman" w:cs="Times New Roman"/>
          <w:sz w:val="24"/>
          <w:szCs w:val="24"/>
          <w:lang w:val="en-US"/>
        </w:rPr>
      </w:pPr>
      <w:r>
        <w:rPr>
          <w:noProof/>
          <w:lang w:eastAsia="es-ES"/>
        </w:rPr>
        <w:drawing>
          <wp:inline distT="0" distB="0" distL="0" distR="0" wp14:anchorId="6DE6333A" wp14:editId="334829E4">
            <wp:extent cx="5397500" cy="2489200"/>
            <wp:effectExtent l="0" t="0" r="0" b="6350"/>
            <wp:docPr id="102" name="Imagen 102" descr="Offical Holdings of US Treasu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ffical Holdings of US Treasuries"/>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00040" cy="2490371"/>
                    </a:xfrm>
                    <a:prstGeom prst="rect">
                      <a:avLst/>
                    </a:prstGeom>
                    <a:noFill/>
                    <a:ln>
                      <a:noFill/>
                    </a:ln>
                  </pic:spPr>
                </pic:pic>
              </a:graphicData>
            </a:graphic>
          </wp:inline>
        </w:drawing>
      </w:r>
    </w:p>
    <w:p w:rsidR="000711BB" w:rsidRPr="00550174" w:rsidRDefault="000711BB" w:rsidP="000711BB">
      <w:pPr>
        <w:spacing w:line="240" w:lineRule="auto"/>
        <w:jc w:val="both"/>
        <w:rPr>
          <w:rFonts w:ascii="Times New Roman" w:hAnsi="Times New Roman" w:cs="Times New Roman"/>
          <w:sz w:val="24"/>
          <w:szCs w:val="24"/>
          <w:lang w:val="en-US"/>
        </w:rPr>
      </w:pPr>
      <w:r w:rsidRPr="00550174">
        <w:rPr>
          <w:rFonts w:ascii="Times New Roman" w:hAnsi="Times New Roman" w:cs="Times New Roman"/>
          <w:sz w:val="24"/>
          <w:szCs w:val="24"/>
          <w:lang w:val="en-US"/>
        </w:rPr>
        <w:t>Offical Holdings of US Treasuries</w:t>
      </w:r>
    </w:p>
    <w:p w:rsidR="000711BB" w:rsidRPr="00550174" w:rsidRDefault="000711BB" w:rsidP="000711BB">
      <w:pPr>
        <w:spacing w:line="240" w:lineRule="auto"/>
        <w:jc w:val="both"/>
        <w:rPr>
          <w:rFonts w:ascii="Times New Roman" w:hAnsi="Times New Roman" w:cs="Times New Roman"/>
          <w:sz w:val="24"/>
          <w:szCs w:val="24"/>
          <w:lang w:val="en-US"/>
        </w:rPr>
      </w:pPr>
      <w:r w:rsidRPr="00550174">
        <w:rPr>
          <w:rFonts w:ascii="Times New Roman" w:hAnsi="Times New Roman" w:cs="Times New Roman"/>
          <w:sz w:val="24"/>
          <w:szCs w:val="24"/>
          <w:lang w:val="en-US"/>
        </w:rPr>
        <w:lastRenderedPageBreak/>
        <w:t>Después de que se calmara la vorágine de la crisis del año 2008, una variedad de índices sobre las condiciones financieras mostraron comparativamente bajos niveles de volatilidad (según estándares históricos) hasta la primavera de 2013. Sin embargo, el florecimiento de la primavera de la estabilidad de pronto se desvaneció. Una combinación de la caída de los precios del petróleo y de los productos primarios, un ciclo económico demasiado maduro, y el anuncio de la intención de la Fed de iniciar “la reducción” de sus compras de activos hizo que la década de auge en muchos mercados emergentes llegue a su fin. Desde entonces, el crecimiento de dichas economías se ha desacelerado notablemente, sus mercados de valores se desplomaron, las salidas de capital aumentaron, y cayeron fuertemente los precios de muchas de sus monedas.</w:t>
      </w:r>
    </w:p>
    <w:p w:rsidR="000711BB" w:rsidRPr="00550174" w:rsidRDefault="000711BB" w:rsidP="000711BB">
      <w:pPr>
        <w:spacing w:line="240" w:lineRule="auto"/>
        <w:jc w:val="both"/>
        <w:rPr>
          <w:rFonts w:ascii="Times New Roman" w:hAnsi="Times New Roman" w:cs="Times New Roman"/>
          <w:sz w:val="24"/>
          <w:szCs w:val="24"/>
          <w:lang w:val="en-US"/>
        </w:rPr>
      </w:pPr>
      <w:r w:rsidRPr="00550174">
        <w:rPr>
          <w:rFonts w:ascii="Times New Roman" w:hAnsi="Times New Roman" w:cs="Times New Roman"/>
          <w:sz w:val="24"/>
          <w:szCs w:val="24"/>
          <w:lang w:val="en-US"/>
        </w:rPr>
        <w:t>A la par con este sombrío giro de los acontecimientos, numerosos bancos centrales de los mercados emergentes dieron marcha atrás y comenzaron a vender bonos del Tesoro estadounidense. No nos enteraríamos de estas ventas, sin embargo, si revisamos el informe trimestral de la Fed sobr</w:t>
      </w:r>
      <w:r>
        <w:rPr>
          <w:rFonts w:ascii="Times New Roman" w:hAnsi="Times New Roman" w:cs="Times New Roman"/>
          <w:sz w:val="24"/>
          <w:szCs w:val="24"/>
          <w:lang w:val="en-US"/>
        </w:rPr>
        <w:t>e las cuentas financieras de EEUU</w:t>
      </w:r>
      <w:r w:rsidRPr="00550174">
        <w:rPr>
          <w:rFonts w:ascii="Times New Roman" w:hAnsi="Times New Roman" w:cs="Times New Roman"/>
          <w:sz w:val="24"/>
          <w:szCs w:val="24"/>
          <w:lang w:val="en-US"/>
        </w:rPr>
        <w:t>: aproximadamente durante el período en que se iniciaron las antedichas ventas oficiales, la Fed dejó de informar sobre los bonos del Tesoro que están en posesión de instituciones oficiales extranjeras (una serie de datos que había estado disponible desde el año 1945). Ahora, el informe muestra solamente la cantidad agregada, que combina la cantidad de valores que están en poder de los bancos centrales con la cantidad en manos del sector privado.</w:t>
      </w:r>
    </w:p>
    <w:p w:rsidR="000711BB" w:rsidRPr="00550174" w:rsidRDefault="000711BB" w:rsidP="000711BB">
      <w:pPr>
        <w:spacing w:line="240" w:lineRule="auto"/>
        <w:jc w:val="both"/>
        <w:rPr>
          <w:rFonts w:ascii="Times New Roman" w:hAnsi="Times New Roman" w:cs="Times New Roman"/>
          <w:sz w:val="24"/>
          <w:szCs w:val="24"/>
          <w:lang w:val="en-US"/>
        </w:rPr>
      </w:pPr>
      <w:r w:rsidRPr="002E3AC9">
        <w:rPr>
          <w:rFonts w:ascii="Times New Roman" w:hAnsi="Times New Roman" w:cs="Times New Roman"/>
          <w:sz w:val="24"/>
          <w:szCs w:val="24"/>
          <w:u w:val="single"/>
          <w:lang w:val="en-US"/>
        </w:rPr>
        <w:t>Afortunadamente, el Tesoro de Estados Unidos aún publica esta información. Al cierre de la gestión 2015, la proporción de bonos del Tesoro en poder de los bancos centrales extranjeros supera en más de 1,5 veces a la proporción de bonos en poder de la Fed</w:t>
      </w:r>
      <w:r w:rsidRPr="00550174">
        <w:rPr>
          <w:rFonts w:ascii="Times New Roman" w:hAnsi="Times New Roman" w:cs="Times New Roman"/>
          <w:sz w:val="24"/>
          <w:szCs w:val="24"/>
          <w:lang w:val="en-US"/>
        </w:rPr>
        <w:t>. Sin embargo, esta cifra es significativamente menor a la que se tuvo en su punto máximo y, debido a que la salida de capitales de China y de otras partes muestra muy pocas señales de estar disminuyendo, ahora tiene una tendencia a la baja.</w:t>
      </w:r>
    </w:p>
    <w:p w:rsidR="000711BB" w:rsidRPr="002E3AC9" w:rsidRDefault="000711BB" w:rsidP="000711BB">
      <w:pPr>
        <w:spacing w:line="240" w:lineRule="auto"/>
        <w:jc w:val="both"/>
        <w:rPr>
          <w:rFonts w:ascii="Times New Roman" w:hAnsi="Times New Roman" w:cs="Times New Roman"/>
          <w:sz w:val="24"/>
          <w:szCs w:val="24"/>
          <w:u w:val="single"/>
          <w:lang w:val="en-US"/>
        </w:rPr>
      </w:pPr>
      <w:r w:rsidRPr="002E3AC9">
        <w:rPr>
          <w:rFonts w:ascii="Times New Roman" w:hAnsi="Times New Roman" w:cs="Times New Roman"/>
          <w:sz w:val="24"/>
          <w:szCs w:val="24"/>
          <w:u w:val="single"/>
          <w:lang w:val="en-US"/>
        </w:rPr>
        <w:t>Lo más probable es que la reversión errática y desordenada de la QE0 esté aplastando los efectos de las aseveraciones tranquilizadoras por parte de funcionarios de la Fed sobre que mantendrán un balance general de gran tamaño. De hecho, las condiciones de liquidez más estrictas y la mayor volatilidad en los mercados financieros son el subproducto de la reversión en el ciclo de larga duración de compras por parte de instituciones extranjeras.</w:t>
      </w:r>
    </w:p>
    <w:p w:rsidR="000711BB" w:rsidRPr="00550174" w:rsidRDefault="000711BB" w:rsidP="000711BB">
      <w:pPr>
        <w:spacing w:line="240" w:lineRule="auto"/>
        <w:jc w:val="both"/>
        <w:rPr>
          <w:rFonts w:ascii="Times New Roman" w:hAnsi="Times New Roman" w:cs="Times New Roman"/>
          <w:sz w:val="24"/>
          <w:szCs w:val="24"/>
          <w:lang w:val="en-US"/>
        </w:rPr>
      </w:pPr>
      <w:r w:rsidRPr="002E3AC9">
        <w:rPr>
          <w:rFonts w:ascii="Times New Roman" w:hAnsi="Times New Roman" w:cs="Times New Roman"/>
          <w:color w:val="FF0000"/>
          <w:sz w:val="24"/>
          <w:szCs w:val="24"/>
          <w:u w:val="single"/>
          <w:lang w:val="en-US"/>
        </w:rPr>
        <w:t>El relajamiento de la QE0 no implica necesariamente una disminución en el apetito por bonos del Tesoro que tiene el resto del mundo. En tiempos de turbulencia financiera, los bonos del Tesoro de Estados Unidos han sido históricamente un refugio seguro para la fuga de capitales privados. Sin embargo, el cambio en la propiedad de los valores que en la actualidad se desarrolla, realmente, conlleva implicaciones para la estabilidad financiera.</w:t>
      </w:r>
      <w:r w:rsidRPr="00550174">
        <w:rPr>
          <w:rFonts w:ascii="Times New Roman" w:hAnsi="Times New Roman" w:cs="Times New Roman"/>
          <w:sz w:val="24"/>
          <w:szCs w:val="24"/>
          <w:lang w:val="en-US"/>
        </w:rPr>
        <w:t xml:space="preserve"> El cambio desde un escenario de compras constantes (y, a menudo predecibles) por parte de bancos centrales extranjeros durante el período 2003-2013 a compras que van a manos de inversores privados que son menos predecibles, y quienes son más sensibles a los cambios en las tasas de rendimiento, probablemente se constituya en el distintivo que marque la presente etapa del ciclo mundial.</w:t>
      </w:r>
    </w:p>
    <w:p w:rsidR="000711BB" w:rsidRDefault="000711BB" w:rsidP="000711B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C00869">
        <w:rPr>
          <w:rFonts w:ascii="Times New Roman" w:hAnsi="Times New Roman" w:cs="Times New Roman"/>
          <w:sz w:val="24"/>
          <w:szCs w:val="24"/>
          <w:lang w:val="en-US"/>
        </w:rPr>
        <w:t>Carmen Reinhart is Professor of the International Financial System at Harvard University</w:t>
      </w:r>
      <w:r>
        <w:rPr>
          <w:rFonts w:ascii="Times New Roman" w:hAnsi="Times New Roman" w:cs="Times New Roman"/>
          <w:sz w:val="24"/>
          <w:szCs w:val="24"/>
          <w:lang w:val="en-US"/>
        </w:rPr>
        <w:t>'s Kennedy School of Government)</w:t>
      </w:r>
    </w:p>
    <w:p w:rsidR="00D43A67" w:rsidRDefault="00D43A67" w:rsidP="000711BB">
      <w:pPr>
        <w:spacing w:line="240" w:lineRule="auto"/>
        <w:jc w:val="both"/>
        <w:rPr>
          <w:rFonts w:ascii="Times New Roman" w:hAnsi="Times New Roman" w:cs="Times New Roman"/>
          <w:sz w:val="24"/>
          <w:szCs w:val="24"/>
          <w:lang w:val="en-US"/>
        </w:rPr>
      </w:pPr>
    </w:p>
    <w:p w:rsidR="00D43A67" w:rsidRDefault="00D43A67" w:rsidP="000711BB">
      <w:pPr>
        <w:spacing w:line="240" w:lineRule="auto"/>
        <w:jc w:val="both"/>
        <w:rPr>
          <w:rFonts w:ascii="Times New Roman" w:hAnsi="Times New Roman" w:cs="Times New Roman"/>
          <w:sz w:val="24"/>
          <w:szCs w:val="24"/>
          <w:lang w:val="en-US"/>
        </w:rPr>
      </w:pPr>
    </w:p>
    <w:p w:rsidR="000711BB" w:rsidRDefault="000711BB" w:rsidP="000711B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sidRPr="009D44A8">
        <w:rPr>
          <w:rFonts w:ascii="Times New Roman" w:hAnsi="Times New Roman" w:cs="Times New Roman"/>
          <w:sz w:val="24"/>
          <w:szCs w:val="24"/>
          <w:u w:val="single"/>
          <w:lang w:val="en-US"/>
        </w:rPr>
        <w:t>El faltante de inversion</w:t>
      </w:r>
      <w:r>
        <w:rPr>
          <w:rFonts w:ascii="Times New Roman" w:hAnsi="Times New Roman" w:cs="Times New Roman"/>
          <w:sz w:val="24"/>
          <w:szCs w:val="24"/>
          <w:lang w:val="en-US"/>
        </w:rPr>
        <w:t xml:space="preserve"> (Project Syndicate - </w:t>
      </w:r>
      <w:r w:rsidRPr="009D44A8">
        <w:rPr>
          <w:rFonts w:ascii="Times New Roman" w:hAnsi="Times New Roman" w:cs="Times New Roman"/>
          <w:b/>
          <w:sz w:val="24"/>
          <w:szCs w:val="24"/>
          <w:lang w:val="en-US"/>
        </w:rPr>
        <w:t>29/2/16</w:t>
      </w:r>
      <w:r>
        <w:rPr>
          <w:rFonts w:ascii="Times New Roman" w:hAnsi="Times New Roman" w:cs="Times New Roman"/>
          <w:sz w:val="24"/>
          <w:szCs w:val="24"/>
          <w:lang w:val="en-US"/>
        </w:rPr>
        <w:t>)</w:t>
      </w:r>
    </w:p>
    <w:p w:rsidR="000711BB" w:rsidRPr="00001BB6" w:rsidRDefault="000711BB" w:rsidP="000711B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Berkeley.-</w:t>
      </w:r>
      <w:r w:rsidRPr="009D44A8">
        <w:rPr>
          <w:rFonts w:ascii="Times New Roman" w:hAnsi="Times New Roman" w:cs="Times New Roman"/>
          <w:sz w:val="24"/>
          <w:szCs w:val="24"/>
          <w:lang w:val="en-US"/>
        </w:rPr>
        <w:t xml:space="preserve"> </w:t>
      </w:r>
      <w:r w:rsidRPr="001516D1">
        <w:rPr>
          <w:rFonts w:ascii="Times New Roman" w:hAnsi="Times New Roman" w:cs="Times New Roman"/>
          <w:color w:val="FF0000"/>
          <w:sz w:val="24"/>
          <w:szCs w:val="24"/>
          <w:u w:val="single"/>
          <w:lang w:val="en-US"/>
        </w:rPr>
        <w:t>La debilidad de la inversión privada en Estados Unidos y otras economías avanzadas es un aspecto preocupante (y desconcertante) de la recuperación tras la crisis financiera mundial de 2008. Según el Fondo Monetario Internacional, a lo largo de 2014 la inversión privada disminuyó un promedio de 25% en comparación con las tendencias previas a la crisis.</w:t>
      </w:r>
    </w:p>
    <w:p w:rsidR="000711BB" w:rsidRPr="009D44A8" w:rsidRDefault="000711BB" w:rsidP="000711BB">
      <w:pPr>
        <w:spacing w:line="240" w:lineRule="auto"/>
        <w:jc w:val="both"/>
        <w:rPr>
          <w:rFonts w:ascii="Times New Roman" w:hAnsi="Times New Roman" w:cs="Times New Roman"/>
          <w:sz w:val="24"/>
          <w:szCs w:val="24"/>
          <w:lang w:val="en-US"/>
        </w:rPr>
      </w:pPr>
      <w:r w:rsidRPr="009D44A8">
        <w:rPr>
          <w:rFonts w:ascii="Times New Roman" w:hAnsi="Times New Roman" w:cs="Times New Roman"/>
          <w:sz w:val="24"/>
          <w:szCs w:val="24"/>
          <w:lang w:val="en-US"/>
        </w:rPr>
        <w:t>La caída de la inversión ha sido amplia y profunda, y afecta no solamente a la inversión residencial sino también en equipamientos y estructuras. La inversión de las empresas sigue muy por debajo de las expectativas previas a 2008, y el año pasado recibió un nuevo golpe en Estados Unidos por el derrumbe de la inversión en el sector energético en respuesta a la abrupta caída del precio del petróleo.</w:t>
      </w:r>
    </w:p>
    <w:p w:rsidR="000711BB" w:rsidRPr="003F5518" w:rsidRDefault="000711BB" w:rsidP="000711BB">
      <w:pPr>
        <w:spacing w:line="240" w:lineRule="auto"/>
        <w:jc w:val="both"/>
        <w:rPr>
          <w:rFonts w:ascii="Times New Roman" w:hAnsi="Times New Roman" w:cs="Times New Roman"/>
          <w:sz w:val="24"/>
          <w:szCs w:val="24"/>
          <w:u w:val="single"/>
          <w:lang w:val="en-US"/>
        </w:rPr>
      </w:pPr>
      <w:r w:rsidRPr="003F5518">
        <w:rPr>
          <w:rFonts w:ascii="Times New Roman" w:hAnsi="Times New Roman" w:cs="Times New Roman"/>
          <w:sz w:val="24"/>
          <w:szCs w:val="24"/>
          <w:u w:val="single"/>
          <w:lang w:val="en-US"/>
        </w:rPr>
        <w:t>Curiosamente, la caída de la inversión en Estados Unidos coincide con una fuerte recuperación de la rentabilidad del capital. Una de sus mediciones indica que hoy el rendimiento del capital privado es el mayor de las últimas décadas</w:t>
      </w:r>
      <w:r w:rsidRPr="009D44A8">
        <w:rPr>
          <w:rFonts w:ascii="Times New Roman" w:hAnsi="Times New Roman" w:cs="Times New Roman"/>
          <w:sz w:val="24"/>
          <w:szCs w:val="24"/>
          <w:lang w:val="en-US"/>
        </w:rPr>
        <w:t xml:space="preserve">. Pero existe abundante evidencia empírica de que en el nivel macroeconómico, la inversión de las empresas depende ante todo del crecimiento futuro esperado de la demanda y la producción, no de la rentabilidad actual o de los resultados acumulados. </w:t>
      </w:r>
      <w:r w:rsidRPr="003F5518">
        <w:rPr>
          <w:rFonts w:ascii="Times New Roman" w:hAnsi="Times New Roman" w:cs="Times New Roman"/>
          <w:sz w:val="24"/>
          <w:szCs w:val="24"/>
          <w:u w:val="single"/>
          <w:lang w:val="en-US"/>
        </w:rPr>
        <w:t>Según el FMI, esta teoría del “acelerador” explica la mayor parte de la caída de la inversión empresarial en las economías desarrolladas después de la crisis de 2008.</w:t>
      </w:r>
    </w:p>
    <w:p w:rsidR="000711BB" w:rsidRPr="003F5518" w:rsidRDefault="000711BB" w:rsidP="000711BB">
      <w:pPr>
        <w:spacing w:line="240" w:lineRule="auto"/>
        <w:jc w:val="both"/>
        <w:rPr>
          <w:rFonts w:ascii="Times New Roman" w:hAnsi="Times New Roman" w:cs="Times New Roman"/>
          <w:color w:val="FF0000"/>
          <w:sz w:val="24"/>
          <w:szCs w:val="24"/>
          <w:u w:val="single"/>
          <w:lang w:val="en-US"/>
        </w:rPr>
      </w:pPr>
      <w:r w:rsidRPr="009D44A8">
        <w:rPr>
          <w:rFonts w:ascii="Times New Roman" w:hAnsi="Times New Roman" w:cs="Times New Roman"/>
          <w:sz w:val="24"/>
          <w:szCs w:val="24"/>
          <w:lang w:val="en-US"/>
        </w:rPr>
        <w:t xml:space="preserve">De acuerdo con esta explicación, el crecimiento de la inversión en Estados Unidos ha seguido las pautas históricas usuales, que lo relacionan con el crecimiento de la producción. Es decir, </w:t>
      </w:r>
      <w:r w:rsidRPr="003F5518">
        <w:rPr>
          <w:rFonts w:ascii="Times New Roman" w:hAnsi="Times New Roman" w:cs="Times New Roman"/>
          <w:color w:val="FF0000"/>
          <w:sz w:val="24"/>
          <w:szCs w:val="24"/>
          <w:u w:val="single"/>
          <w:lang w:val="en-US"/>
        </w:rPr>
        <w:t>la causa principal del poco crecimiento de la inversión privada ha sido la extremada lentitud de la recuperación. Las empresas recortaron sus planes de inversión de antes de la crisis para adaptarlos a la “nueva normalidad” poscrisis, que incluye un crecimiento más lento e incierto de la demanda de sus productos.</w:t>
      </w:r>
    </w:p>
    <w:p w:rsidR="000711BB" w:rsidRPr="00D43A67" w:rsidRDefault="000711BB" w:rsidP="000711BB">
      <w:pPr>
        <w:spacing w:line="240" w:lineRule="auto"/>
        <w:jc w:val="both"/>
        <w:rPr>
          <w:rFonts w:ascii="Times New Roman" w:hAnsi="Times New Roman" w:cs="Times New Roman"/>
          <w:sz w:val="24"/>
          <w:szCs w:val="24"/>
          <w:lang w:val="en-US"/>
        </w:rPr>
      </w:pPr>
      <w:r w:rsidRPr="00D43A67">
        <w:rPr>
          <w:rFonts w:ascii="Times New Roman" w:hAnsi="Times New Roman" w:cs="Times New Roman"/>
          <w:sz w:val="24"/>
          <w:szCs w:val="24"/>
          <w:lang w:val="en-US"/>
        </w:rPr>
        <w:t>Cuando la demanda agregada es insuficiente, un aumento de la inversión pública alienta más inversión empresarial privada. Pero la inversión pública también cayó por debajo de las expectativas precrisis, de modo que en vez de contrarrestar el freno a la inversión privada, lo está agravando.</w:t>
      </w:r>
    </w:p>
    <w:p w:rsidR="000711BB" w:rsidRPr="009D44A8" w:rsidRDefault="000711BB" w:rsidP="000711BB">
      <w:pPr>
        <w:spacing w:line="240" w:lineRule="auto"/>
        <w:jc w:val="both"/>
        <w:rPr>
          <w:rFonts w:ascii="Times New Roman" w:hAnsi="Times New Roman" w:cs="Times New Roman"/>
          <w:sz w:val="24"/>
          <w:szCs w:val="24"/>
          <w:lang w:val="en-US"/>
        </w:rPr>
      </w:pPr>
      <w:r w:rsidRPr="003F5518">
        <w:rPr>
          <w:rFonts w:ascii="Times New Roman" w:hAnsi="Times New Roman" w:cs="Times New Roman"/>
          <w:sz w:val="24"/>
          <w:szCs w:val="24"/>
          <w:u w:val="single"/>
          <w:lang w:val="en-US"/>
        </w:rPr>
        <w:t>La explicación de la caída de la inversión empresarial en Estados Unidos según la teoría del acelerador se condice con los datos que señalan que, allí donde el crecimiento previsto de la demanda se mantuvo relativamente alto (por ejemplo, en servicios de cable, telecomunicaciones, plataformas digitales, redes sociales y, hasta hace poco, energía), el crecimiento de la inversión también fue relativamente alto</w:t>
      </w:r>
      <w:r w:rsidRPr="009D44A8">
        <w:rPr>
          <w:rFonts w:ascii="Times New Roman" w:hAnsi="Times New Roman" w:cs="Times New Roman"/>
          <w:sz w:val="24"/>
          <w:szCs w:val="24"/>
          <w:lang w:val="en-US"/>
        </w:rPr>
        <w:t>. De hecho, estos últimos tres años, la mayor parte del gasto en capital de las empresas se concentró en las industrias de las telecomunicaciones y el cable; el segundo lugar fue para la generación de energía y la minería.</w:t>
      </w:r>
    </w:p>
    <w:p w:rsidR="000711BB" w:rsidRPr="009D44A8" w:rsidRDefault="000711BB" w:rsidP="000711BB">
      <w:pPr>
        <w:spacing w:line="240" w:lineRule="auto"/>
        <w:jc w:val="both"/>
        <w:rPr>
          <w:rFonts w:ascii="Times New Roman" w:hAnsi="Times New Roman" w:cs="Times New Roman"/>
          <w:sz w:val="24"/>
          <w:szCs w:val="24"/>
          <w:lang w:val="en-US"/>
        </w:rPr>
      </w:pPr>
      <w:r w:rsidRPr="003F5518">
        <w:rPr>
          <w:rFonts w:ascii="Times New Roman" w:hAnsi="Times New Roman" w:cs="Times New Roman"/>
          <w:sz w:val="24"/>
          <w:szCs w:val="24"/>
          <w:u w:val="single"/>
          <w:lang w:val="en-US"/>
        </w:rPr>
        <w:t>El cambio en la composición de la inversión empresarial también coincide con las diferencias intersectoriales en oportunidades de innovación</w:t>
      </w:r>
      <w:r w:rsidRPr="009D44A8">
        <w:rPr>
          <w:rFonts w:ascii="Times New Roman" w:hAnsi="Times New Roman" w:cs="Times New Roman"/>
          <w:sz w:val="24"/>
          <w:szCs w:val="24"/>
          <w:lang w:val="en-US"/>
        </w:rPr>
        <w:t>. Entre 2009 y 2015, a la par que en Estados Unidos se frenaba la inversión empresarial en equipos, se aceleraba en las áreas relacionadas con la propiedad intelectual, como investigación y desarrollo, software y obras artísticas originales (la producción de artistas, estudios y editoriales).</w:t>
      </w:r>
    </w:p>
    <w:p w:rsidR="000711BB" w:rsidRPr="003F5518" w:rsidRDefault="000711BB" w:rsidP="000711BB">
      <w:pPr>
        <w:spacing w:line="240" w:lineRule="auto"/>
        <w:jc w:val="both"/>
        <w:rPr>
          <w:rFonts w:ascii="Times New Roman" w:hAnsi="Times New Roman" w:cs="Times New Roman"/>
          <w:sz w:val="24"/>
          <w:szCs w:val="24"/>
          <w:u w:val="single"/>
          <w:lang w:val="en-US"/>
        </w:rPr>
      </w:pPr>
      <w:r w:rsidRPr="003F5518">
        <w:rPr>
          <w:rFonts w:ascii="Times New Roman" w:hAnsi="Times New Roman" w:cs="Times New Roman"/>
          <w:sz w:val="24"/>
          <w:szCs w:val="24"/>
          <w:u w:val="single"/>
          <w:lang w:val="en-US"/>
        </w:rPr>
        <w:t xml:space="preserve">La inversión en I+D suele crecer más rápido que el PIB durante las expansiones cíclicas, y el período actual no se aparta de las tendencias históricas. De hecho, como </w:t>
      </w:r>
      <w:r w:rsidRPr="003F5518">
        <w:rPr>
          <w:rFonts w:ascii="Times New Roman" w:hAnsi="Times New Roman" w:cs="Times New Roman"/>
          <w:sz w:val="24"/>
          <w:szCs w:val="24"/>
          <w:u w:val="single"/>
          <w:lang w:val="en-US"/>
        </w:rPr>
        <w:lastRenderedPageBreak/>
        <w:t>porcentaje de la economía, la inversión en I+D se encuentra en un máximo histórico (un buen presagio de crecimiento futuro de la productividad).</w:t>
      </w:r>
    </w:p>
    <w:p w:rsidR="000711BB" w:rsidRPr="003F5518" w:rsidRDefault="000711BB" w:rsidP="000711BB">
      <w:pPr>
        <w:spacing w:line="240" w:lineRule="auto"/>
        <w:jc w:val="both"/>
        <w:rPr>
          <w:rFonts w:ascii="Times New Roman" w:hAnsi="Times New Roman" w:cs="Times New Roman"/>
          <w:sz w:val="24"/>
          <w:szCs w:val="24"/>
          <w:u w:val="single"/>
          <w:lang w:val="en-US"/>
        </w:rPr>
      </w:pPr>
      <w:r w:rsidRPr="009D44A8">
        <w:rPr>
          <w:rFonts w:ascii="Times New Roman" w:hAnsi="Times New Roman" w:cs="Times New Roman"/>
          <w:sz w:val="24"/>
          <w:szCs w:val="24"/>
          <w:lang w:val="en-US"/>
        </w:rPr>
        <w:t xml:space="preserve">Como predice la teoría del acelerador, gran parte de la inversión en I+D se está dando en sectores altamente tecnológicos, donde la demanda actual y la demanda futura esperada se han mantenido altas. También hay datos que señalan que la distribución de la rentabilidad del capital muestra un sesgo cada vez más favorable hacia esos sectores. </w:t>
      </w:r>
      <w:r w:rsidRPr="003F5518">
        <w:rPr>
          <w:rFonts w:ascii="Times New Roman" w:hAnsi="Times New Roman" w:cs="Times New Roman"/>
          <w:sz w:val="24"/>
          <w:szCs w:val="24"/>
          <w:u w:val="single"/>
          <w:lang w:val="en-US"/>
        </w:rPr>
        <w:t>Un informe reciente del McKinsey Global Institute afirma que las industrias más digitalizadas (según 18 indicadores que miden el grado de digitalización del capital, las operaciones y la fuerza laboral) disfrutan de márgenes de ganancias considerablemente mayores que las tradicionales.</w:t>
      </w:r>
    </w:p>
    <w:p w:rsidR="000711BB" w:rsidRPr="003F5518" w:rsidRDefault="000711BB" w:rsidP="000711BB">
      <w:pPr>
        <w:spacing w:line="240" w:lineRule="auto"/>
        <w:jc w:val="both"/>
        <w:rPr>
          <w:rFonts w:ascii="Times New Roman" w:hAnsi="Times New Roman" w:cs="Times New Roman"/>
          <w:sz w:val="24"/>
          <w:szCs w:val="24"/>
          <w:u w:val="single"/>
          <w:lang w:val="en-US"/>
        </w:rPr>
      </w:pPr>
      <w:r w:rsidRPr="003F5518">
        <w:rPr>
          <w:rFonts w:ascii="Times New Roman" w:hAnsi="Times New Roman" w:cs="Times New Roman"/>
          <w:sz w:val="24"/>
          <w:szCs w:val="24"/>
          <w:u w:val="single"/>
          <w:lang w:val="en-US"/>
        </w:rPr>
        <w:t>En una carta reciente a los directores ejecutivos de empresas listadas en el S&amp;P 500 y grandes corporaciones europeas, Larry Fink (CEO de BlackRock, la mayor administradora de inversiones del mundo) advirtió contra la posibilidad de que muchas empresas globales, al destinar fondos a distribuir dividendos y recomprar acciones propias, estén sacrificando inversiones con potencial para crear valor</w:t>
      </w:r>
      <w:r w:rsidRPr="009D44A8">
        <w:rPr>
          <w:rFonts w:ascii="Times New Roman" w:hAnsi="Times New Roman" w:cs="Times New Roman"/>
          <w:sz w:val="24"/>
          <w:szCs w:val="24"/>
          <w:lang w:val="en-US"/>
        </w:rPr>
        <w:t xml:space="preserve">. </w:t>
      </w:r>
      <w:r w:rsidRPr="003F5518">
        <w:rPr>
          <w:rFonts w:ascii="Times New Roman" w:hAnsi="Times New Roman" w:cs="Times New Roman"/>
          <w:sz w:val="24"/>
          <w:szCs w:val="24"/>
          <w:u w:val="single"/>
          <w:lang w:val="en-US"/>
        </w:rPr>
        <w:t>Entre las corporaciones estadounidenses no financieras, la proporción de los fondos invertibles que se usan para pagar dividendos y recomprar acciones sigue desde los ochenta una tendencia ascendente, aunque con altibajos cíclicos. Tras una caída abrupta durante la recesión de 2008 y 2009, esta proporción se ha recuperado hasta casi el 50%, un valor alto en relación con los promedios históricos.</w:t>
      </w:r>
    </w:p>
    <w:p w:rsidR="000711BB" w:rsidRPr="003F5518" w:rsidRDefault="000711BB" w:rsidP="000711BB">
      <w:pPr>
        <w:spacing w:line="240" w:lineRule="auto"/>
        <w:jc w:val="both"/>
        <w:rPr>
          <w:rFonts w:ascii="Times New Roman" w:hAnsi="Times New Roman" w:cs="Times New Roman"/>
          <w:sz w:val="24"/>
          <w:szCs w:val="24"/>
          <w:u w:val="single"/>
          <w:lang w:val="en-US"/>
        </w:rPr>
      </w:pPr>
      <w:r w:rsidRPr="003F5518">
        <w:rPr>
          <w:rFonts w:ascii="Times New Roman" w:hAnsi="Times New Roman" w:cs="Times New Roman"/>
          <w:sz w:val="24"/>
          <w:szCs w:val="24"/>
          <w:u w:val="single"/>
          <w:lang w:val="en-US"/>
        </w:rPr>
        <w:t>La evidencia macroeconómica indica que la causa principal de la falta de inversión empresarial en Estados Unidos y otros países desarrollados tras la crisis financiera internacional fue la escasez de demanda, no que un porcentaje excesivo de los fondos invertibles se haya destinado a pagar dividendos y recomprar acciones. Pero a más largo plazo, la tendencia ascendente de este porcentaje es síntoma de la creciente presión de los accionistas sobre las corporaciones para que prioricen los rendimientos inmediatos en detrimento de las inversiones a futuro.</w:t>
      </w:r>
    </w:p>
    <w:p w:rsidR="000711BB" w:rsidRPr="003F5518" w:rsidRDefault="000711BB" w:rsidP="000711BB">
      <w:pPr>
        <w:spacing w:line="240" w:lineRule="auto"/>
        <w:jc w:val="both"/>
        <w:rPr>
          <w:rFonts w:ascii="Times New Roman" w:hAnsi="Times New Roman" w:cs="Times New Roman"/>
          <w:sz w:val="24"/>
          <w:szCs w:val="24"/>
          <w:u w:val="single"/>
          <w:lang w:val="en-US"/>
        </w:rPr>
      </w:pPr>
      <w:r w:rsidRPr="003F5518">
        <w:rPr>
          <w:rFonts w:ascii="Times New Roman" w:hAnsi="Times New Roman" w:cs="Times New Roman"/>
          <w:sz w:val="24"/>
          <w:szCs w:val="24"/>
          <w:u w:val="single"/>
          <w:lang w:val="en-US"/>
        </w:rPr>
        <w:t>En una encuesta reciente de McKinsey a mil altos ejecutivos y directores corporativos, el 63% respondió que estos últimos años aumentaron las exigencias de los accionistas de obtener rentabilidad a corto plazo. Un 79% incluso declaró sentirse presionados a mostrar altos rendimientos financieros en dos años o menos.</w:t>
      </w:r>
    </w:p>
    <w:p w:rsidR="000711BB" w:rsidRPr="003F5518" w:rsidRDefault="000711BB" w:rsidP="000711BB">
      <w:pPr>
        <w:spacing w:line="240" w:lineRule="auto"/>
        <w:jc w:val="both"/>
        <w:rPr>
          <w:rFonts w:ascii="Times New Roman" w:hAnsi="Times New Roman" w:cs="Times New Roman"/>
          <w:sz w:val="24"/>
          <w:szCs w:val="24"/>
          <w:u w:val="single"/>
          <w:lang w:val="en-US"/>
        </w:rPr>
      </w:pPr>
      <w:r w:rsidRPr="009D44A8">
        <w:rPr>
          <w:rFonts w:ascii="Times New Roman" w:hAnsi="Times New Roman" w:cs="Times New Roman"/>
          <w:sz w:val="24"/>
          <w:szCs w:val="24"/>
          <w:lang w:val="en-US"/>
        </w:rPr>
        <w:t xml:space="preserve">La presión de los accionistas tiende a ser mayor en las empresas más antiguas, una categoría que en Estados Unidos creció en proporción durante las últimas décadas, conforme disminuía la tasa de creación de nuevas empresas. </w:t>
      </w:r>
      <w:r w:rsidRPr="003F5518">
        <w:rPr>
          <w:rFonts w:ascii="Times New Roman" w:hAnsi="Times New Roman" w:cs="Times New Roman"/>
          <w:sz w:val="24"/>
          <w:szCs w:val="24"/>
          <w:u w:val="single"/>
          <w:lang w:val="en-US"/>
        </w:rPr>
        <w:t>Además, como Fink y otros han advertido, las prácticas remuneratorias que vinculan la paga de los ejecutivos superiores con medidas de éxito a corto plazo (como las ganancias trimestrales por acción o la rentabilidad anual del capital) también alientan a las empresas a ser “cortoplacistas” en sus decisiones de inversión.</w:t>
      </w:r>
    </w:p>
    <w:p w:rsidR="000711BB" w:rsidRPr="009D44A8" w:rsidRDefault="000711BB" w:rsidP="000711BB">
      <w:pPr>
        <w:spacing w:line="240" w:lineRule="auto"/>
        <w:jc w:val="both"/>
        <w:rPr>
          <w:rFonts w:ascii="Times New Roman" w:hAnsi="Times New Roman" w:cs="Times New Roman"/>
          <w:sz w:val="24"/>
          <w:szCs w:val="24"/>
          <w:lang w:val="en-US"/>
        </w:rPr>
      </w:pPr>
      <w:r w:rsidRPr="003F5518">
        <w:rPr>
          <w:rFonts w:ascii="Times New Roman" w:hAnsi="Times New Roman" w:cs="Times New Roman"/>
          <w:sz w:val="24"/>
          <w:szCs w:val="24"/>
          <w:u w:val="single"/>
          <w:lang w:val="en-US"/>
        </w:rPr>
        <w:t>Para desincentivar el cortoplacismo de los inversores podría aplicarse una escala móvil al impuesto a la plusvalía financiera, de modo tal que la alícuota disminuya proporcionalmente al tiempo de tenencia de las inversiones en cartera</w:t>
      </w:r>
      <w:r w:rsidRPr="009D44A8">
        <w:rPr>
          <w:rFonts w:ascii="Times New Roman" w:hAnsi="Times New Roman" w:cs="Times New Roman"/>
          <w:sz w:val="24"/>
          <w:szCs w:val="24"/>
          <w:lang w:val="en-US"/>
        </w:rPr>
        <w:t>. Algunos que han propuesto esta idea son Larry Fink, el Center for American Progress y Hillary Clinton. En su reciente carta a los directores ejecutivos, Fink también pide que las empresas publiquen en forma anual “esquemas estratégicos” para la creación de valor a largo plazo, que estén respaldados por indicadores financieros cuantificables y vinculen la remuneración de los ejecutivos a largo plazo con el desempeño según esos indicadores.</w:t>
      </w:r>
    </w:p>
    <w:p w:rsidR="000711BB" w:rsidRPr="003F5518" w:rsidRDefault="000711BB" w:rsidP="000711BB">
      <w:pPr>
        <w:spacing w:line="240" w:lineRule="auto"/>
        <w:jc w:val="both"/>
        <w:rPr>
          <w:rFonts w:ascii="Times New Roman" w:hAnsi="Times New Roman" w:cs="Times New Roman"/>
          <w:color w:val="FF0000"/>
          <w:sz w:val="24"/>
          <w:szCs w:val="24"/>
          <w:u w:val="single"/>
          <w:lang w:val="en-US"/>
        </w:rPr>
      </w:pPr>
      <w:r w:rsidRPr="009D44A8">
        <w:rPr>
          <w:rFonts w:ascii="Times New Roman" w:hAnsi="Times New Roman" w:cs="Times New Roman"/>
          <w:sz w:val="24"/>
          <w:szCs w:val="24"/>
          <w:lang w:val="en-US"/>
        </w:rPr>
        <w:lastRenderedPageBreak/>
        <w:t xml:space="preserve">Fink señala que estos esquemas deberían incluir los factores ambientales, sociales y de gobernanza que son los determinantes centrales del valor a largo plazo. Para entregar a los inversores información sustancial sobre esos factores, las empresas podrían usar las nuevas normas con respaldo empírico elaboradas por la SASB (una organización que se dedica a la promoción de normas contables sostenibles). La publicación de esquemas estratégicos y de información sobre los factores mencionados puede alentar a las empresas y a sus accionistas a pensar más en el valor a futuro y menos en el desempeño financiero inmediato. Pero </w:t>
      </w:r>
      <w:r w:rsidRPr="003F5518">
        <w:rPr>
          <w:rFonts w:ascii="Times New Roman" w:hAnsi="Times New Roman" w:cs="Times New Roman"/>
          <w:color w:val="FF0000"/>
          <w:sz w:val="24"/>
          <w:szCs w:val="24"/>
          <w:u w:val="single"/>
          <w:lang w:val="en-US"/>
        </w:rPr>
        <w:t>en el nivel macroeconómico, los principales motores de la inversión empresarial seguirán siendo el crecimiento esperado de la demanda y las oportunidades de innovación asociadas.</w:t>
      </w:r>
    </w:p>
    <w:p w:rsidR="000711BB" w:rsidRDefault="000711BB" w:rsidP="000711B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9D44A8">
        <w:rPr>
          <w:rFonts w:ascii="Times New Roman" w:hAnsi="Times New Roman" w:cs="Times New Roman"/>
          <w:sz w:val="24"/>
          <w:szCs w:val="24"/>
          <w:lang w:val="en-US"/>
        </w:rPr>
        <w:t xml:space="preserve">Laura Tyson, a former chair of the US President's Council of Economic Advisers, is a professor at the Haas School of Business at the University of California, Berkeley, a senior adviser at the Rock Creek Group, and a member of the World Economic Forum Global </w:t>
      </w:r>
      <w:r>
        <w:rPr>
          <w:rFonts w:ascii="Times New Roman" w:hAnsi="Times New Roman" w:cs="Times New Roman"/>
          <w:sz w:val="24"/>
          <w:szCs w:val="24"/>
          <w:lang w:val="en-US"/>
        </w:rPr>
        <w:t>Agenda Council on Gender Parity)</w:t>
      </w:r>
    </w:p>
    <w:p w:rsidR="000711BB" w:rsidRPr="004E3D9F"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E3D9F">
        <w:rPr>
          <w:rFonts w:ascii="Times New Roman" w:hAnsi="Times New Roman" w:cs="Times New Roman"/>
          <w:sz w:val="24"/>
          <w:szCs w:val="24"/>
          <w:u w:val="single"/>
        </w:rPr>
        <w:t>Pragmatismo o perdición</w:t>
      </w:r>
      <w:r>
        <w:rPr>
          <w:rFonts w:ascii="Times New Roman" w:hAnsi="Times New Roman" w:cs="Times New Roman"/>
          <w:sz w:val="24"/>
          <w:szCs w:val="24"/>
        </w:rPr>
        <w:t xml:space="preserve"> (Project Syndicate - </w:t>
      </w:r>
      <w:r w:rsidRPr="004E3D9F">
        <w:rPr>
          <w:rFonts w:ascii="Times New Roman" w:hAnsi="Times New Roman" w:cs="Times New Roman"/>
          <w:b/>
          <w:sz w:val="24"/>
          <w:szCs w:val="24"/>
        </w:rPr>
        <w:t>29/2/16</w:t>
      </w:r>
      <w:r>
        <w:rPr>
          <w:rFonts w:ascii="Times New Roman" w:hAnsi="Times New Roman" w:cs="Times New Roman"/>
          <w:sz w:val="24"/>
          <w:szCs w:val="24"/>
        </w:rPr>
        <w:t>)</w:t>
      </w:r>
    </w:p>
    <w:p w:rsidR="000711BB" w:rsidRPr="00D90FBF" w:rsidRDefault="000711BB" w:rsidP="000711BB">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Berkeley.-</w:t>
      </w:r>
      <w:r w:rsidRPr="004E3D9F">
        <w:rPr>
          <w:rFonts w:ascii="Times New Roman" w:hAnsi="Times New Roman" w:cs="Times New Roman"/>
          <w:sz w:val="24"/>
          <w:szCs w:val="24"/>
        </w:rPr>
        <w:t xml:space="preserve"> </w:t>
      </w:r>
      <w:r w:rsidRPr="00D90FBF">
        <w:rPr>
          <w:rFonts w:ascii="Times New Roman" w:hAnsi="Times New Roman" w:cs="Times New Roman"/>
          <w:color w:val="FF0000"/>
          <w:sz w:val="24"/>
          <w:szCs w:val="24"/>
          <w:u w:val="single"/>
        </w:rPr>
        <w:t>Resulta prácticamente imposible evaluar el progreso de la economía de Estados Unidos en los últimos 40 años sin sentirse desilusionado. Desde la perspectiva del norteamericano promedio, casi un tercio del potencial productivo del país se ha despilfarrado en un gasto que no suma nada a la riqueza real o destruida por la crisis financiera de 2008.</w:t>
      </w:r>
    </w:p>
    <w:p w:rsidR="000711BB" w:rsidRPr="004E3D9F" w:rsidRDefault="000711BB" w:rsidP="000711BB">
      <w:pPr>
        <w:spacing w:line="240" w:lineRule="auto"/>
        <w:jc w:val="both"/>
        <w:rPr>
          <w:rFonts w:ascii="Times New Roman" w:hAnsi="Times New Roman" w:cs="Times New Roman"/>
          <w:sz w:val="24"/>
          <w:szCs w:val="24"/>
        </w:rPr>
      </w:pPr>
      <w:r w:rsidRPr="00D90FBF">
        <w:rPr>
          <w:rFonts w:ascii="Times New Roman" w:hAnsi="Times New Roman" w:cs="Times New Roman"/>
          <w:sz w:val="24"/>
          <w:szCs w:val="24"/>
          <w:u w:val="single"/>
        </w:rPr>
        <w:t>Desde mediados de los años 1970, Estados Unidos incrementó el gasto en la administración de la atención médica en aproximadamente el 4% del PIB y aumentó el gasto en sobretratamientos en alrededor del 2% del PIB</w:t>
      </w:r>
      <w:r w:rsidRPr="004E3D9F">
        <w:rPr>
          <w:rFonts w:ascii="Times New Roman" w:hAnsi="Times New Roman" w:cs="Times New Roman"/>
          <w:sz w:val="24"/>
          <w:szCs w:val="24"/>
        </w:rPr>
        <w:t>. Países como Canadá, el Reino Unido y Francia no han seguido sus pasos y, aun así, les está yendo igual de bien -si no mejor- a la hora de asegurar que sus ciudadanos se mantengan saludables.</w:t>
      </w:r>
    </w:p>
    <w:p w:rsidR="000711BB" w:rsidRPr="00D90FBF" w:rsidRDefault="000711BB" w:rsidP="000711BB">
      <w:pPr>
        <w:spacing w:line="240" w:lineRule="auto"/>
        <w:jc w:val="both"/>
        <w:rPr>
          <w:rFonts w:ascii="Times New Roman" w:hAnsi="Times New Roman" w:cs="Times New Roman"/>
          <w:color w:val="FF0000"/>
          <w:sz w:val="24"/>
          <w:szCs w:val="24"/>
          <w:u w:val="single"/>
        </w:rPr>
      </w:pPr>
      <w:r w:rsidRPr="00D90FBF">
        <w:rPr>
          <w:rFonts w:ascii="Times New Roman" w:hAnsi="Times New Roman" w:cs="Times New Roman"/>
          <w:color w:val="FF0000"/>
          <w:sz w:val="24"/>
          <w:szCs w:val="24"/>
          <w:u w:val="single"/>
        </w:rPr>
        <w:t>Mientras tanto, en el mismo período, Estados Unidos ha desviado el gasto en educación, infraestructura pública e industria hacia la oferta de incentivos para los ricos -principalmente en forma de recortes impositivos-. Estados Unidos gasta 10% más de lo que gastaba antes en facilitarles a los ricos la tarea de acumular riqueza, pero ha recortado la inversión pública en capital físico y humano en aproximadamente el 4% del PIB, comparado con lo que se habría esperado si los patrones de gasto hubiesen seguido las tendencias históricas.</w:t>
      </w:r>
    </w:p>
    <w:p w:rsidR="000711BB" w:rsidRPr="00D90FBF" w:rsidRDefault="000711BB" w:rsidP="000711BB">
      <w:pPr>
        <w:spacing w:line="240" w:lineRule="auto"/>
        <w:jc w:val="both"/>
        <w:rPr>
          <w:rFonts w:ascii="Times New Roman" w:hAnsi="Times New Roman" w:cs="Times New Roman"/>
          <w:sz w:val="24"/>
          <w:szCs w:val="24"/>
          <w:u w:val="single"/>
        </w:rPr>
      </w:pPr>
      <w:r w:rsidRPr="00D90FBF">
        <w:rPr>
          <w:rFonts w:ascii="Times New Roman" w:hAnsi="Times New Roman" w:cs="Times New Roman"/>
          <w:sz w:val="24"/>
          <w:szCs w:val="24"/>
          <w:u w:val="single"/>
        </w:rPr>
        <w:t>Hace 40 años, por ejemplo, Estados Unidos gastaba alrededor del 4% de su PIB en finanzas. Hoy, gasta el doble que eso. Y los resultados han sido catastróficos.</w:t>
      </w:r>
      <w:r w:rsidRPr="004E3D9F">
        <w:rPr>
          <w:rFonts w:ascii="Times New Roman" w:hAnsi="Times New Roman" w:cs="Times New Roman"/>
          <w:sz w:val="24"/>
          <w:szCs w:val="24"/>
        </w:rPr>
        <w:t xml:space="preserve"> </w:t>
      </w:r>
      <w:r w:rsidRPr="00D90FBF">
        <w:rPr>
          <w:rFonts w:ascii="Times New Roman" w:hAnsi="Times New Roman" w:cs="Times New Roman"/>
          <w:sz w:val="24"/>
          <w:szCs w:val="24"/>
          <w:u w:val="single"/>
        </w:rPr>
        <w:t>A pesar de los argumentos plutocráticos de que los jefes de las compañías financieras y otros CEOs merecen sus paquetes de compensación cada vez más desmesurados, no existe ninguna evidencia de que estén haciendo un mejor trabajo que antes en lo que concierne a dirigir sus empresas o asignar capital de manera más eficiente</w:t>
      </w:r>
      <w:r w:rsidRPr="004E3D9F">
        <w:rPr>
          <w:rFonts w:ascii="Times New Roman" w:hAnsi="Times New Roman" w:cs="Times New Roman"/>
          <w:sz w:val="24"/>
          <w:szCs w:val="24"/>
        </w:rPr>
        <w:t xml:space="preserve">. Por el contrario, la mayor cuota de responsabilidad  por las continuas dificultades económicas se puede asignar tranquilamente al </w:t>
      </w:r>
      <w:r w:rsidRPr="00D90FBF">
        <w:rPr>
          <w:rFonts w:ascii="Times New Roman" w:hAnsi="Times New Roman" w:cs="Times New Roman"/>
          <w:sz w:val="24"/>
          <w:szCs w:val="24"/>
          <w:u w:val="single"/>
        </w:rPr>
        <w:t>sector financiero hipertrofiado y disfuncional de Estados Unidos.</w:t>
      </w:r>
    </w:p>
    <w:p w:rsidR="000711BB" w:rsidRPr="00D90FBF" w:rsidRDefault="000711BB" w:rsidP="000711BB">
      <w:pPr>
        <w:spacing w:line="240" w:lineRule="auto"/>
        <w:jc w:val="both"/>
        <w:rPr>
          <w:rFonts w:ascii="Times New Roman" w:hAnsi="Times New Roman" w:cs="Times New Roman"/>
          <w:color w:val="FF0000"/>
          <w:sz w:val="24"/>
          <w:szCs w:val="24"/>
          <w:u w:val="single"/>
        </w:rPr>
      </w:pPr>
      <w:r w:rsidRPr="00D90FBF">
        <w:rPr>
          <w:rFonts w:ascii="Times New Roman" w:hAnsi="Times New Roman" w:cs="Times New Roman"/>
          <w:color w:val="FF0000"/>
          <w:sz w:val="24"/>
          <w:szCs w:val="24"/>
          <w:u w:val="single"/>
        </w:rPr>
        <w:t xml:space="preserve">Este redireccionamiento de la inversión se suele atribuir a los esfuerzos por fomentar el crecimiento. Y, sin embargo, más allá de cuánto distorsionemos los puntos de partida o manipulemos los puntos de referencia, es claro que ha fracasado. En verdad, cuesta ver </w:t>
      </w:r>
      <w:r w:rsidRPr="00D90FBF">
        <w:rPr>
          <w:rFonts w:ascii="Times New Roman" w:hAnsi="Times New Roman" w:cs="Times New Roman"/>
          <w:color w:val="FF0000"/>
          <w:sz w:val="24"/>
          <w:szCs w:val="24"/>
          <w:u w:val="single"/>
        </w:rPr>
        <w:lastRenderedPageBreak/>
        <w:t>las decisiones de los últimos 40 años como algo que no sea un profundo fracaso por parte de las instituciones públicas responsables de forjar el progreso económico del país.</w:t>
      </w:r>
    </w:p>
    <w:p w:rsidR="000711BB" w:rsidRPr="00484756" w:rsidRDefault="000711BB" w:rsidP="000711BB">
      <w:pPr>
        <w:spacing w:line="240" w:lineRule="auto"/>
        <w:jc w:val="both"/>
        <w:rPr>
          <w:rFonts w:ascii="Times New Roman" w:hAnsi="Times New Roman" w:cs="Times New Roman"/>
          <w:sz w:val="24"/>
          <w:szCs w:val="24"/>
          <w:u w:val="single"/>
        </w:rPr>
      </w:pPr>
      <w:r w:rsidRPr="00484756">
        <w:rPr>
          <w:rFonts w:ascii="Times New Roman" w:hAnsi="Times New Roman" w:cs="Times New Roman"/>
          <w:sz w:val="24"/>
          <w:szCs w:val="24"/>
          <w:u w:val="single"/>
        </w:rPr>
        <w:t>Este es un hecho sorprendente. Hasta alrededor de 1980, estas instituciones eran claramente de primera categoría. Durante más de 200 años, el gobierno de Estados Unidos fue sumamente exitoso en cuanto a expandir las oportunidades y alimentar el crecimiento económico</w:t>
      </w:r>
      <w:r w:rsidRPr="004E3D9F">
        <w:rPr>
          <w:rFonts w:ascii="Times New Roman" w:hAnsi="Times New Roman" w:cs="Times New Roman"/>
          <w:sz w:val="24"/>
          <w:szCs w:val="24"/>
        </w:rPr>
        <w:t xml:space="preserve">. Desde la insistencia de Alexander Hamilton de promover la industria y las finanzas, hasta la construcción de infraestructura que se propagó por el continente y la introducción de la educación pública, las inversiones del gobierno se amortizaron generosamente. </w:t>
      </w:r>
      <w:r w:rsidRPr="00484756">
        <w:rPr>
          <w:rFonts w:ascii="Times New Roman" w:hAnsi="Times New Roman" w:cs="Times New Roman"/>
          <w:sz w:val="24"/>
          <w:szCs w:val="24"/>
          <w:u w:val="single"/>
        </w:rPr>
        <w:t>De hecho, el gobierno, en repetidas ocasiones, empujó a la economía a lo que se creía eran las industrias del futuro, lo que resultó en una expansión económica y una clase media más grande y más pudiente.</w:t>
      </w:r>
    </w:p>
    <w:p w:rsidR="000711BB" w:rsidRPr="00484756" w:rsidRDefault="000711BB" w:rsidP="000711BB">
      <w:pPr>
        <w:spacing w:line="240" w:lineRule="auto"/>
        <w:jc w:val="both"/>
        <w:rPr>
          <w:rFonts w:ascii="Times New Roman" w:hAnsi="Times New Roman" w:cs="Times New Roman"/>
          <w:b/>
          <w:color w:val="FF0000"/>
          <w:sz w:val="24"/>
          <w:szCs w:val="24"/>
          <w:u w:val="single"/>
        </w:rPr>
      </w:pPr>
      <w:r w:rsidRPr="00484756">
        <w:rPr>
          <w:rFonts w:ascii="Times New Roman" w:hAnsi="Times New Roman" w:cs="Times New Roman"/>
          <w:b/>
          <w:color w:val="FF0000"/>
          <w:sz w:val="24"/>
          <w:szCs w:val="24"/>
          <w:u w:val="single"/>
        </w:rPr>
        <w:t>Sólo hace relativamente poco tiempo se empezaron a hacer apuestas equivocadas. Los últimos 40 años de políticas no han logrado producir una sociedad más rica; sólo han generado una elite más rica.</w:t>
      </w:r>
    </w:p>
    <w:p w:rsidR="000711BB" w:rsidRPr="00484756" w:rsidRDefault="000711BB" w:rsidP="000711BB">
      <w:pPr>
        <w:spacing w:line="240" w:lineRule="auto"/>
        <w:jc w:val="both"/>
        <w:rPr>
          <w:rFonts w:ascii="Times New Roman" w:hAnsi="Times New Roman" w:cs="Times New Roman"/>
          <w:color w:val="FF0000"/>
          <w:sz w:val="24"/>
          <w:szCs w:val="24"/>
          <w:u w:val="single"/>
        </w:rPr>
      </w:pPr>
      <w:r w:rsidRPr="00484756">
        <w:rPr>
          <w:rFonts w:ascii="Times New Roman" w:hAnsi="Times New Roman" w:cs="Times New Roman"/>
          <w:color w:val="FF0000"/>
          <w:sz w:val="24"/>
          <w:szCs w:val="24"/>
          <w:u w:val="single"/>
        </w:rPr>
        <w:t>No sorprende que los ideólogos de la izquierda y de la derecha no coincidan respecto de qué fue lo que salió mal. La izquierda, de manera bastante creíble, culpa a la idea de que el libre mercado siempre tiene razón y necesita estar desencadenado, y de que aquellos a los que recompensa siempre lo merecen. En la derecha, de manera menos creíble, atribuyen la decadencia a la supervivencia y expansión del sistema de asistencia social (comparativamente exiguo) de Estados Unidos. Programas como Medicare, Medicaid, la seguridad social, el Crédito Tributario por Ingreso Ganado, el seguro de desempleo y el seguro por discapacidad, sostienen, han convertido a Estados Unidos en un país de tomadores, no de hacedores.</w:t>
      </w:r>
    </w:p>
    <w:p w:rsidR="000711BB" w:rsidRPr="00484756" w:rsidRDefault="000711BB" w:rsidP="000711BB">
      <w:pPr>
        <w:spacing w:line="240" w:lineRule="auto"/>
        <w:jc w:val="both"/>
        <w:rPr>
          <w:rFonts w:ascii="Times New Roman" w:hAnsi="Times New Roman" w:cs="Times New Roman"/>
          <w:color w:val="FF0000"/>
          <w:sz w:val="24"/>
          <w:szCs w:val="24"/>
          <w:u w:val="single"/>
        </w:rPr>
      </w:pPr>
      <w:r w:rsidRPr="004E3D9F">
        <w:rPr>
          <w:rFonts w:ascii="Times New Roman" w:hAnsi="Times New Roman" w:cs="Times New Roman"/>
          <w:sz w:val="24"/>
          <w:szCs w:val="24"/>
        </w:rPr>
        <w:t xml:space="preserve">En un nuevo libro, </w:t>
      </w:r>
      <w:r w:rsidRPr="00484756">
        <w:rPr>
          <w:rFonts w:ascii="Times New Roman" w:hAnsi="Times New Roman" w:cs="Times New Roman"/>
          <w:b/>
          <w:sz w:val="24"/>
          <w:szCs w:val="24"/>
        </w:rPr>
        <w:t>Economía concreta: el enfoque Hamilton para el crecimiento y la política económica,</w:t>
      </w:r>
      <w:r w:rsidRPr="004E3D9F">
        <w:rPr>
          <w:rFonts w:ascii="Times New Roman" w:hAnsi="Times New Roman" w:cs="Times New Roman"/>
          <w:sz w:val="24"/>
          <w:szCs w:val="24"/>
        </w:rPr>
        <w:t xml:space="preserve"> junto con el otro autor, Steve Cohen, </w:t>
      </w:r>
      <w:r w:rsidRPr="00484756">
        <w:rPr>
          <w:rFonts w:ascii="Times New Roman" w:hAnsi="Times New Roman" w:cs="Times New Roman"/>
          <w:color w:val="FF0000"/>
          <w:sz w:val="24"/>
          <w:szCs w:val="24"/>
          <w:u w:val="single"/>
        </w:rPr>
        <w:t>demostramos que el problema es aún más fundamental. El pobre desempeño económico de Estados Unidos no es el resultado de alguna ideología particular, sino de permitir que los ideólogos guíen las políticas públicas.</w:t>
      </w:r>
    </w:p>
    <w:p w:rsidR="000711BB" w:rsidRPr="004E3D9F" w:rsidRDefault="000711BB" w:rsidP="000711BB">
      <w:pPr>
        <w:spacing w:line="240" w:lineRule="auto"/>
        <w:jc w:val="both"/>
        <w:rPr>
          <w:rFonts w:ascii="Times New Roman" w:hAnsi="Times New Roman" w:cs="Times New Roman"/>
          <w:sz w:val="24"/>
          <w:szCs w:val="24"/>
        </w:rPr>
      </w:pPr>
      <w:r w:rsidRPr="004E3D9F">
        <w:rPr>
          <w:rFonts w:ascii="Times New Roman" w:hAnsi="Times New Roman" w:cs="Times New Roman"/>
          <w:sz w:val="24"/>
          <w:szCs w:val="24"/>
        </w:rPr>
        <w:t>El objetivo de una ideología en el mundo real no consiste en brindar esclarecimiento, sino en ofrecerles a sus adherentes una sensación de certeza mientras transitan un mundo complejo. Una ideología se vuelve exitosa no por sugerir políticas que funcionan, sino por ayudar a la gente a sentirse cómoda, feliz y segura de lo que está haciendo.</w:t>
      </w:r>
    </w:p>
    <w:p w:rsidR="000711BB" w:rsidRPr="00484756" w:rsidRDefault="000711BB" w:rsidP="000711BB">
      <w:pPr>
        <w:spacing w:line="240" w:lineRule="auto"/>
        <w:jc w:val="both"/>
        <w:rPr>
          <w:rFonts w:ascii="Times New Roman" w:hAnsi="Times New Roman" w:cs="Times New Roman"/>
          <w:color w:val="FF0000"/>
          <w:sz w:val="24"/>
          <w:szCs w:val="24"/>
          <w:u w:val="single"/>
        </w:rPr>
      </w:pPr>
      <w:r w:rsidRPr="00484756">
        <w:rPr>
          <w:rFonts w:ascii="Times New Roman" w:hAnsi="Times New Roman" w:cs="Times New Roman"/>
          <w:color w:val="FF0000"/>
          <w:sz w:val="24"/>
          <w:szCs w:val="24"/>
          <w:u w:val="single"/>
        </w:rPr>
        <w:t>Cohen y yo sostenemos que hay una mejor alternativa que el enfoque ideológico: el pragmatismo. En lugar de buscar reglas dominantes o una gran teoría, hay que buscar, en cambio, algo que probablemente funcione -e implementar políticas en consecuencia.</w:t>
      </w:r>
    </w:p>
    <w:p w:rsidR="000711BB" w:rsidRPr="00484756" w:rsidRDefault="000711BB" w:rsidP="000711BB">
      <w:pPr>
        <w:spacing w:line="240" w:lineRule="auto"/>
        <w:jc w:val="both"/>
        <w:rPr>
          <w:rFonts w:ascii="Times New Roman" w:hAnsi="Times New Roman" w:cs="Times New Roman"/>
          <w:sz w:val="24"/>
          <w:szCs w:val="24"/>
          <w:u w:val="single"/>
        </w:rPr>
      </w:pPr>
      <w:r w:rsidRPr="004E3D9F">
        <w:rPr>
          <w:rFonts w:ascii="Times New Roman" w:hAnsi="Times New Roman" w:cs="Times New Roman"/>
          <w:sz w:val="24"/>
          <w:szCs w:val="24"/>
        </w:rPr>
        <w:t xml:space="preserve">Hemos bautizado esta estrategia con el nombre del fundador estadounidense más adepto a ajustar sus prescripciones en materia de política a la realidad. Pero </w:t>
      </w:r>
      <w:r w:rsidRPr="00484756">
        <w:rPr>
          <w:rFonts w:ascii="Times New Roman" w:hAnsi="Times New Roman" w:cs="Times New Roman"/>
          <w:sz w:val="24"/>
          <w:szCs w:val="24"/>
          <w:u w:val="single"/>
        </w:rPr>
        <w:t>es un método de toma de decisiones que ha tenido numerosos defensores a lo largo de la historia del país. Los presidentes norteamericanos Dwight Eisenhower, Teddy Roosevelt, Franklin Roosevelt y Abraham Lincoln colocaron el pragmatismo por delante de la ideología.</w:t>
      </w:r>
    </w:p>
    <w:p w:rsidR="000711BB" w:rsidRDefault="000711BB" w:rsidP="000711BB">
      <w:pPr>
        <w:spacing w:line="240" w:lineRule="auto"/>
        <w:jc w:val="both"/>
        <w:rPr>
          <w:rFonts w:ascii="Times New Roman" w:hAnsi="Times New Roman" w:cs="Times New Roman"/>
          <w:sz w:val="24"/>
          <w:szCs w:val="24"/>
        </w:rPr>
      </w:pPr>
      <w:r w:rsidRPr="004E3D9F">
        <w:rPr>
          <w:rFonts w:ascii="Times New Roman" w:hAnsi="Times New Roman" w:cs="Times New Roman"/>
          <w:sz w:val="24"/>
          <w:szCs w:val="24"/>
        </w:rPr>
        <w:t xml:space="preserve">Como aporte a la cultura popular, Economía concreta seguramente resulte menos popular que el musical de hip-hop Hamilton. Pero para los responsables de las políticas </w:t>
      </w:r>
      <w:r w:rsidRPr="004E3D9F">
        <w:rPr>
          <w:rFonts w:ascii="Times New Roman" w:hAnsi="Times New Roman" w:cs="Times New Roman"/>
          <w:sz w:val="24"/>
          <w:szCs w:val="24"/>
        </w:rPr>
        <w:lastRenderedPageBreak/>
        <w:t>que busquen revertir la economía estadounidense, esperamos que ofrezca alguna guía, tan necesaria, cuando aborden los desafíos que enfrenta el país.</w:t>
      </w:r>
    </w:p>
    <w:p w:rsidR="000711BB"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E3D9F">
        <w:rPr>
          <w:rFonts w:ascii="Times New Roman" w:hAnsi="Times New Roman" w:cs="Times New Roman"/>
          <w:sz w:val="24"/>
          <w:szCs w:val="24"/>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 negotiatio</w:t>
      </w:r>
      <w:r>
        <w:rPr>
          <w:rFonts w:ascii="Times New Roman" w:hAnsi="Times New Roman" w:cs="Times New Roman"/>
          <w:sz w:val="24"/>
          <w:szCs w:val="24"/>
        </w:rPr>
        <w:t>n</w:t>
      </w:r>
      <w:r w:rsidRPr="004E3D9F">
        <w:rPr>
          <w:rFonts w:ascii="Times New Roman" w:hAnsi="Times New Roman" w:cs="Times New Roman"/>
          <w:sz w:val="24"/>
          <w:szCs w:val="24"/>
        </w:rPr>
        <w:t>…</w:t>
      </w:r>
      <w:r>
        <w:rPr>
          <w:rFonts w:ascii="Times New Roman" w:hAnsi="Times New Roman" w:cs="Times New Roman"/>
          <w:sz w:val="24"/>
          <w:szCs w:val="24"/>
        </w:rPr>
        <w:t>)</w:t>
      </w:r>
    </w:p>
    <w:p w:rsidR="000711BB" w:rsidRPr="004B7B4B"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B7B4B">
        <w:rPr>
          <w:rFonts w:ascii="Times New Roman" w:hAnsi="Times New Roman" w:cs="Times New Roman"/>
          <w:sz w:val="24"/>
          <w:szCs w:val="24"/>
        </w:rPr>
        <w:t>¿</w:t>
      </w:r>
      <w:r w:rsidRPr="003577D4">
        <w:rPr>
          <w:rFonts w:ascii="Times New Roman" w:hAnsi="Times New Roman" w:cs="Times New Roman"/>
          <w:sz w:val="24"/>
          <w:szCs w:val="24"/>
          <w:u w:val="single"/>
        </w:rPr>
        <w:t>Un regreso al 2008</w:t>
      </w:r>
      <w:r w:rsidRPr="004B7B4B">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3577D4">
        <w:rPr>
          <w:rFonts w:ascii="Times New Roman" w:hAnsi="Times New Roman" w:cs="Times New Roman"/>
          <w:b/>
          <w:sz w:val="24"/>
          <w:szCs w:val="24"/>
        </w:rPr>
        <w:t>2/3/16</w:t>
      </w:r>
      <w:r>
        <w:rPr>
          <w:rFonts w:ascii="Times New Roman" w:hAnsi="Times New Roman" w:cs="Times New Roman"/>
          <w:sz w:val="24"/>
          <w:szCs w:val="24"/>
        </w:rPr>
        <w:t>)</w:t>
      </w:r>
    </w:p>
    <w:p w:rsidR="000711BB" w:rsidRPr="00E454EC" w:rsidRDefault="000711BB" w:rsidP="000711BB">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Nueva York.-</w:t>
      </w:r>
      <w:r w:rsidRPr="004B7B4B">
        <w:rPr>
          <w:rFonts w:ascii="Times New Roman" w:hAnsi="Times New Roman" w:cs="Times New Roman"/>
          <w:sz w:val="24"/>
          <w:szCs w:val="24"/>
        </w:rPr>
        <w:t xml:space="preserve"> </w:t>
      </w:r>
      <w:r w:rsidRPr="00E454EC">
        <w:rPr>
          <w:rFonts w:ascii="Times New Roman" w:hAnsi="Times New Roman" w:cs="Times New Roman"/>
          <w:color w:val="FF0000"/>
          <w:sz w:val="24"/>
          <w:szCs w:val="24"/>
          <w:u w:val="single"/>
        </w:rPr>
        <w:t>La pregunta que me hacen con más frecuencia en estos días es la siguiente: ¿Regresamos al 2008 y a otra crisis financiera y recesión global?</w:t>
      </w:r>
    </w:p>
    <w:p w:rsidR="000711BB" w:rsidRPr="004B7B4B" w:rsidRDefault="000711BB" w:rsidP="000711BB">
      <w:pPr>
        <w:spacing w:line="240" w:lineRule="auto"/>
        <w:jc w:val="both"/>
        <w:rPr>
          <w:rFonts w:ascii="Times New Roman" w:hAnsi="Times New Roman" w:cs="Times New Roman"/>
          <w:sz w:val="24"/>
          <w:szCs w:val="24"/>
        </w:rPr>
      </w:pPr>
      <w:r w:rsidRPr="00E454EC">
        <w:rPr>
          <w:rFonts w:ascii="Times New Roman" w:hAnsi="Times New Roman" w:cs="Times New Roman"/>
          <w:color w:val="FF0000"/>
          <w:sz w:val="24"/>
          <w:szCs w:val="24"/>
          <w:u w:val="single"/>
        </w:rPr>
        <w:t>Mi respuesta es un franco no, pero aclaro que el reciente episodio de turbulencia del mercado financiero global probablemente sea más serio que cualquier período de volatilidad y comportamiento de aversión al riesgo desde 2009</w:t>
      </w:r>
      <w:r w:rsidRPr="004B7B4B">
        <w:rPr>
          <w:rFonts w:ascii="Times New Roman" w:hAnsi="Times New Roman" w:cs="Times New Roman"/>
          <w:sz w:val="24"/>
          <w:szCs w:val="24"/>
        </w:rPr>
        <w:t xml:space="preserve">. </w:t>
      </w:r>
      <w:r w:rsidRPr="00E454EC">
        <w:rPr>
          <w:rFonts w:ascii="Times New Roman" w:hAnsi="Times New Roman" w:cs="Times New Roman"/>
          <w:color w:val="FF0000"/>
          <w:sz w:val="24"/>
          <w:szCs w:val="24"/>
          <w:u w:val="single"/>
        </w:rPr>
        <w:t>Esto es porque hoy existen por lo menos siete causas de riesgo de catástrofe global</w:t>
      </w:r>
      <w:r w:rsidRPr="004B7B4B">
        <w:rPr>
          <w:rFonts w:ascii="Times New Roman" w:hAnsi="Times New Roman" w:cs="Times New Roman"/>
          <w:sz w:val="24"/>
          <w:szCs w:val="24"/>
        </w:rPr>
        <w:t>, a diferencia de los factores únicos -la crisis d</w:t>
      </w:r>
      <w:r>
        <w:rPr>
          <w:rFonts w:ascii="Times New Roman" w:hAnsi="Times New Roman" w:cs="Times New Roman"/>
          <w:sz w:val="24"/>
          <w:szCs w:val="24"/>
        </w:rPr>
        <w:t>e la eurozona, el episodio del “taper tantrum”</w:t>
      </w:r>
      <w:r w:rsidRPr="004B7B4B">
        <w:rPr>
          <w:rFonts w:ascii="Times New Roman" w:hAnsi="Times New Roman" w:cs="Times New Roman"/>
          <w:sz w:val="24"/>
          <w:szCs w:val="24"/>
        </w:rPr>
        <w:t xml:space="preserve"> (cuando la Reserva Federal anunció una posible reducción anticipada de sus compras de bonos), una posible salida griega de la eurozona y un aterrizaje económico forzoso en China- que han alimentado la volatilidad en los últimos años.</w:t>
      </w:r>
    </w:p>
    <w:p w:rsidR="000711BB" w:rsidRPr="004B7B4B" w:rsidRDefault="000711BB" w:rsidP="000711BB">
      <w:pPr>
        <w:spacing w:line="240" w:lineRule="auto"/>
        <w:jc w:val="both"/>
        <w:rPr>
          <w:rFonts w:ascii="Times New Roman" w:hAnsi="Times New Roman" w:cs="Times New Roman"/>
          <w:sz w:val="24"/>
          <w:szCs w:val="24"/>
        </w:rPr>
      </w:pPr>
      <w:r w:rsidRPr="00E454EC">
        <w:rPr>
          <w:rFonts w:ascii="Times New Roman" w:hAnsi="Times New Roman" w:cs="Times New Roman"/>
          <w:color w:val="FF0000"/>
          <w:sz w:val="24"/>
          <w:szCs w:val="24"/>
          <w:u w:val="single"/>
        </w:rPr>
        <w:t>Primero, los temores sobre un aterrizaje forzoso en China y su potencial impacto en el mercado bursátil y el valor del renminbi han regresado con ganas</w:t>
      </w:r>
      <w:r w:rsidRPr="004B7B4B">
        <w:rPr>
          <w:rFonts w:ascii="Times New Roman" w:hAnsi="Times New Roman" w:cs="Times New Roman"/>
          <w:sz w:val="24"/>
          <w:szCs w:val="24"/>
        </w:rPr>
        <w:t>. Si bien es más probable que China tenga un aterrizaje con sacudidas más que forzoso, todavía deben calmarse las preocupaciones de los inversores debido a la desaceleración actual del crecimiento y la continua fuga de capitales.</w:t>
      </w:r>
    </w:p>
    <w:p w:rsidR="000711BB" w:rsidRPr="004B7B4B" w:rsidRDefault="000711BB" w:rsidP="000711BB">
      <w:pPr>
        <w:spacing w:line="240" w:lineRule="auto"/>
        <w:jc w:val="both"/>
        <w:rPr>
          <w:rFonts w:ascii="Times New Roman" w:hAnsi="Times New Roman" w:cs="Times New Roman"/>
          <w:sz w:val="24"/>
          <w:szCs w:val="24"/>
        </w:rPr>
      </w:pPr>
      <w:r w:rsidRPr="00E454EC">
        <w:rPr>
          <w:rFonts w:ascii="Times New Roman" w:hAnsi="Times New Roman" w:cs="Times New Roman"/>
          <w:color w:val="FF0000"/>
          <w:sz w:val="24"/>
          <w:szCs w:val="24"/>
          <w:u w:val="single"/>
        </w:rPr>
        <w:t>Segundo, los mercados emergentes están en serios problemas</w:t>
      </w:r>
      <w:r w:rsidRPr="004B7B4B">
        <w:rPr>
          <w:rFonts w:ascii="Times New Roman" w:hAnsi="Times New Roman" w:cs="Times New Roman"/>
          <w:sz w:val="24"/>
          <w:szCs w:val="24"/>
        </w:rPr>
        <w:t>. Enfrentan vientos de frente globales (la desaceleración de China, el fin del súper ciclo de las materias primas, la salida de la Fed de las tasas de política monetaria cero). Muchos experimentan desequilibrios macro, como déficits de cuenta corriente y fiscal gemelos, y confrontan una creciente inflación y una desaceleración del crecimiento. La mayoría no han implementado reformas estructurales para impulsar el débil crecimiento potencial. Y la debilidad de la moneda aumenta el valor real de billones de dólares de deuda acumulada en los últimos diez años.</w:t>
      </w:r>
    </w:p>
    <w:p w:rsidR="000711BB" w:rsidRPr="004B7B4B" w:rsidRDefault="000711BB" w:rsidP="000711BB">
      <w:pPr>
        <w:spacing w:line="240" w:lineRule="auto"/>
        <w:jc w:val="both"/>
        <w:rPr>
          <w:rFonts w:ascii="Times New Roman" w:hAnsi="Times New Roman" w:cs="Times New Roman"/>
          <w:sz w:val="24"/>
          <w:szCs w:val="24"/>
        </w:rPr>
      </w:pPr>
      <w:r w:rsidRPr="00E454EC">
        <w:rPr>
          <w:rFonts w:ascii="Times New Roman" w:hAnsi="Times New Roman" w:cs="Times New Roman"/>
          <w:color w:val="FF0000"/>
          <w:sz w:val="24"/>
          <w:szCs w:val="24"/>
          <w:u w:val="single"/>
        </w:rPr>
        <w:t>Tercero, la Fed probablemente se equivocó al abandonar su política de tasa de interés cero en diciembre</w:t>
      </w:r>
      <w:r w:rsidRPr="004B7B4B">
        <w:rPr>
          <w:rFonts w:ascii="Times New Roman" w:hAnsi="Times New Roman" w:cs="Times New Roman"/>
          <w:sz w:val="24"/>
          <w:szCs w:val="24"/>
        </w:rPr>
        <w:t>. Un crecimiento más débil, una inflación más baja (debido a una mayor caída de los precios del petróleo) y condiciones financieras más difíciles (por un dólar más fuerte, un mercado bursátil corregido y mayores diferenciales de crédito) ahora amenazan el crecimiento y las expectativas inflacionarias de Estados Unidos.</w:t>
      </w:r>
    </w:p>
    <w:p w:rsidR="000711BB" w:rsidRPr="004B7B4B" w:rsidRDefault="000711BB" w:rsidP="000711BB">
      <w:pPr>
        <w:spacing w:line="240" w:lineRule="auto"/>
        <w:jc w:val="both"/>
        <w:rPr>
          <w:rFonts w:ascii="Times New Roman" w:hAnsi="Times New Roman" w:cs="Times New Roman"/>
          <w:sz w:val="24"/>
          <w:szCs w:val="24"/>
        </w:rPr>
      </w:pPr>
      <w:r w:rsidRPr="00470C2E">
        <w:rPr>
          <w:rFonts w:ascii="Times New Roman" w:hAnsi="Times New Roman" w:cs="Times New Roman"/>
          <w:color w:val="FF0000"/>
          <w:sz w:val="24"/>
          <w:szCs w:val="24"/>
          <w:u w:val="single"/>
        </w:rPr>
        <w:t>Cuarto, muchos riesgos geopolíticos que se cuecen a fuego lento ya están llegando a un punto de ebullición</w:t>
      </w:r>
      <w:r w:rsidRPr="004B7B4B">
        <w:rPr>
          <w:rFonts w:ascii="Times New Roman" w:hAnsi="Times New Roman" w:cs="Times New Roman"/>
          <w:sz w:val="24"/>
          <w:szCs w:val="24"/>
        </w:rPr>
        <w:t xml:space="preserve">. Quizá la causa más inmediata de incertidumbre sea </w:t>
      </w:r>
      <w:r w:rsidRPr="00470C2E">
        <w:rPr>
          <w:rFonts w:ascii="Times New Roman" w:hAnsi="Times New Roman" w:cs="Times New Roman"/>
          <w:sz w:val="24"/>
          <w:szCs w:val="24"/>
          <w:u w:val="single"/>
        </w:rPr>
        <w:t>la perspectiva de una guerra fría de largo plazo</w:t>
      </w:r>
      <w:r w:rsidRPr="004B7B4B">
        <w:rPr>
          <w:rFonts w:ascii="Times New Roman" w:hAnsi="Times New Roman" w:cs="Times New Roman"/>
          <w:sz w:val="24"/>
          <w:szCs w:val="24"/>
        </w:rPr>
        <w:t xml:space="preserve"> -interrumpida por conflictos subsidiarios- entre las potencias regionales de Oriente Medio, particularmente Arabia Saudita, chiita, e Irán, sunita.</w:t>
      </w:r>
    </w:p>
    <w:p w:rsidR="000711BB" w:rsidRPr="004B7B4B" w:rsidRDefault="000711BB" w:rsidP="000711BB">
      <w:pPr>
        <w:spacing w:line="240" w:lineRule="auto"/>
        <w:jc w:val="both"/>
        <w:rPr>
          <w:rFonts w:ascii="Times New Roman" w:hAnsi="Times New Roman" w:cs="Times New Roman"/>
          <w:sz w:val="24"/>
          <w:szCs w:val="24"/>
        </w:rPr>
      </w:pPr>
      <w:r w:rsidRPr="00470C2E">
        <w:rPr>
          <w:rFonts w:ascii="Times New Roman" w:hAnsi="Times New Roman" w:cs="Times New Roman"/>
          <w:color w:val="FF0000"/>
          <w:sz w:val="24"/>
          <w:szCs w:val="24"/>
          <w:u w:val="single"/>
        </w:rPr>
        <w:t>Quinto, el derrumbe de los precios del petróleo está generando caídas de las acciones de Estados Unidos y globales y alzas en los diferenciales de crédito</w:t>
      </w:r>
      <w:r w:rsidRPr="004B7B4B">
        <w:rPr>
          <w:rFonts w:ascii="Times New Roman" w:hAnsi="Times New Roman" w:cs="Times New Roman"/>
          <w:sz w:val="24"/>
          <w:szCs w:val="24"/>
        </w:rPr>
        <w:t>. Esto ahora puede señalar una demanda global débil -en lugar de una oferta creciente- en tanto se desacelera el crecimiento en China, en los mercados emergentes y en Estados Unidos.</w:t>
      </w:r>
    </w:p>
    <w:p w:rsidR="000711BB" w:rsidRPr="004B7B4B" w:rsidRDefault="000711BB" w:rsidP="000711BB">
      <w:pPr>
        <w:spacing w:line="240" w:lineRule="auto"/>
        <w:jc w:val="both"/>
        <w:rPr>
          <w:rFonts w:ascii="Times New Roman" w:hAnsi="Times New Roman" w:cs="Times New Roman"/>
          <w:sz w:val="24"/>
          <w:szCs w:val="24"/>
        </w:rPr>
      </w:pPr>
      <w:r w:rsidRPr="00470C2E">
        <w:rPr>
          <w:rFonts w:ascii="Times New Roman" w:hAnsi="Times New Roman" w:cs="Times New Roman"/>
          <w:sz w:val="24"/>
          <w:szCs w:val="24"/>
          <w:u w:val="single"/>
        </w:rPr>
        <w:lastRenderedPageBreak/>
        <w:t>Los precios bajos del petróleo también perjudican a los productores de energía de Estados Unidos, que conforman una porción importante del mercado accionario de Estados Unidos, e imponen pérdidas crediticias y potenciales incumplimientos de pago a las economías que son netas exportadoras de energía, sus deudas soberanas, sus empresas estatales y las firmas del sector energético</w:t>
      </w:r>
      <w:r w:rsidRPr="004B7B4B">
        <w:rPr>
          <w:rFonts w:ascii="Times New Roman" w:hAnsi="Times New Roman" w:cs="Times New Roman"/>
          <w:sz w:val="24"/>
          <w:szCs w:val="24"/>
        </w:rPr>
        <w:t>. En la medida que las regulaciones impidan que los creadores de mercado ofrezcan liquidez y absorban la volatilidad de mercado, cada shock fundamental se vuelve más agudo en términos de correcciones de precios de los activos de riesgo.</w:t>
      </w:r>
    </w:p>
    <w:p w:rsidR="000711BB" w:rsidRPr="004B7B4B" w:rsidRDefault="000711BB" w:rsidP="000711BB">
      <w:pPr>
        <w:spacing w:line="240" w:lineRule="auto"/>
        <w:jc w:val="both"/>
        <w:rPr>
          <w:rFonts w:ascii="Times New Roman" w:hAnsi="Times New Roman" w:cs="Times New Roman"/>
          <w:sz w:val="24"/>
          <w:szCs w:val="24"/>
        </w:rPr>
      </w:pPr>
      <w:r w:rsidRPr="00470C2E">
        <w:rPr>
          <w:rFonts w:ascii="Times New Roman" w:hAnsi="Times New Roman" w:cs="Times New Roman"/>
          <w:color w:val="FF0000"/>
          <w:sz w:val="24"/>
          <w:szCs w:val="24"/>
          <w:u w:val="single"/>
        </w:rPr>
        <w:t>Sexto, los bancos globales se ven amenazados por los retornos más bajos, debido a las nuevas regulaciones implementadas a partir de 2008, el crecimiento de la tecnología financiera que amenaza con alterar sus modelos de negocios ya en dificultades</w:t>
      </w:r>
      <w:r w:rsidRPr="004B7B4B">
        <w:rPr>
          <w:rFonts w:ascii="Times New Roman" w:hAnsi="Times New Roman" w:cs="Times New Roman"/>
          <w:sz w:val="24"/>
          <w:szCs w:val="24"/>
        </w:rPr>
        <w:t>, el creciente uso de tasas de política monetaria negativas, las pérdidas crediticias en alza por activos de mala calidad (energía, materias primas, mercados emergentes, prestatarios corporativos europeos frágiles) y el movimiento en Europa para que los acreedores de los bancos asuman parte de la deuda, en lugar de rescatarlos con ayuda estatal ahora restringida.</w:t>
      </w:r>
    </w:p>
    <w:p w:rsidR="000711BB" w:rsidRPr="00470C2E" w:rsidRDefault="000711BB" w:rsidP="000711BB">
      <w:pPr>
        <w:spacing w:line="240" w:lineRule="auto"/>
        <w:jc w:val="both"/>
        <w:rPr>
          <w:rFonts w:ascii="Times New Roman" w:hAnsi="Times New Roman" w:cs="Times New Roman"/>
          <w:sz w:val="24"/>
          <w:szCs w:val="24"/>
          <w:u w:val="single"/>
        </w:rPr>
      </w:pPr>
      <w:r w:rsidRPr="00470C2E">
        <w:rPr>
          <w:rFonts w:ascii="Times New Roman" w:hAnsi="Times New Roman" w:cs="Times New Roman"/>
          <w:color w:val="FF0000"/>
          <w:sz w:val="24"/>
          <w:szCs w:val="24"/>
          <w:u w:val="single"/>
        </w:rPr>
        <w:t>Finalmente, este año la Unión Europea y la eurozona podrían ser la zona cero de una turbulencia financiera global</w:t>
      </w:r>
      <w:r w:rsidRPr="004B7B4B">
        <w:rPr>
          <w:rFonts w:ascii="Times New Roman" w:hAnsi="Times New Roman" w:cs="Times New Roman"/>
          <w:sz w:val="24"/>
          <w:szCs w:val="24"/>
        </w:rPr>
        <w:t xml:space="preserve">. </w:t>
      </w:r>
      <w:r w:rsidRPr="00470C2E">
        <w:rPr>
          <w:rFonts w:ascii="Times New Roman" w:hAnsi="Times New Roman" w:cs="Times New Roman"/>
          <w:sz w:val="24"/>
          <w:szCs w:val="24"/>
          <w:u w:val="single"/>
        </w:rPr>
        <w:t>Los bancos europeos están en dificultades. La crisis migratoria podría conducir al fin del Acuerdo Schengen y (junto con otros problemas domésticos) al fin del gobierno de la canciller alemana, Angela Merkel.</w:t>
      </w:r>
    </w:p>
    <w:p w:rsidR="000711BB" w:rsidRPr="004B7B4B" w:rsidRDefault="000711BB" w:rsidP="000711BB">
      <w:pPr>
        <w:spacing w:line="240" w:lineRule="auto"/>
        <w:jc w:val="both"/>
        <w:rPr>
          <w:rFonts w:ascii="Times New Roman" w:hAnsi="Times New Roman" w:cs="Times New Roman"/>
          <w:sz w:val="24"/>
          <w:szCs w:val="24"/>
        </w:rPr>
      </w:pPr>
      <w:r w:rsidRPr="00470C2E">
        <w:rPr>
          <w:rFonts w:ascii="Times New Roman" w:hAnsi="Times New Roman" w:cs="Times New Roman"/>
          <w:sz w:val="24"/>
          <w:szCs w:val="24"/>
          <w:u w:val="single"/>
        </w:rPr>
        <w:t>Es más, la salida de Gran Bretaña de la UE se está volviendo cada vez más probable. Ahora que el gobierno griego y sus acreedores vuelven a estar en una trayectoria de colisión, el riesgo de una salida de Grecia puede regresar.</w:t>
      </w:r>
      <w:r w:rsidRPr="004B7B4B">
        <w:rPr>
          <w:rFonts w:ascii="Times New Roman" w:hAnsi="Times New Roman" w:cs="Times New Roman"/>
          <w:sz w:val="24"/>
          <w:szCs w:val="24"/>
        </w:rPr>
        <w:t xml:space="preserve"> Los partidos populistas de derecha y de izquierda están ganando fuerza en toda Europa. En consecuencia, Europa cada vez corre más riesgo de desintegrarse. Para colmo de males, su vecindario no es un lugar seguro: hay guerras no sólo en Oriente Medio sino también en Ucrania -a pesar de los repetidos intentos por parte de la UE de negociar la paz, mientras que Rusia se está volviendo más agresiva en las fronteras de Europa, desde los países bálticos hasta los Balcanes.</w:t>
      </w:r>
    </w:p>
    <w:p w:rsidR="000711BB" w:rsidRPr="00470C2E" w:rsidRDefault="000711BB" w:rsidP="000711BB">
      <w:pPr>
        <w:spacing w:line="240" w:lineRule="auto"/>
        <w:jc w:val="both"/>
        <w:rPr>
          <w:rFonts w:ascii="Times New Roman" w:hAnsi="Times New Roman" w:cs="Times New Roman"/>
          <w:color w:val="FF0000"/>
          <w:sz w:val="24"/>
          <w:szCs w:val="24"/>
          <w:u w:val="single"/>
        </w:rPr>
      </w:pPr>
      <w:r w:rsidRPr="00470C2E">
        <w:rPr>
          <w:rFonts w:ascii="Times New Roman" w:hAnsi="Times New Roman" w:cs="Times New Roman"/>
          <w:color w:val="FF0000"/>
          <w:sz w:val="24"/>
          <w:szCs w:val="24"/>
          <w:u w:val="single"/>
        </w:rPr>
        <w:t>En el pasado, los riesgos de catástrofe eran más ocasionales, los temores por el crecimiento terminaban siendo sólo eso y la respuesta en materia de políticas era fuerte y efectiva, lo cual permitía que los episodios de riesgo elevado fueran breves y que se restablecieran los precios de los activos a sus niveles altos anteriores (si no más altos aún). Hoy, existen siete causas de potencial riesgo de catástrofe global, y la economía mundial está pasando de una expansión anémica (crecimiento positivo que se acelera) a una desaceleración (crecimiento positivo que se desacelera), lo cual derivará en una mayor reducción del precio de los activos de riesgo (acciones, materias primas, crédito) a nivel mundial.</w:t>
      </w:r>
    </w:p>
    <w:p w:rsidR="000711BB" w:rsidRPr="00470C2E" w:rsidRDefault="000711BB" w:rsidP="000711BB">
      <w:pPr>
        <w:spacing w:line="240" w:lineRule="auto"/>
        <w:jc w:val="both"/>
        <w:rPr>
          <w:rFonts w:ascii="Times New Roman" w:hAnsi="Times New Roman" w:cs="Times New Roman"/>
          <w:sz w:val="24"/>
          <w:szCs w:val="24"/>
          <w:u w:val="single"/>
        </w:rPr>
      </w:pPr>
      <w:r w:rsidRPr="00470C2E">
        <w:rPr>
          <w:rFonts w:ascii="Times New Roman" w:hAnsi="Times New Roman" w:cs="Times New Roman"/>
          <w:color w:val="FF0000"/>
          <w:sz w:val="24"/>
          <w:szCs w:val="24"/>
          <w:u w:val="single"/>
        </w:rPr>
        <w:t>Al mismo tiempo, las políticas que frenaron y revirtieron el ciclo fatal entre la economía real y los activos de riesgo se están quedando sin fuerzas</w:t>
      </w:r>
      <w:r w:rsidRPr="004B7B4B">
        <w:rPr>
          <w:rFonts w:ascii="Times New Roman" w:hAnsi="Times New Roman" w:cs="Times New Roman"/>
          <w:sz w:val="24"/>
          <w:szCs w:val="24"/>
        </w:rPr>
        <w:t xml:space="preserve">. </w:t>
      </w:r>
      <w:r w:rsidRPr="00470C2E">
        <w:rPr>
          <w:rFonts w:ascii="Times New Roman" w:hAnsi="Times New Roman" w:cs="Times New Roman"/>
          <w:color w:val="FF0000"/>
          <w:sz w:val="24"/>
          <w:szCs w:val="24"/>
          <w:u w:val="single"/>
        </w:rPr>
        <w:t>El mix de políticas no es el adecuado, debido a una excesiva dependencia de la política monetaria y no de la política fiscal.</w:t>
      </w:r>
      <w:r w:rsidRPr="004B7B4B">
        <w:rPr>
          <w:rFonts w:ascii="Times New Roman" w:hAnsi="Times New Roman" w:cs="Times New Roman"/>
          <w:sz w:val="24"/>
          <w:szCs w:val="24"/>
        </w:rPr>
        <w:t xml:space="preserve"> De hecho, las políticas monetarias se están volviendo cada vez menos convencionales, lo que se refleja en la tendencia de varios bancos centrales hacia tasas de interés reales negativas; y estas </w:t>
      </w:r>
      <w:r w:rsidRPr="00470C2E">
        <w:rPr>
          <w:rFonts w:ascii="Times New Roman" w:hAnsi="Times New Roman" w:cs="Times New Roman"/>
          <w:sz w:val="24"/>
          <w:szCs w:val="24"/>
          <w:u w:val="single"/>
        </w:rPr>
        <w:t>políticas poco convencionales corren el riesgo de hacer más mal que bien ya que afectan la rentabilidad de los bancos y otras firmas financieras.</w:t>
      </w:r>
    </w:p>
    <w:p w:rsidR="000711BB" w:rsidRPr="00470C2E" w:rsidRDefault="000711BB" w:rsidP="000711BB">
      <w:pPr>
        <w:spacing w:line="240" w:lineRule="auto"/>
        <w:jc w:val="both"/>
        <w:rPr>
          <w:rFonts w:ascii="Times New Roman" w:hAnsi="Times New Roman" w:cs="Times New Roman"/>
          <w:sz w:val="24"/>
          <w:szCs w:val="24"/>
          <w:u w:val="single"/>
        </w:rPr>
      </w:pPr>
      <w:r w:rsidRPr="004B7B4B">
        <w:rPr>
          <w:rFonts w:ascii="Times New Roman" w:hAnsi="Times New Roman" w:cs="Times New Roman"/>
          <w:sz w:val="24"/>
          <w:szCs w:val="24"/>
        </w:rPr>
        <w:lastRenderedPageBreak/>
        <w:t xml:space="preserve">Dos meses funestos para los mercados financieros pueden dar lugar en marzo a una recuperación  reparadora de activos como las acciones globales, en tanto algunos bancos centrales clave (el Banco Popular de China, el Banco Central Europeo y el Banco de Japón) se vuelven más flexibles, mientras que otros (la Fed y el Banco de Inglaterra) seguirán esperando un tiempo más. Pero </w:t>
      </w:r>
      <w:r w:rsidRPr="00470C2E">
        <w:rPr>
          <w:rFonts w:ascii="Times New Roman" w:hAnsi="Times New Roman" w:cs="Times New Roman"/>
          <w:sz w:val="24"/>
          <w:szCs w:val="24"/>
          <w:u w:val="single"/>
        </w:rPr>
        <w:t>repetidas erupciones generadas por algunas de las siete causas de riesgo de catástrofe global harán que el resto de este año -a diferencia de los siete anteriores- sea malo para los activos de riesgo y anémico para el crecimiento global.</w:t>
      </w:r>
    </w:p>
    <w:p w:rsidR="000711BB"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577D4">
        <w:rPr>
          <w:rFonts w:ascii="Times New Roman" w:hAnsi="Times New Roman" w:cs="Times New Roman"/>
          <w:sz w:val="24"/>
          <w:szCs w:val="24"/>
        </w:rPr>
        <w:t>Nouriel Roubini, a professor at NYU’s Stern School of Business and Chairman of Roubini Global Economics, was Senior Economist for International Affairs in the White House's Council of Economic Advisers during the Clinton Administration. He has worked for the Internati</w:t>
      </w:r>
      <w:r>
        <w:rPr>
          <w:rFonts w:ascii="Times New Roman" w:hAnsi="Times New Roman" w:cs="Times New Roman"/>
          <w:sz w:val="24"/>
          <w:szCs w:val="24"/>
        </w:rPr>
        <w:t>onal Monetary Fund</w:t>
      </w:r>
      <w:r w:rsidRPr="003577D4">
        <w:rPr>
          <w:rFonts w:ascii="Times New Roman" w:hAnsi="Times New Roman" w:cs="Times New Roman"/>
          <w:sz w:val="24"/>
          <w:szCs w:val="24"/>
        </w:rPr>
        <w:t>…</w:t>
      </w:r>
      <w:r>
        <w:rPr>
          <w:rFonts w:ascii="Times New Roman" w:hAnsi="Times New Roman" w:cs="Times New Roman"/>
          <w:sz w:val="24"/>
          <w:szCs w:val="24"/>
        </w:rPr>
        <w:t>)</w:t>
      </w:r>
      <w:r w:rsidRPr="003577D4">
        <w:rPr>
          <w:rFonts w:ascii="Times New Roman" w:hAnsi="Times New Roman" w:cs="Times New Roman"/>
          <w:sz w:val="24"/>
          <w:szCs w:val="24"/>
        </w:rPr>
        <w:t xml:space="preserve"> </w:t>
      </w:r>
    </w:p>
    <w:p w:rsidR="000711BB" w:rsidRPr="00DA3D69"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A3D69">
        <w:rPr>
          <w:rFonts w:ascii="Times New Roman" w:hAnsi="Times New Roman" w:cs="Times New Roman"/>
          <w:sz w:val="24"/>
          <w:szCs w:val="24"/>
        </w:rPr>
        <w:t>¿</w:t>
      </w:r>
      <w:r w:rsidRPr="00DA3D69">
        <w:rPr>
          <w:rFonts w:ascii="Times New Roman" w:hAnsi="Times New Roman" w:cs="Times New Roman"/>
          <w:sz w:val="24"/>
          <w:szCs w:val="24"/>
          <w:u w:val="single"/>
        </w:rPr>
        <w:t>Tiempo de financiar directamente el gasto público</w:t>
      </w:r>
      <w:r w:rsidRPr="00DA3D69">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DA3D69">
        <w:rPr>
          <w:rFonts w:ascii="Times New Roman" w:hAnsi="Times New Roman" w:cs="Times New Roman"/>
          <w:b/>
          <w:sz w:val="24"/>
          <w:szCs w:val="24"/>
        </w:rPr>
        <w:t>3/3/16</w:t>
      </w:r>
      <w:r>
        <w:rPr>
          <w:rFonts w:ascii="Times New Roman" w:hAnsi="Times New Roman" w:cs="Times New Roman"/>
          <w:sz w:val="24"/>
          <w:szCs w:val="24"/>
        </w:rPr>
        <w:t>)</w:t>
      </w:r>
    </w:p>
    <w:p w:rsidR="000711BB" w:rsidRPr="00A12C11" w:rsidRDefault="000711BB" w:rsidP="000711BB">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Washington, DC.-</w:t>
      </w:r>
      <w:r w:rsidRPr="00DA3D69">
        <w:rPr>
          <w:rFonts w:ascii="Times New Roman" w:hAnsi="Times New Roman" w:cs="Times New Roman"/>
          <w:sz w:val="24"/>
          <w:szCs w:val="24"/>
        </w:rPr>
        <w:t xml:space="preserve"> </w:t>
      </w:r>
      <w:r w:rsidRPr="00A12C11">
        <w:rPr>
          <w:rFonts w:ascii="Times New Roman" w:hAnsi="Times New Roman" w:cs="Times New Roman"/>
          <w:color w:val="FF0000"/>
          <w:sz w:val="24"/>
          <w:szCs w:val="24"/>
          <w:u w:val="single"/>
        </w:rPr>
        <w:t>“¿Se acabaron las municiones?” se preguntó hace poco The Economist sobre las medidas que les quedan a las autoridades monetarias. Stephen Roach calificó de intento “fútil” que no hace más que “preparar el escenario para la siguiente crisis” la medida adoptada por importantes bancos centrales (como el Banco del Japón, el Banco Central Europeo y el Banco de Suecia) de pasar a tasas de interés negativas reales (y, en algunos casos, incluso nominales). Y, en la reunión de ministros de finanzas del G-20 de febrero, el gobernador del Banco de Inglaterra Mark Carney las llamó “en último término, un juego de suma cero”. ¿De verdad se les han acabado las opciones a los bancos centrales de las grandes economías avanzadas, que han debido sostener la carga de las débiles recuperaciones posteriores a 2008?</w:t>
      </w:r>
    </w:p>
    <w:p w:rsidR="000711BB" w:rsidRPr="00A12C11" w:rsidRDefault="000711BB" w:rsidP="000711BB">
      <w:pPr>
        <w:spacing w:line="240" w:lineRule="auto"/>
        <w:jc w:val="both"/>
        <w:rPr>
          <w:rFonts w:ascii="Times New Roman" w:hAnsi="Times New Roman" w:cs="Times New Roman"/>
          <w:color w:val="FF0000"/>
          <w:sz w:val="24"/>
          <w:szCs w:val="24"/>
          <w:u w:val="single"/>
        </w:rPr>
      </w:pPr>
      <w:r w:rsidRPr="00A12C11">
        <w:rPr>
          <w:rFonts w:ascii="Times New Roman" w:hAnsi="Times New Roman" w:cs="Times New Roman"/>
          <w:color w:val="FF0000"/>
          <w:sz w:val="24"/>
          <w:szCs w:val="24"/>
          <w:u w:val="single"/>
        </w:rPr>
        <w:t>Parece que así es. Los balances de los bancos centrales se han hinchado y las tasas han bajado hasta acercarse a cero. Da la impresión de que abunda el agua barata, pero que el caballo se niega a beber. Ante la falta de señales inflacionarias y un crecimiento todavía tibio y frágil, muchos pronostican un ritmo crónicamente lento, y otros hasta temen una nueva recesión global.</w:t>
      </w:r>
    </w:p>
    <w:p w:rsidR="000711BB" w:rsidRPr="00A12C11" w:rsidRDefault="000711BB" w:rsidP="000711BB">
      <w:pPr>
        <w:spacing w:line="240" w:lineRule="auto"/>
        <w:jc w:val="both"/>
        <w:rPr>
          <w:rFonts w:ascii="Times New Roman" w:hAnsi="Times New Roman" w:cs="Times New Roman"/>
          <w:sz w:val="24"/>
          <w:szCs w:val="24"/>
          <w:u w:val="single"/>
        </w:rPr>
      </w:pPr>
      <w:r w:rsidRPr="00A12C11">
        <w:rPr>
          <w:rFonts w:ascii="Times New Roman" w:hAnsi="Times New Roman" w:cs="Times New Roman"/>
          <w:b/>
          <w:color w:val="FF0000"/>
          <w:sz w:val="24"/>
          <w:szCs w:val="24"/>
          <w:u w:val="single"/>
        </w:rPr>
        <w:t>Pero las autoridades tiene una opción más: adoptar una política fiscal “más pura”, financiando directamente el gasto público con emisiones adicionales de dinero, el llamado “salvamento desde el helicóptero”.</w:t>
      </w:r>
      <w:r w:rsidRPr="00A12C11">
        <w:rPr>
          <w:rFonts w:ascii="Times New Roman" w:hAnsi="Times New Roman" w:cs="Times New Roman"/>
          <w:color w:val="FF0000"/>
          <w:sz w:val="24"/>
          <w:szCs w:val="24"/>
        </w:rPr>
        <w:t xml:space="preserve"> </w:t>
      </w:r>
      <w:r w:rsidRPr="00A12C11">
        <w:rPr>
          <w:rFonts w:ascii="Times New Roman" w:hAnsi="Times New Roman" w:cs="Times New Roman"/>
          <w:sz w:val="24"/>
          <w:szCs w:val="24"/>
          <w:u w:val="single"/>
        </w:rPr>
        <w:t>Los fondos circunvalarían los sectores financiero y corporativo para ir directo a los caballos más sedientos: los consumidores de ingresos medios y bajos</w:t>
      </w:r>
      <w:r w:rsidRPr="00DA3D69">
        <w:rPr>
          <w:rFonts w:ascii="Times New Roman" w:hAnsi="Times New Roman" w:cs="Times New Roman"/>
          <w:sz w:val="24"/>
          <w:szCs w:val="24"/>
        </w:rPr>
        <w:t xml:space="preserve">. El dinero podría llegar a ellos sin intermediarios, y también mediante inversiones en infraestructuras que mejoren la productividad y creen empleos. </w:t>
      </w:r>
      <w:r w:rsidRPr="00A12C11">
        <w:rPr>
          <w:rFonts w:ascii="Times New Roman" w:hAnsi="Times New Roman" w:cs="Times New Roman"/>
          <w:sz w:val="24"/>
          <w:szCs w:val="24"/>
          <w:u w:val="single"/>
        </w:rPr>
        <w:t>Al dar poder de compra a quienes más lo necesitan, la financiación monetaria directa del gasto público también ayudaría a mejorar la capacidad de inclusión de las economías en que la desigualdad aumenta rápidamente.</w:t>
      </w:r>
    </w:p>
    <w:p w:rsidR="000711BB" w:rsidRPr="004F5078" w:rsidRDefault="000711BB" w:rsidP="000711BB">
      <w:pPr>
        <w:spacing w:line="240" w:lineRule="auto"/>
        <w:jc w:val="both"/>
        <w:rPr>
          <w:rFonts w:ascii="Times New Roman" w:hAnsi="Times New Roman" w:cs="Times New Roman"/>
          <w:color w:val="FF0000"/>
          <w:sz w:val="24"/>
          <w:szCs w:val="24"/>
          <w:u w:val="single"/>
        </w:rPr>
      </w:pPr>
      <w:r w:rsidRPr="004F5078">
        <w:rPr>
          <w:rFonts w:ascii="Times New Roman" w:hAnsi="Times New Roman" w:cs="Times New Roman"/>
          <w:color w:val="FF0000"/>
          <w:sz w:val="24"/>
          <w:szCs w:val="24"/>
          <w:u w:val="single"/>
        </w:rPr>
        <w:t>En la actualidad, economistas tanto de izquierda y de centro proponen esta política. En cierto sentido, incluso algunos “conservadores” (aquellos que apoyan más gastos de infraestructura, pero también desean reducir los impuestos y se oponen a un mayor endeudamiento) la apoyan de facto.</w:t>
      </w:r>
    </w:p>
    <w:p w:rsidR="000711BB" w:rsidRPr="004F5078" w:rsidRDefault="000711BB" w:rsidP="000711BB">
      <w:pPr>
        <w:spacing w:line="240" w:lineRule="auto"/>
        <w:jc w:val="both"/>
        <w:rPr>
          <w:rFonts w:ascii="Times New Roman" w:hAnsi="Times New Roman" w:cs="Times New Roman"/>
          <w:color w:val="FF0000"/>
          <w:sz w:val="24"/>
          <w:szCs w:val="24"/>
          <w:u w:val="single"/>
        </w:rPr>
      </w:pPr>
      <w:r w:rsidRPr="00DA3D69">
        <w:rPr>
          <w:rFonts w:ascii="Times New Roman" w:hAnsi="Times New Roman" w:cs="Times New Roman"/>
          <w:sz w:val="24"/>
          <w:szCs w:val="24"/>
        </w:rPr>
        <w:t xml:space="preserve">Últimamente han surgido propuestas más radicales, reflejando una sensación de urgencia y desilusión generalizada con el impacto de la actual política monetaria. </w:t>
      </w:r>
      <w:r w:rsidRPr="004F5078">
        <w:rPr>
          <w:rFonts w:ascii="Times New Roman" w:hAnsi="Times New Roman" w:cs="Times New Roman"/>
          <w:color w:val="FF0000"/>
          <w:sz w:val="24"/>
          <w:szCs w:val="24"/>
          <w:u w:val="single"/>
        </w:rPr>
        <w:t xml:space="preserve">Más allá de manifestar su apoyo a un aumento de los salarios mínimos, algunos llaman a adoptar “políticas de ingreso inverso”, es decir, que los gobiernos impongan aumentos </w:t>
      </w:r>
      <w:r w:rsidRPr="004F5078">
        <w:rPr>
          <w:rFonts w:ascii="Times New Roman" w:hAnsi="Times New Roman" w:cs="Times New Roman"/>
          <w:color w:val="FF0000"/>
          <w:sz w:val="24"/>
          <w:szCs w:val="24"/>
          <w:u w:val="single"/>
        </w:rPr>
        <w:lastRenderedPageBreak/>
        <w:t>salariales generalizados a todos los empleadores privados, medida que estimularía los precios y eliminaría las expectativas deflacionarias. El hecho de que haya economistas cuyos puntos de vista nada tienen que ver con la izquierda estén incluso plantándose un intervencionismo de este tipo muestra lo extremas que han llegado a ser las circunstancias.</w:t>
      </w:r>
    </w:p>
    <w:p w:rsidR="000711BB" w:rsidRPr="004F5078" w:rsidRDefault="000711BB" w:rsidP="000711BB">
      <w:pPr>
        <w:spacing w:line="240" w:lineRule="auto"/>
        <w:jc w:val="both"/>
        <w:rPr>
          <w:rFonts w:ascii="Times New Roman" w:hAnsi="Times New Roman" w:cs="Times New Roman"/>
          <w:sz w:val="24"/>
          <w:szCs w:val="24"/>
          <w:u w:val="single"/>
        </w:rPr>
      </w:pPr>
      <w:r w:rsidRPr="004F5078">
        <w:rPr>
          <w:rFonts w:ascii="Times New Roman" w:hAnsi="Times New Roman" w:cs="Times New Roman"/>
          <w:sz w:val="24"/>
          <w:szCs w:val="24"/>
          <w:u w:val="single"/>
        </w:rPr>
        <w:t>En cierta forma soy partidario de todas estas propuestas. Obviamente, los detalles de su implementación tendrían que variar dependiendo de las circunstancias de cada país</w:t>
      </w:r>
      <w:r w:rsidRPr="00DA3D69">
        <w:rPr>
          <w:rFonts w:ascii="Times New Roman" w:hAnsi="Times New Roman" w:cs="Times New Roman"/>
          <w:sz w:val="24"/>
          <w:szCs w:val="24"/>
        </w:rPr>
        <w:t xml:space="preserve">. Por ejemplo, Alemania está en buena posición para adoptar una política de ingreso inverso, considerando su enorme superávit de cuenta corriente, aunque sin duda habría importantes obstáculos políticos. </w:t>
      </w:r>
      <w:r w:rsidRPr="004F5078">
        <w:rPr>
          <w:rFonts w:ascii="Times New Roman" w:hAnsi="Times New Roman" w:cs="Times New Roman"/>
          <w:sz w:val="24"/>
          <w:szCs w:val="24"/>
          <w:u w:val="single"/>
        </w:rPr>
        <w:t>Sin embargo, casi en cualquier sitio tiene mucho sentido aumentar el gasto en educación, actualizar de habilidades e invertir en infraestructura, y políticamente es más factible.</w:t>
      </w:r>
    </w:p>
    <w:p w:rsidR="000711BB" w:rsidRPr="004F5078" w:rsidRDefault="000711BB" w:rsidP="000711BB">
      <w:pPr>
        <w:spacing w:line="240" w:lineRule="auto"/>
        <w:jc w:val="both"/>
        <w:rPr>
          <w:rFonts w:ascii="Times New Roman" w:hAnsi="Times New Roman" w:cs="Times New Roman"/>
          <w:color w:val="FF0000"/>
          <w:sz w:val="24"/>
          <w:szCs w:val="24"/>
          <w:u w:val="single"/>
        </w:rPr>
      </w:pPr>
      <w:r w:rsidRPr="004F5078">
        <w:rPr>
          <w:rFonts w:ascii="Times New Roman" w:hAnsi="Times New Roman" w:cs="Times New Roman"/>
          <w:sz w:val="24"/>
          <w:szCs w:val="24"/>
          <w:u w:val="single"/>
        </w:rPr>
        <w:t>Sin embargo, hay otra dimensión del desafío</w:t>
      </w:r>
      <w:r w:rsidRPr="00DA3D69">
        <w:rPr>
          <w:rFonts w:ascii="Times New Roman" w:hAnsi="Times New Roman" w:cs="Times New Roman"/>
          <w:sz w:val="24"/>
          <w:szCs w:val="24"/>
        </w:rPr>
        <w:t xml:space="preserve"> que hasta ahora no se ha recalcado lo suficiente, a pesar de las advertencias de Carney, Roach y otros. </w:t>
      </w:r>
      <w:r w:rsidRPr="004F5078">
        <w:rPr>
          <w:rFonts w:ascii="Times New Roman" w:hAnsi="Times New Roman" w:cs="Times New Roman"/>
          <w:color w:val="FF0000"/>
          <w:sz w:val="24"/>
          <w:szCs w:val="24"/>
          <w:u w:val="single"/>
        </w:rPr>
        <w:t>Cuando se vuelven cuasi-permanentes, las tasas de interés reales cero o negativas socavan la asignación eficiente del capital y crean las condiciones para que se produzcan burbujas, colapsos y crisis. También contribuyen a una mayor concentración del ingreso en los niveles más altos, afectando a los pequeños ahorristas y creando oportunidades para que los grandes actores financieros se beneficien del acceso a ahorros a un coste real negativo. Con todo lo poco ortodoxo que pueda sonar, es probable que a la economía mundial le convenga tener tasas de interés ligeramente mayores.</w:t>
      </w:r>
    </w:p>
    <w:p w:rsidR="000711BB" w:rsidRPr="004F5078" w:rsidRDefault="000711BB" w:rsidP="000711BB">
      <w:pPr>
        <w:spacing w:line="240" w:lineRule="auto"/>
        <w:jc w:val="both"/>
        <w:rPr>
          <w:rFonts w:ascii="Times New Roman" w:hAnsi="Times New Roman" w:cs="Times New Roman"/>
          <w:color w:val="FF0000"/>
          <w:sz w:val="24"/>
          <w:szCs w:val="24"/>
          <w:u w:val="single"/>
        </w:rPr>
      </w:pPr>
      <w:r w:rsidRPr="004F5078">
        <w:rPr>
          <w:rFonts w:ascii="Times New Roman" w:hAnsi="Times New Roman" w:cs="Times New Roman"/>
          <w:color w:val="FF0000"/>
          <w:sz w:val="24"/>
          <w:szCs w:val="24"/>
          <w:u w:val="single"/>
        </w:rPr>
        <w:t>En todo caso, elevar las tasas de interés no puede ser una política aislada. En lugar de ello, deben aplicarse pequeños aumentos de las tasas, de modo que se integren a una estrategia fiscal y distribucional más amplia. Todo ello en conjunto con más gasto público en infraestructura y actualización de habilidades, así como algunas formas suaves de políticas de ingreso, por ejemplo recurriendo a la “persuasión moral”.</w:t>
      </w:r>
    </w:p>
    <w:p w:rsidR="000711BB" w:rsidRPr="004F5078" w:rsidRDefault="000711BB" w:rsidP="000711BB">
      <w:pPr>
        <w:spacing w:line="240" w:lineRule="auto"/>
        <w:jc w:val="both"/>
        <w:rPr>
          <w:rFonts w:ascii="Times New Roman" w:hAnsi="Times New Roman" w:cs="Times New Roman"/>
          <w:sz w:val="24"/>
          <w:szCs w:val="24"/>
          <w:u w:val="single"/>
        </w:rPr>
      </w:pPr>
      <w:r w:rsidRPr="004F5078">
        <w:rPr>
          <w:rFonts w:ascii="Times New Roman" w:hAnsi="Times New Roman" w:cs="Times New Roman"/>
          <w:sz w:val="24"/>
          <w:szCs w:val="24"/>
          <w:u w:val="single"/>
        </w:rPr>
        <w:t>Sin embargo, incluso con ese enfoque los bancos centrales tendrían que coordinar sus políticas. Si un solo banco central importante tratara de elevar las tasas, inmediatamente su economía sería “castigada” con una apreciación de su moneda, menor competitividad y una reducción de sus importaciones, todo lo cual socavaría el empleo y la demanda agregada.</w:t>
      </w:r>
    </w:p>
    <w:p w:rsidR="000711BB" w:rsidRPr="004F5078" w:rsidRDefault="000711BB" w:rsidP="000711BB">
      <w:pPr>
        <w:spacing w:line="240" w:lineRule="auto"/>
        <w:jc w:val="both"/>
        <w:rPr>
          <w:rFonts w:ascii="Times New Roman" w:hAnsi="Times New Roman" w:cs="Times New Roman"/>
          <w:sz w:val="24"/>
          <w:szCs w:val="24"/>
          <w:u w:val="single"/>
        </w:rPr>
      </w:pPr>
      <w:r w:rsidRPr="004F5078">
        <w:rPr>
          <w:rFonts w:ascii="Times New Roman" w:hAnsi="Times New Roman" w:cs="Times New Roman"/>
          <w:sz w:val="24"/>
          <w:szCs w:val="24"/>
          <w:u w:val="single"/>
        </w:rPr>
        <w:t>Si los principales bancos centrales decidieran subir al mismo tiempo sus tasas de interés, los efectos se anularían entre sí. Si se adoptara una medida coordinada, quizás elevando las tasas en dos modestos incrementos de 25 o 30 puntos porcentuales, los resultados serían neutrales en términos de tipos de cambio y competitividad en el corto plazo, incluso si llevaran las tasas de interés de regreso a territorio positivo. De tener éxito, se podrían ir aplicando pequeños aumentos adicionales, creando espacio para contar en el futuro con “municiones” de política monetaria más tradicionales.</w:t>
      </w:r>
    </w:p>
    <w:p w:rsidR="000711BB" w:rsidRPr="004F5078" w:rsidRDefault="000711BB" w:rsidP="000711BB">
      <w:pPr>
        <w:spacing w:line="240" w:lineRule="auto"/>
        <w:jc w:val="both"/>
        <w:rPr>
          <w:rFonts w:ascii="Times New Roman" w:hAnsi="Times New Roman" w:cs="Times New Roman"/>
          <w:color w:val="FF0000"/>
          <w:sz w:val="24"/>
          <w:szCs w:val="24"/>
          <w:u w:val="single"/>
        </w:rPr>
      </w:pPr>
      <w:r w:rsidRPr="004F5078">
        <w:rPr>
          <w:rFonts w:ascii="Times New Roman" w:hAnsi="Times New Roman" w:cs="Times New Roman"/>
          <w:color w:val="FF0000"/>
          <w:sz w:val="24"/>
          <w:szCs w:val="24"/>
          <w:u w:val="single"/>
        </w:rPr>
        <w:t>El éxito también depende de la búsqueda en simultáneo de una expansión fiscal en todo el planeta, en que cada país calibre sus medidas según su margen de maniobra fiscal y su actual situación de cuenta corriente. La expansión podría financiar un programa de inversiones globales en infraestructura física y humana, centrándose en los dos grandes desafíos de nuestra época: energía más limpia y habilidades para la era digital.</w:t>
      </w:r>
    </w:p>
    <w:p w:rsidR="000711BB" w:rsidRPr="00DA3D69" w:rsidRDefault="000711BB" w:rsidP="000711BB">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 xml:space="preserve">Un paquete de políticas coordinado y oportuno podría impulsar el crecimiento global, mejorar la asignación del capital, apoyar una distribución más equitativa del ingreso y </w:t>
      </w:r>
      <w:r w:rsidRPr="00DA3D69">
        <w:rPr>
          <w:rFonts w:ascii="Times New Roman" w:hAnsi="Times New Roman" w:cs="Times New Roman"/>
          <w:sz w:val="24"/>
          <w:szCs w:val="24"/>
        </w:rPr>
        <w:lastRenderedPageBreak/>
        <w:t>reducir el peligro de que se produzcan burbujas especulativas. Las diferentes reuniones preparatorias de la cumbre del G-20 en China, entre ellas las reuniones de primavera del Fondo Monetario Internacional y el Banco Mundial, sería el espacio ideal para diseñar un conjunto de medidas de este tipo, así como su implementación.</w:t>
      </w:r>
    </w:p>
    <w:p w:rsidR="000711BB" w:rsidRPr="004F5078" w:rsidRDefault="000711BB" w:rsidP="000711BB">
      <w:pPr>
        <w:spacing w:line="240" w:lineRule="auto"/>
        <w:jc w:val="both"/>
        <w:rPr>
          <w:rFonts w:ascii="Times New Roman" w:hAnsi="Times New Roman" w:cs="Times New Roman"/>
          <w:color w:val="FF0000"/>
          <w:sz w:val="24"/>
          <w:szCs w:val="24"/>
          <w:u w:val="single"/>
        </w:rPr>
      </w:pPr>
      <w:r w:rsidRPr="004F5078">
        <w:rPr>
          <w:rFonts w:ascii="Times New Roman" w:hAnsi="Times New Roman" w:cs="Times New Roman"/>
          <w:color w:val="FF0000"/>
          <w:sz w:val="24"/>
          <w:szCs w:val="24"/>
          <w:u w:val="single"/>
        </w:rPr>
        <w:t>Es evidente que la ortodoxia económica y las medidas independientes no han funcionado. Es momento de que las autoridades reconozcan que una cooperación innovadora e internacional en torno a políticas no es un lujo: a veces (como hoy en día) es una necesidad.</w:t>
      </w:r>
    </w:p>
    <w:p w:rsidR="000711BB"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A3D69">
        <w:rPr>
          <w:rFonts w:ascii="Times New Roman" w:hAnsi="Times New Roman" w:cs="Times New Roman"/>
          <w:sz w:val="24"/>
          <w:szCs w:val="24"/>
        </w:rPr>
        <w:t>Kemal Derviş, former Minister of Economic Affairs of Turkey and former Administrator for the United Nations Development Program (UNDP), is a vice preside</w:t>
      </w:r>
      <w:r>
        <w:rPr>
          <w:rFonts w:ascii="Times New Roman" w:hAnsi="Times New Roman" w:cs="Times New Roman"/>
          <w:sz w:val="24"/>
          <w:szCs w:val="24"/>
        </w:rPr>
        <w:t>nt of the Brookings Institution)</w:t>
      </w:r>
    </w:p>
    <w:p w:rsidR="000711BB" w:rsidRPr="00DA3D69"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A3D69">
        <w:rPr>
          <w:rFonts w:ascii="Times New Roman" w:hAnsi="Times New Roman" w:cs="Times New Roman"/>
          <w:sz w:val="24"/>
          <w:szCs w:val="24"/>
          <w:u w:val="single"/>
        </w:rPr>
        <w:t>La resiliencia furtiva de la economía global</w:t>
      </w:r>
      <w:r>
        <w:rPr>
          <w:rFonts w:ascii="Times New Roman" w:hAnsi="Times New Roman" w:cs="Times New Roman"/>
          <w:sz w:val="24"/>
          <w:szCs w:val="24"/>
        </w:rPr>
        <w:t xml:space="preserve"> (Project Syndicate - </w:t>
      </w:r>
      <w:r w:rsidRPr="00DA3D69">
        <w:rPr>
          <w:rFonts w:ascii="Times New Roman" w:hAnsi="Times New Roman" w:cs="Times New Roman"/>
          <w:b/>
          <w:sz w:val="24"/>
          <w:szCs w:val="24"/>
        </w:rPr>
        <w:t>3/3/16</w:t>
      </w:r>
      <w:r>
        <w:rPr>
          <w:rFonts w:ascii="Times New Roman" w:hAnsi="Times New Roman" w:cs="Times New Roman"/>
          <w:sz w:val="24"/>
          <w:szCs w:val="24"/>
        </w:rPr>
        <w:t>)</w:t>
      </w:r>
    </w:p>
    <w:p w:rsidR="000711BB" w:rsidRPr="004F5078" w:rsidRDefault="000711BB" w:rsidP="000711BB">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Oxford.-</w:t>
      </w:r>
      <w:r w:rsidRPr="00DA3D69">
        <w:rPr>
          <w:rFonts w:ascii="Times New Roman" w:hAnsi="Times New Roman" w:cs="Times New Roman"/>
          <w:sz w:val="24"/>
          <w:szCs w:val="24"/>
        </w:rPr>
        <w:t xml:space="preserve"> </w:t>
      </w:r>
      <w:r w:rsidRPr="004F5078">
        <w:rPr>
          <w:rFonts w:ascii="Times New Roman" w:hAnsi="Times New Roman" w:cs="Times New Roman"/>
          <w:color w:val="FF0000"/>
          <w:sz w:val="24"/>
          <w:szCs w:val="24"/>
          <w:u w:val="single"/>
        </w:rPr>
        <w:t>La semana pasada, Christine Lagarde, la directora gerente del Fondo Monetario Internacional, advirtió que si los países no actúan en conjunto, la economía global podría descarrilar. Por su parte la OCDE ha alertado que los países deben tomar</w:t>
      </w:r>
      <w:r>
        <w:rPr>
          <w:rFonts w:ascii="Times New Roman" w:hAnsi="Times New Roman" w:cs="Times New Roman"/>
          <w:color w:val="FF0000"/>
          <w:sz w:val="24"/>
          <w:szCs w:val="24"/>
          <w:u w:val="single"/>
        </w:rPr>
        <w:t xml:space="preserve"> medidas de manera “urgente” y “colectiva”</w:t>
      </w:r>
      <w:r w:rsidRPr="004F5078">
        <w:rPr>
          <w:rFonts w:ascii="Times New Roman" w:hAnsi="Times New Roman" w:cs="Times New Roman"/>
          <w:color w:val="FF0000"/>
          <w:sz w:val="24"/>
          <w:szCs w:val="24"/>
          <w:u w:val="single"/>
        </w:rPr>
        <w:t xml:space="preserve"> para impulsar las perspectivas de crecimiento globales. Sin embargo, los ministros de Finanzas y presidentes de bancos centrales del G-20 a quienes estaban dirigidas estas súplicas no se pusieron de acuerdo respecto de alguna de estas medidas en su reciente reunión en Shanghái.</w:t>
      </w:r>
    </w:p>
    <w:p w:rsidR="000711BB" w:rsidRPr="00DA3D69" w:rsidRDefault="000711BB" w:rsidP="000711BB">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 xml:space="preserve">Sin duda, el comunicado difundido después de la reunión </w:t>
      </w:r>
      <w:r>
        <w:rPr>
          <w:rFonts w:ascii="Times New Roman" w:hAnsi="Times New Roman" w:cs="Times New Roman"/>
          <w:sz w:val="24"/>
          <w:szCs w:val="24"/>
        </w:rPr>
        <w:t>incluye la promesa de utilizar “</w:t>
      </w:r>
      <w:r w:rsidRPr="00DA3D69">
        <w:rPr>
          <w:rFonts w:ascii="Times New Roman" w:hAnsi="Times New Roman" w:cs="Times New Roman"/>
          <w:sz w:val="24"/>
          <w:szCs w:val="24"/>
        </w:rPr>
        <w:t>todas las herramientas de política monetaria, fiscal y estructural d</w:t>
      </w:r>
      <w:r>
        <w:rPr>
          <w:rFonts w:ascii="Times New Roman" w:hAnsi="Times New Roman" w:cs="Times New Roman"/>
          <w:sz w:val="24"/>
          <w:szCs w:val="24"/>
        </w:rPr>
        <w:t>e manera individual y colectiva”</w:t>
      </w:r>
      <w:r w:rsidRPr="00DA3D69">
        <w:rPr>
          <w:rFonts w:ascii="Times New Roman" w:hAnsi="Times New Roman" w:cs="Times New Roman"/>
          <w:sz w:val="24"/>
          <w:szCs w:val="24"/>
        </w:rPr>
        <w:t xml:space="preserve"> p</w:t>
      </w:r>
      <w:r>
        <w:rPr>
          <w:rFonts w:ascii="Times New Roman" w:hAnsi="Times New Roman" w:cs="Times New Roman"/>
          <w:sz w:val="24"/>
          <w:szCs w:val="24"/>
        </w:rPr>
        <w:t>ara “</w:t>
      </w:r>
      <w:r w:rsidRPr="00DA3D69">
        <w:rPr>
          <w:rFonts w:ascii="Times New Roman" w:hAnsi="Times New Roman" w:cs="Times New Roman"/>
          <w:sz w:val="24"/>
          <w:szCs w:val="24"/>
        </w:rPr>
        <w:t>fomentar la confianza y preserv</w:t>
      </w:r>
      <w:r>
        <w:rPr>
          <w:rFonts w:ascii="Times New Roman" w:hAnsi="Times New Roman" w:cs="Times New Roman"/>
          <w:sz w:val="24"/>
          <w:szCs w:val="24"/>
        </w:rPr>
        <w:t>ar y fortalecer la recuperación”</w:t>
      </w:r>
      <w:r w:rsidRPr="00DA3D69">
        <w:rPr>
          <w:rFonts w:ascii="Times New Roman" w:hAnsi="Times New Roman" w:cs="Times New Roman"/>
          <w:sz w:val="24"/>
          <w:szCs w:val="24"/>
        </w:rPr>
        <w:t>. Pero el comunicado también refleja divisiones marcadas -particularmente con respecto al papel de la política monetaria y fiscal en cuanto a estimular el crecimiento- entre los ministros de Finanzas y los banqueros centrales que acordaron sobre su texto.</w:t>
      </w:r>
    </w:p>
    <w:p w:rsidR="000711BB" w:rsidRPr="00DA3D69" w:rsidRDefault="000711BB" w:rsidP="000711BB">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 xml:space="preserve">En materia de política monetaria, el comunicado ofrece la declaración vacía de que el G-20 "continuará respaldando la actividad económica y asegurando la estabilidad de precios, de manera consistente con los mandatos de los bancos centrales". Eso evitó el interrogante central: ¿los bancos centrales deberían intentar estimular el crecimiento a </w:t>
      </w:r>
      <w:r>
        <w:rPr>
          <w:rFonts w:ascii="Times New Roman" w:hAnsi="Times New Roman" w:cs="Times New Roman"/>
          <w:sz w:val="24"/>
          <w:szCs w:val="24"/>
        </w:rPr>
        <w:t>través de políticas monetarias “no convencionales”</w:t>
      </w:r>
      <w:r w:rsidRPr="00DA3D69">
        <w:rPr>
          <w:rFonts w:ascii="Times New Roman" w:hAnsi="Times New Roman" w:cs="Times New Roman"/>
          <w:sz w:val="24"/>
          <w:szCs w:val="24"/>
        </w:rPr>
        <w:t>?</w:t>
      </w:r>
    </w:p>
    <w:p w:rsidR="000711BB" w:rsidRPr="00DA3D69" w:rsidRDefault="000711BB" w:rsidP="000711BB">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El Banco de Pagos Internacionales piensa que no, y en su info</w:t>
      </w:r>
      <w:r>
        <w:rPr>
          <w:rFonts w:ascii="Times New Roman" w:hAnsi="Times New Roman" w:cs="Times New Roman"/>
          <w:sz w:val="24"/>
          <w:szCs w:val="24"/>
        </w:rPr>
        <w:t>rme anual de 2015 sostiene que “</w:t>
      </w:r>
      <w:r w:rsidRPr="00DA3D69">
        <w:rPr>
          <w:rFonts w:ascii="Times New Roman" w:hAnsi="Times New Roman" w:cs="Times New Roman"/>
          <w:sz w:val="24"/>
          <w:szCs w:val="24"/>
        </w:rPr>
        <w:t>la política mon</w:t>
      </w:r>
      <w:r>
        <w:rPr>
          <w:rFonts w:ascii="Times New Roman" w:hAnsi="Times New Roman" w:cs="Times New Roman"/>
          <w:sz w:val="24"/>
          <w:szCs w:val="24"/>
        </w:rPr>
        <w:t>etaria se ha visto sobrecargada”</w:t>
      </w:r>
      <w:r w:rsidRPr="00DA3D69">
        <w:rPr>
          <w:rFonts w:ascii="Times New Roman" w:hAnsi="Times New Roman" w:cs="Times New Roman"/>
          <w:sz w:val="24"/>
          <w:szCs w:val="24"/>
        </w:rPr>
        <w:t xml:space="preserve"> en su intento por revigorizar el crecimiento, </w:t>
      </w:r>
      <w:r>
        <w:rPr>
          <w:rFonts w:ascii="Times New Roman" w:hAnsi="Times New Roman" w:cs="Times New Roman"/>
          <w:sz w:val="24"/>
          <w:szCs w:val="24"/>
        </w:rPr>
        <w:t>una realidad que se refleja en “</w:t>
      </w:r>
      <w:r w:rsidRPr="00DA3D69">
        <w:rPr>
          <w:rFonts w:ascii="Times New Roman" w:hAnsi="Times New Roman" w:cs="Times New Roman"/>
          <w:sz w:val="24"/>
          <w:szCs w:val="24"/>
        </w:rPr>
        <w:t xml:space="preserve">la persistencia </w:t>
      </w:r>
      <w:r>
        <w:rPr>
          <w:rFonts w:ascii="Times New Roman" w:hAnsi="Times New Roman" w:cs="Times New Roman"/>
          <w:sz w:val="24"/>
          <w:szCs w:val="24"/>
        </w:rPr>
        <w:t>de tasas de interés ultra bajas”</w:t>
      </w:r>
      <w:r w:rsidRPr="00DA3D69">
        <w:rPr>
          <w:rFonts w:ascii="Times New Roman" w:hAnsi="Times New Roman" w:cs="Times New Roman"/>
          <w:sz w:val="24"/>
          <w:szCs w:val="24"/>
        </w:rPr>
        <w:t xml:space="preserve">. El resultado es un ciclo vicioso de demasiada deuda, muy poco crecimiento y tasas de interés excesivamente bajas que, para </w:t>
      </w:r>
      <w:r>
        <w:rPr>
          <w:rFonts w:ascii="Times New Roman" w:hAnsi="Times New Roman" w:cs="Times New Roman"/>
          <w:sz w:val="24"/>
          <w:szCs w:val="24"/>
        </w:rPr>
        <w:t>citar a Claudio Borio del BPI, “engendra tasas más bajas”</w:t>
      </w:r>
      <w:r w:rsidRPr="00DA3D69">
        <w:rPr>
          <w:rFonts w:ascii="Times New Roman" w:hAnsi="Times New Roman" w:cs="Times New Roman"/>
          <w:sz w:val="24"/>
          <w:szCs w:val="24"/>
        </w:rPr>
        <w:t>.</w:t>
      </w:r>
    </w:p>
    <w:p w:rsidR="000711BB" w:rsidRPr="00DA3D69" w:rsidRDefault="000711BB" w:rsidP="000711BB">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Este análisis aleccionador no ha impedido que el Banco de Japón o el Banco Central Europeo aplicaran una mayor flexibilización monetaria. Tampoco disuadió al presidente del Banco Popular de China, Zhou Xiaochuan, de expresar su deseo de asumir una mayor carga de estímulo del crecimiento en Shanghái.</w:t>
      </w:r>
    </w:p>
    <w:p w:rsidR="000711BB" w:rsidRPr="00DA3D69" w:rsidRDefault="000711BB" w:rsidP="000711BB">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 xml:space="preserve">Pero no todos ignoran las señales de advertencia. El presidente del Banco de Reserva de la India, Raghuram Rajan, ha instado al FMI a examinar los efectos de una política monetaria no convencional, no sólo en los países que la implementan sino también en el resto del mundo. De la misma manera, el gobernador del Banco de Inglaterra, Mark </w:t>
      </w:r>
      <w:r w:rsidRPr="00DA3D69">
        <w:rPr>
          <w:rFonts w:ascii="Times New Roman" w:hAnsi="Times New Roman" w:cs="Times New Roman"/>
          <w:sz w:val="24"/>
          <w:szCs w:val="24"/>
        </w:rPr>
        <w:lastRenderedPageBreak/>
        <w:t>Carney, ha señalado que los países que utilizan tasas de interés negativas (incluido, más recientemente, Japón), al forzar una devaluación de la moneda, están exportando una demanda débil -en definitiva un juego de suma cero.</w:t>
      </w:r>
    </w:p>
    <w:p w:rsidR="000711BB" w:rsidRPr="007C6F07" w:rsidRDefault="000711BB" w:rsidP="000711BB">
      <w:pPr>
        <w:spacing w:line="240" w:lineRule="auto"/>
        <w:jc w:val="both"/>
        <w:rPr>
          <w:rFonts w:ascii="Times New Roman" w:hAnsi="Times New Roman" w:cs="Times New Roman"/>
          <w:sz w:val="24"/>
          <w:szCs w:val="24"/>
          <w:u w:val="single"/>
        </w:rPr>
      </w:pPr>
      <w:r w:rsidRPr="00DA3D69">
        <w:rPr>
          <w:rFonts w:ascii="Times New Roman" w:hAnsi="Times New Roman" w:cs="Times New Roman"/>
          <w:sz w:val="24"/>
          <w:szCs w:val="24"/>
        </w:rPr>
        <w:t xml:space="preserve">En lo que concierne a la política fiscal, el acuerdo es igual de ineficiente. </w:t>
      </w:r>
      <w:r w:rsidRPr="007C6F07">
        <w:rPr>
          <w:rFonts w:ascii="Times New Roman" w:hAnsi="Times New Roman" w:cs="Times New Roman"/>
          <w:sz w:val="24"/>
          <w:szCs w:val="24"/>
          <w:u w:val="single"/>
        </w:rPr>
        <w:t>El FMI está instando a los países con superávits como Alemania a implementar más estímulo. La OCDE también ha solicitado a sus miembros más ricos que aprovechen su capacidad actual de endeudamiento por períodos prolongados a tasas de interés muy bajas para mejorar la inversión en infraestructura que mejore el crecimiento.</w:t>
      </w:r>
    </w:p>
    <w:p w:rsidR="000711BB" w:rsidRPr="00DA3D69" w:rsidRDefault="000711BB" w:rsidP="000711BB">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Estos reclamos provocaron una refutación afilada del ministro de Finanzas alemán, Wol</w:t>
      </w:r>
      <w:r>
        <w:rPr>
          <w:rFonts w:ascii="Times New Roman" w:hAnsi="Times New Roman" w:cs="Times New Roman"/>
          <w:sz w:val="24"/>
          <w:szCs w:val="24"/>
        </w:rPr>
        <w:t>fgang Schäuble, que condenó el “</w:t>
      </w:r>
      <w:r w:rsidRPr="00DA3D69">
        <w:rPr>
          <w:rFonts w:ascii="Times New Roman" w:hAnsi="Times New Roman" w:cs="Times New Roman"/>
          <w:sz w:val="24"/>
          <w:szCs w:val="24"/>
        </w:rPr>
        <w:t>modelo de c</w:t>
      </w:r>
      <w:r>
        <w:rPr>
          <w:rFonts w:ascii="Times New Roman" w:hAnsi="Times New Roman" w:cs="Times New Roman"/>
          <w:sz w:val="24"/>
          <w:szCs w:val="24"/>
        </w:rPr>
        <w:t>recimiento financiado con deuda”</w:t>
      </w:r>
      <w:r w:rsidRPr="00DA3D69">
        <w:rPr>
          <w:rFonts w:ascii="Times New Roman" w:hAnsi="Times New Roman" w:cs="Times New Roman"/>
          <w:sz w:val="24"/>
          <w:szCs w:val="24"/>
        </w:rPr>
        <w:t>. El resultado de este conflicto fue una declaración v</w:t>
      </w:r>
      <w:r>
        <w:rPr>
          <w:rFonts w:ascii="Times New Roman" w:hAnsi="Times New Roman" w:cs="Times New Roman"/>
          <w:sz w:val="24"/>
          <w:szCs w:val="24"/>
        </w:rPr>
        <w:t>aga del G-20 de que utilizaría “</w:t>
      </w:r>
      <w:r w:rsidRPr="00DA3D69">
        <w:rPr>
          <w:rFonts w:ascii="Times New Roman" w:hAnsi="Times New Roman" w:cs="Times New Roman"/>
          <w:sz w:val="24"/>
          <w:szCs w:val="24"/>
        </w:rPr>
        <w:t>la política fiscal de manera flexible para fortalecer el crecimiento, la creación de empleo y la confianza, mejorando al mismo tiempo la resiliencia y asegurando que la deuda como porcentaje del PBI</w:t>
      </w:r>
      <w:r>
        <w:rPr>
          <w:rFonts w:ascii="Times New Roman" w:hAnsi="Times New Roman" w:cs="Times New Roman"/>
          <w:sz w:val="24"/>
          <w:szCs w:val="24"/>
        </w:rPr>
        <w:t xml:space="preserve"> esté en un sendero sustentable”</w:t>
      </w:r>
      <w:r w:rsidRPr="00DA3D69">
        <w:rPr>
          <w:rFonts w:ascii="Times New Roman" w:hAnsi="Times New Roman" w:cs="Times New Roman"/>
          <w:sz w:val="24"/>
          <w:szCs w:val="24"/>
        </w:rPr>
        <w:t>.</w:t>
      </w:r>
    </w:p>
    <w:p w:rsidR="000711BB" w:rsidRPr="007C6F07" w:rsidRDefault="000711BB" w:rsidP="000711BB">
      <w:pPr>
        <w:spacing w:line="240" w:lineRule="auto"/>
        <w:jc w:val="both"/>
        <w:rPr>
          <w:rFonts w:ascii="Times New Roman" w:hAnsi="Times New Roman" w:cs="Times New Roman"/>
          <w:sz w:val="24"/>
          <w:szCs w:val="24"/>
          <w:u w:val="single"/>
        </w:rPr>
      </w:pPr>
      <w:r w:rsidRPr="007C6F07">
        <w:rPr>
          <w:rFonts w:ascii="Times New Roman" w:hAnsi="Times New Roman" w:cs="Times New Roman"/>
          <w:sz w:val="24"/>
          <w:szCs w:val="24"/>
          <w:u w:val="single"/>
        </w:rPr>
        <w:t>A la luz de las declaraciones del FMI y de la OCDE, este notorio fracaso a la hora de ponerse de acuerdo sobre las políticas monetarias y fiscales parece sumamente peligroso. Pero ambas instituciones pueden estar exagerando el problema.</w:t>
      </w:r>
    </w:p>
    <w:p w:rsidR="000711BB" w:rsidRPr="007C6F07" w:rsidRDefault="000711BB" w:rsidP="000711BB">
      <w:pPr>
        <w:spacing w:line="240" w:lineRule="auto"/>
        <w:jc w:val="both"/>
        <w:rPr>
          <w:rFonts w:ascii="Times New Roman" w:hAnsi="Times New Roman" w:cs="Times New Roman"/>
          <w:color w:val="FF0000"/>
          <w:sz w:val="24"/>
          <w:szCs w:val="24"/>
          <w:u w:val="single"/>
        </w:rPr>
      </w:pPr>
      <w:r w:rsidRPr="007C6F07">
        <w:rPr>
          <w:rFonts w:ascii="Times New Roman" w:hAnsi="Times New Roman" w:cs="Times New Roman"/>
          <w:color w:val="FF0000"/>
          <w:sz w:val="24"/>
          <w:szCs w:val="24"/>
          <w:u w:val="single"/>
        </w:rPr>
        <w:t xml:space="preserve">En verdad, a pesar de la incertidumbre generalizada -flujos de capital volátiles, derrumbe de los precios de las materias primas, crecientes tensiones geopolíticas, el shock de una potencial salida británica de la Unión Europea y una masiva crisis de refugiados-, el estancamiento de la cooperación global puede ser menos riesgoso hoy de lo que era inclusive hace diez años. El factor clave en este contexto ha sido el reconocimiento generalizado de los riesgos inherentes a la globalización económica, y los esfuerzos concertados por reforzar la resiliencia necesaria sobre una base nacional, bilateral o regional. </w:t>
      </w:r>
    </w:p>
    <w:p w:rsidR="000711BB" w:rsidRPr="00DA3D69" w:rsidRDefault="000711BB" w:rsidP="000711BB">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Consideremos las finanzas. Hace veinte años, comenzó en Tailandia una crisis financiera catastrófica que rápidamente se propagó por todo el este de Asia. Desde entonces, esas economías, y otras en el mundo emergente, se han protegido contra las crisis acumulando enormes acopios de reservas de moneda extranjera. En parte como resultado de eso, el volumen de reservas ha aumentado de aproximadamente 5% del PIB mundial en 1995 a alrededor del 15% hoy.</w:t>
      </w:r>
    </w:p>
    <w:p w:rsidR="000711BB" w:rsidRDefault="000711BB" w:rsidP="000711BB">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Las economías emergentes también tienen en su poder menos deuda soberana y han creado acuerdos bilaterales y regionales de permuta de divisas. Por otra parte, más de 40 países han tomado medidas macroprudenciales desde la cri</w:t>
      </w:r>
      <w:r>
        <w:rPr>
          <w:rFonts w:ascii="Times New Roman" w:hAnsi="Times New Roman" w:cs="Times New Roman"/>
          <w:sz w:val="24"/>
          <w:szCs w:val="24"/>
        </w:rPr>
        <w:t>sis financiera global de 2008.</w:t>
      </w:r>
      <w:r>
        <w:rPr>
          <w:rFonts w:ascii="Times New Roman" w:hAnsi="Times New Roman" w:cs="Times New Roman"/>
          <w:sz w:val="24"/>
          <w:szCs w:val="24"/>
        </w:rPr>
        <w:cr/>
      </w:r>
    </w:p>
    <w:p w:rsidR="000711BB" w:rsidRPr="00DA3D69" w:rsidRDefault="000711BB" w:rsidP="000711BB">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Los países también se benefician de un mayor acceso a fuentes de financiamiento más diversificadas. Algunos países emergentes y en desarrollo hoy acceden a los mercados de bonos globales de manera individual. Y el papel de los bancos de desarrollo regionales -incluidos el Banco Africano de Desarrollo, el Banco Asiático de Desarrollo y el Banco Interamericano de Desarrollo, así como los recientemente creados Banco Asiático de Inversión en Infraestructura y el Nuevo Banco de Desarrollo- ha crecido.</w:t>
      </w:r>
    </w:p>
    <w:p w:rsidR="000711BB" w:rsidRPr="00DA3D69" w:rsidRDefault="000711BB" w:rsidP="000711BB">
      <w:pPr>
        <w:spacing w:line="240" w:lineRule="auto"/>
        <w:jc w:val="both"/>
        <w:rPr>
          <w:rFonts w:ascii="Times New Roman" w:hAnsi="Times New Roman" w:cs="Times New Roman"/>
          <w:sz w:val="24"/>
          <w:szCs w:val="24"/>
        </w:rPr>
      </w:pPr>
      <w:r w:rsidRPr="007C6F07">
        <w:rPr>
          <w:rFonts w:ascii="Times New Roman" w:hAnsi="Times New Roman" w:cs="Times New Roman"/>
          <w:sz w:val="24"/>
          <w:szCs w:val="24"/>
          <w:u w:val="single"/>
        </w:rPr>
        <w:t>La manifestación final de este nuevo patrón de co</w:t>
      </w:r>
      <w:r>
        <w:rPr>
          <w:rFonts w:ascii="Times New Roman" w:hAnsi="Times New Roman" w:cs="Times New Roman"/>
          <w:sz w:val="24"/>
          <w:szCs w:val="24"/>
          <w:u w:val="single"/>
        </w:rPr>
        <w:t>operación -que podría llamarse “gobernancia repartida”</w:t>
      </w:r>
      <w:r w:rsidRPr="007C6F07">
        <w:rPr>
          <w:rFonts w:ascii="Times New Roman" w:hAnsi="Times New Roman" w:cs="Times New Roman"/>
          <w:sz w:val="24"/>
          <w:szCs w:val="24"/>
          <w:u w:val="single"/>
        </w:rPr>
        <w:t xml:space="preserve">- aparece en el comercio. Mientras que la Ronda de Negociaciones de Doha ha tambaleado y se ha caído, la liberalización está avanzando a </w:t>
      </w:r>
      <w:r w:rsidRPr="007C6F07">
        <w:rPr>
          <w:rFonts w:ascii="Times New Roman" w:hAnsi="Times New Roman" w:cs="Times New Roman"/>
          <w:sz w:val="24"/>
          <w:szCs w:val="24"/>
          <w:u w:val="single"/>
        </w:rPr>
        <w:lastRenderedPageBreak/>
        <w:t>paso rápido, debido a la proliferación de acuerdos bilaterales, regionales y súper regionales</w:t>
      </w:r>
      <w:r w:rsidRPr="00DA3D69">
        <w:rPr>
          <w:rFonts w:ascii="Times New Roman" w:hAnsi="Times New Roman" w:cs="Times New Roman"/>
          <w:sz w:val="24"/>
          <w:szCs w:val="24"/>
        </w:rPr>
        <w:t>.</w:t>
      </w:r>
    </w:p>
    <w:p w:rsidR="000711BB" w:rsidRPr="007C6F07" w:rsidRDefault="000711BB" w:rsidP="000711BB">
      <w:pPr>
        <w:spacing w:line="240" w:lineRule="auto"/>
        <w:jc w:val="both"/>
        <w:rPr>
          <w:rFonts w:ascii="Times New Roman" w:hAnsi="Times New Roman" w:cs="Times New Roman"/>
          <w:color w:val="FF0000"/>
          <w:sz w:val="24"/>
          <w:szCs w:val="24"/>
          <w:u w:val="single"/>
        </w:rPr>
      </w:pPr>
      <w:r w:rsidRPr="007C6F07">
        <w:rPr>
          <w:rFonts w:ascii="Times New Roman" w:hAnsi="Times New Roman" w:cs="Times New Roman"/>
          <w:color w:val="FF0000"/>
          <w:sz w:val="24"/>
          <w:szCs w:val="24"/>
          <w:u w:val="single"/>
        </w:rPr>
        <w:t>Estos nuevos acuerdos de gobernancia tienen importantes efectos en la mejora de la resiliencia, pero tal vez no ofrezcan una alternativa más eficiente para el multilateralismo, y no eliminen la necesidad de instituciones multilaterales tradicionales. Por el contrario, organismos como el FMI, el Banco Mundial y la Organización Mundial de Comercio deberían ser responsables por analizar y transmitir información vital al conjunto de las instituciones que están cumpliendo su rol tradicional.</w:t>
      </w:r>
    </w:p>
    <w:p w:rsidR="000711BB" w:rsidRPr="00DA3D69" w:rsidRDefault="000711BB" w:rsidP="000711BB">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Por ejemplo, el FMI debería responder al pedido de Rajan de rastrear y analizar los efectos de las políticas monetarias no convencionales. De la misma manera, podría reforzar su análisis del impacto de los controles de capital en los países que los implementen, y en otros países. También podría volver a preparar modelos de cómo la reestructuración de la deuda soberana podría estar mejor respaldada -ya sea a nivel nacional, a través de bonos convertibles contingentes o ligados al PIB, o a nivel regional o global.</w:t>
      </w:r>
    </w:p>
    <w:p w:rsidR="000711BB" w:rsidRDefault="000711BB" w:rsidP="000711BB">
      <w:pPr>
        <w:spacing w:line="240" w:lineRule="auto"/>
        <w:jc w:val="both"/>
        <w:rPr>
          <w:rFonts w:ascii="Times New Roman" w:hAnsi="Times New Roman" w:cs="Times New Roman"/>
          <w:sz w:val="24"/>
          <w:szCs w:val="24"/>
        </w:rPr>
      </w:pPr>
      <w:r w:rsidRPr="00DA3D69">
        <w:rPr>
          <w:rFonts w:ascii="Times New Roman" w:hAnsi="Times New Roman" w:cs="Times New Roman"/>
          <w:sz w:val="24"/>
          <w:szCs w:val="24"/>
        </w:rPr>
        <w:t>En su reunión de Shanghái, los responsables de las políticas del G-20 prometieron adoptar un conjunto de herramientas políticas para impulsar el crecimiento global y evitar las guerras de monedas. No cumplieron con esa promesa. Pero su fracaso puede haber reforzado el cambio a una nueva fase de gobernancia económica global repartida.</w:t>
      </w:r>
    </w:p>
    <w:p w:rsidR="000711BB"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A3D69">
        <w:rPr>
          <w:rFonts w:ascii="Times New Roman" w:hAnsi="Times New Roman" w:cs="Times New Roman"/>
          <w:sz w:val="24"/>
          <w:szCs w:val="24"/>
        </w:rPr>
        <w:t>Ngaire Woods is Dean of the Blavatnik School of Government and Director of the Global Economic Governance Prog</w:t>
      </w:r>
      <w:r>
        <w:rPr>
          <w:rFonts w:ascii="Times New Roman" w:hAnsi="Times New Roman" w:cs="Times New Roman"/>
          <w:sz w:val="24"/>
          <w:szCs w:val="24"/>
        </w:rPr>
        <w:t>ram at the University of Oxford)</w:t>
      </w:r>
    </w:p>
    <w:p w:rsidR="000711BB" w:rsidRPr="00414489"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14489">
        <w:rPr>
          <w:rFonts w:ascii="Times New Roman" w:hAnsi="Times New Roman" w:cs="Times New Roman"/>
          <w:sz w:val="24"/>
          <w:szCs w:val="24"/>
        </w:rPr>
        <w:t>¿</w:t>
      </w:r>
      <w:r w:rsidRPr="00414489">
        <w:rPr>
          <w:rFonts w:ascii="Times New Roman" w:hAnsi="Times New Roman" w:cs="Times New Roman"/>
          <w:sz w:val="24"/>
          <w:szCs w:val="24"/>
          <w:u w:val="single"/>
        </w:rPr>
        <w:t>Los bancos centrales se quedaron realmente sin munición</w:t>
      </w:r>
      <w:r w:rsidRPr="00414489">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414489">
        <w:rPr>
          <w:rFonts w:ascii="Times New Roman" w:hAnsi="Times New Roman" w:cs="Times New Roman"/>
          <w:b/>
          <w:sz w:val="24"/>
          <w:szCs w:val="24"/>
        </w:rPr>
        <w:t>8/3/16</w:t>
      </w:r>
      <w:r>
        <w:rPr>
          <w:rFonts w:ascii="Times New Roman" w:hAnsi="Times New Roman" w:cs="Times New Roman"/>
          <w:sz w:val="24"/>
          <w:szCs w:val="24"/>
        </w:rPr>
        <w:t>)</w:t>
      </w:r>
    </w:p>
    <w:p w:rsidR="000711BB" w:rsidRPr="00FD799B" w:rsidRDefault="000711BB" w:rsidP="000711B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Londres.-</w:t>
      </w:r>
      <w:r w:rsidRPr="00414489">
        <w:rPr>
          <w:rFonts w:ascii="Times New Roman" w:hAnsi="Times New Roman" w:cs="Times New Roman"/>
          <w:sz w:val="24"/>
          <w:szCs w:val="24"/>
        </w:rPr>
        <w:t xml:space="preserve"> </w:t>
      </w:r>
      <w:r w:rsidRPr="00FD799B">
        <w:rPr>
          <w:rFonts w:ascii="Times New Roman" w:hAnsi="Times New Roman" w:cs="Times New Roman"/>
          <w:sz w:val="24"/>
          <w:szCs w:val="24"/>
          <w:u w:val="single"/>
        </w:rPr>
        <w:t>La economía global enfrenta un problema crónico de demanda nominal deficiente. Japón sufre un crecimiento cercano a cero y una inflación mínima. La inflación de la eurozona nuevamente volvió a ser negativa, y la inflación británica es de cero a la vez que el crecimiento económico se desacelera. La economía estadounidense es ligeramente más robusta, aunque inclusive allí la recuperación de la crisis financiera de 2008 sigue siendo decepcionantemente lenta, las tasas de empleo están muy por debajo de los niveles de 2007 y la inflación anual no alcanzará el objetivo del 2% de la Reserva Federal durante varios años.</w:t>
      </w:r>
    </w:p>
    <w:p w:rsidR="000711BB" w:rsidRPr="00414489" w:rsidRDefault="000711BB" w:rsidP="000711BB">
      <w:pPr>
        <w:spacing w:line="240" w:lineRule="auto"/>
        <w:jc w:val="both"/>
        <w:rPr>
          <w:rFonts w:ascii="Times New Roman" w:hAnsi="Times New Roman" w:cs="Times New Roman"/>
          <w:sz w:val="24"/>
          <w:szCs w:val="24"/>
        </w:rPr>
      </w:pPr>
      <w:r w:rsidRPr="00FD799B">
        <w:rPr>
          <w:rFonts w:ascii="Times New Roman" w:hAnsi="Times New Roman" w:cs="Times New Roman"/>
          <w:color w:val="FF0000"/>
          <w:sz w:val="24"/>
          <w:szCs w:val="24"/>
          <w:u w:val="single"/>
        </w:rPr>
        <w:t>Sin embargo, el debate sobre qué políticas podrían impulsar la demanda sigue siendo inadecuado, evasivo y confuso</w:t>
      </w:r>
      <w:r w:rsidRPr="00414489">
        <w:rPr>
          <w:rFonts w:ascii="Times New Roman" w:hAnsi="Times New Roman" w:cs="Times New Roman"/>
          <w:sz w:val="24"/>
          <w:szCs w:val="24"/>
        </w:rPr>
        <w:t>. En Shanghái, los ministros de Relaciones Exteriores del G-20 se comprometieron a utilizar todas las herramientas disponibles -estructurales, monetarias y fiscales- para impulsar las tasas de crecimiento e impedir la deflación. Pero muchos de los actores clave son más propensos a señalar lo que no pueden hacer que lo que sí pueden.</w:t>
      </w:r>
    </w:p>
    <w:p w:rsidR="000711BB" w:rsidRPr="00FD799B" w:rsidRDefault="000711BB" w:rsidP="000711BB">
      <w:pPr>
        <w:spacing w:line="240" w:lineRule="auto"/>
        <w:jc w:val="both"/>
        <w:rPr>
          <w:rFonts w:ascii="Times New Roman" w:hAnsi="Times New Roman" w:cs="Times New Roman"/>
          <w:sz w:val="24"/>
          <w:szCs w:val="24"/>
          <w:u w:val="single"/>
        </w:rPr>
      </w:pPr>
      <w:r w:rsidRPr="00FD799B">
        <w:rPr>
          <w:rFonts w:ascii="Times New Roman" w:hAnsi="Times New Roman" w:cs="Times New Roman"/>
          <w:sz w:val="24"/>
          <w:szCs w:val="24"/>
          <w:u w:val="single"/>
        </w:rPr>
        <w:t>Los bancos centrales con frecuencia destacan los límites de sus poderes y lamentan la falta de progreso po</w:t>
      </w:r>
      <w:r>
        <w:rPr>
          <w:rFonts w:ascii="Times New Roman" w:hAnsi="Times New Roman" w:cs="Times New Roman"/>
          <w:sz w:val="24"/>
          <w:szCs w:val="24"/>
          <w:u w:val="single"/>
        </w:rPr>
        <w:t>r parte del gobierno hacia una “reforma estructural”</w:t>
      </w:r>
      <w:r w:rsidRPr="00FD799B">
        <w:rPr>
          <w:rFonts w:ascii="Times New Roman" w:hAnsi="Times New Roman" w:cs="Times New Roman"/>
          <w:sz w:val="24"/>
          <w:szCs w:val="24"/>
          <w:u w:val="single"/>
        </w:rPr>
        <w:t xml:space="preserve"> </w:t>
      </w:r>
      <w:r w:rsidRPr="00414489">
        <w:rPr>
          <w:rFonts w:ascii="Times New Roman" w:hAnsi="Times New Roman" w:cs="Times New Roman"/>
          <w:sz w:val="24"/>
          <w:szCs w:val="24"/>
        </w:rPr>
        <w:t xml:space="preserve">-una expresión comodín que cubre la liberalización comercial, las reformas del mercado laboral y de productos y las medidas para abordar los desafíos fiscales de mediano plazo, como los aumentos de la edad jubilatoria-. </w:t>
      </w:r>
      <w:r w:rsidRPr="00FD799B">
        <w:rPr>
          <w:rFonts w:ascii="Times New Roman" w:hAnsi="Times New Roman" w:cs="Times New Roman"/>
          <w:sz w:val="24"/>
          <w:szCs w:val="24"/>
          <w:u w:val="single"/>
        </w:rPr>
        <w:t xml:space="preserve">Pero si bien algunas de estas medidas podrían </w:t>
      </w:r>
      <w:r w:rsidRPr="00FD799B">
        <w:rPr>
          <w:rFonts w:ascii="Times New Roman" w:hAnsi="Times New Roman" w:cs="Times New Roman"/>
          <w:sz w:val="24"/>
          <w:szCs w:val="24"/>
          <w:u w:val="single"/>
        </w:rPr>
        <w:lastRenderedPageBreak/>
        <w:t>incrementar el crecimiento potencial en el largo plazo, casi ninguna puede marcar una diferencia en cuanto al crecimiento o las tasas de inflación en los próximos 1 a 3 años.</w:t>
      </w:r>
    </w:p>
    <w:p w:rsidR="000711BB" w:rsidRPr="00FD799B" w:rsidRDefault="000711BB" w:rsidP="000711BB">
      <w:pPr>
        <w:spacing w:line="240" w:lineRule="auto"/>
        <w:jc w:val="both"/>
        <w:rPr>
          <w:rFonts w:ascii="Times New Roman" w:hAnsi="Times New Roman" w:cs="Times New Roman"/>
          <w:color w:val="FF0000"/>
          <w:sz w:val="24"/>
          <w:szCs w:val="24"/>
          <w:u w:val="single"/>
        </w:rPr>
      </w:pPr>
      <w:r w:rsidRPr="00FD799B">
        <w:rPr>
          <w:rFonts w:ascii="Times New Roman" w:hAnsi="Times New Roman" w:cs="Times New Roman"/>
          <w:sz w:val="24"/>
          <w:szCs w:val="24"/>
          <w:u w:val="single"/>
        </w:rPr>
        <w:t>En verdad, algunas reformas estructurales, como el incremento de la flexibilidad del mercado laboral (haciendo que resulte más fácil despedir empleados, por ejemplo), pueden en un principio tener un efecto negativo en la confianza y el gasto de los consumidores</w:t>
      </w:r>
      <w:r w:rsidRPr="00414489">
        <w:rPr>
          <w:rFonts w:ascii="Times New Roman" w:hAnsi="Times New Roman" w:cs="Times New Roman"/>
          <w:sz w:val="24"/>
          <w:szCs w:val="24"/>
        </w:rPr>
        <w:t xml:space="preserve">. </w:t>
      </w:r>
      <w:r w:rsidRPr="00FD799B">
        <w:rPr>
          <w:rFonts w:ascii="Times New Roman" w:hAnsi="Times New Roman" w:cs="Times New Roman"/>
          <w:color w:val="FF0000"/>
          <w:sz w:val="24"/>
          <w:szCs w:val="24"/>
          <w:u w:val="single"/>
        </w:rPr>
        <w:t>Lo ideal sería que se prohibier</w:t>
      </w:r>
      <w:r>
        <w:rPr>
          <w:rFonts w:ascii="Times New Roman" w:hAnsi="Times New Roman" w:cs="Times New Roman"/>
          <w:color w:val="FF0000"/>
          <w:sz w:val="24"/>
          <w:szCs w:val="24"/>
          <w:u w:val="single"/>
        </w:rPr>
        <w:t>an las referencias vagas a una “reforma estructural”</w:t>
      </w:r>
      <w:r w:rsidRPr="00FD799B">
        <w:rPr>
          <w:rFonts w:ascii="Times New Roman" w:hAnsi="Times New Roman" w:cs="Times New Roman"/>
          <w:color w:val="FF0000"/>
          <w:sz w:val="24"/>
          <w:szCs w:val="24"/>
          <w:u w:val="single"/>
        </w:rPr>
        <w:t>. Todos deberían verse en la obligación de especificar de qué reformas específicas están hablando y el calendario para cualquier beneficio que se logre.</w:t>
      </w:r>
    </w:p>
    <w:p w:rsidR="000711BB" w:rsidRPr="00FD799B" w:rsidRDefault="000711BB" w:rsidP="000711BB">
      <w:pPr>
        <w:spacing w:line="240" w:lineRule="auto"/>
        <w:jc w:val="both"/>
        <w:rPr>
          <w:rFonts w:ascii="Times New Roman" w:hAnsi="Times New Roman" w:cs="Times New Roman"/>
          <w:color w:val="FF0000"/>
          <w:sz w:val="24"/>
          <w:szCs w:val="24"/>
          <w:u w:val="single"/>
        </w:rPr>
      </w:pPr>
      <w:r w:rsidRPr="00FD799B">
        <w:rPr>
          <w:rFonts w:ascii="Times New Roman" w:hAnsi="Times New Roman" w:cs="Times New Roman"/>
          <w:color w:val="FF0000"/>
          <w:sz w:val="24"/>
          <w:szCs w:val="24"/>
          <w:u w:val="single"/>
        </w:rPr>
        <w:t>Si el problema central es una demanda global inadecuada, lo único que puede resolverlo es la política monetaria o fiscal. Pero los banqueros centrales tienen razón al destacar los límites de lo que la política monetaria por sí sola puede lograr.</w:t>
      </w:r>
    </w:p>
    <w:p w:rsidR="000711BB" w:rsidRPr="00414489" w:rsidRDefault="000711BB" w:rsidP="000711BB">
      <w:pPr>
        <w:spacing w:line="240" w:lineRule="auto"/>
        <w:jc w:val="both"/>
        <w:rPr>
          <w:rFonts w:ascii="Times New Roman" w:hAnsi="Times New Roman" w:cs="Times New Roman"/>
          <w:sz w:val="24"/>
          <w:szCs w:val="24"/>
        </w:rPr>
      </w:pPr>
      <w:r w:rsidRPr="00414489">
        <w:rPr>
          <w:rFonts w:ascii="Times New Roman" w:hAnsi="Times New Roman" w:cs="Times New Roman"/>
          <w:sz w:val="24"/>
          <w:szCs w:val="24"/>
        </w:rPr>
        <w:t>El Banco de Japón recientemente introdujo tasas de interés negativas y la semana próxima el Banco Central Europeo probablemente empuje un poco más su propia tasa en territorio negativo o anuncie más flexibilización cuantitativa (QE). Pero estas palancas no pueden modificar demasiado el consumo económico y la inversión reales.</w:t>
      </w:r>
    </w:p>
    <w:p w:rsidR="000711BB" w:rsidRPr="00414489" w:rsidRDefault="000711BB" w:rsidP="000711BB">
      <w:pPr>
        <w:spacing w:line="240" w:lineRule="auto"/>
        <w:jc w:val="both"/>
        <w:rPr>
          <w:rFonts w:ascii="Times New Roman" w:hAnsi="Times New Roman" w:cs="Times New Roman"/>
          <w:sz w:val="24"/>
          <w:szCs w:val="24"/>
        </w:rPr>
      </w:pPr>
      <w:r w:rsidRPr="00414489">
        <w:rPr>
          <w:rFonts w:ascii="Times New Roman" w:hAnsi="Times New Roman" w:cs="Times New Roman"/>
          <w:sz w:val="24"/>
          <w:szCs w:val="24"/>
        </w:rPr>
        <w:t>Las tasas de interés negativas están destinadas a espolear la demanda de crédito de las empresas y los hogares. Pero si los bancos no están dispuestos a imponer tasas negativas a los depositantes, la consecuencia real y perversa podrían ser tipos de interés más altos en tanto los bancos intentan mantener los márgenes frente a las pérdidas operacionales que hoy le generan a las reservas de su banco central.</w:t>
      </w:r>
    </w:p>
    <w:p w:rsidR="000711BB" w:rsidRPr="00FD799B" w:rsidRDefault="000711BB" w:rsidP="000711BB">
      <w:pPr>
        <w:spacing w:line="240" w:lineRule="auto"/>
        <w:jc w:val="both"/>
        <w:rPr>
          <w:rFonts w:ascii="Times New Roman" w:hAnsi="Times New Roman" w:cs="Times New Roman"/>
          <w:sz w:val="24"/>
          <w:szCs w:val="24"/>
          <w:u w:val="single"/>
        </w:rPr>
      </w:pPr>
      <w:r w:rsidRPr="00FD799B">
        <w:rPr>
          <w:rFonts w:ascii="Times New Roman" w:hAnsi="Times New Roman" w:cs="Times New Roman"/>
          <w:sz w:val="24"/>
          <w:szCs w:val="24"/>
          <w:u w:val="single"/>
        </w:rPr>
        <w:t>Como observó Mark Carney, gobernador del Banco de Inglaterra, las tasas de interés negativas sólo deberían utilizarse de manera tal que estimulen la demanda global general, en lugar de simplemente trasladar la demanda de un país a otro a través de una devaluación competitiva. Pero lograr este tipo de estímulo mediante tasas de interés negativas quizá resulte imposible. La posibilidad de más QE para modificar el comportamiento en la economía real es igual de confuso.</w:t>
      </w:r>
    </w:p>
    <w:p w:rsidR="000711BB" w:rsidRPr="00FD799B" w:rsidRDefault="000711BB" w:rsidP="000711BB">
      <w:pPr>
        <w:spacing w:line="240" w:lineRule="auto"/>
        <w:jc w:val="both"/>
        <w:rPr>
          <w:rFonts w:ascii="Times New Roman" w:hAnsi="Times New Roman" w:cs="Times New Roman"/>
          <w:color w:val="FF0000"/>
          <w:sz w:val="24"/>
          <w:szCs w:val="24"/>
          <w:u w:val="single"/>
        </w:rPr>
      </w:pPr>
      <w:r w:rsidRPr="00FD799B">
        <w:rPr>
          <w:rFonts w:ascii="Times New Roman" w:hAnsi="Times New Roman" w:cs="Times New Roman"/>
          <w:color w:val="FF0000"/>
          <w:sz w:val="24"/>
          <w:szCs w:val="24"/>
          <w:u w:val="single"/>
        </w:rPr>
        <w:t>Esto significa que la demanda nominal aumentará sólo si los gobiernos aplican política fiscal para reducir los impuestos o aumentar el gasto público -colocando así a la nueva demanda, según palabras de Milton Friedman, dire</w:t>
      </w:r>
      <w:r>
        <w:rPr>
          <w:rFonts w:ascii="Times New Roman" w:hAnsi="Times New Roman" w:cs="Times New Roman"/>
          <w:color w:val="FF0000"/>
          <w:sz w:val="24"/>
          <w:szCs w:val="24"/>
          <w:u w:val="single"/>
        </w:rPr>
        <w:t>ctamente “en el flujo de ingresos”</w:t>
      </w:r>
      <w:r w:rsidRPr="00FD799B">
        <w:rPr>
          <w:rFonts w:ascii="Times New Roman" w:hAnsi="Times New Roman" w:cs="Times New Roman"/>
          <w:color w:val="FF0000"/>
          <w:sz w:val="24"/>
          <w:szCs w:val="24"/>
          <w:u w:val="single"/>
        </w:rPr>
        <w:t>. Pero el mundo está lleno de gobiernos que se sienten incapaces de hacer esto.</w:t>
      </w:r>
    </w:p>
    <w:p w:rsidR="000711BB" w:rsidRPr="00414489" w:rsidRDefault="000711BB" w:rsidP="000711BB">
      <w:pPr>
        <w:spacing w:line="240" w:lineRule="auto"/>
        <w:jc w:val="both"/>
        <w:rPr>
          <w:rFonts w:ascii="Times New Roman" w:hAnsi="Times New Roman" w:cs="Times New Roman"/>
          <w:sz w:val="24"/>
          <w:szCs w:val="24"/>
        </w:rPr>
      </w:pPr>
      <w:r w:rsidRPr="00414489">
        <w:rPr>
          <w:rFonts w:ascii="Times New Roman" w:hAnsi="Times New Roman" w:cs="Times New Roman"/>
          <w:sz w:val="24"/>
          <w:szCs w:val="24"/>
        </w:rPr>
        <w:t>El Ministerio de Finanzas de Japón está convencido de que debe reducir su gran déficit fiscal mediante un incremento del impuesto a las ventas en abril de 2017. Las reglas de la eurozona indican que muchos países miembro están comprometidos a reducir sus déficits. El secretario de Hacienda británico, George Osborne, también está decidido a reducir, no aumentar, el déficit de su país.</w:t>
      </w:r>
    </w:p>
    <w:p w:rsidR="000711BB" w:rsidRPr="00FD799B" w:rsidRDefault="000711BB" w:rsidP="000711BB">
      <w:pPr>
        <w:spacing w:line="240" w:lineRule="auto"/>
        <w:jc w:val="both"/>
        <w:rPr>
          <w:rFonts w:ascii="Times New Roman" w:hAnsi="Times New Roman" w:cs="Times New Roman"/>
          <w:sz w:val="24"/>
          <w:szCs w:val="24"/>
          <w:u w:val="single"/>
        </w:rPr>
      </w:pPr>
      <w:r w:rsidRPr="00414489">
        <w:rPr>
          <w:rFonts w:ascii="Times New Roman" w:hAnsi="Times New Roman" w:cs="Times New Roman"/>
          <w:sz w:val="24"/>
          <w:szCs w:val="24"/>
        </w:rPr>
        <w:t xml:space="preserve">Por lo tanto, </w:t>
      </w:r>
      <w:r w:rsidRPr="00FD799B">
        <w:rPr>
          <w:rFonts w:ascii="Times New Roman" w:hAnsi="Times New Roman" w:cs="Times New Roman"/>
          <w:sz w:val="24"/>
          <w:szCs w:val="24"/>
          <w:u w:val="single"/>
        </w:rPr>
        <w:t>el mantra oficial estándar hoy es que</w:t>
      </w:r>
      <w:r>
        <w:rPr>
          <w:rFonts w:ascii="Times New Roman" w:hAnsi="Times New Roman" w:cs="Times New Roman"/>
          <w:sz w:val="24"/>
          <w:szCs w:val="24"/>
          <w:u w:val="single"/>
        </w:rPr>
        <w:t xml:space="preserve"> los países que todavía tienen “espacio fiscal”</w:t>
      </w:r>
      <w:r w:rsidRPr="00FD799B">
        <w:rPr>
          <w:rFonts w:ascii="Times New Roman" w:hAnsi="Times New Roman" w:cs="Times New Roman"/>
          <w:sz w:val="24"/>
          <w:szCs w:val="24"/>
          <w:u w:val="single"/>
        </w:rPr>
        <w:t xml:space="preserve"> deben usarlo. Pero no hay motivos para creer que los candidatos más obvios -como Alemania- en verdad vayan a hacer algo. Y no existe ninguna certeza de que, aún si todos los países que tienen un espacio fiscal lo utilizaran, el impulso de la demanda global sería suficiente.</w:t>
      </w:r>
    </w:p>
    <w:p w:rsidR="000711BB" w:rsidRPr="00FD799B" w:rsidRDefault="000711BB" w:rsidP="000711BB">
      <w:pPr>
        <w:spacing w:line="240" w:lineRule="auto"/>
        <w:jc w:val="both"/>
        <w:rPr>
          <w:rFonts w:ascii="Times New Roman" w:hAnsi="Times New Roman" w:cs="Times New Roman"/>
          <w:color w:val="FF0000"/>
          <w:sz w:val="24"/>
          <w:szCs w:val="24"/>
          <w:u w:val="single"/>
        </w:rPr>
      </w:pPr>
      <w:r w:rsidRPr="00FD799B">
        <w:rPr>
          <w:rFonts w:ascii="Times New Roman" w:hAnsi="Times New Roman" w:cs="Times New Roman"/>
          <w:color w:val="FF0000"/>
          <w:sz w:val="24"/>
          <w:szCs w:val="24"/>
          <w:u w:val="single"/>
        </w:rPr>
        <w:t xml:space="preserve">Estos impasses han alimentado el </w:t>
      </w:r>
      <w:r>
        <w:rPr>
          <w:rFonts w:ascii="Times New Roman" w:hAnsi="Times New Roman" w:cs="Times New Roman"/>
          <w:color w:val="FF0000"/>
          <w:sz w:val="24"/>
          <w:szCs w:val="24"/>
          <w:u w:val="single"/>
        </w:rPr>
        <w:t>creciente temor de que estamos “sin munición”</w:t>
      </w:r>
      <w:r w:rsidRPr="00FD799B">
        <w:rPr>
          <w:rFonts w:ascii="Times New Roman" w:hAnsi="Times New Roman" w:cs="Times New Roman"/>
          <w:color w:val="FF0000"/>
          <w:sz w:val="24"/>
          <w:szCs w:val="24"/>
          <w:u w:val="single"/>
        </w:rPr>
        <w:t xml:space="preserve"> para combatir un crecimiento inadecuado y una potencial deflación. Pero si nuestro problema es la demanda nominal inadecuada, existe una política que siempre funcionará. Si los gobiernos tienen mayores déficits fiscales y no financian esto con deuda sujeta a </w:t>
      </w:r>
      <w:r w:rsidRPr="00FD799B">
        <w:rPr>
          <w:rFonts w:ascii="Times New Roman" w:hAnsi="Times New Roman" w:cs="Times New Roman"/>
          <w:color w:val="FF0000"/>
          <w:sz w:val="24"/>
          <w:szCs w:val="24"/>
          <w:u w:val="single"/>
        </w:rPr>
        <w:lastRenderedPageBreak/>
        <w:t>intereses sino con dinero del banco central, la demanda nominal sin duda aumentará, produciendo una combinación de inflación más elevada y mayor producción real.</w:t>
      </w:r>
    </w:p>
    <w:p w:rsidR="000711BB" w:rsidRPr="00FD799B" w:rsidRDefault="000711BB" w:rsidP="000711BB">
      <w:pPr>
        <w:spacing w:line="240" w:lineRule="auto"/>
        <w:jc w:val="both"/>
        <w:rPr>
          <w:rFonts w:ascii="Times New Roman" w:hAnsi="Times New Roman" w:cs="Times New Roman"/>
          <w:b/>
          <w:color w:val="FF0000"/>
          <w:sz w:val="24"/>
          <w:szCs w:val="24"/>
          <w:u w:val="single"/>
        </w:rPr>
      </w:pPr>
      <w:r w:rsidRPr="00FD799B">
        <w:rPr>
          <w:rFonts w:ascii="Times New Roman" w:hAnsi="Times New Roman" w:cs="Times New Roman"/>
          <w:b/>
          <w:color w:val="FF0000"/>
          <w:sz w:val="24"/>
          <w:szCs w:val="24"/>
          <w:u w:val="single"/>
        </w:rPr>
        <w:t>En consecuencia, cada vez se discute más la opción de financiar directamente el gasto público. Pero el debate en torno de esto está plagado de confusiones.</w:t>
      </w:r>
    </w:p>
    <w:p w:rsidR="000711BB" w:rsidRPr="00FD799B" w:rsidRDefault="000711BB" w:rsidP="000711BB">
      <w:pPr>
        <w:spacing w:line="240" w:lineRule="auto"/>
        <w:jc w:val="both"/>
        <w:rPr>
          <w:rFonts w:ascii="Times New Roman" w:hAnsi="Times New Roman" w:cs="Times New Roman"/>
          <w:sz w:val="24"/>
          <w:szCs w:val="24"/>
          <w:u w:val="single"/>
        </w:rPr>
      </w:pPr>
      <w:r w:rsidRPr="00FD799B">
        <w:rPr>
          <w:rFonts w:ascii="Times New Roman" w:hAnsi="Times New Roman" w:cs="Times New Roman"/>
          <w:sz w:val="24"/>
          <w:szCs w:val="24"/>
          <w:u w:val="single"/>
        </w:rPr>
        <w:t>Se suele decir que monetizar los déficits fiscales comprometería a los bancos centrales a mantener las tasas de interés bajas para siempre, una estrategia destinada a producir una inflación excesiva. Al mismo tiempo hay quienes argumentan (a veces inclusive los mismos) que el financiamiento monetario no estimularía la demanda por</w:t>
      </w:r>
      <w:r>
        <w:rPr>
          <w:rFonts w:ascii="Times New Roman" w:hAnsi="Times New Roman" w:cs="Times New Roman"/>
          <w:sz w:val="24"/>
          <w:szCs w:val="24"/>
          <w:u w:val="single"/>
        </w:rPr>
        <w:t>que la gente temería un futuro “impuesto a la inflación”</w:t>
      </w:r>
      <w:r w:rsidRPr="00FD799B">
        <w:rPr>
          <w:rFonts w:ascii="Times New Roman" w:hAnsi="Times New Roman" w:cs="Times New Roman"/>
          <w:sz w:val="24"/>
          <w:szCs w:val="24"/>
          <w:u w:val="single"/>
        </w:rPr>
        <w:t>.</w:t>
      </w:r>
    </w:p>
    <w:p w:rsidR="000711BB" w:rsidRPr="00FD799B" w:rsidRDefault="000711BB" w:rsidP="000711BB">
      <w:pPr>
        <w:spacing w:line="240" w:lineRule="auto"/>
        <w:jc w:val="both"/>
        <w:rPr>
          <w:rFonts w:ascii="Times New Roman" w:hAnsi="Times New Roman" w:cs="Times New Roman"/>
          <w:color w:val="FF0000"/>
          <w:sz w:val="24"/>
          <w:szCs w:val="24"/>
          <w:u w:val="single"/>
        </w:rPr>
      </w:pPr>
      <w:r w:rsidRPr="00FD799B">
        <w:rPr>
          <w:rFonts w:ascii="Times New Roman" w:hAnsi="Times New Roman" w:cs="Times New Roman"/>
          <w:color w:val="FF0000"/>
          <w:sz w:val="24"/>
          <w:szCs w:val="24"/>
          <w:u w:val="single"/>
        </w:rPr>
        <w:t>Ambas aseveraciones no pueden ser ciertas; en realidad, ninguna de las dos lo es. Déficits muy pequeños financiados con dinero producirían sólo un impacto mínimo en la demanda nominal, mientras que déficits muy grandes generarían una inflación elevada perjudicial. En algún lugar en el medio existe una política óptima -una propuesta de sentido común que suele estar ausente en el debate.</w:t>
      </w:r>
    </w:p>
    <w:p w:rsidR="000711BB" w:rsidRPr="00FD799B" w:rsidRDefault="000711BB" w:rsidP="000711BB">
      <w:pPr>
        <w:spacing w:line="240" w:lineRule="auto"/>
        <w:jc w:val="both"/>
        <w:rPr>
          <w:rFonts w:ascii="Times New Roman" w:hAnsi="Times New Roman" w:cs="Times New Roman"/>
          <w:color w:val="FF0000"/>
          <w:sz w:val="24"/>
          <w:szCs w:val="24"/>
          <w:u w:val="single"/>
        </w:rPr>
      </w:pPr>
      <w:r w:rsidRPr="00FD799B">
        <w:rPr>
          <w:rFonts w:ascii="Times New Roman" w:hAnsi="Times New Roman" w:cs="Times New Roman"/>
          <w:color w:val="FF0000"/>
          <w:sz w:val="24"/>
          <w:szCs w:val="24"/>
          <w:u w:val="single"/>
        </w:rPr>
        <w:t>En medio de la confusión, se ignora la única cuestión política realmente importante: si podemos diseñar reglas y asignar responsabilidades institucionales a fin de asegurar que el financiamiento monetario se utilice sólo de manera moderada y disciplinada, o si la tentación de utilizarlo en exceso resultará irresistible. Si la irresponsabilidad política es inevitable, realmente nos quedamos sin munición que podamos utilizar sin hacernos volar por los aires. Pero si, como creo, el problema de la disciplina se puede resolver, necesitamos empezar a formular las reglas correctas y a distribuir responsabilidades de manera apropiada.</w:t>
      </w:r>
    </w:p>
    <w:p w:rsidR="000711BB" w:rsidRPr="00FD799B" w:rsidRDefault="000711BB" w:rsidP="000711BB">
      <w:pPr>
        <w:spacing w:line="240" w:lineRule="auto"/>
        <w:jc w:val="both"/>
        <w:rPr>
          <w:rFonts w:ascii="Times New Roman" w:hAnsi="Times New Roman" w:cs="Times New Roman"/>
          <w:color w:val="FF0000"/>
          <w:sz w:val="24"/>
          <w:szCs w:val="24"/>
          <w:u w:val="single"/>
        </w:rPr>
      </w:pPr>
      <w:r w:rsidRPr="00FD799B">
        <w:rPr>
          <w:rFonts w:ascii="Times New Roman" w:hAnsi="Times New Roman" w:cs="Times New Roman"/>
          <w:color w:val="FF0000"/>
          <w:sz w:val="24"/>
          <w:szCs w:val="24"/>
          <w:u w:val="single"/>
        </w:rPr>
        <w:t>Una cosa es cierta: depender de la reforma estructural, de políticas puramente monetarias o de las políticas fiscales a disposición de los gobiernos que creen que todos los déficits se deben financiar con deuda no revertirá la deficiencia crónica de demanda nominal del mundo.</w:t>
      </w:r>
    </w:p>
    <w:p w:rsidR="000711BB"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14489">
        <w:rPr>
          <w:rFonts w:ascii="Times New Roman" w:hAnsi="Times New Roman" w:cs="Times New Roman"/>
          <w:sz w:val="24"/>
          <w:szCs w:val="24"/>
        </w:rPr>
        <w:t>Adair Turner, a former chairman of the United Kingdom's Financial Services Authority and former member of the UK's Financial Policy Committee, is Chairman of the Institute for New Economic Thinking. His latest boo</w:t>
      </w:r>
      <w:r>
        <w:rPr>
          <w:rFonts w:ascii="Times New Roman" w:hAnsi="Times New Roman" w:cs="Times New Roman"/>
          <w:sz w:val="24"/>
          <w:szCs w:val="24"/>
        </w:rPr>
        <w:t>k is Between Debt and the Devil)</w:t>
      </w:r>
    </w:p>
    <w:p w:rsidR="000711BB" w:rsidRDefault="000711BB" w:rsidP="000711BB">
      <w:pPr>
        <w:pStyle w:val="NormalWeb"/>
        <w:spacing w:after="0"/>
        <w:jc w:val="both"/>
      </w:pPr>
      <w:r>
        <w:t xml:space="preserve">- </w:t>
      </w:r>
      <w:r w:rsidRPr="00DB4978">
        <w:rPr>
          <w:u w:val="single"/>
        </w:rPr>
        <w:t>La nueva brecha generacional</w:t>
      </w:r>
      <w:r>
        <w:t xml:space="preserve"> (Project Syndicate - </w:t>
      </w:r>
      <w:r w:rsidRPr="00DB4978">
        <w:rPr>
          <w:b/>
        </w:rPr>
        <w:t>16/3/16</w:t>
      </w:r>
      <w:r>
        <w:t>)</w:t>
      </w:r>
    </w:p>
    <w:p w:rsidR="000711BB" w:rsidRPr="00744E63" w:rsidRDefault="000711BB" w:rsidP="000711BB">
      <w:pPr>
        <w:pStyle w:val="NormalWeb"/>
        <w:spacing w:after="0"/>
        <w:jc w:val="both"/>
        <w:rPr>
          <w:u w:val="single"/>
        </w:rPr>
      </w:pPr>
      <w:r>
        <w:t xml:space="preserve">Nueva York.- </w:t>
      </w:r>
      <w:r w:rsidRPr="00744E63">
        <w:rPr>
          <w:u w:val="single"/>
        </w:rPr>
        <w:t>Algo interesante ha surgido en los patrones de votación en ambos lados del Atlántico: los jóvenes están votando en formas marcadamente distintas a las de sus mayores. Parece que se abrió una gran brecha que divide a los votantes más según la generación a la que pertenecen, y menos por su nivel de ingresos, nivel educativo o género.</w:t>
      </w:r>
    </w:p>
    <w:p w:rsidR="000711BB" w:rsidRPr="00744E63" w:rsidRDefault="000711BB" w:rsidP="000711BB">
      <w:pPr>
        <w:pStyle w:val="NormalWeb"/>
        <w:spacing w:after="0"/>
        <w:jc w:val="both"/>
        <w:rPr>
          <w:u w:val="single"/>
        </w:rPr>
      </w:pPr>
      <w:r w:rsidRPr="00744E63">
        <w:rPr>
          <w:u w:val="single"/>
        </w:rPr>
        <w:t>Existen buenas razones para esta división. Las vidas de ambos grupos, tanto la de los jóvenes como la de las personas mayores, en la forma que se viven en la actualidad, son diferentes.  Sus pasados son diferentes, y también lo son sus perspectivas de futuro.</w:t>
      </w:r>
    </w:p>
    <w:p w:rsidR="000711BB" w:rsidRPr="00744E63" w:rsidRDefault="000711BB" w:rsidP="000711BB">
      <w:pPr>
        <w:pStyle w:val="NormalWeb"/>
        <w:spacing w:after="0"/>
        <w:jc w:val="both"/>
        <w:rPr>
          <w:u w:val="single"/>
        </w:rPr>
      </w:pPr>
      <w:r>
        <w:t xml:space="preserve">La Guerra Fría, por ejemplo, había terminado incluso antes de que algunos de los jóvenes nacieran o mientras otros eran todavía niños. Para ellos, palabras como socialismo no transmiten el significado que en alguna ocasión transmitieron. </w:t>
      </w:r>
      <w:r w:rsidRPr="00744E63">
        <w:rPr>
          <w:color w:val="FF0000"/>
          <w:u w:val="single"/>
        </w:rPr>
        <w:t xml:space="preserve">Si el socialismo significa la creación de una sociedad donde a las preocupaciones </w:t>
      </w:r>
      <w:r w:rsidRPr="00744E63">
        <w:rPr>
          <w:color w:val="FF0000"/>
          <w:u w:val="single"/>
        </w:rPr>
        <w:lastRenderedPageBreak/>
        <w:t>compartidas se les pres</w:t>
      </w:r>
      <w:r>
        <w:rPr>
          <w:color w:val="FF0000"/>
          <w:u w:val="single"/>
        </w:rPr>
        <w:t>ta la importancia que merecen -</w:t>
      </w:r>
      <w:r w:rsidRPr="00744E63">
        <w:rPr>
          <w:color w:val="FF0000"/>
          <w:u w:val="single"/>
        </w:rPr>
        <w:t xml:space="preserve">donde las personas se preocupan por otras personas y </w:t>
      </w:r>
      <w:r>
        <w:rPr>
          <w:color w:val="FF0000"/>
          <w:u w:val="single"/>
        </w:rPr>
        <w:t>por el entorno en el que viven-</w:t>
      </w:r>
      <w:r w:rsidRPr="00744E63">
        <w:rPr>
          <w:color w:val="FF0000"/>
          <w:u w:val="single"/>
        </w:rPr>
        <w:t xml:space="preserve"> estos jóvenes dicen amén a ello</w:t>
      </w:r>
      <w:r>
        <w:t xml:space="preserve">. Sí, es posible que experimentos bajo la rúbrica de socialismo hubiesen fallado un cuarto o mitad de siglo atrás; pero, </w:t>
      </w:r>
      <w:r w:rsidRPr="00744E63">
        <w:rPr>
          <w:u w:val="single"/>
        </w:rPr>
        <w:t>los experimentos de hoy en día no se parecen a los del pasado.</w:t>
      </w:r>
      <w:r>
        <w:t xml:space="preserve"> Por lo tanto, </w:t>
      </w:r>
      <w:r w:rsidRPr="00744E63">
        <w:rPr>
          <w:u w:val="single"/>
        </w:rPr>
        <w:t>el fracaso de dichos experimentos del pasado no dice nada sobre los nuevos experimentos.</w:t>
      </w:r>
    </w:p>
    <w:p w:rsidR="000711BB" w:rsidRPr="00744E63" w:rsidRDefault="000711BB" w:rsidP="000711BB">
      <w:pPr>
        <w:pStyle w:val="NormalWeb"/>
        <w:spacing w:after="0"/>
        <w:jc w:val="both"/>
        <w:rPr>
          <w:color w:val="FF0000"/>
          <w:u w:val="single"/>
        </w:rPr>
      </w:pPr>
      <w:r w:rsidRPr="00744E63">
        <w:rPr>
          <w:color w:val="FF0000"/>
          <w:u w:val="single"/>
        </w:rPr>
        <w:t>Los estadounidenses y europeos mayores de clase media alta han tenido una buena vida. Cuando ingresaron a la fuerza laboral, había puestos de trabajo bien remunerados esperándolos. La pregunta que se formularon en aquel entonces fue qué querían hacer, y no durante cuánto tiempo tendrían que vivir con sus padres antes de conseguir un trabajo que les permitiera mudarse para vivir independientemente.</w:t>
      </w:r>
    </w:p>
    <w:p w:rsidR="000711BB" w:rsidRPr="00744E63" w:rsidRDefault="000711BB" w:rsidP="000711BB">
      <w:pPr>
        <w:pStyle w:val="NormalWeb"/>
        <w:spacing w:after="0"/>
        <w:jc w:val="both"/>
        <w:rPr>
          <w:color w:val="FF0000"/>
          <w:u w:val="single"/>
        </w:rPr>
      </w:pPr>
      <w:r w:rsidRPr="00744E63">
        <w:rPr>
          <w:color w:val="FF0000"/>
          <w:u w:val="single"/>
        </w:rPr>
        <w:t xml:space="preserve">Esa generación esperaba tener seguridad laboral, casarse durante </w:t>
      </w:r>
      <w:r>
        <w:rPr>
          <w:color w:val="FF0000"/>
          <w:u w:val="single"/>
        </w:rPr>
        <w:t>su juventud, comprar una casa -</w:t>
      </w:r>
      <w:r w:rsidRPr="00744E63">
        <w:rPr>
          <w:color w:val="FF0000"/>
          <w:u w:val="single"/>
        </w:rPr>
        <w:t>qui</w:t>
      </w:r>
      <w:r>
        <w:rPr>
          <w:color w:val="FF0000"/>
          <w:u w:val="single"/>
        </w:rPr>
        <w:t>zás también una casa de verano-</w:t>
      </w:r>
      <w:r w:rsidRPr="00744E63">
        <w:rPr>
          <w:color w:val="FF0000"/>
          <w:u w:val="single"/>
        </w:rPr>
        <w:t xml:space="preserve"> y finalmente jubilarse de manera razonablemente segura. En general, estos jóvenes esperaban encontrarse en una mejor situación que la de sus padres.</w:t>
      </w:r>
    </w:p>
    <w:p w:rsidR="000711BB" w:rsidRPr="004A36A0" w:rsidRDefault="000711BB" w:rsidP="000711BB">
      <w:pPr>
        <w:pStyle w:val="NormalWeb"/>
        <w:spacing w:after="0"/>
        <w:jc w:val="both"/>
        <w:rPr>
          <w:color w:val="FF0000"/>
          <w:u w:val="single"/>
        </w:rPr>
      </w:pPr>
      <w:r w:rsidRPr="004A36A0">
        <w:rPr>
          <w:color w:val="FF0000"/>
          <w:u w:val="single"/>
        </w:rPr>
        <w:t>Si bien la actual generación de personas con mayor cantidad de años se encontró con baches en el camino; en su mayoría, sus expectativas se cumplieron. Ellos posiblemente obtuvieron más ganancias de capital provenientes de la valorización de sus viviendas en comparación con las ganancias provenientes de sus salarios. Casi con seguridad ellos pensaron que dichas ganancias eran extrañas,  pero aceptaron de buen agrado el regalo de nuestros mercados especulativos, y con frecuencia se felicitaron a sí mismos por comprar en el lugar correcto, en el momento adecuado.</w:t>
      </w:r>
    </w:p>
    <w:p w:rsidR="000711BB" w:rsidRPr="004A36A0" w:rsidRDefault="000711BB" w:rsidP="000711BB">
      <w:pPr>
        <w:pStyle w:val="NormalWeb"/>
        <w:spacing w:after="0"/>
        <w:jc w:val="both"/>
        <w:rPr>
          <w:color w:val="FF0000"/>
          <w:u w:val="single"/>
        </w:rPr>
      </w:pPr>
      <w:r w:rsidRPr="004A36A0">
        <w:rPr>
          <w:color w:val="FF0000"/>
          <w:u w:val="single"/>
        </w:rPr>
        <w:t>Hoy en día, las expectativas de los jóvenes, dondequiera que se encuentren en la distribución del ingreso, son diametralmente opuestas. Ellos se enfrentan a la inseguridad laboral a lo largo de su vida entera. En promedio, muchos graduados universitarios buscarán durante meses antes de que e</w:t>
      </w:r>
      <w:r>
        <w:rPr>
          <w:color w:val="FF0000"/>
          <w:u w:val="single"/>
        </w:rPr>
        <w:t>ncuentren un puesto de trabajo -</w:t>
      </w:r>
      <w:r w:rsidRPr="004A36A0">
        <w:rPr>
          <w:color w:val="FF0000"/>
          <w:u w:val="single"/>
        </w:rPr>
        <w:t xml:space="preserve"> a menudo sólo después de haber trabajado como internos en una o dos prácticas no remuneradas. Y, los antes mencionados se pueden contar entre aquellos con buena suerte, porque saben que sus compañeros más pobres, a algunos de los cuales les fue mejor en la universidad, no pueden permitirse el lujo de pasar un año o dos sin ingresos, y que estos últimos, para empezar, no tienen las conexiones para conseguir un puesto no remunerado como internos.</w:t>
      </w:r>
    </w:p>
    <w:p w:rsidR="000711BB" w:rsidRPr="004A36A0" w:rsidRDefault="000711BB" w:rsidP="000711BB">
      <w:pPr>
        <w:pStyle w:val="NormalWeb"/>
        <w:spacing w:after="0"/>
        <w:jc w:val="both"/>
        <w:rPr>
          <w:color w:val="FF0000"/>
          <w:u w:val="single"/>
        </w:rPr>
      </w:pPr>
      <w:r w:rsidRPr="004A36A0">
        <w:rPr>
          <w:color w:val="FF0000"/>
          <w:u w:val="single"/>
        </w:rPr>
        <w:t>Los jóvenes graduados universitarios de hoy e</w:t>
      </w:r>
      <w:r>
        <w:rPr>
          <w:color w:val="FF0000"/>
          <w:u w:val="single"/>
        </w:rPr>
        <w:t>n día están cargados con deuda -</w:t>
      </w:r>
      <w:r w:rsidRPr="004A36A0">
        <w:rPr>
          <w:color w:val="FF0000"/>
          <w:u w:val="single"/>
        </w:rPr>
        <w:t xml:space="preserve"> y los que son más pobres son los que tienen más deudas. Por lo tanto, no se preguntan cuál es el trabajo que les gustaría; sino, simplemente se preguntan cuál sería el trabajo que les permitirá pagar sus préstamos universitarios, mismos que a menudo serán una carga financiera para dichos jóvenes durante 20 o más años. Del mismo modo, la compra de una casa es un sueño lejano.</w:t>
      </w:r>
    </w:p>
    <w:p w:rsidR="000711BB" w:rsidRPr="004A36A0" w:rsidRDefault="000711BB" w:rsidP="000711BB">
      <w:pPr>
        <w:pStyle w:val="NormalWeb"/>
        <w:spacing w:after="0"/>
        <w:jc w:val="both"/>
        <w:rPr>
          <w:color w:val="FF0000"/>
          <w:u w:val="single"/>
        </w:rPr>
      </w:pPr>
      <w:r w:rsidRPr="004A36A0">
        <w:rPr>
          <w:color w:val="FF0000"/>
          <w:u w:val="single"/>
        </w:rPr>
        <w:t>Estas grandes dificultades se traducen en que los jóvenes no piensan mucho sobre su jubilación. Si lo hicieran, sólo se asustarían por la cantidad de dinero que necesitarán acumular para vivir una vida decente (es decir, una mejor vida a la que se vive cuando sólo se recibe las prestaciones de la seguridad social), si toman en cuenta en su análisis la posible persistencia de tasas de interés bajísimas.</w:t>
      </w:r>
    </w:p>
    <w:p w:rsidR="000711BB" w:rsidRPr="004A36A0" w:rsidRDefault="000711BB" w:rsidP="000711BB">
      <w:pPr>
        <w:pStyle w:val="NormalWeb"/>
        <w:spacing w:after="0"/>
        <w:jc w:val="both"/>
        <w:rPr>
          <w:color w:val="FF0000"/>
          <w:u w:val="single"/>
        </w:rPr>
      </w:pPr>
      <w:r w:rsidRPr="004A36A0">
        <w:rPr>
          <w:color w:val="FF0000"/>
          <w:u w:val="single"/>
        </w:rPr>
        <w:lastRenderedPageBreak/>
        <w:t>En resumen, los jóvenes de hoy ven el mundo a través de la lente de equidad intergeneracional. Al fin de cuentas, puede que a los hijos de padres de clase media alta les vaya bien porque ellos heredarán la riqueza de sus padres. Si bien es posible que no les guste este tipo de dependencia, les gustaría aún menos la alternativa: un “nuevo comienzo” en el que las cartas se apilan en contra de lograr algo que se asemeje a lo que una vez se consideró como un estilo de vida de clase media básica.</w:t>
      </w:r>
    </w:p>
    <w:p w:rsidR="000711BB" w:rsidRPr="004A36A0" w:rsidRDefault="000711BB" w:rsidP="000711BB">
      <w:pPr>
        <w:pStyle w:val="NormalWeb"/>
        <w:spacing w:after="0"/>
        <w:jc w:val="both"/>
        <w:rPr>
          <w:b/>
          <w:color w:val="FF0000"/>
          <w:u w:val="single"/>
        </w:rPr>
      </w:pPr>
      <w:r w:rsidRPr="004A36A0">
        <w:rPr>
          <w:b/>
          <w:color w:val="FF0000"/>
          <w:u w:val="single"/>
        </w:rPr>
        <w:t>Estas desigualdades no pueden ser fácilmente explicadas y desechadas. Lo que ocurrió no es que los jóvenes no trabajaron esforzadamente: estas dificultades afectan a los que pasaron largas horas estudiando, sobresalieron en la universidad e hicieron las cosas “bien”. La percepción sobre que</w:t>
      </w:r>
      <w:r>
        <w:rPr>
          <w:b/>
          <w:color w:val="FF0000"/>
          <w:u w:val="single"/>
        </w:rPr>
        <w:t xml:space="preserve"> existe una injusticia social -</w:t>
      </w:r>
      <w:r w:rsidRPr="004A36A0">
        <w:rPr>
          <w:b/>
          <w:color w:val="FF0000"/>
          <w:u w:val="single"/>
        </w:rPr>
        <w:t>es decir, sobre que el desarrollo de los</w:t>
      </w:r>
      <w:r>
        <w:rPr>
          <w:b/>
          <w:color w:val="FF0000"/>
          <w:u w:val="single"/>
        </w:rPr>
        <w:t xml:space="preserve"> eventos económicos es amañado-</w:t>
      </w:r>
      <w:r w:rsidRPr="004A36A0">
        <w:rPr>
          <w:b/>
          <w:color w:val="FF0000"/>
          <w:u w:val="single"/>
        </w:rPr>
        <w:t xml:space="preserve"> se aumenta cuando estos jóvenes ven que los banqueros, que son quienes causaron la crisis financiera, ahora son la causa del continuo malestar de la economía, y que dichos banqueros dejan sus puestos de trabajo cobrando mega-bonos, sin que a casi nadie se responsabilice por sus malas acciones. Se cometió fraude masivo, pero de alguna manera, en los hechos, nadie lo perpetró de manera particular. Las élites políticas prometieron que las “reformas” traerían consigo prosperidad sin precedentes. Y, sí lo hicieron, pero sólo para quienes se encuentran en la parte superior de la distribución de la riqueza, es decir para quienes forman parte del 1% más rico de la sociedad. Todos los demás, incluidos los jóvenes, recibieron inseguridad sin precedentes.</w:t>
      </w:r>
    </w:p>
    <w:p w:rsidR="000711BB" w:rsidRPr="004A36A0" w:rsidRDefault="000711BB" w:rsidP="000711BB">
      <w:pPr>
        <w:pStyle w:val="NormalWeb"/>
        <w:spacing w:after="0"/>
        <w:jc w:val="both"/>
        <w:rPr>
          <w:b/>
          <w:color w:val="FF0000"/>
          <w:u w:val="single"/>
        </w:rPr>
      </w:pPr>
      <w:r w:rsidRPr="004A36A0">
        <w:rPr>
          <w:b/>
          <w:color w:val="FF0000"/>
          <w:u w:val="single"/>
        </w:rPr>
        <w:t xml:space="preserve">Estas tres realidades </w:t>
      </w:r>
      <w:r>
        <w:rPr>
          <w:b/>
          <w:color w:val="FF0000"/>
          <w:u w:val="single"/>
        </w:rPr>
        <w:t>-</w:t>
      </w:r>
      <w:r w:rsidRPr="004A36A0">
        <w:rPr>
          <w:b/>
          <w:color w:val="FF0000"/>
          <w:u w:val="single"/>
        </w:rPr>
        <w:t>injusticia social en una escala sin precedentes, desigualdades masivas, y una pérd</w:t>
      </w:r>
      <w:r>
        <w:rPr>
          <w:b/>
          <w:color w:val="FF0000"/>
          <w:u w:val="single"/>
        </w:rPr>
        <w:t>ida de confianza en las élites-</w:t>
      </w:r>
      <w:r w:rsidRPr="004A36A0">
        <w:rPr>
          <w:b/>
          <w:color w:val="FF0000"/>
          <w:u w:val="single"/>
        </w:rPr>
        <w:t xml:space="preserve"> definen nuestro momento político, y lo definen así de manera correcta.</w:t>
      </w:r>
    </w:p>
    <w:p w:rsidR="000711BB" w:rsidRDefault="000711BB" w:rsidP="000711BB">
      <w:pPr>
        <w:pStyle w:val="NormalWeb"/>
        <w:spacing w:after="0"/>
        <w:jc w:val="both"/>
      </w:pPr>
      <w:r>
        <w:t>Más de lo mismo no es una respuesta. Esta es la razón por la que los partidos políticos de centro-derecha y de centro-izquierda en Europa están perdiendo. Estados Unidos está en una posición extraña: mientras los candidatos republicanos compiten en demagogia, con propuestas mal pensadas que empeorarían las cosas, ambos de los candidatos demócratas proponen cambios que -si ellos logran que se aprueben en el Congreso- cambiarían realmente la situación.</w:t>
      </w:r>
    </w:p>
    <w:p w:rsidR="000711BB" w:rsidRDefault="000711BB" w:rsidP="000711BB">
      <w:pPr>
        <w:pStyle w:val="NormalWeb"/>
        <w:spacing w:after="0"/>
        <w:jc w:val="both"/>
      </w:pPr>
      <w:r>
        <w:t>En caso de se adopten las reformas propuesta por Hillary Clinton o Bernie Sanders, se podría contener la capacidad que tiene el sistema financiero para aprovecharse de aquellos que ya se encuentran sobrellevando una vida muy precaria. Y, ambos de estos candidatos tienen propuestas para llevar a cabo reformas profundas que cambiarían la forma cómo Estados Unidos financia la educación superior.</w:t>
      </w:r>
    </w:p>
    <w:p w:rsidR="000711BB" w:rsidRPr="004A36A0" w:rsidRDefault="000711BB" w:rsidP="000711BB">
      <w:pPr>
        <w:pStyle w:val="NormalWeb"/>
        <w:spacing w:after="0"/>
        <w:jc w:val="both"/>
        <w:rPr>
          <w:color w:val="FF0000"/>
          <w:u w:val="single"/>
        </w:rPr>
      </w:pPr>
      <w:r w:rsidRPr="004A36A0">
        <w:rPr>
          <w:color w:val="FF0000"/>
          <w:u w:val="single"/>
        </w:rPr>
        <w:t>Sin embargo, aún queda mucho por hacer para que el sueño de la casa propia sea posible, no sólo para quienes tienen padres que les pueden ayudar con el pago de la cuota inicial, y para hacer que sea posible tener seguridad de jubilación, tomándose en cuenta los vaivenes del mercado de valores y el mundo con tasas de interés cerca de cero al que hemos entrado. Lo más importante es que los jóvenes no encontrarán un camino llano en el mercado laboral, si la economía no se desempeña de mejor manera. La tasa de desempleo “oficial” en Estados Unidos, que se encuentra en un nivel del 4,9%, enmascara niveles mucho más altos de desempleo encubierto, niveles que, por lo menos, entre otras consecuencias, hacen que los salarios se mantengan bajos.</w:t>
      </w:r>
    </w:p>
    <w:p w:rsidR="000711BB" w:rsidRPr="004A36A0" w:rsidRDefault="000711BB" w:rsidP="000711BB">
      <w:pPr>
        <w:pStyle w:val="NormalWeb"/>
        <w:spacing w:after="0"/>
        <w:jc w:val="both"/>
        <w:rPr>
          <w:color w:val="FF0000"/>
          <w:u w:val="single"/>
        </w:rPr>
      </w:pPr>
      <w:r w:rsidRPr="004A36A0">
        <w:rPr>
          <w:color w:val="FF0000"/>
          <w:u w:val="single"/>
        </w:rPr>
        <w:lastRenderedPageBreak/>
        <w:t>Sin embargo, no vamos a ser capaces de solucionar el problema si no lo reconocemos. Nuestros jóvenes sí lo reconocen.  Ellos perciben una ausencia de justicia intergeneracional, y tienen razón de estar muy enojados por ello.</w:t>
      </w:r>
    </w:p>
    <w:p w:rsidR="000711BB" w:rsidRPr="00B92CCB" w:rsidRDefault="000711BB" w:rsidP="000711BB">
      <w:pPr>
        <w:pStyle w:val="NormalWeb"/>
        <w:spacing w:after="0"/>
        <w:jc w:val="both"/>
      </w:pPr>
      <w:r>
        <w:t>(Joseph E. Stiglitz, recipient of the Nobel Memorial Prize in Economic Sciences in 2001 and the John Bates Clark Medal in 1979, is University Professor at Columbia University, Co-Chair of the High-Level Expert Group on the Measurement of Economic Performance and Social Progress at the OECD…)</w:t>
      </w:r>
    </w:p>
    <w:p w:rsidR="000711BB" w:rsidRPr="00D312F8" w:rsidRDefault="000711BB" w:rsidP="000711BB">
      <w:pPr>
        <w:spacing w:before="150" w:after="150" w:line="240" w:lineRule="auto"/>
        <w:jc w:val="both"/>
        <w:rPr>
          <w:rFonts w:ascii="Times New Roman" w:hAnsi="Times New Roman" w:cs="Times New Roman"/>
          <w:color w:val="000000"/>
          <w:sz w:val="24"/>
          <w:szCs w:val="24"/>
        </w:rPr>
      </w:pPr>
      <w:r w:rsidRPr="00222899">
        <w:rPr>
          <w:rFonts w:ascii="Times New Roman" w:hAnsi="Times New Roman" w:cs="Times New Roman"/>
          <w:color w:val="000000"/>
          <w:sz w:val="24"/>
          <w:szCs w:val="24"/>
        </w:rPr>
        <w:t xml:space="preserve">- </w:t>
      </w:r>
      <w:r w:rsidRPr="00D312F8">
        <w:rPr>
          <w:rFonts w:ascii="Times New Roman" w:hAnsi="Times New Roman" w:cs="Times New Roman"/>
          <w:color w:val="000000"/>
          <w:sz w:val="24"/>
          <w:szCs w:val="24"/>
          <w:u w:val="single"/>
        </w:rPr>
        <w:t>Nuevas reglas de juego monetarias</w:t>
      </w:r>
      <w:r>
        <w:rPr>
          <w:rFonts w:ascii="Times New Roman" w:hAnsi="Times New Roman" w:cs="Times New Roman"/>
          <w:color w:val="000000"/>
          <w:sz w:val="24"/>
          <w:szCs w:val="24"/>
        </w:rPr>
        <w:t xml:space="preserve"> (Project Syndicate - </w:t>
      </w:r>
      <w:r w:rsidRPr="00D312F8">
        <w:rPr>
          <w:rFonts w:ascii="Times New Roman" w:hAnsi="Times New Roman" w:cs="Times New Roman"/>
          <w:b/>
          <w:color w:val="000000"/>
          <w:sz w:val="24"/>
          <w:szCs w:val="24"/>
        </w:rPr>
        <w:t>21/3/16</w:t>
      </w:r>
      <w:r>
        <w:rPr>
          <w:rFonts w:ascii="Times New Roman" w:hAnsi="Times New Roman" w:cs="Times New Roman"/>
          <w:color w:val="000000"/>
          <w:sz w:val="24"/>
          <w:szCs w:val="24"/>
        </w:rPr>
        <w:t>)</w:t>
      </w:r>
    </w:p>
    <w:p w:rsidR="000711BB" w:rsidRPr="00084843" w:rsidRDefault="000711BB" w:rsidP="000711BB">
      <w:pPr>
        <w:spacing w:before="150" w:after="150" w:line="240" w:lineRule="auto"/>
        <w:jc w:val="both"/>
        <w:rPr>
          <w:rFonts w:ascii="Times New Roman" w:hAnsi="Times New Roman" w:cs="Times New Roman"/>
          <w:color w:val="000000"/>
          <w:sz w:val="24"/>
          <w:szCs w:val="24"/>
          <w:u w:val="single"/>
        </w:rPr>
      </w:pPr>
      <w:r w:rsidRPr="00D312F8">
        <w:rPr>
          <w:rFonts w:ascii="Times New Roman" w:hAnsi="Times New Roman" w:cs="Times New Roman"/>
          <w:color w:val="000000"/>
          <w:sz w:val="24"/>
          <w:szCs w:val="24"/>
        </w:rPr>
        <w:t>N</w:t>
      </w:r>
      <w:r>
        <w:rPr>
          <w:rFonts w:ascii="Times New Roman" w:hAnsi="Times New Roman" w:cs="Times New Roman"/>
          <w:color w:val="000000"/>
          <w:sz w:val="24"/>
          <w:szCs w:val="24"/>
        </w:rPr>
        <w:t>ueva Delhi.-</w:t>
      </w:r>
      <w:r w:rsidRPr="00D312F8">
        <w:rPr>
          <w:rFonts w:ascii="Times New Roman" w:hAnsi="Times New Roman" w:cs="Times New Roman"/>
          <w:color w:val="000000"/>
          <w:sz w:val="24"/>
          <w:szCs w:val="24"/>
        </w:rPr>
        <w:t xml:space="preserve"> </w:t>
      </w:r>
      <w:r w:rsidRPr="00084843">
        <w:rPr>
          <w:rFonts w:ascii="Times New Roman" w:hAnsi="Times New Roman" w:cs="Times New Roman"/>
          <w:color w:val="000000"/>
          <w:sz w:val="24"/>
          <w:szCs w:val="24"/>
          <w:u w:val="single"/>
        </w:rPr>
        <w:t>El mundo se enfrenta a una situación cada vez más peligrosa. Tanto las economías avanzadas como las emergentes necesitan crecer para aliviar tensiones políticas internas. Pero pocas lo están haciendo. Si los gobiernos responden con políticas que busquen desviar crecimiento de otros países, esta táctica de “empobrecer al vecino” no hará más que fomentar la inestabilidad en otras partes. Se necesitan reglas de juego nuevas.</w:t>
      </w:r>
    </w:p>
    <w:p w:rsidR="000711BB" w:rsidRPr="00084843" w:rsidRDefault="000711BB" w:rsidP="000711BB">
      <w:pPr>
        <w:spacing w:before="150" w:after="150" w:line="240" w:lineRule="auto"/>
        <w:jc w:val="both"/>
        <w:rPr>
          <w:rFonts w:ascii="Times New Roman" w:hAnsi="Times New Roman" w:cs="Times New Roman"/>
          <w:color w:val="FF0000"/>
          <w:sz w:val="24"/>
          <w:szCs w:val="24"/>
          <w:u w:val="single"/>
        </w:rPr>
      </w:pPr>
      <w:r w:rsidRPr="00084843">
        <w:rPr>
          <w:rFonts w:ascii="Times New Roman" w:hAnsi="Times New Roman" w:cs="Times New Roman"/>
          <w:color w:val="FF0000"/>
          <w:sz w:val="24"/>
          <w:szCs w:val="24"/>
          <w:u w:val="single"/>
        </w:rPr>
        <w:t>¿Por qué es tan difícil volver a índices de crecimiento como los de antes de la Gran Recesión? La respuesta inmediata es que la bonanza anterior a la crisis financiera global de 2008 dejó a las economías avanzadas con una carga de endeudamiento excesivo que inhibe el crecimiento. Un remedio posible sería cancelar deudas para revitalizar la demanda, pero no es seguro que sea políticamente viable o que la demanda así generada sea sostenible. Además, puede ser que la recuperación también esté impedida por factores estructurales (como el envejecimiento poblacional y el bajo crecimiento de la productividad) que antes estaban enmascarados por la demanda a crédito.</w:t>
      </w:r>
    </w:p>
    <w:p w:rsidR="000711BB" w:rsidRPr="00084843" w:rsidRDefault="000711BB" w:rsidP="000711BB">
      <w:pPr>
        <w:spacing w:before="150" w:after="150" w:line="240" w:lineRule="auto"/>
        <w:jc w:val="both"/>
        <w:rPr>
          <w:rFonts w:ascii="Times New Roman" w:hAnsi="Times New Roman" w:cs="Times New Roman"/>
          <w:color w:val="FF0000"/>
          <w:sz w:val="24"/>
          <w:szCs w:val="24"/>
          <w:u w:val="single"/>
        </w:rPr>
      </w:pPr>
      <w:r w:rsidRPr="00084843">
        <w:rPr>
          <w:rFonts w:ascii="Times New Roman" w:hAnsi="Times New Roman" w:cs="Times New Roman"/>
          <w:color w:val="FF0000"/>
          <w:sz w:val="24"/>
          <w:szCs w:val="24"/>
          <w:u w:val="single"/>
        </w:rPr>
        <w:t>Los políticos saben que el modo de resolver esos obstáculos es mediante reformas estructurales que aumenten la competencia, fomenten la innovación y promuevan cambios institucionales. Pero también saben que el costo de las reformas es inmediato, mientras que las ganancias suelen demorar y sus beneficiarios son inciertos. Como señaló Jean-Claude Juncker (entonces primer ministro de Luxemburgo) en lo peor de la crisis del euro: “Todos sabemos lo que hay que hacer; lo que no sabemos es cómo lograr que nos reelijan después de hacerlo”.</w:t>
      </w:r>
    </w:p>
    <w:p w:rsidR="000711BB" w:rsidRPr="00084843" w:rsidRDefault="000711BB" w:rsidP="000711BB">
      <w:pPr>
        <w:spacing w:before="150" w:after="150" w:line="240" w:lineRule="auto"/>
        <w:jc w:val="both"/>
        <w:rPr>
          <w:rFonts w:ascii="Times New Roman" w:hAnsi="Times New Roman" w:cs="Times New Roman"/>
          <w:color w:val="FF0000"/>
          <w:sz w:val="24"/>
          <w:szCs w:val="24"/>
          <w:u w:val="single"/>
        </w:rPr>
      </w:pPr>
      <w:r w:rsidRPr="00084843">
        <w:rPr>
          <w:rFonts w:ascii="Times New Roman" w:hAnsi="Times New Roman" w:cs="Times New Roman"/>
          <w:color w:val="FF0000"/>
          <w:sz w:val="24"/>
          <w:szCs w:val="24"/>
          <w:u w:val="single"/>
        </w:rPr>
        <w:t>Los bancos centrales se enfrentan a otro problema: una inflación que coquetea con el límite inferior permitido por sus mandatos. Como los tipos de interés ya están muy bajos, los bancos centrales de las economías avanzadas saben que no pueden sostener las expectativas de inflación con políticas monetarias convencionales (y no quieren decir que se quedaron sin municiones). En última instancia, siempre queda el recurso a lanzar dinero desde el helicóptero: que los bancos centrales impriman billetes y los suelten en las calles para crear inflación (más prosaicamente: entregar un cheque a cada ciudadano, y tal vez más a los pobres, que serán más proclives a gastarlo). También podrían ser más agresivos en el uso de otras herramientas no convencionales: compra de activos (la llamada flexibilización cuantitativa), tasas negativas, etc.</w:t>
      </w:r>
    </w:p>
    <w:p w:rsidR="000711BB" w:rsidRPr="00084843" w:rsidRDefault="000711BB" w:rsidP="000711BB">
      <w:pPr>
        <w:spacing w:before="150" w:after="150" w:line="240" w:lineRule="auto"/>
        <w:jc w:val="both"/>
        <w:rPr>
          <w:rFonts w:ascii="Times New Roman" w:hAnsi="Times New Roman" w:cs="Times New Roman"/>
          <w:color w:val="FF0000"/>
          <w:sz w:val="24"/>
          <w:szCs w:val="24"/>
          <w:u w:val="single"/>
        </w:rPr>
      </w:pPr>
      <w:r w:rsidRPr="00084843">
        <w:rPr>
          <w:rFonts w:ascii="Times New Roman" w:hAnsi="Times New Roman" w:cs="Times New Roman"/>
          <w:color w:val="FF0000"/>
          <w:sz w:val="24"/>
          <w:szCs w:val="24"/>
          <w:u w:val="single"/>
        </w:rPr>
        <w:t>¿Son esas políticas eficaces para fortalecer la demanda y el crecimiento? La política monetaria opera influyendo en las expectativas de la gente. Si la aplicación de una política cada vez más agresiva convence a la gente de que un desastre es inminente, puede ocurrir que las familias en vez de gastar, ahorren. Tendencia que se agravará si la gente percibe que en algún momento habrá que revertir las consecuencias de la política (distorsión de precios de activos, alto endeudamiento público, etc.).</w:t>
      </w:r>
    </w:p>
    <w:p w:rsidR="000711BB" w:rsidRPr="00084843" w:rsidRDefault="000711BB" w:rsidP="000711BB">
      <w:pPr>
        <w:spacing w:before="150" w:after="150" w:line="240" w:lineRule="auto"/>
        <w:jc w:val="both"/>
        <w:rPr>
          <w:rFonts w:ascii="Times New Roman" w:hAnsi="Times New Roman" w:cs="Times New Roman"/>
          <w:color w:val="FF0000"/>
          <w:sz w:val="24"/>
          <w:szCs w:val="24"/>
          <w:u w:val="single"/>
        </w:rPr>
      </w:pPr>
      <w:r w:rsidRPr="00084843">
        <w:rPr>
          <w:rFonts w:ascii="Times New Roman" w:hAnsi="Times New Roman" w:cs="Times New Roman"/>
          <w:color w:val="FF0000"/>
          <w:sz w:val="24"/>
          <w:szCs w:val="24"/>
          <w:u w:val="single"/>
        </w:rPr>
        <w:lastRenderedPageBreak/>
        <w:t>A la inversa, si se convence a la gente de que la política se mantendrá para siempre, tal vez se lance otra vez a comprar activos y endeudarse, lo que ayudaría a los bancos centrales a lograr sus objetivos en el corto plazo. Pero toda política debe cambiar, y cuando lo haga, las variaciones de precios de los activos provocarán una conmoción.</w:t>
      </w:r>
    </w:p>
    <w:p w:rsidR="000711BB" w:rsidRPr="00084843" w:rsidRDefault="000711BB" w:rsidP="000711BB">
      <w:pPr>
        <w:spacing w:before="150" w:after="150" w:line="240" w:lineRule="auto"/>
        <w:jc w:val="both"/>
        <w:rPr>
          <w:rFonts w:ascii="Times New Roman" w:hAnsi="Times New Roman" w:cs="Times New Roman"/>
          <w:color w:val="000000"/>
          <w:sz w:val="24"/>
          <w:szCs w:val="24"/>
          <w:u w:val="single"/>
        </w:rPr>
      </w:pPr>
      <w:r w:rsidRPr="00D312F8">
        <w:rPr>
          <w:rFonts w:ascii="Times New Roman" w:hAnsi="Times New Roman" w:cs="Times New Roman"/>
          <w:color w:val="000000"/>
          <w:sz w:val="24"/>
          <w:szCs w:val="24"/>
        </w:rPr>
        <w:t xml:space="preserve">Más allá de los efectos internos, todas las políticas monetarias provocan “derrames” externos. </w:t>
      </w:r>
      <w:r w:rsidRPr="00084843">
        <w:rPr>
          <w:rFonts w:ascii="Times New Roman" w:hAnsi="Times New Roman" w:cs="Times New Roman"/>
          <w:color w:val="000000"/>
          <w:sz w:val="24"/>
          <w:szCs w:val="24"/>
          <w:u w:val="single"/>
        </w:rPr>
        <w:t>En circunstancias normales, si un país reduce sus tipos de interés para estimular el consumo y la inversión locales, a esto le seguirá una devaluación de la moneda, que facilitará las exportaciones.</w:t>
      </w:r>
    </w:p>
    <w:p w:rsidR="000711BB" w:rsidRPr="00084843" w:rsidRDefault="000711BB" w:rsidP="000711BB">
      <w:pPr>
        <w:spacing w:before="150" w:after="150" w:line="240" w:lineRule="auto"/>
        <w:jc w:val="both"/>
        <w:rPr>
          <w:rFonts w:ascii="Times New Roman" w:hAnsi="Times New Roman" w:cs="Times New Roman"/>
          <w:color w:val="000000"/>
          <w:sz w:val="24"/>
          <w:szCs w:val="24"/>
          <w:u w:val="single"/>
        </w:rPr>
      </w:pPr>
      <w:r w:rsidRPr="00084843">
        <w:rPr>
          <w:rFonts w:ascii="Times New Roman" w:hAnsi="Times New Roman" w:cs="Times New Roman"/>
          <w:color w:val="000000"/>
          <w:sz w:val="24"/>
          <w:szCs w:val="24"/>
          <w:u w:val="single"/>
        </w:rPr>
        <w:t>Pero las circunstancias actuales no son normales. No es seguro que la demanda interna responda a políticas no convencionales. Además, estas producirán una distorsión de precios de los títulos de deuda pública locales que tal vez incentive a fondos de pensión y aseguradoras a comprar deuda en otros mercados extranjeros menos distorsionados.</w:t>
      </w:r>
      <w:r w:rsidRPr="00D312F8">
        <w:rPr>
          <w:rFonts w:ascii="Times New Roman" w:hAnsi="Times New Roman" w:cs="Times New Roman"/>
          <w:color w:val="000000"/>
          <w:sz w:val="24"/>
          <w:szCs w:val="24"/>
        </w:rPr>
        <w:t xml:space="preserve"> </w:t>
      </w:r>
      <w:r w:rsidRPr="00084843">
        <w:rPr>
          <w:rFonts w:ascii="Times New Roman" w:hAnsi="Times New Roman" w:cs="Times New Roman"/>
          <w:color w:val="000000"/>
          <w:sz w:val="24"/>
          <w:szCs w:val="24"/>
          <w:u w:val="single"/>
        </w:rPr>
        <w:t>Esa búsqueda de rentabilidad depreciará aún más la moneda local y aumentará el riesgo de que se lance una guerra de devaluaciones competitivas de la que ningún país saldrá ganando.</w:t>
      </w:r>
    </w:p>
    <w:p w:rsidR="000711BB" w:rsidRPr="00084843" w:rsidRDefault="000711BB" w:rsidP="000711BB">
      <w:pPr>
        <w:spacing w:before="150" w:after="150" w:line="240" w:lineRule="auto"/>
        <w:jc w:val="both"/>
        <w:rPr>
          <w:rFonts w:ascii="Times New Roman" w:hAnsi="Times New Roman" w:cs="Times New Roman"/>
          <w:color w:val="FF0000"/>
          <w:sz w:val="24"/>
          <w:szCs w:val="24"/>
          <w:u w:val="single"/>
        </w:rPr>
      </w:pPr>
      <w:r w:rsidRPr="00084843">
        <w:rPr>
          <w:rFonts w:ascii="Times New Roman" w:hAnsi="Times New Roman" w:cs="Times New Roman"/>
          <w:color w:val="FF0000"/>
          <w:sz w:val="24"/>
          <w:szCs w:val="24"/>
          <w:u w:val="single"/>
        </w:rPr>
        <w:t>Lo cierto es que hoy los bancos centrales de los países desarrollados pueden aducir toda clase de justificativos para sus políticas con tal de no nombrar lo innombrable: que tal vez el principal canal de transmisión sea el tipo de cambio. De ser así, se necesitan reglas monetarias que impidan a los bancos centrales poner sus mandatos locales por encima de la responsabilidad internacional de cada país.</w:t>
      </w:r>
    </w:p>
    <w:p w:rsidR="000711BB" w:rsidRPr="00084843" w:rsidRDefault="000711BB" w:rsidP="000711BB">
      <w:pPr>
        <w:spacing w:before="150" w:after="150" w:line="240" w:lineRule="auto"/>
        <w:jc w:val="both"/>
        <w:rPr>
          <w:rFonts w:ascii="Times New Roman" w:hAnsi="Times New Roman" w:cs="Times New Roman"/>
          <w:color w:val="000000"/>
          <w:sz w:val="24"/>
          <w:szCs w:val="24"/>
          <w:u w:val="single"/>
        </w:rPr>
      </w:pPr>
      <w:r w:rsidRPr="00084843">
        <w:rPr>
          <w:rFonts w:ascii="Times New Roman" w:hAnsi="Times New Roman" w:cs="Times New Roman"/>
          <w:color w:val="000000"/>
          <w:sz w:val="24"/>
          <w:szCs w:val="24"/>
          <w:u w:val="single"/>
        </w:rPr>
        <w:t>Si se nos permite una analogía con las reglas de tránsito, las políticas con pocos derrames negativos deberían tener luz “verde”; las que son admisibles transitoriamente, luz “amarilla”; y las que hay que evitar todo el tiempo, luz “roja”.</w:t>
      </w:r>
    </w:p>
    <w:p w:rsidR="000711BB" w:rsidRPr="00084843" w:rsidRDefault="000711BB" w:rsidP="000711BB">
      <w:pPr>
        <w:spacing w:before="150" w:after="150" w:line="240" w:lineRule="auto"/>
        <w:jc w:val="both"/>
        <w:rPr>
          <w:rFonts w:ascii="Times New Roman" w:hAnsi="Times New Roman" w:cs="Times New Roman"/>
          <w:color w:val="000000"/>
          <w:sz w:val="24"/>
          <w:szCs w:val="24"/>
          <w:u w:val="single"/>
        </w:rPr>
      </w:pPr>
      <w:r w:rsidRPr="00084843">
        <w:rPr>
          <w:rFonts w:ascii="Times New Roman" w:hAnsi="Times New Roman" w:cs="Times New Roman"/>
          <w:color w:val="000000"/>
          <w:sz w:val="24"/>
          <w:szCs w:val="24"/>
          <w:u w:val="single"/>
        </w:rPr>
        <w:t>Si una política tiene efectos positivos tanto para el país que la aplica como para los demás, decididamente es una política de luz verde. También podría serlo si estimula la economía local con derrames negativos externos que solo serán transitorios (todavía puede beneficiar a las otras economías, porque en algún momento impulsará la demanda de importaciones de la economía local).</w:t>
      </w:r>
    </w:p>
    <w:p w:rsidR="000711BB" w:rsidRPr="00084843" w:rsidRDefault="000711BB" w:rsidP="000711BB">
      <w:pPr>
        <w:spacing w:before="150" w:after="150" w:line="240" w:lineRule="auto"/>
        <w:jc w:val="both"/>
        <w:rPr>
          <w:rFonts w:ascii="Times New Roman" w:hAnsi="Times New Roman" w:cs="Times New Roman"/>
          <w:color w:val="000000"/>
          <w:sz w:val="24"/>
          <w:szCs w:val="24"/>
          <w:u w:val="single"/>
        </w:rPr>
      </w:pPr>
      <w:r w:rsidRPr="00084843">
        <w:rPr>
          <w:rFonts w:ascii="Times New Roman" w:hAnsi="Times New Roman" w:cs="Times New Roman"/>
          <w:color w:val="000000"/>
          <w:sz w:val="24"/>
          <w:szCs w:val="24"/>
          <w:u w:val="single"/>
        </w:rPr>
        <w:t>Un ejemplo de política de luz roja sería aquella política monetaria no convencional que no logra estimular la demanda interna de un país y genera grandes egresos de capitales que provocan burbujas de precios de activos en los mercados emergentes.</w:t>
      </w:r>
    </w:p>
    <w:p w:rsidR="000711BB" w:rsidRPr="00084843" w:rsidRDefault="000711BB" w:rsidP="000711BB">
      <w:pPr>
        <w:spacing w:before="150" w:after="150" w:line="240" w:lineRule="auto"/>
        <w:jc w:val="both"/>
        <w:rPr>
          <w:rFonts w:ascii="Times New Roman" w:hAnsi="Times New Roman" w:cs="Times New Roman"/>
          <w:color w:val="000000"/>
          <w:sz w:val="24"/>
          <w:szCs w:val="24"/>
          <w:u w:val="single"/>
        </w:rPr>
      </w:pPr>
      <w:r w:rsidRPr="00084843">
        <w:rPr>
          <w:rFonts w:ascii="Times New Roman" w:hAnsi="Times New Roman" w:cs="Times New Roman"/>
          <w:color w:val="000000"/>
          <w:sz w:val="24"/>
          <w:szCs w:val="24"/>
          <w:u w:val="single"/>
        </w:rPr>
        <w:t>Habrá muchas áreas grises (o amarillas, para seguir con la analogía). Podría haber una política con beneficios importantes para una economía grande que provoque perjuicios pequeños al resto del mundo, de modo que el efecto general sobre la economía mundial sea positivo. Tal política sería admisible por un tiempo, pero no para siempre.</w:t>
      </w:r>
    </w:p>
    <w:p w:rsidR="000711BB" w:rsidRPr="00D312F8" w:rsidRDefault="000711BB" w:rsidP="000711BB">
      <w:pPr>
        <w:spacing w:before="150" w:after="150" w:line="240" w:lineRule="auto"/>
        <w:jc w:val="both"/>
        <w:rPr>
          <w:rFonts w:ascii="Times New Roman" w:hAnsi="Times New Roman" w:cs="Times New Roman"/>
          <w:color w:val="000000"/>
          <w:sz w:val="24"/>
          <w:szCs w:val="24"/>
        </w:rPr>
      </w:pPr>
      <w:r w:rsidRPr="00084843">
        <w:rPr>
          <w:rFonts w:ascii="Times New Roman" w:hAnsi="Times New Roman" w:cs="Times New Roman"/>
          <w:color w:val="000000"/>
          <w:sz w:val="24"/>
          <w:szCs w:val="24"/>
          <w:u w:val="single"/>
        </w:rPr>
        <w:t>Incluso con los mejores datos, modelos e investigaciones empíricas, todavía estamos lejos de un acuerdo sobre los colores de las políticas actuales. Es hora de empezar a discutirlo</w:t>
      </w:r>
      <w:r w:rsidRPr="00D312F8">
        <w:rPr>
          <w:rFonts w:ascii="Times New Roman" w:hAnsi="Times New Roman" w:cs="Times New Roman"/>
          <w:color w:val="000000"/>
          <w:sz w:val="24"/>
          <w:szCs w:val="24"/>
        </w:rPr>
        <w:t>. Podríamos tomar investigaciones de académicos eminentes como punto de partida, y de allí llevar el debate a instituciones multilaterales como el Fondo Monetario Internacional y el G-20. Al principio habrá muchas dudas, pero con el tiempo el debate llevará a mejorar los modelos y los datos, y motivará a las autoridades a no adoptar políticas catalogadas claramente como “rojas”.</w:t>
      </w:r>
    </w:p>
    <w:p w:rsidR="000711BB" w:rsidRPr="00D312F8" w:rsidRDefault="000711BB" w:rsidP="000711BB">
      <w:pPr>
        <w:spacing w:before="150" w:after="150" w:line="240" w:lineRule="auto"/>
        <w:jc w:val="both"/>
        <w:rPr>
          <w:rFonts w:ascii="Times New Roman" w:hAnsi="Times New Roman" w:cs="Times New Roman"/>
          <w:color w:val="000000"/>
          <w:sz w:val="24"/>
          <w:szCs w:val="24"/>
        </w:rPr>
      </w:pPr>
      <w:r w:rsidRPr="00084843">
        <w:rPr>
          <w:rFonts w:ascii="Times New Roman" w:hAnsi="Times New Roman" w:cs="Times New Roman"/>
          <w:color w:val="000000"/>
          <w:sz w:val="24"/>
          <w:szCs w:val="24"/>
          <w:u w:val="single"/>
        </w:rPr>
        <w:t xml:space="preserve">Es de suponer que lo que tengo en mente demandará, en algún momento, un nuevo pacto internacional similar a Bretton Woods, y cierta reinterpretación de los mandatos de los bancos centrales con influencia en la economía global. Pero ya tenemos una base </w:t>
      </w:r>
      <w:r w:rsidRPr="00084843">
        <w:rPr>
          <w:rFonts w:ascii="Times New Roman" w:hAnsi="Times New Roman" w:cs="Times New Roman"/>
          <w:color w:val="000000"/>
          <w:sz w:val="24"/>
          <w:szCs w:val="24"/>
          <w:u w:val="single"/>
        </w:rPr>
        <w:lastRenderedPageBreak/>
        <w:t>para el debate.</w:t>
      </w:r>
      <w:r w:rsidRPr="00D312F8">
        <w:rPr>
          <w:rFonts w:ascii="Times New Roman" w:hAnsi="Times New Roman" w:cs="Times New Roman"/>
          <w:color w:val="000000"/>
          <w:sz w:val="24"/>
          <w:szCs w:val="24"/>
        </w:rPr>
        <w:t xml:space="preserve"> El artículo IV del convenio constitutivo del FMI señala: “En particular, todo país miembro (…) evitará manipular los tipos de cambio o el sistema monetario internacional para impedir el ajuste de la balanza de pagos u obtener ventajas competitivas desleales frente a otros países miembros (…)”.</w:t>
      </w:r>
    </w:p>
    <w:p w:rsidR="000711BB" w:rsidRPr="00084843" w:rsidRDefault="000711BB" w:rsidP="000711BB">
      <w:pPr>
        <w:spacing w:before="150" w:after="150" w:line="240" w:lineRule="auto"/>
        <w:jc w:val="both"/>
        <w:rPr>
          <w:rFonts w:ascii="Times New Roman" w:hAnsi="Times New Roman" w:cs="Times New Roman"/>
          <w:color w:val="FF0000"/>
          <w:sz w:val="24"/>
          <w:szCs w:val="24"/>
          <w:u w:val="single"/>
        </w:rPr>
      </w:pPr>
      <w:r w:rsidRPr="00084843">
        <w:rPr>
          <w:rFonts w:ascii="Times New Roman" w:hAnsi="Times New Roman" w:cs="Times New Roman"/>
          <w:color w:val="FF0000"/>
          <w:sz w:val="24"/>
          <w:szCs w:val="24"/>
          <w:u w:val="single"/>
        </w:rPr>
        <w:t>Fijar reglas nuevas llevará tiempo. Pero la comunidad internacional puede elegir. O seguimos fingiendo que la falta de un sistema monetario global no supone ningún problema (y esperamos que no provoque un desastre). O empezamos a crear un sistema apto para el mundo integrado del siglo XXI.</w:t>
      </w:r>
    </w:p>
    <w:p w:rsidR="000711BB" w:rsidRPr="00D312F8" w:rsidRDefault="000711BB" w:rsidP="000711BB">
      <w:pPr>
        <w:spacing w:before="150" w:after="150" w:line="240" w:lineRule="auto"/>
        <w:jc w:val="both"/>
        <w:rPr>
          <w:rFonts w:ascii="Times New Roman" w:hAnsi="Times New Roman" w:cs="Times New Roman"/>
          <w:color w:val="000000"/>
          <w:sz w:val="24"/>
          <w:szCs w:val="24"/>
        </w:rPr>
      </w:pPr>
      <w:r w:rsidRPr="00D312F8">
        <w:rPr>
          <w:rFonts w:ascii="Times New Roman" w:hAnsi="Times New Roman" w:cs="Times New Roman"/>
          <w:color w:val="000000"/>
          <w:sz w:val="24"/>
          <w:szCs w:val="24"/>
        </w:rPr>
        <w:t>Este artículo se basa en</w:t>
      </w:r>
      <w:r w:rsidR="00C544E2">
        <w:rPr>
          <w:rFonts w:ascii="Times New Roman" w:hAnsi="Times New Roman" w:cs="Times New Roman"/>
          <w:color w:val="000000"/>
          <w:sz w:val="24"/>
          <w:szCs w:val="24"/>
        </w:rPr>
        <w:t xml:space="preserve"> un</w:t>
      </w:r>
      <w:r w:rsidRPr="00D312F8">
        <w:rPr>
          <w:rFonts w:ascii="Times New Roman" w:hAnsi="Times New Roman" w:cs="Times New Roman"/>
          <w:color w:val="000000"/>
          <w:sz w:val="24"/>
          <w:szCs w:val="24"/>
        </w:rPr>
        <w:t xml:space="preserve"> trabajo realizado con la Dra. Prachi Mishra del Banco de Reserva de la India.</w:t>
      </w:r>
    </w:p>
    <w:p w:rsidR="000711BB" w:rsidRDefault="000711BB" w:rsidP="000711BB">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D312F8">
        <w:rPr>
          <w:rFonts w:ascii="Times New Roman" w:hAnsi="Times New Roman" w:cs="Times New Roman"/>
          <w:color w:val="000000"/>
          <w:sz w:val="24"/>
          <w:szCs w:val="24"/>
        </w:rPr>
        <w:t>Raghuram Rajan is Govern</w:t>
      </w:r>
      <w:r>
        <w:rPr>
          <w:rFonts w:ascii="Times New Roman" w:hAnsi="Times New Roman" w:cs="Times New Roman"/>
          <w:color w:val="000000"/>
          <w:sz w:val="24"/>
          <w:szCs w:val="24"/>
        </w:rPr>
        <w:t>or of the Reserve Bank of India)</w:t>
      </w:r>
    </w:p>
    <w:p w:rsidR="000711BB" w:rsidRPr="00360455" w:rsidRDefault="000711BB" w:rsidP="000711BB">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360455">
        <w:rPr>
          <w:rFonts w:ascii="Times New Roman" w:hAnsi="Times New Roman" w:cs="Times New Roman"/>
          <w:color w:val="000000"/>
          <w:sz w:val="24"/>
          <w:szCs w:val="24"/>
          <w:u w:val="single"/>
        </w:rPr>
        <w:t>El estado de Estados Unidos</w:t>
      </w:r>
      <w:r>
        <w:rPr>
          <w:rFonts w:ascii="Times New Roman" w:hAnsi="Times New Roman" w:cs="Times New Roman"/>
          <w:color w:val="000000"/>
          <w:sz w:val="24"/>
          <w:szCs w:val="24"/>
        </w:rPr>
        <w:t xml:space="preserve"> (Project Syndicate - </w:t>
      </w:r>
      <w:r w:rsidRPr="00360455">
        <w:rPr>
          <w:rFonts w:ascii="Times New Roman" w:hAnsi="Times New Roman" w:cs="Times New Roman"/>
          <w:b/>
          <w:color w:val="000000"/>
          <w:sz w:val="24"/>
          <w:szCs w:val="24"/>
        </w:rPr>
        <w:t>23/3/16</w:t>
      </w:r>
      <w:r>
        <w:rPr>
          <w:rFonts w:ascii="Times New Roman" w:hAnsi="Times New Roman" w:cs="Times New Roman"/>
          <w:color w:val="000000"/>
          <w:sz w:val="24"/>
          <w:szCs w:val="24"/>
        </w:rPr>
        <w:t>)</w:t>
      </w:r>
    </w:p>
    <w:p w:rsidR="000711BB" w:rsidRPr="00360455" w:rsidRDefault="000711BB" w:rsidP="000711BB">
      <w:pPr>
        <w:spacing w:before="150" w:after="150" w:line="240" w:lineRule="auto"/>
        <w:jc w:val="both"/>
        <w:rPr>
          <w:rFonts w:ascii="Times New Roman" w:hAnsi="Times New Roman" w:cs="Times New Roman"/>
          <w:color w:val="000000"/>
          <w:sz w:val="24"/>
          <w:szCs w:val="24"/>
        </w:rPr>
      </w:pPr>
      <w:r w:rsidRPr="00360455">
        <w:rPr>
          <w:rFonts w:ascii="Times New Roman" w:hAnsi="Times New Roman" w:cs="Times New Roman"/>
          <w:color w:val="000000"/>
          <w:sz w:val="24"/>
          <w:szCs w:val="24"/>
        </w:rPr>
        <w:t>N</w:t>
      </w:r>
      <w:r>
        <w:rPr>
          <w:rFonts w:ascii="Times New Roman" w:hAnsi="Times New Roman" w:cs="Times New Roman"/>
          <w:color w:val="000000"/>
          <w:sz w:val="24"/>
          <w:szCs w:val="24"/>
        </w:rPr>
        <w:t>ueva York.-</w:t>
      </w:r>
      <w:r w:rsidRPr="00360455">
        <w:rPr>
          <w:rFonts w:ascii="Times New Roman" w:hAnsi="Times New Roman" w:cs="Times New Roman"/>
          <w:color w:val="000000"/>
          <w:sz w:val="24"/>
          <w:szCs w:val="24"/>
        </w:rPr>
        <w:t xml:space="preserve"> Queda aún más de medio año antes de que se celebren las elecciones presidenciales de Estados Unidos, y es imposible saber con certeza quiénes serán nominados como candidatos para representar a los principales partidos políticos, y mucho menos quién será el ocupante número 45 de la Casa Blanca. Sin embargo, no es demasiado pronto para evaluar el estado de ánimo de los más de 320 millones de habitantes del país y lo que dicho estado de ánimo significará para el hombre o la mujer cuya candidatura prevalezca en última instancia, en la que parece ser para la mayoría de personas a lo largo de todo el mundo una novela política sin fin.</w:t>
      </w:r>
    </w:p>
    <w:p w:rsidR="000711BB" w:rsidRPr="003A35DE" w:rsidRDefault="000711BB" w:rsidP="000711BB">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Hoy en día, el estado de ánimo dominante en Estados Unidos es uno de considerable ansiedad, e incluso uno que muestra ira pura y simple. El Washington Post publicó recientemente una serie de cuatro partes de artículos que revelan la furia popular que se dirige contra Wall Street, los musulmanes, los acuerdos comerciales, Washington, las muertes por disparos de la policía, el presidente Barack Obama, los miembros del partido republicano, los inmigrantes y otros objetivos.</w:t>
      </w:r>
    </w:p>
    <w:p w:rsidR="000711BB" w:rsidRPr="003A35DE" w:rsidRDefault="000711BB" w:rsidP="000711BB">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Una de las peores descripciones que se aplica a una persona en la actualidad es denominarla como “político profesional”. Los beneficiarios del presente estado de ánimo son los candidatos anti-sistema que defienden políticas que van en oposición al libre comercio y la reforma migratoria y que exigen un cambio radical en las actuales políticas fiscales y de gasto. Puede que los detalles de lo que ellos defienden sean muy diferentes, pero sus plataformas comparten una promesa de cambio radical de lo que es el statu quo.</w:t>
      </w:r>
    </w:p>
    <w:p w:rsidR="000711BB" w:rsidRPr="00360455" w:rsidRDefault="000711BB" w:rsidP="000711BB">
      <w:pPr>
        <w:spacing w:before="150" w:after="150" w:line="240" w:lineRule="auto"/>
        <w:jc w:val="both"/>
        <w:rPr>
          <w:rFonts w:ascii="Times New Roman" w:hAnsi="Times New Roman" w:cs="Times New Roman"/>
          <w:color w:val="000000"/>
          <w:sz w:val="24"/>
          <w:szCs w:val="24"/>
        </w:rPr>
      </w:pPr>
      <w:r w:rsidRPr="00360455">
        <w:rPr>
          <w:rFonts w:ascii="Times New Roman" w:hAnsi="Times New Roman" w:cs="Times New Roman"/>
          <w:color w:val="000000"/>
          <w:sz w:val="24"/>
          <w:szCs w:val="24"/>
        </w:rPr>
        <w:t>Las razones para este estado de ánimo se hacen apenas evidentes por sí solas, ya que el país está mejor económicamente en comparación a la situación en la que estuvo hace una media docena de años, durante el período inmediatamente posterior a la crisis económica 2007-2008. Se han creado más de nueve millones de puestos de trabajo desde entonces, las tasas de interés están en niveles bajos (haciendo que los préstamos para casas y automóviles sean más asequibles), y la caída en el precio de la gasolina es el equivalente a una reducción de impuestos de $</w:t>
      </w:r>
      <w:r>
        <w:rPr>
          <w:rFonts w:ascii="Times New Roman" w:hAnsi="Times New Roman" w:cs="Times New Roman"/>
          <w:color w:val="000000"/>
          <w:sz w:val="24"/>
          <w:szCs w:val="24"/>
        </w:rPr>
        <w:t xml:space="preserve"> </w:t>
      </w:r>
      <w:r w:rsidRPr="00360455">
        <w:rPr>
          <w:rFonts w:ascii="Times New Roman" w:hAnsi="Times New Roman" w:cs="Times New Roman"/>
          <w:color w:val="000000"/>
          <w:sz w:val="24"/>
          <w:szCs w:val="24"/>
        </w:rPr>
        <w:t>700 para la familia estadounidense promedio. Por otra parte, el mercado de valores ha aumentado alrededor de 200% desde su baja de hace siete años, y millones de personas que no tenían seguro de salud ahora tienen cobertura.</w:t>
      </w:r>
    </w:p>
    <w:p w:rsidR="000711BB" w:rsidRPr="003A35DE" w:rsidRDefault="000711BB" w:rsidP="000711BB">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 xml:space="preserve">No obstante, estas buenas noticias económicas se neutralizan, en muchos casos, con el débil crecimiento de los ingresos familiares mismos, que se han estancado en términos </w:t>
      </w:r>
      <w:r w:rsidRPr="003A35DE">
        <w:rPr>
          <w:rFonts w:ascii="Times New Roman" w:hAnsi="Times New Roman" w:cs="Times New Roman"/>
          <w:color w:val="FF0000"/>
          <w:sz w:val="24"/>
          <w:szCs w:val="24"/>
          <w:u w:val="single"/>
        </w:rPr>
        <w:lastRenderedPageBreak/>
        <w:t>reales (ajustados a la inflación) durante aproximadamente un período de 15 años. El porcentaje de estadounidenses que trabajan a tiempo completo aún no ha alcanzado el nivel en el que estuvo hace siete años. Y, muchos temen que sus puestos de trabajo vayan a desaparecer debido a la competencia extranjera, las nuevas tecnologías o la subcontratación.</w:t>
      </w:r>
    </w:p>
    <w:p w:rsidR="000711BB" w:rsidRPr="003A35DE" w:rsidRDefault="000711BB" w:rsidP="000711BB">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Un gran número de estadounidenses viven durante más años, pero están ansiosos, ya que no han podido ahorrar los fondos necesarios para garantizar que su jubilación les permitirá vivir cómodamente durante sus años de vejez. Algunos pagan primas del seguro de salud que previamente habían evitado, debido a las estipulaciones de la reforma llevada a cabo por la administración de Obama.</w:t>
      </w:r>
    </w:p>
    <w:p w:rsidR="000711BB" w:rsidRPr="003A35DE" w:rsidRDefault="000711BB" w:rsidP="000711BB">
      <w:pPr>
        <w:spacing w:before="150" w:after="150" w:line="240" w:lineRule="auto"/>
        <w:jc w:val="both"/>
        <w:rPr>
          <w:rFonts w:ascii="Times New Roman" w:hAnsi="Times New Roman" w:cs="Times New Roman"/>
          <w:b/>
          <w:color w:val="FF0000"/>
          <w:sz w:val="24"/>
          <w:szCs w:val="24"/>
          <w:u w:val="single"/>
        </w:rPr>
      </w:pPr>
      <w:r w:rsidRPr="003A35DE">
        <w:rPr>
          <w:rFonts w:ascii="Times New Roman" w:hAnsi="Times New Roman" w:cs="Times New Roman"/>
          <w:b/>
          <w:color w:val="FF0000"/>
          <w:sz w:val="24"/>
          <w:szCs w:val="24"/>
          <w:u w:val="single"/>
        </w:rPr>
        <w:t xml:space="preserve">También se debe considerar el tema de la desigualdad. Este tema causa verdadera ira, pero el problema no es tanto la desigualdad por sí misma (desigualdad que si bien empeoró, no es nada inherentemente nuevo), sino lo que realmente causa verdadera molestia es la disminución de oportunidades. El sueño americano está quedando atrás, dejando el paso </w:t>
      </w:r>
      <w:r>
        <w:rPr>
          <w:rFonts w:ascii="Times New Roman" w:hAnsi="Times New Roman" w:cs="Times New Roman"/>
          <w:b/>
          <w:color w:val="FF0000"/>
          <w:sz w:val="24"/>
          <w:szCs w:val="24"/>
          <w:u w:val="single"/>
        </w:rPr>
        <w:t>libre a la conciencia de clase -</w:t>
      </w:r>
      <w:r w:rsidRPr="003A35DE">
        <w:rPr>
          <w:rFonts w:ascii="Times New Roman" w:hAnsi="Times New Roman" w:cs="Times New Roman"/>
          <w:b/>
          <w:color w:val="FF0000"/>
          <w:sz w:val="24"/>
          <w:szCs w:val="24"/>
          <w:u w:val="single"/>
        </w:rPr>
        <w:t xml:space="preserve"> este es un cambio profundo para un país que se cimienta en el ideal de que cualquier persona puede mejorar su vida si trabaja fuerte y duro.</w:t>
      </w:r>
    </w:p>
    <w:p w:rsidR="000711BB" w:rsidRPr="003A35DE" w:rsidRDefault="000711BB" w:rsidP="000711BB">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Sin embargo, las razones de la ansiedad y la ira trascienden las realidades y preocupaciones económicas. También se deben a la inseguridad física, ya sea a causa de la delincuencia o del temor al terrorismo. Asimismo, muchas comunidades se preocupan por la dirección que toman la cultura y la sociedad.</w:t>
      </w:r>
    </w:p>
    <w:p w:rsidR="000711BB" w:rsidRPr="003A35DE" w:rsidRDefault="000711BB" w:rsidP="000711BB">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Los medios de comunicación modernos tienden a empeorar las cosas. Nuestra época es una de “difusión estrecha y dirigida” o “narrowcasting”, no una de “difusión amplia” o “broadcasting”. Las personas están cada vez en mayor sintonía exclusiva con canales por cable o sitios web que simplemente refuerzan sus puntos de vista e ideologías.</w:t>
      </w:r>
    </w:p>
    <w:p w:rsidR="000711BB" w:rsidRPr="003A35DE" w:rsidRDefault="000711BB" w:rsidP="000711BB">
      <w:pPr>
        <w:spacing w:before="150" w:after="150" w:line="240" w:lineRule="auto"/>
        <w:jc w:val="both"/>
        <w:rPr>
          <w:rFonts w:ascii="Times New Roman" w:hAnsi="Times New Roman" w:cs="Times New Roman"/>
          <w:color w:val="000000"/>
          <w:sz w:val="24"/>
          <w:szCs w:val="24"/>
          <w:u w:val="single"/>
        </w:rPr>
      </w:pPr>
      <w:r w:rsidRPr="003A35DE">
        <w:rPr>
          <w:rFonts w:ascii="Times New Roman" w:hAnsi="Times New Roman" w:cs="Times New Roman"/>
          <w:color w:val="000000"/>
          <w:sz w:val="24"/>
          <w:szCs w:val="24"/>
          <w:u w:val="single"/>
        </w:rPr>
        <w:t>Esto no es para nada tranquilizador. El estado de ánimo nacional trasciende la campaña electoral y planteará un verdadero desafío para el nuevo presidente y para el Congreso. Las divisiones dentro y entre el partidos Demócrata y Republicano harán que sea casi imposible ceder para llegar a acuerdos y formar coaliciones que son esenciales para gobernar.</w:t>
      </w:r>
    </w:p>
    <w:p w:rsidR="000711BB" w:rsidRPr="003A35DE" w:rsidRDefault="000711BB" w:rsidP="000711BB">
      <w:pPr>
        <w:spacing w:before="150" w:after="150" w:line="240" w:lineRule="auto"/>
        <w:jc w:val="both"/>
        <w:rPr>
          <w:rFonts w:ascii="Times New Roman" w:hAnsi="Times New Roman" w:cs="Times New Roman"/>
          <w:color w:val="FF0000"/>
          <w:sz w:val="24"/>
          <w:szCs w:val="24"/>
          <w:u w:val="single"/>
        </w:rPr>
      </w:pPr>
      <w:r w:rsidRPr="003A35DE">
        <w:rPr>
          <w:rFonts w:ascii="Times New Roman" w:hAnsi="Times New Roman" w:cs="Times New Roman"/>
          <w:color w:val="FF0000"/>
          <w:sz w:val="24"/>
          <w:szCs w:val="24"/>
          <w:u w:val="single"/>
        </w:rPr>
        <w:t>Las preocupaciones con respecto a la jubilación y la asequibilidad de la atención de salud harán que sea mucho más difícil reformar los derechos que tienen las personas a recibir beneficios gubernamentales, a pesar de que la expansión de estos beneficios hará subir la deuda nacional a niveles récord. Se culpa al libre comercio por la pérdida de empleos y este está perdiendo apoyo, a pesar de que también ha sido fuente de nuevos puestos de trabajo y de mayores posibilidades de elección para los consumidores – y ha reforzado la posición estratégica de Estados Unidos en todo el mundo. La inmigración, que durante mucho tiempo ha sido parte de la tradición del país y una fuente de talento valioso, es ahora objeto de tanta controversia que las perspectivas de reforma son muy sombrías.</w:t>
      </w:r>
    </w:p>
    <w:p w:rsidR="000711BB" w:rsidRPr="003A35DE" w:rsidRDefault="000711BB" w:rsidP="000711BB">
      <w:pPr>
        <w:spacing w:before="150" w:after="150" w:line="240" w:lineRule="auto"/>
        <w:jc w:val="both"/>
        <w:rPr>
          <w:rFonts w:ascii="Times New Roman" w:hAnsi="Times New Roman" w:cs="Times New Roman"/>
          <w:color w:val="000000"/>
          <w:sz w:val="24"/>
          <w:szCs w:val="24"/>
          <w:u w:val="single"/>
        </w:rPr>
      </w:pPr>
      <w:r>
        <w:rPr>
          <w:rFonts w:ascii="Times New Roman" w:hAnsi="Times New Roman" w:cs="Times New Roman"/>
          <w:color w:val="000000"/>
          <w:sz w:val="24"/>
          <w:szCs w:val="24"/>
        </w:rPr>
        <w:t>El estado de ánimo de EEUU</w:t>
      </w:r>
      <w:r w:rsidRPr="00360455">
        <w:rPr>
          <w:rFonts w:ascii="Times New Roman" w:hAnsi="Times New Roman" w:cs="Times New Roman"/>
          <w:color w:val="000000"/>
          <w:sz w:val="24"/>
          <w:szCs w:val="24"/>
        </w:rPr>
        <w:t xml:space="preserve"> también puede intensificar el abordaje domestico de los funcionarios gubernamentales. </w:t>
      </w:r>
      <w:r w:rsidRPr="003A35DE">
        <w:rPr>
          <w:rFonts w:ascii="Times New Roman" w:hAnsi="Times New Roman" w:cs="Times New Roman"/>
          <w:color w:val="000000"/>
          <w:sz w:val="24"/>
          <w:szCs w:val="24"/>
          <w:u w:val="single"/>
        </w:rPr>
        <w:t>Muchos estadounidenses, ya desencantados por la participación de su gobierno en asuntos internacionales después de las intervenciones en Irak y Afganistán, mismas que costaron mucho más de lo que lograron, se encuen</w:t>
      </w:r>
      <w:r>
        <w:rPr>
          <w:rFonts w:ascii="Times New Roman" w:hAnsi="Times New Roman" w:cs="Times New Roman"/>
          <w:color w:val="000000"/>
          <w:sz w:val="24"/>
          <w:szCs w:val="24"/>
          <w:u w:val="single"/>
        </w:rPr>
        <w:t>tran escépticos sobre lo que EEUU</w:t>
      </w:r>
      <w:r w:rsidRPr="003A35DE">
        <w:rPr>
          <w:rFonts w:ascii="Times New Roman" w:hAnsi="Times New Roman" w:cs="Times New Roman"/>
          <w:color w:val="000000"/>
          <w:sz w:val="24"/>
          <w:szCs w:val="24"/>
          <w:u w:val="single"/>
        </w:rPr>
        <w:t xml:space="preserve"> puede lograr en el extranjero</w:t>
      </w:r>
      <w:r w:rsidRPr="00360455">
        <w:rPr>
          <w:rFonts w:ascii="Times New Roman" w:hAnsi="Times New Roman" w:cs="Times New Roman"/>
          <w:color w:val="000000"/>
          <w:sz w:val="24"/>
          <w:szCs w:val="24"/>
        </w:rPr>
        <w:t xml:space="preserve">. </w:t>
      </w:r>
      <w:r w:rsidRPr="003A35DE">
        <w:rPr>
          <w:rFonts w:ascii="Times New Roman" w:hAnsi="Times New Roman" w:cs="Times New Roman"/>
          <w:color w:val="000000"/>
          <w:sz w:val="24"/>
          <w:szCs w:val="24"/>
          <w:u w:val="single"/>
        </w:rPr>
        <w:t xml:space="preserve">Los estadounidenses se sienten frustrados con sus aliados, a quienes ven como participantes que no llevan la </w:t>
      </w:r>
      <w:r w:rsidRPr="003A35DE">
        <w:rPr>
          <w:rFonts w:ascii="Times New Roman" w:hAnsi="Times New Roman" w:cs="Times New Roman"/>
          <w:color w:val="000000"/>
          <w:sz w:val="24"/>
          <w:szCs w:val="24"/>
          <w:u w:val="single"/>
        </w:rPr>
        <w:lastRenderedPageBreak/>
        <w:t>porción justa de las cargas comunes, y están cada vez más convencidos de que el gobierno tiene que centrarse menos en el mundo y más en</w:t>
      </w:r>
      <w:r>
        <w:rPr>
          <w:rFonts w:ascii="Times New Roman" w:hAnsi="Times New Roman" w:cs="Times New Roman"/>
          <w:color w:val="000000"/>
          <w:sz w:val="24"/>
          <w:szCs w:val="24"/>
          <w:u w:val="single"/>
        </w:rPr>
        <w:t xml:space="preserve"> arreglar lo que está mal en EE</w:t>
      </w:r>
      <w:r w:rsidRPr="003A35DE">
        <w:rPr>
          <w:rFonts w:ascii="Times New Roman" w:hAnsi="Times New Roman" w:cs="Times New Roman"/>
          <w:color w:val="000000"/>
          <w:sz w:val="24"/>
          <w:szCs w:val="24"/>
          <w:u w:val="single"/>
        </w:rPr>
        <w:t>UU.</w:t>
      </w:r>
    </w:p>
    <w:p w:rsidR="000711BB" w:rsidRDefault="000711BB" w:rsidP="000711BB">
      <w:pPr>
        <w:spacing w:before="150" w:after="150" w:line="240" w:lineRule="auto"/>
        <w:jc w:val="both"/>
        <w:rPr>
          <w:rFonts w:ascii="Times New Roman" w:hAnsi="Times New Roman" w:cs="Times New Roman"/>
          <w:color w:val="000000"/>
          <w:sz w:val="24"/>
          <w:szCs w:val="24"/>
        </w:rPr>
      </w:pPr>
      <w:r w:rsidRPr="00360455">
        <w:rPr>
          <w:rFonts w:ascii="Times New Roman" w:hAnsi="Times New Roman" w:cs="Times New Roman"/>
          <w:color w:val="000000"/>
          <w:sz w:val="24"/>
          <w:szCs w:val="24"/>
        </w:rPr>
        <w:t>Sin lugar a dudas, algunas personas en otros países leerán todo esto con satisfacción; sin embargo, en general, estas son malas noticias para gran parte del mundo. Es menos probable que un Estados Unidos que se distrae y se divide esté dispuesto y sea capaz de tomar la iniciativa en cuanto a la promoción de estabilidad en el Medio Oriente, Europa o Asia, o en cuanto al cumplimiento de los desafíos mundiales. Y, sin el liderazgo de Estados Unidos, es probable que no se logren superar dichos desafíos, tornándose los mismos en problemas o, peor aún, en crisis.</w:t>
      </w:r>
    </w:p>
    <w:p w:rsidR="000711BB" w:rsidRDefault="000711BB" w:rsidP="000711BB">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360455">
        <w:rPr>
          <w:rFonts w:ascii="Times New Roman" w:hAnsi="Times New Roman" w:cs="Times New Roman"/>
          <w:color w:val="000000"/>
          <w:sz w:val="24"/>
          <w:szCs w:val="24"/>
        </w:rPr>
        <w:t>Richard N. Haass, President of the Council on Foreign Relations, previously served as Director of Policy Planning for the US State Department (2001-2003), and was President George W. Bush's special envoy to Northern Ireland and Coordinator for the Future of Afghanista</w:t>
      </w:r>
      <w:r>
        <w:rPr>
          <w:rFonts w:ascii="Times New Roman" w:hAnsi="Times New Roman" w:cs="Times New Roman"/>
          <w:color w:val="000000"/>
          <w:sz w:val="24"/>
          <w:szCs w:val="24"/>
        </w:rPr>
        <w:t>n</w:t>
      </w:r>
      <w:r w:rsidRPr="00360455">
        <w:rPr>
          <w:rFonts w:ascii="Times New Roman" w:hAnsi="Times New Roman" w:cs="Times New Roman"/>
          <w:color w:val="000000"/>
          <w:sz w:val="24"/>
          <w:szCs w:val="24"/>
        </w:rPr>
        <w:t>…</w:t>
      </w:r>
      <w:r>
        <w:rPr>
          <w:rFonts w:ascii="Times New Roman" w:hAnsi="Times New Roman" w:cs="Times New Roman"/>
          <w:color w:val="000000"/>
          <w:sz w:val="24"/>
          <w:szCs w:val="24"/>
        </w:rPr>
        <w:t>)</w:t>
      </w:r>
    </w:p>
    <w:p w:rsidR="000711BB" w:rsidRPr="00661DD3" w:rsidRDefault="000711BB" w:rsidP="000711BB">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661DD3">
        <w:rPr>
          <w:rFonts w:ascii="Times New Roman" w:hAnsi="Times New Roman" w:cs="Times New Roman"/>
          <w:color w:val="000000"/>
          <w:sz w:val="24"/>
          <w:szCs w:val="24"/>
          <w:u w:val="single"/>
        </w:rPr>
        <w:t>Sin lugar para los jóvenes (y las mujeres)</w:t>
      </w:r>
      <w:r>
        <w:rPr>
          <w:rFonts w:ascii="Times New Roman" w:hAnsi="Times New Roman" w:cs="Times New Roman"/>
          <w:color w:val="000000"/>
          <w:sz w:val="24"/>
          <w:szCs w:val="24"/>
        </w:rPr>
        <w:t xml:space="preserve"> (Project Syndicate - </w:t>
      </w:r>
      <w:r w:rsidRPr="00661DD3">
        <w:rPr>
          <w:rFonts w:ascii="Times New Roman" w:hAnsi="Times New Roman" w:cs="Times New Roman"/>
          <w:b/>
          <w:color w:val="000000"/>
          <w:sz w:val="24"/>
          <w:szCs w:val="24"/>
        </w:rPr>
        <w:t>28/3/16</w:t>
      </w:r>
      <w:r>
        <w:rPr>
          <w:rFonts w:ascii="Times New Roman" w:hAnsi="Times New Roman" w:cs="Times New Roman"/>
          <w:color w:val="000000"/>
          <w:sz w:val="24"/>
          <w:szCs w:val="24"/>
        </w:rPr>
        <w:t>)</w:t>
      </w:r>
    </w:p>
    <w:p w:rsidR="000711BB" w:rsidRPr="00BF0E1D" w:rsidRDefault="000711BB" w:rsidP="000711BB">
      <w:pPr>
        <w:spacing w:before="150" w:after="150" w:line="240" w:lineRule="auto"/>
        <w:jc w:val="both"/>
        <w:rPr>
          <w:rFonts w:ascii="Times New Roman" w:hAnsi="Times New Roman" w:cs="Times New Roman"/>
          <w:color w:val="000000"/>
          <w:sz w:val="24"/>
          <w:szCs w:val="24"/>
          <w:u w:val="single"/>
        </w:rPr>
      </w:pPr>
      <w:r>
        <w:rPr>
          <w:rFonts w:ascii="Times New Roman" w:hAnsi="Times New Roman" w:cs="Times New Roman"/>
          <w:color w:val="000000"/>
          <w:sz w:val="24"/>
          <w:szCs w:val="24"/>
        </w:rPr>
        <w:t>Milán.-</w:t>
      </w:r>
      <w:r w:rsidRPr="00661DD3">
        <w:rPr>
          <w:rFonts w:ascii="Times New Roman" w:hAnsi="Times New Roman" w:cs="Times New Roman"/>
          <w:color w:val="000000"/>
          <w:sz w:val="24"/>
          <w:szCs w:val="24"/>
        </w:rPr>
        <w:t xml:space="preserve"> </w:t>
      </w:r>
      <w:r w:rsidRPr="00BF0E1D">
        <w:rPr>
          <w:rFonts w:ascii="Times New Roman" w:hAnsi="Times New Roman" w:cs="Times New Roman"/>
          <w:color w:val="000000"/>
          <w:sz w:val="24"/>
          <w:szCs w:val="24"/>
          <w:u w:val="single"/>
        </w:rPr>
        <w:t>En los últimos 20 años, alrededor de medio millón de italianos de entre 18 y 39 años de edad emigraron, especialmente a países de la Unión Europea económicamente más dinámicos, como Alemania, Francia y el Reino Unido. Y son solo las cifras oficiales; es probable que el número real sea mucho mayor, tal vez más del doble. ¿Por qué se van los jóvenes italianos?</w:t>
      </w:r>
    </w:p>
    <w:p w:rsidR="000711BB" w:rsidRPr="00661DD3" w:rsidRDefault="000711BB" w:rsidP="000711BB">
      <w:pPr>
        <w:spacing w:before="150" w:after="150" w:line="240" w:lineRule="auto"/>
        <w:jc w:val="both"/>
        <w:rPr>
          <w:rFonts w:ascii="Times New Roman" w:hAnsi="Times New Roman" w:cs="Times New Roman"/>
          <w:color w:val="000000"/>
          <w:sz w:val="24"/>
          <w:szCs w:val="24"/>
        </w:rPr>
      </w:pPr>
      <w:r w:rsidRPr="00661DD3">
        <w:rPr>
          <w:rFonts w:ascii="Times New Roman" w:hAnsi="Times New Roman" w:cs="Times New Roman"/>
          <w:color w:val="000000"/>
          <w:sz w:val="24"/>
          <w:szCs w:val="24"/>
        </w:rPr>
        <w:t>No es por falta de representación política. Desde 2013, la proporción de parlamentarios italianos de menos de 40 años aumentó del 7% al 13%. Además, Italia tiene uno de los gobiernos más jóvenes de los países avanzados (solo la supera Francia). Y Matteo Renzi (41) es el primer ministro más joven de la historia de Italia.</w:t>
      </w:r>
    </w:p>
    <w:p w:rsidR="000711BB" w:rsidRPr="00BF0E1D" w:rsidRDefault="000711BB" w:rsidP="000711BB">
      <w:pPr>
        <w:spacing w:before="150" w:after="150" w:line="240" w:lineRule="auto"/>
        <w:jc w:val="both"/>
        <w:rPr>
          <w:rFonts w:ascii="Times New Roman" w:hAnsi="Times New Roman" w:cs="Times New Roman"/>
          <w:color w:val="000000"/>
          <w:sz w:val="24"/>
          <w:szCs w:val="24"/>
          <w:u w:val="single"/>
        </w:rPr>
      </w:pPr>
      <w:r w:rsidRPr="00BF0E1D">
        <w:rPr>
          <w:rFonts w:ascii="Times New Roman" w:hAnsi="Times New Roman" w:cs="Times New Roman"/>
          <w:color w:val="000000"/>
          <w:sz w:val="24"/>
          <w:szCs w:val="24"/>
          <w:u w:val="single"/>
        </w:rPr>
        <w:t>Sin embargo, los jóvenes italianos siguen profundamente insatisfechos con el estado de su país y con las oportunidades económicas que ofrece. A pesar de la promesa de Renzi de implementar reformas para rejuvenecer la economía y las instituciones del país (plataforma con la que ganó las elecciones en 2014), desde entonces se han ido unos 90. 000 italianos de menos de 40.</w:t>
      </w:r>
    </w:p>
    <w:p w:rsidR="000711BB" w:rsidRPr="00BF0E1D" w:rsidRDefault="000711BB" w:rsidP="000711BB">
      <w:pPr>
        <w:spacing w:before="150" w:after="150" w:line="240" w:lineRule="auto"/>
        <w:jc w:val="both"/>
        <w:rPr>
          <w:rFonts w:ascii="Times New Roman" w:hAnsi="Times New Roman" w:cs="Times New Roman"/>
          <w:color w:val="FF0000"/>
          <w:sz w:val="24"/>
          <w:szCs w:val="24"/>
          <w:u w:val="single"/>
        </w:rPr>
      </w:pPr>
      <w:r w:rsidRPr="00BF0E1D">
        <w:rPr>
          <w:rFonts w:ascii="Times New Roman" w:hAnsi="Times New Roman" w:cs="Times New Roman"/>
          <w:color w:val="FF0000"/>
          <w:sz w:val="24"/>
          <w:szCs w:val="24"/>
          <w:u w:val="single"/>
        </w:rPr>
        <w:t>El mensaje de Renzi, por más elaborado y optimista que sea, no puede ocultar la dura realidad económica de la Italia de hoy. Lo más preocupante es que el desempleo juvenil se mantiene en 39%, una de las cifras más altas de la UE y muy por encima del promedio del bloque, que es 20%. Corregir el desempleo juvenil estructural será difícil, porque un 26% de los menores de 30 años no estudian, trabajan ni reciben alguna capacitación (el segundo mayor porcentaje de la UE, solo superado por Grecia).</w:t>
      </w:r>
    </w:p>
    <w:p w:rsidR="000711BB" w:rsidRPr="00BF0E1D" w:rsidRDefault="000711BB" w:rsidP="000711BB">
      <w:pPr>
        <w:spacing w:before="150" w:after="150" w:line="240" w:lineRule="auto"/>
        <w:jc w:val="both"/>
        <w:rPr>
          <w:rFonts w:ascii="Times New Roman" w:hAnsi="Times New Roman" w:cs="Times New Roman"/>
          <w:color w:val="000000"/>
          <w:sz w:val="24"/>
          <w:szCs w:val="24"/>
          <w:u w:val="single"/>
        </w:rPr>
      </w:pPr>
      <w:r w:rsidRPr="00BF0E1D">
        <w:rPr>
          <w:rFonts w:ascii="Times New Roman" w:hAnsi="Times New Roman" w:cs="Times New Roman"/>
          <w:color w:val="FF0000"/>
          <w:sz w:val="24"/>
          <w:szCs w:val="24"/>
          <w:u w:val="single"/>
        </w:rPr>
        <w:t>Incluso para quienes tienen empleo hay motivos de descontento. Según Eurostat, los jóvenes italianos están entre los más insatisfechos con sus trabajos; muchos están convencidos de que los mejores empleos están reservados para quienes tienen buenas conexiones</w:t>
      </w:r>
      <w:r w:rsidRPr="00661DD3">
        <w:rPr>
          <w:rFonts w:ascii="Times New Roman" w:hAnsi="Times New Roman" w:cs="Times New Roman"/>
          <w:color w:val="000000"/>
          <w:sz w:val="24"/>
          <w:szCs w:val="24"/>
        </w:rPr>
        <w:t xml:space="preserve">. </w:t>
      </w:r>
      <w:r w:rsidRPr="00BF0E1D">
        <w:rPr>
          <w:rFonts w:ascii="Times New Roman" w:hAnsi="Times New Roman" w:cs="Times New Roman"/>
          <w:color w:val="000000"/>
          <w:sz w:val="24"/>
          <w:szCs w:val="24"/>
          <w:u w:val="single"/>
        </w:rPr>
        <w:t>Y en los hechos, la corrupción sigue siendo un importante problema en Italia</w:t>
      </w:r>
      <w:r w:rsidRPr="00661DD3">
        <w:rPr>
          <w:rFonts w:ascii="Times New Roman" w:hAnsi="Times New Roman" w:cs="Times New Roman"/>
          <w:color w:val="000000"/>
          <w:sz w:val="24"/>
          <w:szCs w:val="24"/>
        </w:rPr>
        <w:t xml:space="preserve">; los dos últimos alcaldes de Roma, por ejemplo, perdieron su puesto en medio de escándalos por malversación. </w:t>
      </w:r>
      <w:r w:rsidRPr="00BF0E1D">
        <w:rPr>
          <w:rFonts w:ascii="Times New Roman" w:hAnsi="Times New Roman" w:cs="Times New Roman"/>
          <w:color w:val="000000"/>
          <w:sz w:val="24"/>
          <w:szCs w:val="24"/>
          <w:u w:val="single"/>
        </w:rPr>
        <w:t>El año pasado, en el Índice de Percepción de Corrupción de Transparency International, Italia terminó en el lugar 61, el peor de todas las economías avanzadas.</w:t>
      </w:r>
    </w:p>
    <w:p w:rsidR="000711BB" w:rsidRPr="00661DD3" w:rsidRDefault="000711BB" w:rsidP="000711BB">
      <w:pPr>
        <w:spacing w:before="150" w:after="150" w:line="240" w:lineRule="auto"/>
        <w:jc w:val="both"/>
        <w:rPr>
          <w:rFonts w:ascii="Times New Roman" w:hAnsi="Times New Roman" w:cs="Times New Roman"/>
          <w:color w:val="000000"/>
          <w:sz w:val="24"/>
          <w:szCs w:val="24"/>
        </w:rPr>
      </w:pPr>
      <w:r w:rsidRPr="00BF0E1D">
        <w:rPr>
          <w:rFonts w:ascii="Times New Roman" w:hAnsi="Times New Roman" w:cs="Times New Roman"/>
          <w:color w:val="000000"/>
          <w:sz w:val="24"/>
          <w:szCs w:val="24"/>
          <w:u w:val="single"/>
        </w:rPr>
        <w:t>Para colmo de males, la economía italiana lleva años estancada</w:t>
      </w:r>
      <w:r w:rsidRPr="00661DD3">
        <w:rPr>
          <w:rFonts w:ascii="Times New Roman" w:hAnsi="Times New Roman" w:cs="Times New Roman"/>
          <w:color w:val="000000"/>
          <w:sz w:val="24"/>
          <w:szCs w:val="24"/>
        </w:rPr>
        <w:t xml:space="preserve">. Es cierto que sigue siendo la octava economía del mundo, con un ingreso anual per cápita de unos 26 000 </w:t>
      </w:r>
      <w:r w:rsidRPr="00661DD3">
        <w:rPr>
          <w:rFonts w:ascii="Times New Roman" w:hAnsi="Times New Roman" w:cs="Times New Roman"/>
          <w:color w:val="000000"/>
          <w:sz w:val="24"/>
          <w:szCs w:val="24"/>
        </w:rPr>
        <w:lastRenderedPageBreak/>
        <w:t>euros (29 300 dólares) y una tasa bruta de ahorro relativamente alta, igual al 18% del PIB. Pero de 2000 a 2015, el PIB real se redujo ligeramente y el ingreso per cápita real cayó un 0,5%. El período 2012</w:t>
      </w:r>
      <w:r w:rsidRPr="00661DD3">
        <w:rPr>
          <w:rFonts w:ascii="Cambria Math" w:hAnsi="Cambria Math" w:cs="Cambria Math"/>
          <w:color w:val="000000"/>
          <w:sz w:val="24"/>
          <w:szCs w:val="24"/>
        </w:rPr>
        <w:t>‑</w:t>
      </w:r>
      <w:r w:rsidRPr="00661DD3">
        <w:rPr>
          <w:rFonts w:ascii="Times New Roman" w:hAnsi="Times New Roman" w:cs="Times New Roman"/>
          <w:color w:val="000000"/>
          <w:sz w:val="24"/>
          <w:szCs w:val="24"/>
        </w:rPr>
        <w:t>2014 fue especialmente difícil, con una recesión profunda y prolongada que dio lugar a una caída de 2,1% del PIB real y 4,3% del ingreso real per cápita.</w:t>
      </w:r>
    </w:p>
    <w:p w:rsidR="000711BB" w:rsidRPr="00BF0E1D" w:rsidRDefault="000711BB" w:rsidP="000711BB">
      <w:pPr>
        <w:spacing w:before="150" w:after="150" w:line="240" w:lineRule="auto"/>
        <w:jc w:val="both"/>
        <w:rPr>
          <w:rFonts w:ascii="Times New Roman" w:hAnsi="Times New Roman" w:cs="Times New Roman"/>
          <w:color w:val="000000"/>
          <w:sz w:val="24"/>
          <w:szCs w:val="24"/>
          <w:u w:val="single"/>
        </w:rPr>
      </w:pPr>
      <w:r w:rsidRPr="00BF0E1D">
        <w:rPr>
          <w:rFonts w:ascii="Times New Roman" w:hAnsi="Times New Roman" w:cs="Times New Roman"/>
          <w:color w:val="000000"/>
          <w:sz w:val="24"/>
          <w:szCs w:val="24"/>
          <w:u w:val="single"/>
        </w:rPr>
        <w:t>No es raro entonces que muchos jóvenes prefieran emigrar a quedarse en Italia desempleados o subempleados y depender del sostén familiar. Claro que algunos terminan en empleos precarios o insatisfactorios en el extranjero. Pero para los más capacitados y cualificados, las oportunidades de hacer carrera en su vocación son considerablemente mayores en el extranjero que en Italia.</w:t>
      </w:r>
    </w:p>
    <w:p w:rsidR="000711BB" w:rsidRPr="00661DD3" w:rsidRDefault="000711BB" w:rsidP="000711BB">
      <w:pPr>
        <w:spacing w:before="150" w:after="150" w:line="240" w:lineRule="auto"/>
        <w:jc w:val="both"/>
        <w:rPr>
          <w:rFonts w:ascii="Times New Roman" w:hAnsi="Times New Roman" w:cs="Times New Roman"/>
          <w:color w:val="000000"/>
          <w:sz w:val="24"/>
          <w:szCs w:val="24"/>
        </w:rPr>
      </w:pPr>
      <w:r w:rsidRPr="00BF0E1D">
        <w:rPr>
          <w:rFonts w:ascii="Times New Roman" w:hAnsi="Times New Roman" w:cs="Times New Roman"/>
          <w:color w:val="FF0000"/>
          <w:sz w:val="24"/>
          <w:szCs w:val="24"/>
          <w:u w:val="single"/>
        </w:rPr>
        <w:t>Previsiblemente, los italianos mejor calificados son mayoría entre los que se van.</w:t>
      </w:r>
      <w:r w:rsidRPr="00BF0E1D">
        <w:rPr>
          <w:rFonts w:ascii="Times New Roman" w:hAnsi="Times New Roman" w:cs="Times New Roman"/>
          <w:color w:val="FF0000"/>
          <w:sz w:val="24"/>
          <w:szCs w:val="24"/>
        </w:rPr>
        <w:t xml:space="preserve"> </w:t>
      </w:r>
      <w:r w:rsidRPr="00661DD3">
        <w:rPr>
          <w:rFonts w:ascii="Times New Roman" w:hAnsi="Times New Roman" w:cs="Times New Roman"/>
          <w:color w:val="000000"/>
          <w:sz w:val="24"/>
          <w:szCs w:val="24"/>
        </w:rPr>
        <w:t>Esta tendencia empezó a fines de los ochenta, con doctores e investigadores que no hallaban lugar en las universidades locales (hiperjerárquicas, proclives a la corrupción y escasas de fondos). Luego los imitaron muchos otros profesionales, desde médicos y personal sanitario hasta bibliotecarios y especialistas en software.</w:t>
      </w:r>
    </w:p>
    <w:p w:rsidR="000711BB" w:rsidRPr="00661DD3" w:rsidRDefault="000711BB" w:rsidP="000711BB">
      <w:pPr>
        <w:spacing w:before="150" w:after="150" w:line="240" w:lineRule="auto"/>
        <w:jc w:val="both"/>
        <w:rPr>
          <w:rFonts w:ascii="Times New Roman" w:hAnsi="Times New Roman" w:cs="Times New Roman"/>
          <w:color w:val="000000"/>
          <w:sz w:val="24"/>
          <w:szCs w:val="24"/>
        </w:rPr>
      </w:pPr>
      <w:r w:rsidRPr="00BF0E1D">
        <w:rPr>
          <w:rFonts w:ascii="Times New Roman" w:hAnsi="Times New Roman" w:cs="Times New Roman"/>
          <w:color w:val="000000"/>
          <w:sz w:val="24"/>
          <w:szCs w:val="24"/>
          <w:u w:val="single"/>
        </w:rPr>
        <w:t>Hasta cierto punto, esta tendencia se compensa por la inmigración: por cada italiano que se va, llegan (oficialmente) tres inmigrantes. Este flujo de extranjeros (poco más de cinco millones de personas, el 8,3% de la población) es un hecho positivo para el balance demográfico del país</w:t>
      </w:r>
      <w:r w:rsidRPr="00661DD3">
        <w:rPr>
          <w:rFonts w:ascii="Times New Roman" w:hAnsi="Times New Roman" w:cs="Times New Roman"/>
          <w:color w:val="000000"/>
          <w:sz w:val="24"/>
          <w:szCs w:val="24"/>
        </w:rPr>
        <w:t>. Italia no solo tiene la población más anciana de la UE después de Alemania: 1,5 personas de más de 65 años por cada una de menos de 15; además su tasa de fertilidad (1,35 hijos por mujer) es una de las más bajas del mundo, casi a la par de Japón.</w:t>
      </w:r>
    </w:p>
    <w:p w:rsidR="000711BB" w:rsidRPr="00BF0E1D" w:rsidRDefault="000711BB" w:rsidP="000711BB">
      <w:pPr>
        <w:spacing w:before="150" w:after="150" w:line="240" w:lineRule="auto"/>
        <w:jc w:val="both"/>
        <w:rPr>
          <w:rFonts w:ascii="Times New Roman" w:hAnsi="Times New Roman" w:cs="Times New Roman"/>
          <w:color w:val="000000"/>
          <w:sz w:val="24"/>
          <w:szCs w:val="24"/>
          <w:u w:val="single"/>
        </w:rPr>
      </w:pPr>
      <w:r w:rsidRPr="00BF0E1D">
        <w:rPr>
          <w:rFonts w:ascii="Times New Roman" w:hAnsi="Times New Roman" w:cs="Times New Roman"/>
          <w:color w:val="000000"/>
          <w:sz w:val="24"/>
          <w:szCs w:val="24"/>
          <w:u w:val="single"/>
        </w:rPr>
        <w:t>Pero la limitada oferta de empleos cualificados en Italia en comparación con otros países avanzados de la UE también influye sobre los flujos migratorios. El 30% de los trabajadores extranjeros dicen estar demasiado calificados para el trabajo que realizan: Italia está perdiendo su atractivo, especialmente para los profesionales capacitados. Por ello, desde 2007 el ingreso anual de inmigrantes se redujo a la mitad, mientras que se triplicó la cantidad de emigrantes.</w:t>
      </w:r>
    </w:p>
    <w:p w:rsidR="000711BB" w:rsidRPr="00BF0E1D" w:rsidRDefault="000711BB" w:rsidP="000711BB">
      <w:pPr>
        <w:spacing w:before="150" w:after="150" w:line="240" w:lineRule="auto"/>
        <w:jc w:val="both"/>
        <w:rPr>
          <w:rFonts w:ascii="Times New Roman" w:hAnsi="Times New Roman" w:cs="Times New Roman"/>
          <w:color w:val="FF0000"/>
          <w:sz w:val="24"/>
          <w:szCs w:val="24"/>
          <w:u w:val="single"/>
        </w:rPr>
      </w:pPr>
      <w:r w:rsidRPr="00BF0E1D">
        <w:rPr>
          <w:rFonts w:ascii="Times New Roman" w:hAnsi="Times New Roman" w:cs="Times New Roman"/>
          <w:color w:val="FF0000"/>
          <w:sz w:val="24"/>
          <w:szCs w:val="24"/>
          <w:u w:val="single"/>
        </w:rPr>
        <w:t>Los que se quedan en Italia (tanto italianos como extranjeros) tienden a ser los menos capacitados. Alrededor del 41% de la población italiana tiene solamente educación básica, proporción considerablemente mayor que en la mayoría de los otros países europeos (a excepción de Portugal, Malta y España). Además, el 17% de la población italiana abandona los estudios prematuramente, y solo el 22% de los jóvenes reciben educación terciaria.</w:t>
      </w:r>
    </w:p>
    <w:p w:rsidR="000711BB" w:rsidRPr="00661DD3" w:rsidRDefault="000711BB" w:rsidP="000711BB">
      <w:pPr>
        <w:spacing w:before="150" w:after="150" w:line="240" w:lineRule="auto"/>
        <w:jc w:val="both"/>
        <w:rPr>
          <w:rFonts w:ascii="Times New Roman" w:hAnsi="Times New Roman" w:cs="Times New Roman"/>
          <w:color w:val="000000"/>
          <w:sz w:val="24"/>
          <w:szCs w:val="24"/>
        </w:rPr>
      </w:pPr>
      <w:r w:rsidRPr="00661DD3">
        <w:rPr>
          <w:rFonts w:ascii="Times New Roman" w:hAnsi="Times New Roman" w:cs="Times New Roman"/>
          <w:color w:val="000000"/>
          <w:sz w:val="24"/>
          <w:szCs w:val="24"/>
        </w:rPr>
        <w:t>La buena noticia es que Italia, junto con sus socios de la UE, ya se comprometió a mejorar estas cifras. La estrategia de crecimiento Europa 2020 de la Comisión Europea, que apunta a la creación de una “economía inteligente, sostenible e integradora”, propone como meta para 2020 que los países reduzcan el porcentaje de abandono escolar a menos del 10% y garanticen que al menos el 40% de las personas de entre 30 y 34 años tengan estudios superiores completos.</w:t>
      </w:r>
    </w:p>
    <w:p w:rsidR="000711BB" w:rsidRPr="00661DD3" w:rsidRDefault="000711BB" w:rsidP="000711BB">
      <w:pPr>
        <w:spacing w:before="150" w:after="150" w:line="240" w:lineRule="auto"/>
        <w:jc w:val="both"/>
        <w:rPr>
          <w:rFonts w:ascii="Times New Roman" w:hAnsi="Times New Roman" w:cs="Times New Roman"/>
          <w:color w:val="000000"/>
          <w:sz w:val="24"/>
          <w:szCs w:val="24"/>
        </w:rPr>
      </w:pPr>
      <w:r w:rsidRPr="00661DD3">
        <w:rPr>
          <w:rFonts w:ascii="Times New Roman" w:hAnsi="Times New Roman" w:cs="Times New Roman"/>
          <w:color w:val="000000"/>
          <w:sz w:val="24"/>
          <w:szCs w:val="24"/>
        </w:rPr>
        <w:t xml:space="preserve">Pero estas metas son solo un aspecto de una estrategia eficaz para revitalizar la economía italiana y su capacidad de atraer a los mejores profesionales. </w:t>
      </w:r>
      <w:r w:rsidRPr="00BF0E1D">
        <w:rPr>
          <w:rFonts w:ascii="Times New Roman" w:hAnsi="Times New Roman" w:cs="Times New Roman"/>
          <w:color w:val="000000"/>
          <w:sz w:val="24"/>
          <w:szCs w:val="24"/>
          <w:u w:val="single"/>
        </w:rPr>
        <w:t>El gobierno de Italia también debe cumplir su promesa de seguir flexibilizando el mercado laboral y combatir la corrupción (incluido el nepotismo).</w:t>
      </w:r>
      <w:r w:rsidRPr="00661DD3">
        <w:rPr>
          <w:rFonts w:ascii="Times New Roman" w:hAnsi="Times New Roman" w:cs="Times New Roman"/>
          <w:color w:val="000000"/>
          <w:sz w:val="24"/>
          <w:szCs w:val="24"/>
        </w:rPr>
        <w:t xml:space="preserve"> Pero las reformas serán difíciles de implementar con una economía mundial desacelerada y una herencia de larga recesión. Lo menos que puede decirse es que llevarán tiempo.</w:t>
      </w:r>
    </w:p>
    <w:p w:rsidR="000711BB" w:rsidRPr="00BF0E1D" w:rsidRDefault="000711BB" w:rsidP="000711BB">
      <w:pPr>
        <w:spacing w:before="150" w:after="150" w:line="240" w:lineRule="auto"/>
        <w:jc w:val="both"/>
        <w:rPr>
          <w:rFonts w:ascii="Times New Roman" w:hAnsi="Times New Roman" w:cs="Times New Roman"/>
          <w:color w:val="000000"/>
          <w:sz w:val="24"/>
          <w:szCs w:val="24"/>
          <w:u w:val="single"/>
        </w:rPr>
      </w:pPr>
      <w:r w:rsidRPr="00BF0E1D">
        <w:rPr>
          <w:rFonts w:ascii="Times New Roman" w:hAnsi="Times New Roman" w:cs="Times New Roman"/>
          <w:color w:val="000000"/>
          <w:sz w:val="24"/>
          <w:szCs w:val="24"/>
          <w:u w:val="single"/>
        </w:rPr>
        <w:lastRenderedPageBreak/>
        <w:t>Entretanto, los jóvenes italianos seguirán buscándose un futuro en otros países. Ni siquiera un primer ministro joven y optimista puede convencerlos de quedarse.</w:t>
      </w:r>
    </w:p>
    <w:p w:rsidR="000711BB" w:rsidRPr="00E14B41" w:rsidRDefault="000711BB" w:rsidP="000711BB">
      <w:pPr>
        <w:spacing w:before="150" w:after="15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661DD3">
        <w:rPr>
          <w:rFonts w:ascii="Times New Roman" w:hAnsi="Times New Roman" w:cs="Times New Roman"/>
          <w:color w:val="000000"/>
          <w:sz w:val="24"/>
          <w:szCs w:val="24"/>
        </w:rPr>
        <w:t>Paola Subacchi is Research Director of International Economics at Chatham House and Professor of Economics at the Universi</w:t>
      </w:r>
      <w:r>
        <w:rPr>
          <w:rFonts w:ascii="Times New Roman" w:hAnsi="Times New Roman" w:cs="Times New Roman"/>
          <w:color w:val="000000"/>
          <w:sz w:val="24"/>
          <w:szCs w:val="24"/>
        </w:rPr>
        <w:t>ty of Bologna)</w:t>
      </w:r>
    </w:p>
    <w:p w:rsidR="000711BB" w:rsidRPr="00FB4695"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B4695">
        <w:rPr>
          <w:rFonts w:ascii="Times New Roman" w:hAnsi="Times New Roman" w:cs="Times New Roman"/>
          <w:sz w:val="24"/>
          <w:szCs w:val="24"/>
          <w:u w:val="single"/>
        </w:rPr>
        <w:t>Las políticas monetarias no convencionales sobre zancos</w:t>
      </w:r>
      <w:r>
        <w:rPr>
          <w:rFonts w:ascii="Times New Roman" w:hAnsi="Times New Roman" w:cs="Times New Roman"/>
          <w:sz w:val="24"/>
          <w:szCs w:val="24"/>
        </w:rPr>
        <w:t xml:space="preserve"> (Project Syndicate - </w:t>
      </w:r>
      <w:r w:rsidRPr="00FB4695">
        <w:rPr>
          <w:rFonts w:ascii="Times New Roman" w:hAnsi="Times New Roman" w:cs="Times New Roman"/>
          <w:b/>
          <w:sz w:val="24"/>
          <w:szCs w:val="24"/>
        </w:rPr>
        <w:t>1/4/16</w:t>
      </w:r>
      <w:r>
        <w:rPr>
          <w:rFonts w:ascii="Times New Roman" w:hAnsi="Times New Roman" w:cs="Times New Roman"/>
          <w:sz w:val="24"/>
          <w:szCs w:val="24"/>
        </w:rPr>
        <w:t>)</w:t>
      </w:r>
    </w:p>
    <w:p w:rsidR="000711BB" w:rsidRPr="000433AF" w:rsidRDefault="000711BB" w:rsidP="000711BB">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Nueva York.-</w:t>
      </w:r>
      <w:r w:rsidRPr="00FB4695">
        <w:rPr>
          <w:rFonts w:ascii="Times New Roman" w:hAnsi="Times New Roman" w:cs="Times New Roman"/>
          <w:sz w:val="24"/>
          <w:szCs w:val="24"/>
        </w:rPr>
        <w:t xml:space="preserve"> </w:t>
      </w:r>
      <w:r w:rsidRPr="000433AF">
        <w:rPr>
          <w:rFonts w:ascii="Times New Roman" w:hAnsi="Times New Roman" w:cs="Times New Roman"/>
          <w:color w:val="FF0000"/>
          <w:sz w:val="24"/>
          <w:szCs w:val="24"/>
          <w:u w:val="single"/>
        </w:rPr>
        <w:t>Ya que tras la crisis financiera del año 2008 la mayoría de las economías avanzadas experimentaron recuperaciones anémicas, sus bancos centrales se vieron forzados a dejar las políti</w:t>
      </w:r>
      <w:r>
        <w:rPr>
          <w:rFonts w:ascii="Times New Roman" w:hAnsi="Times New Roman" w:cs="Times New Roman"/>
          <w:color w:val="FF0000"/>
          <w:sz w:val="24"/>
          <w:szCs w:val="24"/>
          <w:u w:val="single"/>
        </w:rPr>
        <w:t>cas monetarias convencionales -</w:t>
      </w:r>
      <w:r w:rsidRPr="000433AF">
        <w:rPr>
          <w:rFonts w:ascii="Times New Roman" w:hAnsi="Times New Roman" w:cs="Times New Roman"/>
          <w:color w:val="FF0000"/>
          <w:sz w:val="24"/>
          <w:szCs w:val="24"/>
          <w:u w:val="single"/>
        </w:rPr>
        <w:t xml:space="preserve">tales como la reducción de las tasas interés oficiales a través de compras en el mercado abierto de </w:t>
      </w:r>
      <w:r>
        <w:rPr>
          <w:rFonts w:ascii="Times New Roman" w:hAnsi="Times New Roman" w:cs="Times New Roman"/>
          <w:color w:val="FF0000"/>
          <w:sz w:val="24"/>
          <w:szCs w:val="24"/>
          <w:u w:val="single"/>
        </w:rPr>
        <w:t>bonos del Estado a corto plazo-</w:t>
      </w:r>
      <w:r w:rsidRPr="000433AF">
        <w:rPr>
          <w:rFonts w:ascii="Times New Roman" w:hAnsi="Times New Roman" w:cs="Times New Roman"/>
          <w:color w:val="FF0000"/>
          <w:sz w:val="24"/>
          <w:szCs w:val="24"/>
          <w:u w:val="single"/>
        </w:rPr>
        <w:t xml:space="preserve"> desplazándose hacia una diversidad de políticas no convencionales. A pesar de que se había alcanzado el límite nominal de cero para las tasas de i</w:t>
      </w:r>
      <w:r>
        <w:rPr>
          <w:rFonts w:ascii="Times New Roman" w:hAnsi="Times New Roman" w:cs="Times New Roman"/>
          <w:color w:val="FF0000"/>
          <w:sz w:val="24"/>
          <w:szCs w:val="24"/>
          <w:u w:val="single"/>
        </w:rPr>
        <w:t xml:space="preserve">nterés </w:t>
      </w:r>
      <w:r w:rsidR="00D43A67">
        <w:rPr>
          <w:rFonts w:ascii="Times New Roman" w:hAnsi="Times New Roman" w:cs="Times New Roman"/>
          <w:color w:val="FF0000"/>
          <w:sz w:val="24"/>
          <w:szCs w:val="24"/>
          <w:u w:val="single"/>
        </w:rPr>
        <w:t xml:space="preserve">-lo </w:t>
      </w:r>
      <w:r w:rsidRPr="000433AF">
        <w:rPr>
          <w:rFonts w:ascii="Times New Roman" w:hAnsi="Times New Roman" w:cs="Times New Roman"/>
          <w:color w:val="FF0000"/>
          <w:sz w:val="24"/>
          <w:szCs w:val="24"/>
          <w:u w:val="single"/>
        </w:rPr>
        <w:t>mismo que previamente sólo se considerab</w:t>
      </w:r>
      <w:r>
        <w:rPr>
          <w:rFonts w:ascii="Times New Roman" w:hAnsi="Times New Roman" w:cs="Times New Roman"/>
          <w:color w:val="FF0000"/>
          <w:sz w:val="24"/>
          <w:szCs w:val="24"/>
          <w:u w:val="single"/>
        </w:rPr>
        <w:t>a como una posibilidad teórica-</w:t>
      </w:r>
      <w:r w:rsidRPr="000433AF">
        <w:rPr>
          <w:rFonts w:ascii="Times New Roman" w:hAnsi="Times New Roman" w:cs="Times New Roman"/>
          <w:color w:val="FF0000"/>
          <w:sz w:val="24"/>
          <w:szCs w:val="24"/>
          <w:u w:val="single"/>
        </w:rPr>
        <w:t xml:space="preserve"> y se había aplicado la política de tasas de interés cero (ZIRP), el crecimiento se mantuvo anémico. Consecuentemente, los bancos centrales adoptaron medidas que ni siquiera existían en su conjunto de herramientas de política hace una década. Y, ahora, están a punto de hacer esto de nuevo.</w:t>
      </w:r>
    </w:p>
    <w:p w:rsidR="000711BB" w:rsidRPr="000433AF" w:rsidRDefault="000711BB" w:rsidP="000711BB">
      <w:pPr>
        <w:spacing w:line="240" w:lineRule="auto"/>
        <w:jc w:val="both"/>
        <w:rPr>
          <w:rFonts w:ascii="Times New Roman" w:hAnsi="Times New Roman" w:cs="Times New Roman"/>
          <w:color w:val="FF0000"/>
          <w:sz w:val="24"/>
          <w:szCs w:val="24"/>
          <w:u w:val="single"/>
        </w:rPr>
      </w:pPr>
      <w:r w:rsidRPr="000433AF">
        <w:rPr>
          <w:rFonts w:ascii="Times New Roman" w:hAnsi="Times New Roman" w:cs="Times New Roman"/>
          <w:color w:val="FF0000"/>
          <w:sz w:val="24"/>
          <w:szCs w:val="24"/>
          <w:u w:val="single"/>
        </w:rPr>
        <w:t>La lista de políticas no convencionales fue extensa. Una vez que las tasas de corto plazo ya estaban en cero, esta lista incluyó la flexibilización cuantitativa (QE) y las compras de bonos del Estado a largo plazo. Estas políticas estuvieron acompañadas por la relajación del crédito (CE), que tomó la forma de compras por parte de los bancos centrales de a</w:t>
      </w:r>
      <w:r>
        <w:rPr>
          <w:rFonts w:ascii="Times New Roman" w:hAnsi="Times New Roman" w:cs="Times New Roman"/>
          <w:color w:val="FF0000"/>
          <w:sz w:val="24"/>
          <w:szCs w:val="24"/>
          <w:u w:val="single"/>
        </w:rPr>
        <w:t>ctivos privados o semiprivados -</w:t>
      </w:r>
      <w:r w:rsidRPr="000433AF">
        <w:rPr>
          <w:rFonts w:ascii="Times New Roman" w:hAnsi="Times New Roman" w:cs="Times New Roman"/>
          <w:color w:val="FF0000"/>
          <w:sz w:val="24"/>
          <w:szCs w:val="24"/>
          <w:u w:val="single"/>
        </w:rPr>
        <w:t xml:space="preserve"> tales como hipotecas y otros valores respaldados por activos, bonos garantizados, bonos corporativos, fondos fiduciarios inmobiliarios, e incluso instrumentos de renta variable a través de fondos cotizados en bolsa. El objetivo fue reducir los diferenciales en el crédito privado (la diferencia entre los rendimientos de los activos privados y aquellos rendimientos de los bonos del Estado con un período de vencimiento similar) e impulsar, directa e indirectamente, el precio de otros activos de riesgo, tales como los precios de las acciones de renta variable y los bienes raíces.</w:t>
      </w:r>
    </w:p>
    <w:p w:rsidR="000711BB" w:rsidRPr="000433AF" w:rsidRDefault="000711BB" w:rsidP="000711BB">
      <w:pPr>
        <w:spacing w:line="240" w:lineRule="auto"/>
        <w:jc w:val="both"/>
        <w:rPr>
          <w:rFonts w:ascii="Times New Roman" w:hAnsi="Times New Roman" w:cs="Times New Roman"/>
          <w:color w:val="FF0000"/>
          <w:sz w:val="24"/>
          <w:szCs w:val="24"/>
          <w:u w:val="single"/>
        </w:rPr>
      </w:pPr>
      <w:r w:rsidRPr="000433AF">
        <w:rPr>
          <w:rFonts w:ascii="Times New Roman" w:hAnsi="Times New Roman" w:cs="Times New Roman"/>
          <w:sz w:val="24"/>
          <w:szCs w:val="24"/>
          <w:u w:val="single"/>
        </w:rPr>
        <w:t>Luego hubo una “orientación hacia delante” (FG), es decir, el compromiso de mantener las tasas de interés oficiales en cero durante más tiempo del justificado por los fundamentos económicos,  reduciendo, consecuentemente, aún más las tasas de interés a corto plazo</w:t>
      </w:r>
      <w:r w:rsidRPr="00FB4695">
        <w:rPr>
          <w:rFonts w:ascii="Times New Roman" w:hAnsi="Times New Roman" w:cs="Times New Roman"/>
          <w:sz w:val="24"/>
          <w:szCs w:val="24"/>
        </w:rPr>
        <w:t xml:space="preserve">. Por ejemplo,  comprometerse a mantener las tasas de interés oficiales en cero, digamos, durante un período de tres años implica que las tasas de interés de los valores con un vencimiento de hasta tres años también deberían caer a cero, siempre y cuando las tasas de interés de mediano plazo se basen en las expectativas referentes a las tasas de interés de corto plazo durante los próximos tres años. </w:t>
      </w:r>
      <w:r w:rsidRPr="000433AF">
        <w:rPr>
          <w:rFonts w:ascii="Times New Roman" w:hAnsi="Times New Roman" w:cs="Times New Roman"/>
          <w:color w:val="FF0000"/>
          <w:sz w:val="24"/>
          <w:szCs w:val="24"/>
          <w:u w:val="single"/>
        </w:rPr>
        <w:t>Y para coronar todo esto, hubo una intervención no esterilizada en el mercado de divisas con el propósito de impulsar las exportaciones a través de una moneda más débil.</w:t>
      </w:r>
    </w:p>
    <w:p w:rsidR="000711BB" w:rsidRPr="000433AF" w:rsidRDefault="000711BB" w:rsidP="000711BB">
      <w:pPr>
        <w:spacing w:line="240" w:lineRule="auto"/>
        <w:jc w:val="both"/>
        <w:rPr>
          <w:rFonts w:ascii="Times New Roman" w:hAnsi="Times New Roman" w:cs="Times New Roman"/>
          <w:color w:val="FF0000"/>
          <w:sz w:val="24"/>
          <w:szCs w:val="24"/>
          <w:u w:val="single"/>
        </w:rPr>
      </w:pPr>
      <w:r w:rsidRPr="000433AF">
        <w:rPr>
          <w:rFonts w:ascii="Times New Roman" w:hAnsi="Times New Roman" w:cs="Times New Roman"/>
          <w:color w:val="FF0000"/>
          <w:sz w:val="24"/>
          <w:szCs w:val="24"/>
          <w:u w:val="single"/>
        </w:rPr>
        <w:t>Estas políticas, efectivamente, redujeron las tasas de interés a largo y mediano plazo de los valores públicos y bonos hipotecarios. También estrecharon los diferenciales en tasas de interés crediticias  de activos privados, impulsaron el mercado de valores, debilitaron la moneda, y redujeron las tasas de interés reales al aumentar las expectativas de inflación. Por lo tanto, fueron parcialmente eficaces.</w:t>
      </w:r>
    </w:p>
    <w:p w:rsidR="000711BB" w:rsidRPr="000433AF" w:rsidRDefault="000711BB" w:rsidP="000711BB">
      <w:pPr>
        <w:spacing w:line="240" w:lineRule="auto"/>
        <w:jc w:val="both"/>
        <w:rPr>
          <w:rFonts w:ascii="Times New Roman" w:hAnsi="Times New Roman" w:cs="Times New Roman"/>
          <w:color w:val="FF0000"/>
          <w:sz w:val="24"/>
          <w:szCs w:val="24"/>
          <w:u w:val="single"/>
        </w:rPr>
      </w:pPr>
      <w:r w:rsidRPr="000433AF">
        <w:rPr>
          <w:rFonts w:ascii="Times New Roman" w:hAnsi="Times New Roman" w:cs="Times New Roman"/>
          <w:color w:val="FF0000"/>
          <w:sz w:val="24"/>
          <w:szCs w:val="24"/>
          <w:u w:val="single"/>
        </w:rPr>
        <w:t xml:space="preserve">Pero aún con todo esto, en la mayoría de las economías avanzadas, el crecimiento (y la inflación) se mantuvieron en niveles obstinadamente bajos. No hubo escasez de razones para que ello ocurra. Dado el desapalancamiento de altas deudas privadas y públicas, las </w:t>
      </w:r>
      <w:r w:rsidRPr="000433AF">
        <w:rPr>
          <w:rFonts w:ascii="Times New Roman" w:hAnsi="Times New Roman" w:cs="Times New Roman"/>
          <w:color w:val="FF0000"/>
          <w:sz w:val="24"/>
          <w:szCs w:val="24"/>
          <w:u w:val="single"/>
        </w:rPr>
        <w:lastRenderedPageBreak/>
        <w:t>políticas monetarias no convencionales pudieron evitar las recesiones severas y la deflación directa; pero, no pudieron lograr un crecimiento robusto y una inflación del 2%.</w:t>
      </w:r>
    </w:p>
    <w:p w:rsidR="000711BB" w:rsidRPr="000433AF" w:rsidRDefault="000711BB" w:rsidP="000711BB">
      <w:pPr>
        <w:spacing w:line="240" w:lineRule="auto"/>
        <w:jc w:val="both"/>
        <w:rPr>
          <w:rFonts w:ascii="Times New Roman" w:hAnsi="Times New Roman" w:cs="Times New Roman"/>
          <w:color w:val="FF0000"/>
          <w:sz w:val="24"/>
          <w:szCs w:val="24"/>
          <w:u w:val="single"/>
        </w:rPr>
      </w:pPr>
      <w:r w:rsidRPr="000433AF">
        <w:rPr>
          <w:rFonts w:ascii="Times New Roman" w:hAnsi="Times New Roman" w:cs="Times New Roman"/>
          <w:color w:val="FF0000"/>
          <w:sz w:val="24"/>
          <w:szCs w:val="24"/>
          <w:u w:val="single"/>
        </w:rPr>
        <w:t>Por otra parte, la combinación de políticas fue subóptima. Si bien la política monetaria puede desempeñar un papel importante con respecto a impulsar el crecimiento y la inflación, se necesitan políticas estructurales para aumentar el crecimiento potencial y evitar que las empresas, los hogares, los bancos y el gobierno se conviertan en zombis, crónicamente incapaces de gastar porque tienen demasiada deuda. Y, también fueron necesarias políticas fiscales para apoyar a la demanda agregada.</w:t>
      </w:r>
    </w:p>
    <w:p w:rsidR="000711BB" w:rsidRPr="000433AF" w:rsidRDefault="000711BB" w:rsidP="000711BB">
      <w:pPr>
        <w:spacing w:line="240" w:lineRule="auto"/>
        <w:jc w:val="both"/>
        <w:rPr>
          <w:rFonts w:ascii="Times New Roman" w:hAnsi="Times New Roman" w:cs="Times New Roman"/>
          <w:b/>
          <w:color w:val="FF0000"/>
          <w:sz w:val="24"/>
          <w:szCs w:val="24"/>
          <w:u w:val="single"/>
        </w:rPr>
      </w:pPr>
      <w:r w:rsidRPr="000433AF">
        <w:rPr>
          <w:rFonts w:ascii="Times New Roman" w:hAnsi="Times New Roman" w:cs="Times New Roman"/>
          <w:color w:val="FF0000"/>
          <w:sz w:val="24"/>
          <w:szCs w:val="24"/>
          <w:u w:val="single"/>
        </w:rPr>
        <w:t>Desafortunadamente, la economía política de la mayoría</w:t>
      </w:r>
      <w:r w:rsidR="00D43A67">
        <w:rPr>
          <w:rFonts w:ascii="Times New Roman" w:hAnsi="Times New Roman" w:cs="Times New Roman"/>
          <w:color w:val="FF0000"/>
          <w:sz w:val="24"/>
          <w:szCs w:val="24"/>
          <w:u w:val="single"/>
        </w:rPr>
        <w:t xml:space="preserve"> de las reformas estructurales -</w:t>
      </w:r>
      <w:r w:rsidRPr="000433AF">
        <w:rPr>
          <w:rFonts w:ascii="Times New Roman" w:hAnsi="Times New Roman" w:cs="Times New Roman"/>
          <w:color w:val="FF0000"/>
          <w:sz w:val="24"/>
          <w:szCs w:val="24"/>
          <w:u w:val="single"/>
        </w:rPr>
        <w:t xml:space="preserve"> con sus costos imputados al principio </w:t>
      </w:r>
      <w:r w:rsidR="00D43A67">
        <w:rPr>
          <w:rFonts w:ascii="Times New Roman" w:hAnsi="Times New Roman" w:cs="Times New Roman"/>
          <w:color w:val="FF0000"/>
          <w:sz w:val="24"/>
          <w:szCs w:val="24"/>
          <w:u w:val="single"/>
        </w:rPr>
        <w:t>y beneficio recibidos al final-</w:t>
      </w:r>
      <w:r w:rsidRPr="000433AF">
        <w:rPr>
          <w:rFonts w:ascii="Times New Roman" w:hAnsi="Times New Roman" w:cs="Times New Roman"/>
          <w:color w:val="FF0000"/>
          <w:sz w:val="24"/>
          <w:szCs w:val="24"/>
          <w:u w:val="single"/>
        </w:rPr>
        <w:t xml:space="preserve"> implica que dichas reformas progresen  muy lentamente. Al mismo tiempo, la política fiscal se ha visto limitada en algunos países por los altos déficits y deudas (que ponen en peligro el acceso al mercado), y en otros (tales como en los países de la eurozona, el Reino Unido y Estados Unidos) por una reacción política contra un mayor estímulo fiscal, lo que lleva a la aplicación de políticas de austeridad que socavan el crecimiento a corto plazo. </w:t>
      </w:r>
      <w:r w:rsidRPr="000433AF">
        <w:rPr>
          <w:rFonts w:ascii="Times New Roman" w:hAnsi="Times New Roman" w:cs="Times New Roman"/>
          <w:b/>
          <w:color w:val="FF0000"/>
          <w:sz w:val="24"/>
          <w:szCs w:val="24"/>
          <w:u w:val="single"/>
        </w:rPr>
        <w:t>Así que, nos guste o no, los bancos centrales se convirtieron en, y continúan siendo, los únicos que pueden actuar cuando se trata de brindar apoyo a la demanda agregada, aumentar el empleo y prevenir la deflación.</w:t>
      </w:r>
    </w:p>
    <w:p w:rsidR="000711BB" w:rsidRPr="000433AF" w:rsidRDefault="000711BB" w:rsidP="000711BB">
      <w:pPr>
        <w:spacing w:line="240" w:lineRule="auto"/>
        <w:jc w:val="both"/>
        <w:rPr>
          <w:rFonts w:ascii="Times New Roman" w:hAnsi="Times New Roman" w:cs="Times New Roman"/>
          <w:b/>
          <w:color w:val="FF0000"/>
          <w:sz w:val="24"/>
          <w:szCs w:val="24"/>
          <w:u w:val="single"/>
        </w:rPr>
      </w:pPr>
      <w:r w:rsidRPr="000433AF">
        <w:rPr>
          <w:rFonts w:ascii="Times New Roman" w:hAnsi="Times New Roman" w:cs="Times New Roman"/>
          <w:b/>
          <w:color w:val="FF0000"/>
          <w:sz w:val="24"/>
          <w:szCs w:val="24"/>
          <w:u w:val="single"/>
        </w:rPr>
        <w:t>Como resultado de ello, las políticas</w:t>
      </w:r>
      <w:r w:rsidR="00C544E2">
        <w:rPr>
          <w:rFonts w:ascii="Times New Roman" w:hAnsi="Times New Roman" w:cs="Times New Roman"/>
          <w:b/>
          <w:color w:val="FF0000"/>
          <w:sz w:val="24"/>
          <w:szCs w:val="24"/>
          <w:u w:val="single"/>
        </w:rPr>
        <w:t xml:space="preserve"> monetarias no convencionales -</w:t>
      </w:r>
      <w:r w:rsidRPr="000433AF">
        <w:rPr>
          <w:rFonts w:ascii="Times New Roman" w:hAnsi="Times New Roman" w:cs="Times New Roman"/>
          <w:b/>
          <w:color w:val="FF0000"/>
          <w:sz w:val="24"/>
          <w:szCs w:val="24"/>
          <w:u w:val="single"/>
        </w:rPr>
        <w:t>arra</w:t>
      </w:r>
      <w:r w:rsidR="00C544E2">
        <w:rPr>
          <w:rFonts w:ascii="Times New Roman" w:hAnsi="Times New Roman" w:cs="Times New Roman"/>
          <w:b/>
          <w:color w:val="FF0000"/>
          <w:sz w:val="24"/>
          <w:szCs w:val="24"/>
          <w:u w:val="single"/>
        </w:rPr>
        <w:t>igadas durante casi una década-</w:t>
      </w:r>
      <w:r w:rsidRPr="000433AF">
        <w:rPr>
          <w:rFonts w:ascii="Times New Roman" w:hAnsi="Times New Roman" w:cs="Times New Roman"/>
          <w:b/>
          <w:color w:val="FF0000"/>
          <w:sz w:val="24"/>
          <w:szCs w:val="24"/>
          <w:u w:val="single"/>
        </w:rPr>
        <w:t xml:space="preserve"> han llegado a convertirse en convencionales. Y, en vista del persistente bajo y deslucido crecimiento y del riesgo de deflación en la mayoría de las economías avanzadas, los formuladores de políticas monetarias tendrán que continuar su lucha solitaria con un nuevo conjunto de políticas monetarias “no convencionales dentro de las políticas no convencionales”.</w:t>
      </w:r>
    </w:p>
    <w:p w:rsidR="000711BB" w:rsidRPr="006166CB" w:rsidRDefault="000711BB" w:rsidP="000711BB">
      <w:pPr>
        <w:spacing w:line="240" w:lineRule="auto"/>
        <w:jc w:val="both"/>
        <w:rPr>
          <w:rFonts w:ascii="Times New Roman" w:hAnsi="Times New Roman" w:cs="Times New Roman"/>
          <w:color w:val="FF0000"/>
          <w:sz w:val="24"/>
          <w:szCs w:val="24"/>
          <w:u w:val="single"/>
        </w:rPr>
      </w:pPr>
      <w:r w:rsidRPr="00FB4695">
        <w:rPr>
          <w:rFonts w:ascii="Times New Roman" w:hAnsi="Times New Roman" w:cs="Times New Roman"/>
          <w:sz w:val="24"/>
          <w:szCs w:val="24"/>
        </w:rPr>
        <w:t xml:space="preserve">Algunas de estas medidas ya se han aplicado. Por ejemplo, las tasas de interés oficiales negativas (NIRP) son ahora estándar en Suiza, Suecia, Dinamarca, la eurozona y Japón, donde las reservas en exceso que los bancos mantienen en los bancos centrales, como resultado de la QE se gravan con una tasa negativa. </w:t>
      </w:r>
      <w:r w:rsidRPr="006166CB">
        <w:rPr>
          <w:rFonts w:ascii="Times New Roman" w:hAnsi="Times New Roman" w:cs="Times New Roman"/>
          <w:color w:val="FF0000"/>
          <w:sz w:val="24"/>
          <w:szCs w:val="24"/>
          <w:u w:val="single"/>
        </w:rPr>
        <w:t>Los formuladores de políticas han pasado de trabajar en la cantidad de dinero (QE, CE, y la intervención en el tipo de cambio) para trabajar en el precio del dinero (primero ZIRP, a continuación FG, y ahora NIRP). Las tasas de interés nominales son ahora negativas no sólo para la deuda, sino también para los bonos del Estado a diez años. De hecho, hoy en día, alrededor de $6 millones de millones de dólares en bonos del Estado en todo el mundo tienen rendimientos nominales negativos.</w:t>
      </w:r>
    </w:p>
    <w:p w:rsidR="000711BB" w:rsidRPr="006166CB" w:rsidRDefault="000711BB" w:rsidP="000711BB">
      <w:pPr>
        <w:spacing w:line="240" w:lineRule="auto"/>
        <w:jc w:val="both"/>
        <w:rPr>
          <w:rFonts w:ascii="Times New Roman" w:hAnsi="Times New Roman" w:cs="Times New Roman"/>
          <w:color w:val="FF0000"/>
          <w:sz w:val="24"/>
          <w:szCs w:val="24"/>
          <w:u w:val="single"/>
        </w:rPr>
      </w:pPr>
      <w:r w:rsidRPr="006166CB">
        <w:rPr>
          <w:rFonts w:ascii="Times New Roman" w:hAnsi="Times New Roman" w:cs="Times New Roman"/>
          <w:color w:val="FF0000"/>
          <w:sz w:val="24"/>
          <w:szCs w:val="24"/>
          <w:u w:val="single"/>
        </w:rPr>
        <w:t>La siguiente etapa de “políticas monetarias no convencionales dentro de las</w:t>
      </w:r>
      <w:r>
        <w:rPr>
          <w:rFonts w:ascii="Times New Roman" w:hAnsi="Times New Roman" w:cs="Times New Roman"/>
          <w:color w:val="FF0000"/>
          <w:sz w:val="24"/>
          <w:szCs w:val="24"/>
          <w:u w:val="single"/>
        </w:rPr>
        <w:t xml:space="preserve"> políticas no convencionales” -</w:t>
      </w:r>
      <w:r w:rsidRPr="006166CB">
        <w:rPr>
          <w:rFonts w:ascii="Times New Roman" w:hAnsi="Times New Roman" w:cs="Times New Roman"/>
          <w:color w:val="FF0000"/>
          <w:sz w:val="24"/>
          <w:szCs w:val="24"/>
          <w:u w:val="single"/>
        </w:rPr>
        <w:t>en caso que los riesgos de recesión, deflación y crisis fin</w:t>
      </w:r>
      <w:r>
        <w:rPr>
          <w:rFonts w:ascii="Times New Roman" w:hAnsi="Times New Roman" w:cs="Times New Roman"/>
          <w:color w:val="FF0000"/>
          <w:sz w:val="24"/>
          <w:szCs w:val="24"/>
          <w:u w:val="single"/>
        </w:rPr>
        <w:t>anciera aumentan drásticamente-</w:t>
      </w:r>
      <w:r w:rsidRPr="006166CB">
        <w:rPr>
          <w:rFonts w:ascii="Times New Roman" w:hAnsi="Times New Roman" w:cs="Times New Roman"/>
          <w:color w:val="FF0000"/>
          <w:sz w:val="24"/>
          <w:szCs w:val="24"/>
          <w:u w:val="single"/>
        </w:rPr>
        <w:t xml:space="preserve"> podría tener tres componentes. Primero, los bancos centrales podrían gravar el dinero en efectivo para evitar que los bancos intenten evitar el impuesto a la tasa de interés negativa sobre el exceso de reservas. Si los bancos no pueden cambiar sus reservas a dinero en efectivo (de tal modo que ganen tasas de interés cero), los bancos centrales podrían internarse aún más en territorio negativo en lo que se refiere a la aplicación de tasas de interés oficiales.</w:t>
      </w:r>
    </w:p>
    <w:p w:rsidR="000711BB" w:rsidRPr="006166CB" w:rsidRDefault="000711BB" w:rsidP="000711BB">
      <w:pPr>
        <w:spacing w:line="240" w:lineRule="auto"/>
        <w:jc w:val="both"/>
        <w:rPr>
          <w:rFonts w:ascii="Times New Roman" w:hAnsi="Times New Roman" w:cs="Times New Roman"/>
          <w:color w:val="FF0000"/>
          <w:sz w:val="24"/>
          <w:szCs w:val="24"/>
          <w:u w:val="single"/>
        </w:rPr>
      </w:pPr>
      <w:r w:rsidRPr="006166CB">
        <w:rPr>
          <w:rFonts w:ascii="Times New Roman" w:hAnsi="Times New Roman" w:cs="Times New Roman"/>
          <w:color w:val="FF0000"/>
          <w:sz w:val="24"/>
          <w:szCs w:val="24"/>
          <w:u w:val="single"/>
        </w:rPr>
        <w:t xml:space="preserve">En segundo lugar, QE podría evolucionar hasta convertirse en dinero  “que cae del cielo” o financiación monetaria directa de los bancos centrales para los déficits fiscales de mayor tamaño. De hecho, el reciente rumor en el mercado se refiere a los beneficios </w:t>
      </w:r>
      <w:r w:rsidRPr="006166CB">
        <w:rPr>
          <w:rFonts w:ascii="Times New Roman" w:hAnsi="Times New Roman" w:cs="Times New Roman"/>
          <w:color w:val="FF0000"/>
          <w:sz w:val="24"/>
          <w:szCs w:val="24"/>
          <w:u w:val="single"/>
        </w:rPr>
        <w:lastRenderedPageBreak/>
        <w:t>provenientes de la monetización permanente de los déficits y deudas públicas. Por otra parte, si bien la QE ha beneficiado a los tenedores de activos financieros al impulsar al alza los precios de las acciones, bonos y bienes raíces, también ha alimentado la creciente desigualdad. Un dinero que cae del cielo (a través de recortes de impuestos o transferencias financiadas por dinero recién impreso) pondría dinero directamente en las manos de los hogares, impulsando el consumo.</w:t>
      </w:r>
    </w:p>
    <w:p w:rsidR="000711BB" w:rsidRPr="006166CB" w:rsidRDefault="000711BB" w:rsidP="000711BB">
      <w:pPr>
        <w:spacing w:line="240" w:lineRule="auto"/>
        <w:jc w:val="both"/>
        <w:rPr>
          <w:rFonts w:ascii="Times New Roman" w:hAnsi="Times New Roman" w:cs="Times New Roman"/>
          <w:color w:val="FF0000"/>
          <w:sz w:val="24"/>
          <w:szCs w:val="24"/>
          <w:u w:val="single"/>
        </w:rPr>
      </w:pPr>
      <w:r w:rsidRPr="006166CB">
        <w:rPr>
          <w:rFonts w:ascii="Times New Roman" w:hAnsi="Times New Roman" w:cs="Times New Roman"/>
          <w:color w:val="FF0000"/>
          <w:sz w:val="24"/>
          <w:szCs w:val="24"/>
          <w:u w:val="single"/>
        </w:rPr>
        <w:t>En tercer lugar, la relajación del crédito por parte de los bancos centrales, o las compras de activos privados, podría ampliarse significativamente. Piense en compras directas de acciones, bonos corporativos de alto riesgo y de préstamos malos de los bancos.</w:t>
      </w:r>
    </w:p>
    <w:p w:rsidR="000711BB" w:rsidRPr="006166CB" w:rsidRDefault="000711BB" w:rsidP="000711BB">
      <w:pPr>
        <w:spacing w:line="240" w:lineRule="auto"/>
        <w:jc w:val="both"/>
        <w:rPr>
          <w:rFonts w:ascii="Times New Roman" w:hAnsi="Times New Roman" w:cs="Times New Roman"/>
          <w:b/>
          <w:color w:val="FF0000"/>
          <w:sz w:val="24"/>
          <w:szCs w:val="24"/>
          <w:u w:val="single"/>
        </w:rPr>
      </w:pPr>
      <w:r w:rsidRPr="006166CB">
        <w:rPr>
          <w:rFonts w:ascii="Times New Roman" w:hAnsi="Times New Roman" w:cs="Times New Roman"/>
          <w:b/>
          <w:color w:val="FF0000"/>
          <w:sz w:val="24"/>
          <w:szCs w:val="24"/>
          <w:u w:val="single"/>
        </w:rPr>
        <w:t>Si las “políticas monetarias no convencionales dentro de las políticas no convencionales” aparentan ser un poco alocadas, vale la pena recordar que sólo hace unos pocos años lo mismo se dijo acerca de las “políticas no convencionales que ahora son convencionales”. Y si las condiciones actuales en las economías avanzadas se mantienen arraigadas dentro de una década, los dineros que caen del cielo, la monetización de la deuda, y la imposición de impuestos al dinero en efectivo pueden llegar a ser las nuevas políticas QE, CE, FG, ZIRP y NIRP.  En tiempos desesperados se requieren medidas desesperadas.</w:t>
      </w:r>
    </w:p>
    <w:p w:rsidR="000711BB"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B4695">
        <w:rPr>
          <w:rFonts w:ascii="Times New Roman" w:hAnsi="Times New Roman" w:cs="Times New Roman"/>
          <w:sz w:val="24"/>
          <w:szCs w:val="24"/>
        </w:rPr>
        <w:t>Nouriel Roubini, a professor at NYU’s Stern School of Business and Chairman of Roubini Global Economics, was Senior Economist for International Affairs in the White House's Council of Economic Advisers during the Clinton Administration. He has worked for the Internati</w:t>
      </w:r>
      <w:r>
        <w:rPr>
          <w:rFonts w:ascii="Times New Roman" w:hAnsi="Times New Roman" w:cs="Times New Roman"/>
          <w:sz w:val="24"/>
          <w:szCs w:val="24"/>
        </w:rPr>
        <w:t>onal Monetary Fund</w:t>
      </w:r>
      <w:r w:rsidRPr="00FB4695">
        <w:rPr>
          <w:rFonts w:ascii="Times New Roman" w:hAnsi="Times New Roman" w:cs="Times New Roman"/>
          <w:sz w:val="24"/>
          <w:szCs w:val="24"/>
        </w:rPr>
        <w:t>…</w:t>
      </w:r>
      <w:r>
        <w:rPr>
          <w:rFonts w:ascii="Times New Roman" w:hAnsi="Times New Roman" w:cs="Times New Roman"/>
          <w:sz w:val="24"/>
          <w:szCs w:val="24"/>
        </w:rPr>
        <w:t>)</w:t>
      </w:r>
    </w:p>
    <w:p w:rsidR="000711BB" w:rsidRPr="00C53651"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53651">
        <w:rPr>
          <w:rFonts w:ascii="Times New Roman" w:hAnsi="Times New Roman" w:cs="Times New Roman"/>
          <w:sz w:val="24"/>
          <w:szCs w:val="24"/>
        </w:rPr>
        <w:t>¿</w:t>
      </w:r>
      <w:r w:rsidRPr="00C53651">
        <w:rPr>
          <w:rFonts w:ascii="Times New Roman" w:hAnsi="Times New Roman" w:cs="Times New Roman"/>
          <w:sz w:val="24"/>
          <w:szCs w:val="24"/>
          <w:u w:val="single"/>
        </w:rPr>
        <w:t>Estados Unidos en contra del comercio</w:t>
      </w:r>
      <w:r w:rsidRPr="00C53651">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C53651">
        <w:rPr>
          <w:rFonts w:ascii="Times New Roman" w:hAnsi="Times New Roman" w:cs="Times New Roman"/>
          <w:b/>
          <w:sz w:val="24"/>
          <w:szCs w:val="24"/>
        </w:rPr>
        <w:t>7/4/16</w:t>
      </w:r>
      <w:r>
        <w:rPr>
          <w:rFonts w:ascii="Times New Roman" w:hAnsi="Times New Roman" w:cs="Times New Roman"/>
          <w:sz w:val="24"/>
          <w:szCs w:val="24"/>
        </w:rPr>
        <w:t>)</w:t>
      </w:r>
    </w:p>
    <w:p w:rsidR="000711BB" w:rsidRPr="0074399C" w:rsidRDefault="000711BB" w:rsidP="000711B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Cambridge.-</w:t>
      </w:r>
      <w:r w:rsidRPr="00C53651">
        <w:rPr>
          <w:rFonts w:ascii="Times New Roman" w:hAnsi="Times New Roman" w:cs="Times New Roman"/>
          <w:sz w:val="24"/>
          <w:szCs w:val="24"/>
        </w:rPr>
        <w:t xml:space="preserve"> </w:t>
      </w:r>
      <w:r w:rsidRPr="0074399C">
        <w:rPr>
          <w:rFonts w:ascii="Times New Roman" w:hAnsi="Times New Roman" w:cs="Times New Roman"/>
          <w:sz w:val="24"/>
          <w:szCs w:val="24"/>
          <w:u w:val="single"/>
        </w:rPr>
        <w:t xml:space="preserve">La escalada del populismo anticomercio en la campaña electoral estadounidense de 2016 presagia un alejamiento peligroso del rol de Estados Unidos en los asuntos mundiales. </w:t>
      </w:r>
      <w:r w:rsidRPr="0074399C">
        <w:rPr>
          <w:rFonts w:ascii="Times New Roman" w:hAnsi="Times New Roman" w:cs="Times New Roman"/>
          <w:b/>
          <w:color w:val="FF0000"/>
          <w:sz w:val="24"/>
          <w:szCs w:val="24"/>
          <w:u w:val="single"/>
        </w:rPr>
        <w:t>En nombre de reducir la desigualdad en Estados Unidos, los candidatos presidenciales de ambos partidos estarían obstaculizando las aspiraciones de cientos de millones de personas extremadamente pobres en el mundo en desarrollo de pasar a integrar la clase media</w:t>
      </w:r>
      <w:r w:rsidRPr="0074399C">
        <w:rPr>
          <w:rFonts w:ascii="Times New Roman" w:hAnsi="Times New Roman" w:cs="Times New Roman"/>
          <w:sz w:val="24"/>
          <w:szCs w:val="24"/>
          <w:u w:val="single"/>
        </w:rPr>
        <w:t>. Si el atractivo político de las políticas anticomercio persiste, marcará un punto de inflexión histórico en los asuntos económicos globales -un mal augurio para el futuro del liderazgo norteamericano.</w:t>
      </w:r>
    </w:p>
    <w:p w:rsidR="000711BB" w:rsidRPr="00C53651" w:rsidRDefault="000711BB" w:rsidP="000711BB">
      <w:pPr>
        <w:spacing w:line="240" w:lineRule="auto"/>
        <w:jc w:val="both"/>
        <w:rPr>
          <w:rFonts w:ascii="Times New Roman" w:hAnsi="Times New Roman" w:cs="Times New Roman"/>
          <w:sz w:val="24"/>
          <w:szCs w:val="24"/>
        </w:rPr>
      </w:pPr>
      <w:r w:rsidRPr="0074399C">
        <w:rPr>
          <w:rFonts w:ascii="Times New Roman" w:hAnsi="Times New Roman" w:cs="Times New Roman"/>
          <w:sz w:val="24"/>
          <w:szCs w:val="24"/>
          <w:u w:val="single"/>
        </w:rPr>
        <w:t>El candidato presidencial republicano Donald Trump ha propuesto imponer un impuesto del 45% a las importaciones chinas en Estados Unidos, un plan que seduce a muchos norteamericanos que creen que China se está enriqueciendo gracias a prácticas comerciales injustas</w:t>
      </w:r>
      <w:r w:rsidRPr="00C53651">
        <w:rPr>
          <w:rFonts w:ascii="Times New Roman" w:hAnsi="Times New Roman" w:cs="Times New Roman"/>
          <w:sz w:val="24"/>
          <w:szCs w:val="24"/>
        </w:rPr>
        <w:t>. Pero, a pesar de su extraordinario éxito en las últimas décadas, China sigue siendo un país en desarrollo donde un porcentaje importante de la población vive en un nivel de pobreza que, para los parámetros occidentales, sería inimaginable.</w:t>
      </w:r>
    </w:p>
    <w:p w:rsidR="000711BB" w:rsidRPr="00C53651" w:rsidRDefault="000711BB" w:rsidP="000711BB">
      <w:pPr>
        <w:spacing w:line="240" w:lineRule="auto"/>
        <w:jc w:val="both"/>
        <w:rPr>
          <w:rFonts w:ascii="Times New Roman" w:hAnsi="Times New Roman" w:cs="Times New Roman"/>
          <w:sz w:val="24"/>
          <w:szCs w:val="24"/>
        </w:rPr>
      </w:pPr>
      <w:r w:rsidRPr="00C53651">
        <w:rPr>
          <w:rFonts w:ascii="Times New Roman" w:hAnsi="Times New Roman" w:cs="Times New Roman"/>
          <w:sz w:val="24"/>
          <w:szCs w:val="24"/>
        </w:rPr>
        <w:t>Consideremos el nuevo plan quinquenal de China, que apunta a colocar a 55 millones de personas por encima de la línea de pobreza para 2020, un umbral definido en apenas 2.300 yuanes chinos, o 354 dólares, por año. En comparación, la línea de pobreza en Estados Unidos es de alrededor de 12.000 dólares para una sola persona. Es verdad, existen diferencias sustanciales en el costo de vida que tornan dudosas las comparaciones directas y, sí, la pobreza es una condición social tanto como económica, al menos en las economías avanzadas; pero el argumento de que la desigualdad entre los países se traduce en desigualdad al interior de los países es muy poderoso.</w:t>
      </w:r>
    </w:p>
    <w:p w:rsidR="000711BB" w:rsidRPr="00C53651" w:rsidRDefault="000711BB" w:rsidP="000711BB">
      <w:pPr>
        <w:spacing w:line="240" w:lineRule="auto"/>
        <w:jc w:val="both"/>
        <w:rPr>
          <w:rFonts w:ascii="Times New Roman" w:hAnsi="Times New Roman" w:cs="Times New Roman"/>
          <w:sz w:val="24"/>
          <w:szCs w:val="24"/>
        </w:rPr>
      </w:pPr>
      <w:r w:rsidRPr="00C53651">
        <w:rPr>
          <w:rFonts w:ascii="Times New Roman" w:hAnsi="Times New Roman" w:cs="Times New Roman"/>
          <w:sz w:val="24"/>
          <w:szCs w:val="24"/>
        </w:rPr>
        <w:lastRenderedPageBreak/>
        <w:t>Y el problema de la pobreza de China difícilmente sea el peor del mundo. Tanto India como África tienen poblaciones aproximadamente comparables a los 1.400 millones de habitantes de China, y los porcentajes de personas que alcanzaron la clase media son significativamente menores.</w:t>
      </w:r>
    </w:p>
    <w:p w:rsidR="000711BB" w:rsidRPr="0074399C" w:rsidRDefault="000711BB" w:rsidP="000711BB">
      <w:pPr>
        <w:spacing w:line="240" w:lineRule="auto"/>
        <w:jc w:val="both"/>
        <w:rPr>
          <w:rFonts w:ascii="Times New Roman" w:hAnsi="Times New Roman" w:cs="Times New Roman"/>
          <w:sz w:val="24"/>
          <w:szCs w:val="24"/>
          <w:u w:val="single"/>
        </w:rPr>
      </w:pPr>
      <w:r w:rsidRPr="0074399C">
        <w:rPr>
          <w:rFonts w:ascii="Times New Roman" w:hAnsi="Times New Roman" w:cs="Times New Roman"/>
          <w:sz w:val="24"/>
          <w:szCs w:val="24"/>
          <w:u w:val="single"/>
        </w:rPr>
        <w:t>El candidato presidencial demócrata Bernie Sanders es un ind</w:t>
      </w:r>
      <w:r w:rsidR="00D43A67">
        <w:rPr>
          <w:rFonts w:ascii="Times New Roman" w:hAnsi="Times New Roman" w:cs="Times New Roman"/>
          <w:sz w:val="24"/>
          <w:szCs w:val="24"/>
          <w:u w:val="single"/>
        </w:rPr>
        <w:t>ividuo mucho más atractivo que “El Donald”</w:t>
      </w:r>
      <w:r w:rsidRPr="0074399C">
        <w:rPr>
          <w:rFonts w:ascii="Times New Roman" w:hAnsi="Times New Roman" w:cs="Times New Roman"/>
          <w:sz w:val="24"/>
          <w:szCs w:val="24"/>
          <w:u w:val="single"/>
        </w:rPr>
        <w:t>, pero su retórica anticomercio es casi tan peligrosa. Sanders, simpatizante de prominentes economistas de izquierda, despotrica contra el nuevo Acuerdo Transpacífico (TPP por su sigla en inglés) que está sobre la mesa, aunque éste ayudaría mucho al mundo en desarrollo -por ejemplo, al abrir el mercado de Japón a las importaciones latinoamericanas.</w:t>
      </w:r>
    </w:p>
    <w:p w:rsidR="000711BB" w:rsidRPr="0074399C" w:rsidRDefault="000711BB" w:rsidP="000711BB">
      <w:pPr>
        <w:spacing w:line="240" w:lineRule="auto"/>
        <w:jc w:val="both"/>
        <w:rPr>
          <w:rFonts w:ascii="Times New Roman" w:hAnsi="Times New Roman" w:cs="Times New Roman"/>
          <w:b/>
          <w:color w:val="FF0000"/>
          <w:sz w:val="24"/>
          <w:szCs w:val="24"/>
          <w:u w:val="single"/>
        </w:rPr>
      </w:pPr>
      <w:r w:rsidRPr="0074399C">
        <w:rPr>
          <w:rFonts w:ascii="Times New Roman" w:hAnsi="Times New Roman" w:cs="Times New Roman"/>
          <w:sz w:val="24"/>
          <w:szCs w:val="24"/>
          <w:u w:val="single"/>
        </w:rPr>
        <w:t>Sanders incluso ataca a su rival Hillary Clinton por haber respaldado acuerdos comerciales anteriores como el Tratado de Libre Comercio de América del Norte (TLC) de 1992</w:t>
      </w:r>
      <w:r w:rsidRPr="00C53651">
        <w:rPr>
          <w:rFonts w:ascii="Times New Roman" w:hAnsi="Times New Roman" w:cs="Times New Roman"/>
          <w:sz w:val="24"/>
          <w:szCs w:val="24"/>
        </w:rPr>
        <w:t xml:space="preserve">. Sin embargo, ese acuerdo obligó a México a reducir sus aranceles sobre los productos estadounidenses mucho más de lo que obligó a Estados Unidos a reducir los suyos, ya bajos, sobre los productos mexicanos. </w:t>
      </w:r>
      <w:r w:rsidRPr="0074399C">
        <w:rPr>
          <w:rFonts w:ascii="Times New Roman" w:hAnsi="Times New Roman" w:cs="Times New Roman"/>
          <w:sz w:val="24"/>
          <w:szCs w:val="24"/>
          <w:u w:val="single"/>
        </w:rPr>
        <w:t>Desafortunadamente, el éxito rotundo de la retórica anticomercio de Sanders y Trump ha alejado a Clinton de su posición más centrista y podría tener el mismo efecto en muchos miembros de la Cámara Baja y el Senado.</w:t>
      </w:r>
      <w:r w:rsidRPr="00C544E2">
        <w:rPr>
          <w:rFonts w:ascii="Times New Roman" w:hAnsi="Times New Roman" w:cs="Times New Roman"/>
          <w:sz w:val="24"/>
          <w:szCs w:val="24"/>
        </w:rPr>
        <w:t xml:space="preserve"> </w:t>
      </w:r>
      <w:r w:rsidRPr="0074399C">
        <w:rPr>
          <w:rFonts w:ascii="Times New Roman" w:hAnsi="Times New Roman" w:cs="Times New Roman"/>
          <w:b/>
          <w:color w:val="FF0000"/>
          <w:sz w:val="24"/>
          <w:szCs w:val="24"/>
          <w:u w:val="single"/>
        </w:rPr>
        <w:t>Esta es una receta para el desastre.</w:t>
      </w:r>
    </w:p>
    <w:p w:rsidR="000711BB" w:rsidRPr="0074399C" w:rsidRDefault="000711BB" w:rsidP="000711BB">
      <w:pPr>
        <w:spacing w:line="240" w:lineRule="auto"/>
        <w:jc w:val="both"/>
        <w:rPr>
          <w:rFonts w:ascii="Times New Roman" w:hAnsi="Times New Roman" w:cs="Times New Roman"/>
          <w:sz w:val="24"/>
          <w:szCs w:val="24"/>
          <w:u w:val="single"/>
        </w:rPr>
      </w:pPr>
      <w:r w:rsidRPr="00C53651">
        <w:rPr>
          <w:rFonts w:ascii="Times New Roman" w:hAnsi="Times New Roman" w:cs="Times New Roman"/>
          <w:sz w:val="24"/>
          <w:szCs w:val="24"/>
        </w:rPr>
        <w:t xml:space="preserve">El TPP efectivamente tiene defectos, en especial en lo que concierne a su extralimitación en materia de protección de los derechos de propiedad intelectual. Pero la idea de que el acuerdo arrasará con una gran cantidad de empleos en Estados Unidos es sumamente debatible, y algo hay que hacer, decididamente, para que resulte más fácil vender productos de alta tecnología al mundo en desarrollo, incluida China, sin miedo de que esos productos sean instantáneamente clonados. </w:t>
      </w:r>
      <w:r w:rsidRPr="0074399C">
        <w:rPr>
          <w:rFonts w:ascii="Times New Roman" w:hAnsi="Times New Roman" w:cs="Times New Roman"/>
          <w:sz w:val="24"/>
          <w:szCs w:val="24"/>
          <w:u w:val="single"/>
        </w:rPr>
        <w:t>La no ratificación del TPP casi con certeza condenaría a decenas de millones de personas en el mundo en desarrollo a seguir sumidas en la pobreza.</w:t>
      </w:r>
    </w:p>
    <w:p w:rsidR="000711BB" w:rsidRPr="0074399C" w:rsidRDefault="000711BB" w:rsidP="000711BB">
      <w:pPr>
        <w:spacing w:line="240" w:lineRule="auto"/>
        <w:jc w:val="both"/>
        <w:rPr>
          <w:rFonts w:ascii="Times New Roman" w:hAnsi="Times New Roman" w:cs="Times New Roman"/>
          <w:color w:val="FF0000"/>
          <w:sz w:val="24"/>
          <w:szCs w:val="24"/>
          <w:u w:val="single"/>
        </w:rPr>
      </w:pPr>
      <w:r w:rsidRPr="0074399C">
        <w:rPr>
          <w:rFonts w:ascii="Times New Roman" w:hAnsi="Times New Roman" w:cs="Times New Roman"/>
          <w:color w:val="FF0000"/>
          <w:sz w:val="24"/>
          <w:szCs w:val="24"/>
          <w:u w:val="single"/>
        </w:rPr>
        <w:t>El remedio correcto para reducir la desigualdad dentro de Estados Unidos no es alejarse del libre comercio, sino introducir un mejor sistema tributario, que sea más simple y más progresivo. Lo ideal sería un giro de un impuesto a las ganancias a un impuesto progresivo al consumo (el ejemplo más simple es un impuesto fijo con una exención muy alta). Estados Unidos también necesita de manera desesperada una profunda reforma estructural de su sistema educativo, que elimine los obstáculos para introducir tecnología y competencia.</w:t>
      </w:r>
    </w:p>
    <w:p w:rsidR="000711BB" w:rsidRPr="0074399C" w:rsidRDefault="000711BB" w:rsidP="000711BB">
      <w:pPr>
        <w:spacing w:line="240" w:lineRule="auto"/>
        <w:jc w:val="both"/>
        <w:rPr>
          <w:rFonts w:ascii="Times New Roman" w:hAnsi="Times New Roman" w:cs="Times New Roman"/>
          <w:sz w:val="24"/>
          <w:szCs w:val="24"/>
          <w:u w:val="single"/>
        </w:rPr>
      </w:pPr>
      <w:r w:rsidRPr="0074399C">
        <w:rPr>
          <w:rFonts w:ascii="Times New Roman" w:hAnsi="Times New Roman" w:cs="Times New Roman"/>
          <w:color w:val="FF0000"/>
          <w:sz w:val="24"/>
          <w:szCs w:val="24"/>
          <w:u w:val="single"/>
        </w:rPr>
        <w:t>En efecto, las nuevas tecnologías ofrecen la perspectiva de facilitar, y mucho, la posibilidad de volver a capacitar y equipar a trabajadores de todas las edades</w:t>
      </w:r>
      <w:r w:rsidRPr="0074399C">
        <w:rPr>
          <w:rFonts w:ascii="Times New Roman" w:hAnsi="Times New Roman" w:cs="Times New Roman"/>
          <w:sz w:val="24"/>
          <w:szCs w:val="24"/>
          <w:u w:val="single"/>
        </w:rPr>
        <w:t xml:space="preserve">. Quienes defienden la redistribución a través de mayores déficits presupuestarios del gobierno tienen poca visión de futuro. Dada la demografía adversa en el mundo avanzado, la desaceleración de la productividad y el aumento de las obligaciones de pensiones, es muy difícil saber cuál sería el desenlace de una deuda creciente. </w:t>
      </w:r>
    </w:p>
    <w:p w:rsidR="000711BB" w:rsidRPr="0074399C" w:rsidRDefault="000711BB" w:rsidP="000711BB">
      <w:pPr>
        <w:spacing w:line="240" w:lineRule="auto"/>
        <w:jc w:val="both"/>
        <w:rPr>
          <w:rFonts w:ascii="Times New Roman" w:hAnsi="Times New Roman" w:cs="Times New Roman"/>
          <w:color w:val="FF0000"/>
          <w:sz w:val="24"/>
          <w:szCs w:val="24"/>
          <w:u w:val="single"/>
        </w:rPr>
      </w:pPr>
      <w:r w:rsidRPr="0074399C">
        <w:rPr>
          <w:rFonts w:ascii="Times New Roman" w:hAnsi="Times New Roman" w:cs="Times New Roman"/>
          <w:color w:val="FF0000"/>
          <w:sz w:val="24"/>
          <w:szCs w:val="24"/>
          <w:u w:val="single"/>
        </w:rPr>
        <w:t>¿Los progresistas pro-déficit toman conciencia de que la carga de cualquier crisis futura de deuda (o de medidas de represión financiera) probablemente recaiga de manera desproporcionada en los ciudadanos pobres y de ingresos medios, como sucedió en el pasado? Una redistribución simple del ingreso a través de impuestos y transferencias es mucho más directa y más potente, y en efecto serviría para expandir la demanda agregada.</w:t>
      </w:r>
    </w:p>
    <w:p w:rsidR="000711BB" w:rsidRPr="00C53651" w:rsidRDefault="000711BB" w:rsidP="000711BB">
      <w:pPr>
        <w:spacing w:line="240" w:lineRule="auto"/>
        <w:jc w:val="both"/>
        <w:rPr>
          <w:rFonts w:ascii="Times New Roman" w:hAnsi="Times New Roman" w:cs="Times New Roman"/>
          <w:sz w:val="24"/>
          <w:szCs w:val="24"/>
        </w:rPr>
      </w:pPr>
      <w:r w:rsidRPr="00C53651">
        <w:rPr>
          <w:rFonts w:ascii="Times New Roman" w:hAnsi="Times New Roman" w:cs="Times New Roman"/>
          <w:sz w:val="24"/>
          <w:szCs w:val="24"/>
        </w:rPr>
        <w:lastRenderedPageBreak/>
        <w:t>Cualquiera que retrate a Estados Unidos como un gran perdedor del status quo económico global debería tener una perspectiva más amplia sobre el tema. Tengo pocas dudas de que, de aquí a un siglo, el estilo de vida centrado en el consumo de los norteamericanos ya no será visto como algo a envidiar y emular, y el hecho de que el país no implemente un impuesto al carbono será considerado un enorme fracaso. Con menos del 5% de la población mundial, Estados Unidos es responsable de un porcentaje inmensamente desproporcionado de las emisiones de dióxido de carbono y otro tipo de contaminación, y gran parte de la culpa recae en la clase media de Estados Unidos.</w:t>
      </w:r>
    </w:p>
    <w:p w:rsidR="000711BB" w:rsidRPr="0074399C" w:rsidRDefault="000711BB" w:rsidP="000711BB">
      <w:pPr>
        <w:spacing w:line="240" w:lineRule="auto"/>
        <w:jc w:val="both"/>
        <w:rPr>
          <w:rFonts w:ascii="Times New Roman" w:hAnsi="Times New Roman" w:cs="Times New Roman"/>
          <w:color w:val="FF0000"/>
          <w:sz w:val="24"/>
          <w:szCs w:val="24"/>
          <w:u w:val="single"/>
        </w:rPr>
      </w:pPr>
      <w:r w:rsidRPr="0074399C">
        <w:rPr>
          <w:rFonts w:ascii="Times New Roman" w:hAnsi="Times New Roman" w:cs="Times New Roman"/>
          <w:color w:val="FF0000"/>
          <w:sz w:val="24"/>
          <w:szCs w:val="24"/>
          <w:u w:val="single"/>
        </w:rPr>
        <w:t>Pero la idea de que el comercio alimenta la desigualdad es una perspectiva muy pueblerina, y los proteccionistas que se envuelven en una narrativa de desigualdad moralizadora son profundamente hipócritas. En lo que concierne al comercio, la actual campaña presidencial de Estados Unidos es una vergüenza en cuanto a la sustancia, no sólo a la personalidad.</w:t>
      </w:r>
    </w:p>
    <w:p w:rsidR="000711BB" w:rsidRPr="00E14B41"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53651">
        <w:rPr>
          <w:rFonts w:ascii="Times New Roman" w:hAnsi="Times New Roman" w:cs="Times New Roman"/>
          <w:sz w:val="24"/>
          <w:szCs w:val="24"/>
        </w:rPr>
        <w:t>Kenneth Rogoff, Professor of Economics and Public Policy at Harvard University and recipient of the 2011 Deutsche Bank Prize in Financial Economics, was the chief economist of the International Monetary Fund from 2001 to 2003. His most recent book, co-authored with Carmen M. Reinhart, is This Time is</w:t>
      </w:r>
      <w:r w:rsidR="00A25B2F">
        <w:rPr>
          <w:rFonts w:ascii="Times New Roman" w:hAnsi="Times New Roman" w:cs="Times New Roman"/>
          <w:sz w:val="24"/>
          <w:szCs w:val="24"/>
        </w:rPr>
        <w:t xml:space="preserve"> different</w:t>
      </w:r>
      <w:r w:rsidRPr="00C53651">
        <w:rPr>
          <w:rFonts w:ascii="Times New Roman" w:hAnsi="Times New Roman" w:cs="Times New Roman"/>
          <w:sz w:val="24"/>
          <w:szCs w:val="24"/>
        </w:rPr>
        <w:t>…</w:t>
      </w:r>
      <w:r>
        <w:rPr>
          <w:rFonts w:ascii="Times New Roman" w:hAnsi="Times New Roman" w:cs="Times New Roman"/>
          <w:sz w:val="24"/>
          <w:szCs w:val="24"/>
        </w:rPr>
        <w:t>)</w:t>
      </w:r>
    </w:p>
    <w:p w:rsidR="000711BB" w:rsidRPr="00D54B3F"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54B3F">
        <w:rPr>
          <w:rFonts w:ascii="Times New Roman" w:hAnsi="Times New Roman" w:cs="Times New Roman"/>
          <w:sz w:val="24"/>
          <w:szCs w:val="24"/>
          <w:u w:val="single"/>
        </w:rPr>
        <w:t>Una lógica progresista para el comercio internacional</w:t>
      </w:r>
      <w:r>
        <w:rPr>
          <w:rFonts w:ascii="Times New Roman" w:hAnsi="Times New Roman" w:cs="Times New Roman"/>
          <w:sz w:val="24"/>
          <w:szCs w:val="24"/>
        </w:rPr>
        <w:t xml:space="preserve"> (Project Syndicate - </w:t>
      </w:r>
      <w:r w:rsidRPr="00D54B3F">
        <w:rPr>
          <w:rFonts w:ascii="Times New Roman" w:hAnsi="Times New Roman" w:cs="Times New Roman"/>
          <w:b/>
          <w:sz w:val="24"/>
          <w:szCs w:val="24"/>
        </w:rPr>
        <w:t>13/4/16</w:t>
      </w:r>
      <w:r>
        <w:rPr>
          <w:rFonts w:ascii="Times New Roman" w:hAnsi="Times New Roman" w:cs="Times New Roman"/>
          <w:sz w:val="24"/>
          <w:szCs w:val="24"/>
        </w:rPr>
        <w:t>)</w:t>
      </w:r>
    </w:p>
    <w:p w:rsidR="000711BB" w:rsidRPr="00D227AB" w:rsidRDefault="000711BB" w:rsidP="000711B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Cambridge.-</w:t>
      </w:r>
      <w:r w:rsidRPr="00D54B3F">
        <w:rPr>
          <w:rFonts w:ascii="Times New Roman" w:hAnsi="Times New Roman" w:cs="Times New Roman"/>
          <w:sz w:val="24"/>
          <w:szCs w:val="24"/>
        </w:rPr>
        <w:t xml:space="preserve"> </w:t>
      </w:r>
      <w:r w:rsidRPr="00D227AB">
        <w:rPr>
          <w:rFonts w:ascii="Times New Roman" w:hAnsi="Times New Roman" w:cs="Times New Roman"/>
          <w:sz w:val="24"/>
          <w:szCs w:val="24"/>
          <w:u w:val="single"/>
        </w:rPr>
        <w:t>El sistema de comercio internacional nunca fue muy bien visto en Estados Unidos. Ni la Organización Mundial del Comercio ni los numerosos tratados comerciales regionales, como el Tratado de Libre Comercio de América del Norte (NAFTA) y el Acuerdo Transpacífico (ATP), han tenido mucho apoyo de la opinión pública. Pero la oposición, aunque amplia, era difusa.</w:t>
      </w:r>
    </w:p>
    <w:p w:rsidR="000711BB" w:rsidRPr="00D54B3F" w:rsidRDefault="000711BB" w:rsidP="000711BB">
      <w:pPr>
        <w:spacing w:line="240" w:lineRule="auto"/>
        <w:jc w:val="both"/>
        <w:rPr>
          <w:rFonts w:ascii="Times New Roman" w:hAnsi="Times New Roman" w:cs="Times New Roman"/>
          <w:sz w:val="24"/>
          <w:szCs w:val="24"/>
        </w:rPr>
      </w:pPr>
      <w:r w:rsidRPr="00D54B3F">
        <w:rPr>
          <w:rFonts w:ascii="Times New Roman" w:hAnsi="Times New Roman" w:cs="Times New Roman"/>
          <w:sz w:val="24"/>
          <w:szCs w:val="24"/>
        </w:rPr>
        <w:t xml:space="preserve">La diferencia hoy es que el comercio internacional está en el centro del debate político. Dos precandidatos a la presidencia de los Estados Unidos, </w:t>
      </w:r>
      <w:r w:rsidRPr="00D227AB">
        <w:rPr>
          <w:rFonts w:ascii="Times New Roman" w:hAnsi="Times New Roman" w:cs="Times New Roman"/>
          <w:sz w:val="24"/>
          <w:szCs w:val="24"/>
          <w:u w:val="single"/>
        </w:rPr>
        <w:t>Bernie Sanders y Donald Trump, han hecho de la oposición a esos acuerdos un elemento fundamental de sus campañas.</w:t>
      </w:r>
      <w:r w:rsidRPr="00D54B3F">
        <w:rPr>
          <w:rFonts w:ascii="Times New Roman" w:hAnsi="Times New Roman" w:cs="Times New Roman"/>
          <w:sz w:val="24"/>
          <w:szCs w:val="24"/>
        </w:rPr>
        <w:t xml:space="preserve"> Y a juzgar por el tono de los otros precandidatos, defender la globalización en el clima político actual equivale a un suicidio electoral.</w:t>
      </w:r>
    </w:p>
    <w:p w:rsidR="000711BB" w:rsidRPr="00D227AB" w:rsidRDefault="000711BB" w:rsidP="000711BB">
      <w:pPr>
        <w:spacing w:line="240" w:lineRule="auto"/>
        <w:jc w:val="both"/>
        <w:rPr>
          <w:rFonts w:ascii="Times New Roman" w:hAnsi="Times New Roman" w:cs="Times New Roman"/>
          <w:b/>
          <w:color w:val="FF0000"/>
          <w:sz w:val="24"/>
          <w:szCs w:val="24"/>
          <w:u w:val="single"/>
        </w:rPr>
      </w:pPr>
      <w:r w:rsidRPr="00D227AB">
        <w:rPr>
          <w:rFonts w:ascii="Times New Roman" w:hAnsi="Times New Roman" w:cs="Times New Roman"/>
          <w:b/>
          <w:color w:val="FF0000"/>
          <w:sz w:val="24"/>
          <w:szCs w:val="24"/>
          <w:u w:val="single"/>
        </w:rPr>
        <w:t>Tal vez la retórica populista en relación con el tema sea excesiva, pero ya pocos niegan que el malestar subyacente es real. La globalización no benefició a todos por igual. El impacto de las importaciones baratas venidas de China y otros países arruinó a muchas familias de clase trabajadora, mientras se beneficiaban los financistas y los profesionales capacitados que pueden aprovechar el acceso a mercados ampliados. Si bien la globalización no fue el único factor (ni el más importante) del aumento de desigualdad en las economías avanzadas, su contribución es innegable.</w:t>
      </w:r>
    </w:p>
    <w:p w:rsidR="000711BB" w:rsidRPr="00D54B3F" w:rsidRDefault="000711BB" w:rsidP="000711BB">
      <w:pPr>
        <w:spacing w:line="240" w:lineRule="auto"/>
        <w:jc w:val="both"/>
        <w:rPr>
          <w:rFonts w:ascii="Times New Roman" w:hAnsi="Times New Roman" w:cs="Times New Roman"/>
          <w:sz w:val="24"/>
          <w:szCs w:val="24"/>
        </w:rPr>
      </w:pPr>
      <w:r w:rsidRPr="00D54B3F">
        <w:rPr>
          <w:rFonts w:ascii="Times New Roman" w:hAnsi="Times New Roman" w:cs="Times New Roman"/>
          <w:sz w:val="24"/>
          <w:szCs w:val="24"/>
        </w:rPr>
        <w:t>Lo que da al comercio internacional tanta relevancia política es que plantea cuestiones de equidad que el otro gran factor de desigualdad (la tecnología) no genera. Si pierdo mi empleo porque un competidor innova y presenta un producto mejor, mal puedo quejarme. Pero si ese competidor subcontrata mano de obra a empresas extranjeras que hacen cosas que en mi país serían ilegales (por ejemplo, impedir a sus trabajadores organizarse y negociar en forma colectiva), tengo motivos reales para protestar.</w:t>
      </w:r>
    </w:p>
    <w:p w:rsidR="000711BB" w:rsidRPr="00D54B3F" w:rsidRDefault="000711BB" w:rsidP="000711BB">
      <w:pPr>
        <w:spacing w:line="240" w:lineRule="auto"/>
        <w:jc w:val="both"/>
        <w:rPr>
          <w:rFonts w:ascii="Times New Roman" w:hAnsi="Times New Roman" w:cs="Times New Roman"/>
          <w:sz w:val="24"/>
          <w:szCs w:val="24"/>
        </w:rPr>
      </w:pPr>
      <w:r w:rsidRPr="00D227AB">
        <w:rPr>
          <w:rFonts w:ascii="Times New Roman" w:hAnsi="Times New Roman" w:cs="Times New Roman"/>
          <w:sz w:val="24"/>
          <w:szCs w:val="24"/>
          <w:u w:val="single"/>
        </w:rPr>
        <w:t>Sanders es un ferviente promotor de una renegociación de los tratados comerciales que refleje mejor los intereses de los trabajadores</w:t>
      </w:r>
      <w:r w:rsidRPr="00D54B3F">
        <w:rPr>
          <w:rFonts w:ascii="Times New Roman" w:hAnsi="Times New Roman" w:cs="Times New Roman"/>
          <w:sz w:val="24"/>
          <w:szCs w:val="24"/>
        </w:rPr>
        <w:t xml:space="preserve">. Pero argumentos como los suyos chocan </w:t>
      </w:r>
      <w:r w:rsidRPr="00D54B3F">
        <w:rPr>
          <w:rFonts w:ascii="Times New Roman" w:hAnsi="Times New Roman" w:cs="Times New Roman"/>
          <w:sz w:val="24"/>
          <w:szCs w:val="24"/>
        </w:rPr>
        <w:lastRenderedPageBreak/>
        <w:t xml:space="preserve">enseguida con la objeción de que una moratoria o anulación de los tratados de libre comercio perjudicaría a los más pobres del mundo, al disminuir sus posibilidades de salir de la pobreza gracias al crecimiento impulsado por las exportaciones. Un titular de Vox.com, un sitio web de noticias muy popular y normalmente moderado, señaló que </w:t>
      </w:r>
      <w:r w:rsidRPr="00D227AB">
        <w:rPr>
          <w:rFonts w:ascii="Times New Roman" w:hAnsi="Times New Roman" w:cs="Times New Roman"/>
          <w:sz w:val="24"/>
          <w:szCs w:val="24"/>
          <w:u w:val="single"/>
        </w:rPr>
        <w:t>“para los pobres de otros países, esto es lo más preocupante que dijo Bernie Sanders”.</w:t>
      </w:r>
    </w:p>
    <w:p w:rsidR="000711BB" w:rsidRPr="00D227AB" w:rsidRDefault="000711BB" w:rsidP="000711BB">
      <w:pPr>
        <w:spacing w:line="240" w:lineRule="auto"/>
        <w:jc w:val="both"/>
        <w:rPr>
          <w:rFonts w:ascii="Times New Roman" w:hAnsi="Times New Roman" w:cs="Times New Roman"/>
          <w:sz w:val="24"/>
          <w:szCs w:val="24"/>
          <w:u w:val="single"/>
        </w:rPr>
      </w:pPr>
      <w:r w:rsidRPr="00D227AB">
        <w:rPr>
          <w:rFonts w:ascii="Times New Roman" w:hAnsi="Times New Roman" w:cs="Times New Roman"/>
          <w:sz w:val="24"/>
          <w:szCs w:val="24"/>
          <w:u w:val="single"/>
        </w:rPr>
        <w:t>Pero fijar reglas de comercio internacional más atentas a las inquietudes sociales y distributivas de los países avanzados no es necesariamente incompatible con el crecimiento económico de los países pobres. Presentar la cuestión como una disyuntiva entre tratados comerciales y pobreza mundial es hacerle un flaco favor a la causa de los entusiastas de la globalización, y encierra a los progresistas en un dilema innecesario.</w:t>
      </w:r>
    </w:p>
    <w:p w:rsidR="000711BB" w:rsidRPr="00D227AB" w:rsidRDefault="000711BB" w:rsidP="000711BB">
      <w:pPr>
        <w:spacing w:line="240" w:lineRule="auto"/>
        <w:jc w:val="both"/>
        <w:rPr>
          <w:rFonts w:ascii="Times New Roman" w:hAnsi="Times New Roman" w:cs="Times New Roman"/>
          <w:sz w:val="24"/>
          <w:szCs w:val="24"/>
          <w:u w:val="single"/>
        </w:rPr>
      </w:pPr>
      <w:r w:rsidRPr="00D227AB">
        <w:rPr>
          <w:rFonts w:ascii="Times New Roman" w:hAnsi="Times New Roman" w:cs="Times New Roman"/>
          <w:sz w:val="24"/>
          <w:szCs w:val="24"/>
          <w:u w:val="single"/>
        </w:rPr>
        <w:t>En primer lugar, el discurso tradicional sobre los beneficios del comercio internacional para las economías en desarrollo omite un aspecto crucial. Los países que consiguieron sacar provecho de la globalización, como China y Vietnam, emplearon una estrategia que combinó la promoción de las exportaciones con una variedad de políticas contrarias a las normas actuales del comercio internacional. Para crear nuevas industrias de valor agregado en esos países fue esencial la aplicación de subsidios, normas de contenido local mínimo, regulación de la inversión y, a menudo, también barreras a las importaciones. Los países que confiaron exclusivamente en el libre comercio (el primer ejemplo que viene a la mente es México) se estancaron.</w:t>
      </w:r>
    </w:p>
    <w:p w:rsidR="000711BB" w:rsidRPr="00D54B3F" w:rsidRDefault="000711BB" w:rsidP="000711BB">
      <w:pPr>
        <w:spacing w:line="240" w:lineRule="auto"/>
        <w:jc w:val="both"/>
        <w:rPr>
          <w:rFonts w:ascii="Times New Roman" w:hAnsi="Times New Roman" w:cs="Times New Roman"/>
          <w:sz w:val="24"/>
          <w:szCs w:val="24"/>
        </w:rPr>
      </w:pPr>
      <w:r w:rsidRPr="00D227AB">
        <w:rPr>
          <w:rFonts w:ascii="Times New Roman" w:hAnsi="Times New Roman" w:cs="Times New Roman"/>
          <w:sz w:val="24"/>
          <w:szCs w:val="24"/>
          <w:u w:val="single"/>
        </w:rPr>
        <w:t>Por eso, poner restricciones al comercio internacional no es necesariamente perjudicial para los países en desarrollo</w:t>
      </w:r>
      <w:r w:rsidRPr="00D54B3F">
        <w:rPr>
          <w:rFonts w:ascii="Times New Roman" w:hAnsi="Times New Roman" w:cs="Times New Roman"/>
          <w:sz w:val="24"/>
          <w:szCs w:val="24"/>
        </w:rPr>
        <w:t>. China no hubiera podido mantener su increíblemente exitosa estrategia de industrialización siguiendo normas como las de la OMC durante los ochenta y los noventa. A Vietnam, el ATP le da ciertas garantías de acceso continuo al mercado en Estados Unidos (que ya tiene bastante bajas sus barreras), pero a cambio de aceptar restricciones referidas a políticas de subsidios, propiedad intelectual y regulación de la inversión.</w:t>
      </w:r>
    </w:p>
    <w:p w:rsidR="000711BB" w:rsidRPr="00D54B3F" w:rsidRDefault="000711BB" w:rsidP="000711BB">
      <w:pPr>
        <w:spacing w:line="240" w:lineRule="auto"/>
        <w:jc w:val="both"/>
        <w:rPr>
          <w:rFonts w:ascii="Times New Roman" w:hAnsi="Times New Roman" w:cs="Times New Roman"/>
          <w:sz w:val="24"/>
          <w:szCs w:val="24"/>
        </w:rPr>
      </w:pPr>
      <w:r w:rsidRPr="00D227AB">
        <w:rPr>
          <w:rFonts w:ascii="Times New Roman" w:hAnsi="Times New Roman" w:cs="Times New Roman"/>
          <w:sz w:val="24"/>
          <w:szCs w:val="24"/>
          <w:u w:val="single"/>
        </w:rPr>
        <w:t>En segundo lugar, no hay antecedentes históricos que sugieran que los países pobres necesitan una anulación o gran disminución de barreras comerciales en las economías avanzadas para obtener grandes ventajas de la globalización</w:t>
      </w:r>
      <w:r w:rsidRPr="00D54B3F">
        <w:rPr>
          <w:rFonts w:ascii="Times New Roman" w:hAnsi="Times New Roman" w:cs="Times New Roman"/>
          <w:sz w:val="24"/>
          <w:szCs w:val="24"/>
        </w:rPr>
        <w:t>. En realidad, las experiencias de crecimiento exportador más espectaculares hasta la fecha (Japón, Corea del Sur, Taiwán y China) se dieron todas en momentos en que los aranceles a las importaciones en Estados Unidos y Europa estaban en niveles moderados, superiores a los de la actualidad.</w:t>
      </w:r>
    </w:p>
    <w:p w:rsidR="000711BB" w:rsidRPr="00D227AB" w:rsidRDefault="000711BB" w:rsidP="000711BB">
      <w:pPr>
        <w:spacing w:line="240" w:lineRule="auto"/>
        <w:jc w:val="both"/>
        <w:rPr>
          <w:rFonts w:ascii="Times New Roman" w:hAnsi="Times New Roman" w:cs="Times New Roman"/>
          <w:color w:val="FF0000"/>
          <w:sz w:val="24"/>
          <w:szCs w:val="24"/>
          <w:u w:val="single"/>
        </w:rPr>
      </w:pPr>
      <w:r w:rsidRPr="00D227AB">
        <w:rPr>
          <w:rFonts w:ascii="Times New Roman" w:hAnsi="Times New Roman" w:cs="Times New Roman"/>
          <w:color w:val="FF0000"/>
          <w:sz w:val="24"/>
          <w:szCs w:val="24"/>
          <w:u w:val="single"/>
        </w:rPr>
        <w:t>De modo que para los progresistas que se preocupan al mismo tiempo por la desigualdad en los países ricos y la pobreza en el resto del mundo, hay una buena noticia: se puede avanzar en ambos frentes. Pero eso demanda transformar drásticamente nuestra visión de los tratados comerciales.</w:t>
      </w:r>
    </w:p>
    <w:p w:rsidR="000711BB" w:rsidRPr="00D227AB" w:rsidRDefault="000711BB" w:rsidP="000711BB">
      <w:pPr>
        <w:spacing w:line="240" w:lineRule="auto"/>
        <w:jc w:val="both"/>
        <w:rPr>
          <w:rFonts w:ascii="Times New Roman" w:hAnsi="Times New Roman" w:cs="Times New Roman"/>
          <w:color w:val="FF0000"/>
          <w:sz w:val="24"/>
          <w:szCs w:val="24"/>
          <w:u w:val="single"/>
        </w:rPr>
      </w:pPr>
      <w:r w:rsidRPr="00D227AB">
        <w:rPr>
          <w:rFonts w:ascii="Times New Roman" w:hAnsi="Times New Roman" w:cs="Times New Roman"/>
          <w:color w:val="FF0000"/>
          <w:sz w:val="24"/>
          <w:szCs w:val="24"/>
          <w:u w:val="single"/>
        </w:rPr>
        <w:t>El sistema de comercio internacional hoy se basa en una extraña lógica mercantilista: ustedes reducen sus barreras y a cambio nosotros reducimos las nuestras. Esta estrategia ha sido notablemente exitosa para promover la expansión de los intercambios comerciales, pero tiene escaso sustento económico. Ahora que ya hay una gran apertura de la economía mundial, este “intercambio de acceso a los mercados” causa más problemas de los que resuelve.</w:t>
      </w:r>
    </w:p>
    <w:p w:rsidR="000711BB" w:rsidRPr="00D227AB" w:rsidRDefault="000711BB" w:rsidP="000711BB">
      <w:pPr>
        <w:spacing w:line="240" w:lineRule="auto"/>
        <w:jc w:val="both"/>
        <w:rPr>
          <w:rFonts w:ascii="Times New Roman" w:hAnsi="Times New Roman" w:cs="Times New Roman"/>
          <w:b/>
          <w:color w:val="FF0000"/>
          <w:sz w:val="24"/>
          <w:szCs w:val="24"/>
          <w:u w:val="single"/>
        </w:rPr>
      </w:pPr>
      <w:r w:rsidRPr="00D227AB">
        <w:rPr>
          <w:rFonts w:ascii="Times New Roman" w:hAnsi="Times New Roman" w:cs="Times New Roman"/>
          <w:b/>
          <w:color w:val="FF0000"/>
          <w:sz w:val="24"/>
          <w:szCs w:val="24"/>
          <w:u w:val="single"/>
        </w:rPr>
        <w:t xml:space="preserve">Es hora de adoptar una lógica diferente, la del “intercambio de espacio de políticas”. Los países pobres y los ricos por igual necesitan hacerse margen para </w:t>
      </w:r>
      <w:r w:rsidRPr="00D227AB">
        <w:rPr>
          <w:rFonts w:ascii="Times New Roman" w:hAnsi="Times New Roman" w:cs="Times New Roman"/>
          <w:b/>
          <w:color w:val="FF0000"/>
          <w:sz w:val="24"/>
          <w:szCs w:val="24"/>
          <w:u w:val="single"/>
        </w:rPr>
        <w:lastRenderedPageBreak/>
        <w:t>lograr sus objetivos respectivos. Los primeros deben reestructurar sus economías y promover nuevas industrias, y los segundos deben resolver problemas locales de desigualdad y justicia distributiva. Para esto habrá que ponerle algunas trabas a la globalización.</w:t>
      </w:r>
    </w:p>
    <w:p w:rsidR="000711BB" w:rsidRPr="00D54B3F" w:rsidRDefault="000711BB" w:rsidP="000711BB">
      <w:pPr>
        <w:spacing w:line="240" w:lineRule="auto"/>
        <w:jc w:val="both"/>
        <w:rPr>
          <w:rFonts w:ascii="Times New Roman" w:hAnsi="Times New Roman" w:cs="Times New Roman"/>
          <w:sz w:val="24"/>
          <w:szCs w:val="24"/>
        </w:rPr>
      </w:pPr>
      <w:r w:rsidRPr="00D54B3F">
        <w:rPr>
          <w:rFonts w:ascii="Times New Roman" w:hAnsi="Times New Roman" w:cs="Times New Roman"/>
          <w:sz w:val="24"/>
          <w:szCs w:val="24"/>
        </w:rPr>
        <w:t>El mejor modo de lograr esta reingeniería institucional sería volver a escribir las normas multilaterales. Por ejemplo, la cláusula de “salvaguardas” de la OMC se podría ampliar para permitir la imposición de restricciones comerciales (con sujeción a normas procedimentales) en aquellos casos en que pueda demostrarse un conflicto entre las importaciones y las normas sociales locales (doy más detalles en mi libro La paradoja de la globalización). Asimismo, los tratados comerciales podrían incorporar un “margen de desarrollo” que dé a los países pobres la autonomía necesaria para buscar la diversificación económica.</w:t>
      </w:r>
    </w:p>
    <w:p w:rsidR="000711BB" w:rsidRDefault="000711BB" w:rsidP="000711BB">
      <w:pPr>
        <w:spacing w:line="240" w:lineRule="auto"/>
        <w:jc w:val="both"/>
        <w:rPr>
          <w:rFonts w:ascii="Times New Roman" w:hAnsi="Times New Roman" w:cs="Times New Roman"/>
          <w:sz w:val="24"/>
          <w:szCs w:val="24"/>
        </w:rPr>
      </w:pPr>
      <w:r w:rsidRPr="00D54B3F">
        <w:rPr>
          <w:rFonts w:ascii="Times New Roman" w:hAnsi="Times New Roman" w:cs="Times New Roman"/>
          <w:sz w:val="24"/>
          <w:szCs w:val="24"/>
        </w:rPr>
        <w:t>Los progresistas no deben creerse un discurso falso y contraproducente que enfrenta los intereses de los pobres del mundo con los de las clases bajas y medias de los países ricos. Con suficiente imaginación institucional, el sistema de comercio internacional puede reformarse para beneficio de ambas partes.</w:t>
      </w:r>
    </w:p>
    <w:p w:rsidR="000711BB" w:rsidRDefault="000711BB" w:rsidP="000711B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54B3F">
        <w:rPr>
          <w:rFonts w:ascii="Times New Roman" w:hAnsi="Times New Roman" w:cs="Times New Roman"/>
          <w:sz w:val="24"/>
          <w:szCs w:val="24"/>
        </w:rPr>
        <w:t>Dani Rodrik is Professor of International Political Economy at Harvard University’s John F. Kennedy School of Government. He is the author of The Globalization Paradox: Democracy and the Future of the World Economy and, most recently, Economics Rules: The Rights a</w:t>
      </w:r>
      <w:r>
        <w:rPr>
          <w:rFonts w:ascii="Times New Roman" w:hAnsi="Times New Roman" w:cs="Times New Roman"/>
          <w:sz w:val="24"/>
          <w:szCs w:val="24"/>
        </w:rPr>
        <w:t>nd Wrongs of the Dismal Science)</w:t>
      </w:r>
    </w:p>
    <w:p w:rsidR="000711BB" w:rsidRPr="004F6E65" w:rsidRDefault="000711BB" w:rsidP="000711BB">
      <w:pPr>
        <w:pStyle w:val="NormalWeb"/>
        <w:spacing w:after="360"/>
        <w:jc w:val="both"/>
        <w:textAlignment w:val="baseline"/>
        <w:rPr>
          <w:color w:val="000000"/>
          <w:bdr w:val="none" w:sz="0" w:space="0" w:color="auto" w:frame="1"/>
          <w:shd w:val="clear" w:color="auto" w:fill="FFFFFF"/>
        </w:rPr>
      </w:pPr>
      <w:r>
        <w:rPr>
          <w:color w:val="000000"/>
          <w:bdr w:val="none" w:sz="0" w:space="0" w:color="auto" w:frame="1"/>
          <w:shd w:val="clear" w:color="auto" w:fill="FFFFFF"/>
        </w:rPr>
        <w:t xml:space="preserve">- </w:t>
      </w:r>
      <w:r w:rsidRPr="004F6E65">
        <w:rPr>
          <w:color w:val="000000"/>
          <w:u w:val="single"/>
          <w:bdr w:val="none" w:sz="0" w:space="0" w:color="auto" w:frame="1"/>
          <w:shd w:val="clear" w:color="auto" w:fill="FFFFFF"/>
        </w:rPr>
        <w:t>Mejor no tirar dinero del helicóptero</w:t>
      </w:r>
      <w:r>
        <w:rPr>
          <w:color w:val="000000"/>
          <w:bdr w:val="none" w:sz="0" w:space="0" w:color="auto" w:frame="1"/>
          <w:shd w:val="clear" w:color="auto" w:fill="FFFFFF"/>
        </w:rPr>
        <w:t xml:space="preserve"> (Project Syndicate - </w:t>
      </w:r>
      <w:r w:rsidRPr="004F6E65">
        <w:rPr>
          <w:b/>
          <w:color w:val="000000"/>
          <w:bdr w:val="none" w:sz="0" w:space="0" w:color="auto" w:frame="1"/>
          <w:shd w:val="clear" w:color="auto" w:fill="FFFFFF"/>
        </w:rPr>
        <w:t>20/4/16</w:t>
      </w:r>
      <w:r>
        <w:rPr>
          <w:color w:val="000000"/>
          <w:bdr w:val="none" w:sz="0" w:space="0" w:color="auto" w:frame="1"/>
          <w:shd w:val="clear" w:color="auto" w:fill="FFFFFF"/>
        </w:rPr>
        <w:t>)</w:t>
      </w:r>
    </w:p>
    <w:p w:rsidR="000711BB" w:rsidRPr="005A6C86" w:rsidRDefault="000711BB" w:rsidP="000711BB">
      <w:pPr>
        <w:pStyle w:val="NormalWeb"/>
        <w:spacing w:after="360"/>
        <w:jc w:val="both"/>
        <w:textAlignment w:val="baseline"/>
        <w:rPr>
          <w:color w:val="000000"/>
          <w:u w:val="single"/>
          <w:bdr w:val="none" w:sz="0" w:space="0" w:color="auto" w:frame="1"/>
          <w:shd w:val="clear" w:color="auto" w:fill="FFFFFF"/>
        </w:rPr>
      </w:pPr>
      <w:r>
        <w:rPr>
          <w:color w:val="000000"/>
          <w:bdr w:val="none" w:sz="0" w:space="0" w:color="auto" w:frame="1"/>
          <w:shd w:val="clear" w:color="auto" w:fill="FFFFFF"/>
        </w:rPr>
        <w:t>Múnich.-</w:t>
      </w:r>
      <w:r w:rsidRPr="004F6E65">
        <w:rPr>
          <w:color w:val="000000"/>
          <w:bdr w:val="none" w:sz="0" w:space="0" w:color="auto" w:frame="1"/>
          <w:shd w:val="clear" w:color="auto" w:fill="FFFFFF"/>
        </w:rPr>
        <w:t xml:space="preserve"> </w:t>
      </w:r>
      <w:r w:rsidRPr="005A6C86">
        <w:rPr>
          <w:color w:val="000000"/>
          <w:u w:val="single"/>
          <w:bdr w:val="none" w:sz="0" w:space="0" w:color="auto" w:frame="1"/>
          <w:shd w:val="clear" w:color="auto" w:fill="FFFFFF"/>
        </w:rPr>
        <w:t>A pesar de años de política monetaria expansiva, el Banco Central Europeo no pudo cumplir su meta de regresar a una inflación “inferior pero cercana al 2%”. Y es improbable que vayan a cambiarlo las últimas medidas: tipo de interés nulo para las principales operaciones de refinanciación del BCE; un aumento de las compras mensuales de activos, de 60 000 millones de euros (67 000 millones de dólares) a 80 000 millones de euros; y una tasa incluso</w:t>
      </w:r>
      <w:r w:rsidR="00A25B2F">
        <w:rPr>
          <w:color w:val="000000"/>
          <w:u w:val="single"/>
          <w:bdr w:val="none" w:sz="0" w:space="0" w:color="auto" w:frame="1"/>
          <w:shd w:val="clear" w:color="auto" w:fill="FFFFFF"/>
        </w:rPr>
        <w:t xml:space="preserve"> menor para los depósitos, del -</w:t>
      </w:r>
      <w:r w:rsidRPr="005A6C86">
        <w:rPr>
          <w:color w:val="000000"/>
          <w:u w:val="single"/>
          <w:bdr w:val="none" w:sz="0" w:space="0" w:color="auto" w:frame="1"/>
          <w:shd w:val="clear" w:color="auto" w:fill="FFFFFF"/>
        </w:rPr>
        <w:t>0,40%. Por eso algunos economistas piden al BCE que vaya más lejos y empiece a “arrojar dinero desde el helicóptero”: es decir, financiar el consumo privado mediante emisión monetaria.</w:t>
      </w:r>
    </w:p>
    <w:p w:rsidR="000711BB" w:rsidRPr="004F6E65" w:rsidRDefault="000711BB" w:rsidP="000711BB">
      <w:pPr>
        <w:pStyle w:val="NormalWeb"/>
        <w:spacing w:after="360"/>
        <w:jc w:val="both"/>
        <w:textAlignment w:val="baseline"/>
        <w:rPr>
          <w:color w:val="000000"/>
          <w:bdr w:val="none" w:sz="0" w:space="0" w:color="auto" w:frame="1"/>
          <w:shd w:val="clear" w:color="auto" w:fill="FFFFFF"/>
        </w:rPr>
      </w:pPr>
      <w:r w:rsidRPr="004F6E65">
        <w:rPr>
          <w:color w:val="000000"/>
          <w:bdr w:val="none" w:sz="0" w:space="0" w:color="auto" w:frame="1"/>
          <w:shd w:val="clear" w:color="auto" w:fill="FFFFFF"/>
        </w:rPr>
        <w:t>Esta idea se origina en los debates en torno del monetarismo en los sesenta. Se decía entonces que a los bancos centrales nunca les faltarán medios para estimular la demanda agregada y la inflación si están dispuestos a apelar a medidas radicales. Pero lo que en aquel tiempo era una noción teórica ahora parece una posibilidad concreta.</w:t>
      </w:r>
    </w:p>
    <w:p w:rsidR="000711BB" w:rsidRPr="004F6E65" w:rsidRDefault="000711BB" w:rsidP="000711BB">
      <w:pPr>
        <w:pStyle w:val="NormalWeb"/>
        <w:spacing w:after="360"/>
        <w:jc w:val="both"/>
        <w:textAlignment w:val="baseline"/>
        <w:rPr>
          <w:color w:val="000000"/>
          <w:bdr w:val="none" w:sz="0" w:space="0" w:color="auto" w:frame="1"/>
          <w:shd w:val="clear" w:color="auto" w:fill="FFFFFF"/>
        </w:rPr>
      </w:pPr>
      <w:r w:rsidRPr="005A6C86">
        <w:rPr>
          <w:color w:val="000000"/>
          <w:u w:val="single"/>
          <w:bdr w:val="none" w:sz="0" w:space="0" w:color="auto" w:frame="1"/>
          <w:shd w:val="clear" w:color="auto" w:fill="FFFFFF"/>
        </w:rPr>
        <w:t>En la práctica, se implementaría entregando una suma fija de dinero a las familias, o vales de consumo para todos, con financiación exclusiva del banco central.</w:t>
      </w:r>
      <w:r w:rsidRPr="004F6E65">
        <w:rPr>
          <w:color w:val="000000"/>
          <w:bdr w:val="none" w:sz="0" w:space="0" w:color="auto" w:frame="1"/>
          <w:shd w:val="clear" w:color="auto" w:fill="FFFFFF"/>
        </w:rPr>
        <w:t xml:space="preserve"> A los gobiernos o bancos comerciales a cargo de distribuir el dinero se les acreditaría un depósito o se les daría efectivo, pero sin crear una contrapartida en la columna de activos del banco central, lo que implica reducir su patrimonio, a menos que este realice (venda) reservas de revaluación incluidas en el balance.</w:t>
      </w:r>
    </w:p>
    <w:p w:rsidR="000711BB" w:rsidRPr="005A6C86" w:rsidRDefault="000711BB" w:rsidP="000711BB">
      <w:pPr>
        <w:pStyle w:val="NormalWeb"/>
        <w:spacing w:after="360"/>
        <w:jc w:val="both"/>
        <w:textAlignment w:val="baseline"/>
        <w:rPr>
          <w:color w:val="000000"/>
          <w:u w:val="single"/>
          <w:bdr w:val="none" w:sz="0" w:space="0" w:color="auto" w:frame="1"/>
          <w:shd w:val="clear" w:color="auto" w:fill="FFFFFF"/>
        </w:rPr>
      </w:pPr>
      <w:r w:rsidRPr="005A6C86">
        <w:rPr>
          <w:color w:val="000000"/>
          <w:u w:val="single"/>
          <w:bdr w:val="none" w:sz="0" w:space="0" w:color="auto" w:frame="1"/>
          <w:shd w:val="clear" w:color="auto" w:fill="FFFFFF"/>
        </w:rPr>
        <w:t xml:space="preserve">Los proponentes de la idea la defienden diciendo que los bancos centrales están sujetos a normas contables especiales que pueden ajustarse según las necesidades. Entre ellos hay figuras eminentes como Ben Bernanke (expresidente de la Reserva Federal de los </w:t>
      </w:r>
      <w:r w:rsidRPr="005A6C86">
        <w:rPr>
          <w:color w:val="000000"/>
          <w:u w:val="single"/>
          <w:bdr w:val="none" w:sz="0" w:space="0" w:color="auto" w:frame="1"/>
          <w:shd w:val="clear" w:color="auto" w:fill="FFFFFF"/>
        </w:rPr>
        <w:lastRenderedPageBreak/>
        <w:t>Estados Unidos) y Adair Turner (exdirector de la Autoridad de Servicios Financieros del Reino Unido). El presidente del BCE, Mario Draghi, destacó los obstáculos técnicos, legales y contables que dificultan a esa institución tomar una medida de este tipo, pero no la descartó por completo.</w:t>
      </w:r>
    </w:p>
    <w:p w:rsidR="000711BB" w:rsidRPr="005A6C86" w:rsidRDefault="000711BB" w:rsidP="000711BB">
      <w:pPr>
        <w:pStyle w:val="NormalWeb"/>
        <w:spacing w:after="360"/>
        <w:jc w:val="both"/>
        <w:textAlignment w:val="baseline"/>
        <w:rPr>
          <w:color w:val="FF0000"/>
          <w:u w:val="single"/>
          <w:bdr w:val="none" w:sz="0" w:space="0" w:color="auto" w:frame="1"/>
          <w:shd w:val="clear" w:color="auto" w:fill="FFFFFF"/>
        </w:rPr>
      </w:pPr>
      <w:r w:rsidRPr="005A6C86">
        <w:rPr>
          <w:color w:val="FF0000"/>
          <w:u w:val="single"/>
          <w:bdr w:val="none" w:sz="0" w:space="0" w:color="auto" w:frame="1"/>
          <w:shd w:val="clear" w:color="auto" w:fill="FFFFFF"/>
        </w:rPr>
        <w:t>La pregunta es: ¿se justifica dar un paso tan extremo?</w:t>
      </w:r>
    </w:p>
    <w:p w:rsidR="000711BB" w:rsidRPr="005A6C86" w:rsidRDefault="000711BB" w:rsidP="000711BB">
      <w:pPr>
        <w:pStyle w:val="NormalWeb"/>
        <w:spacing w:after="360"/>
        <w:jc w:val="both"/>
        <w:textAlignment w:val="baseline"/>
        <w:rPr>
          <w:color w:val="FF0000"/>
          <w:u w:val="single"/>
          <w:bdr w:val="none" w:sz="0" w:space="0" w:color="auto" w:frame="1"/>
          <w:shd w:val="clear" w:color="auto" w:fill="FFFFFF"/>
        </w:rPr>
      </w:pPr>
      <w:r w:rsidRPr="005A6C86">
        <w:rPr>
          <w:color w:val="FF0000"/>
          <w:u w:val="single"/>
          <w:bdr w:val="none" w:sz="0" w:space="0" w:color="auto" w:frame="1"/>
          <w:shd w:val="clear" w:color="auto" w:fill="FFFFFF"/>
        </w:rPr>
        <w:t>La respuesta es: no. Entregar dinero directamente a los consumidores sería una medida viable en caso de espiral deflacionaria (como a fines de los años veinte y principios de los treinta), pero la situación actual es distinta, tanto en la eurozona como en la economía global.</w:t>
      </w:r>
    </w:p>
    <w:p w:rsidR="000711BB" w:rsidRPr="004F6E65" w:rsidRDefault="000711BB" w:rsidP="000711BB">
      <w:pPr>
        <w:pStyle w:val="NormalWeb"/>
        <w:spacing w:after="360"/>
        <w:jc w:val="both"/>
        <w:textAlignment w:val="baseline"/>
        <w:rPr>
          <w:color w:val="000000"/>
          <w:bdr w:val="none" w:sz="0" w:space="0" w:color="auto" w:frame="1"/>
          <w:shd w:val="clear" w:color="auto" w:fill="FFFFFF"/>
        </w:rPr>
      </w:pPr>
      <w:r w:rsidRPr="004F6E65">
        <w:rPr>
          <w:color w:val="000000"/>
          <w:bdr w:val="none" w:sz="0" w:space="0" w:color="auto" w:frame="1"/>
          <w:shd w:val="clear" w:color="auto" w:fill="FFFFFF"/>
        </w:rPr>
        <w:t>Es verdad que el crecimiento de la demanda no termina de recuperarse de los efectos de la crisis financiera global que estalló en 2008. Bancos, empresas y hogares todavía están saneando sus balances y sacándose de encima montañas de deuda que acumularon durante el auge crediticio anterior a la caída. Pero como ya les falta mucho menos, el efecto negativo sobre el crecimiento está en vías de reducción.</w:t>
      </w:r>
    </w:p>
    <w:p w:rsidR="000711BB" w:rsidRPr="004F6E65" w:rsidRDefault="000711BB" w:rsidP="000711BB">
      <w:pPr>
        <w:pStyle w:val="NormalWeb"/>
        <w:spacing w:after="360"/>
        <w:jc w:val="both"/>
        <w:textAlignment w:val="baseline"/>
        <w:rPr>
          <w:color w:val="000000"/>
          <w:bdr w:val="none" w:sz="0" w:space="0" w:color="auto" w:frame="1"/>
          <w:shd w:val="clear" w:color="auto" w:fill="FFFFFF"/>
        </w:rPr>
      </w:pPr>
      <w:r w:rsidRPr="004F6E65">
        <w:rPr>
          <w:color w:val="000000"/>
          <w:bdr w:val="none" w:sz="0" w:space="0" w:color="auto" w:frame="1"/>
          <w:shd w:val="clear" w:color="auto" w:fill="FFFFFF"/>
        </w:rPr>
        <w:t>Hoy no vemos a los consumidores restringir el gasto porque esperen un abaratamiento de bienes y servicios (como ocurriría en un período deflacionario), sino aumentarlo gradualmente, aprovechando una reactivación de sus ingresos y una gran mejora del poder adquisitivo causada por el derrumbe de precios del petróleo y los commodities. De modo que la mayoría de las economías avanzadas están otra vez produciendo cerca del límite de su capacidad.</w:t>
      </w:r>
    </w:p>
    <w:p w:rsidR="000711BB" w:rsidRPr="004F6E65" w:rsidRDefault="000711BB" w:rsidP="000711BB">
      <w:pPr>
        <w:pStyle w:val="NormalWeb"/>
        <w:spacing w:after="360"/>
        <w:jc w:val="both"/>
        <w:textAlignment w:val="baseline"/>
        <w:rPr>
          <w:color w:val="000000"/>
          <w:bdr w:val="none" w:sz="0" w:space="0" w:color="auto" w:frame="1"/>
          <w:shd w:val="clear" w:color="auto" w:fill="FFFFFF"/>
        </w:rPr>
      </w:pPr>
      <w:r w:rsidRPr="004F6E65">
        <w:rPr>
          <w:color w:val="000000"/>
          <w:bdr w:val="none" w:sz="0" w:space="0" w:color="auto" w:frame="1"/>
          <w:shd w:val="clear" w:color="auto" w:fill="FFFFFF"/>
        </w:rPr>
        <w:t>Los datos sobre ganancias corporativas también contradicen la idea de que estemos empantanados en una deflación. La estabilidad de precios no ha generado presión sobre los márgenes de ganancias. Por el contrario, en muchas economías avanzadas, las ganancias están en un nivel alto (incluso récord), en parte por una reducción del costo de los factores.</w:t>
      </w:r>
    </w:p>
    <w:p w:rsidR="000711BB" w:rsidRPr="005A6C86" w:rsidRDefault="000711BB" w:rsidP="000711BB">
      <w:pPr>
        <w:pStyle w:val="NormalWeb"/>
        <w:spacing w:after="360"/>
        <w:jc w:val="both"/>
        <w:textAlignment w:val="baseline"/>
        <w:rPr>
          <w:color w:val="000000"/>
          <w:u w:val="single"/>
          <w:bdr w:val="none" w:sz="0" w:space="0" w:color="auto" w:frame="1"/>
          <w:shd w:val="clear" w:color="auto" w:fill="FFFFFF"/>
        </w:rPr>
      </w:pPr>
      <w:r w:rsidRPr="005A6C86">
        <w:rPr>
          <w:color w:val="000000"/>
          <w:u w:val="single"/>
          <w:bdr w:val="none" w:sz="0" w:space="0" w:color="auto" w:frame="1"/>
          <w:shd w:val="clear" w:color="auto" w:fill="FFFFFF"/>
        </w:rPr>
        <w:t>En este contexto, distribuir dádivas financiadas por el banco central tendría peligrosas consecuencias sistémicas a largo plazo, al crear incentivos perversos para todos los involucrados. Las autoridades tal vez querrían recurrir al helicóptero cada vez que el crecimiento fuera inferior al deseado, en vez de implementar difíciles reformas estructurales para resolver las causas subyacentes del mal desempeño económico.</w:t>
      </w:r>
    </w:p>
    <w:p w:rsidR="000711BB" w:rsidRPr="005A6C86" w:rsidRDefault="000711BB" w:rsidP="000711BB">
      <w:pPr>
        <w:pStyle w:val="NormalWeb"/>
        <w:spacing w:after="360"/>
        <w:jc w:val="both"/>
        <w:textAlignment w:val="baseline"/>
        <w:rPr>
          <w:color w:val="000000"/>
          <w:u w:val="single"/>
          <w:bdr w:val="none" w:sz="0" w:space="0" w:color="auto" w:frame="1"/>
          <w:shd w:val="clear" w:color="auto" w:fill="FFFFFF"/>
        </w:rPr>
      </w:pPr>
      <w:r w:rsidRPr="005A6C86">
        <w:rPr>
          <w:color w:val="000000"/>
          <w:u w:val="single"/>
          <w:bdr w:val="none" w:sz="0" w:space="0" w:color="auto" w:frame="1"/>
          <w:shd w:val="clear" w:color="auto" w:fill="FFFFFF"/>
        </w:rPr>
        <w:t>Todo esto sembraría en los mercados financieros expectativas de que los bancos centrales y los gobiernos siempre intervendrán para desinflar burbujas crediticias y mitigar sus consecuencias, incluso si eso supone acumular más deuda. Esto distorsionaría las percepciones de riesgo de los agentes y desvirtuaría la función de las primas de riesgo.</w:t>
      </w:r>
    </w:p>
    <w:p w:rsidR="000711BB" w:rsidRPr="005A6C86" w:rsidRDefault="000711BB" w:rsidP="000711BB">
      <w:pPr>
        <w:pStyle w:val="NormalWeb"/>
        <w:spacing w:before="0" w:beforeAutospacing="0" w:after="360" w:afterAutospacing="0"/>
        <w:jc w:val="both"/>
        <w:textAlignment w:val="baseline"/>
        <w:rPr>
          <w:color w:val="000000"/>
          <w:u w:val="single"/>
          <w:bdr w:val="none" w:sz="0" w:space="0" w:color="auto" w:frame="1"/>
          <w:shd w:val="clear" w:color="auto" w:fill="FFFFFF"/>
        </w:rPr>
      </w:pPr>
      <w:r w:rsidRPr="005A6C86">
        <w:rPr>
          <w:color w:val="000000"/>
          <w:u w:val="single"/>
          <w:bdr w:val="none" w:sz="0" w:space="0" w:color="auto" w:frame="1"/>
          <w:shd w:val="clear" w:color="auto" w:fill="FFFFFF"/>
        </w:rPr>
        <w:t>Si a eso le sumamos el impacto del agotamiento de las reservas de revaluación de los bancos centrales y el riesgo de negativización de su patrimonio (hechos que podrían debilitar la credibilidad de esas instituciones y con ella la de las monedas), resulta claro que arrojar dinero desde el helicóptero debería quedar, al menos por ahora, limitado al ámbito del debate académico.</w:t>
      </w:r>
    </w:p>
    <w:p w:rsidR="000711BB" w:rsidRDefault="000711BB" w:rsidP="000711BB">
      <w:pPr>
        <w:pStyle w:val="NormalWeb"/>
        <w:spacing w:before="0" w:beforeAutospacing="0" w:after="360" w:afterAutospacing="0"/>
        <w:jc w:val="both"/>
        <w:textAlignment w:val="baseline"/>
        <w:rPr>
          <w:color w:val="000000"/>
          <w:bdr w:val="none" w:sz="0" w:space="0" w:color="auto" w:frame="1"/>
          <w:shd w:val="clear" w:color="auto" w:fill="FFFFFF"/>
        </w:rPr>
      </w:pPr>
      <w:r>
        <w:rPr>
          <w:color w:val="000000"/>
          <w:bdr w:val="none" w:sz="0" w:space="0" w:color="auto" w:frame="1"/>
          <w:shd w:val="clear" w:color="auto" w:fill="FFFFFF"/>
        </w:rPr>
        <w:lastRenderedPageBreak/>
        <w:t>(</w:t>
      </w:r>
      <w:r w:rsidRPr="004F6E65">
        <w:rPr>
          <w:color w:val="000000"/>
          <w:bdr w:val="none" w:sz="0" w:space="0" w:color="auto" w:frame="1"/>
          <w:shd w:val="clear" w:color="auto" w:fill="FFFFFF"/>
        </w:rPr>
        <w:t xml:space="preserve">Michael Heise is Chief Economist of Allianz SE and the author of Emerging From the Euro Debt Crisis: </w:t>
      </w:r>
      <w:r>
        <w:rPr>
          <w:color w:val="000000"/>
          <w:bdr w:val="none" w:sz="0" w:space="0" w:color="auto" w:frame="1"/>
          <w:shd w:val="clear" w:color="auto" w:fill="FFFFFF"/>
        </w:rPr>
        <w:t>Making the Single Currency Work)</w:t>
      </w:r>
    </w:p>
    <w:p w:rsidR="000711BB" w:rsidRPr="008954C2" w:rsidRDefault="000711BB" w:rsidP="000711BB">
      <w:pPr>
        <w:pStyle w:val="NormalWeb"/>
        <w:shd w:val="clear" w:color="auto" w:fill="FFFFFF"/>
        <w:spacing w:after="300"/>
        <w:jc w:val="both"/>
        <w:textAlignment w:val="baseline"/>
        <w:rPr>
          <w:color w:val="000000"/>
        </w:rPr>
      </w:pPr>
      <w:r>
        <w:rPr>
          <w:color w:val="000000"/>
        </w:rPr>
        <w:t xml:space="preserve">- </w:t>
      </w:r>
      <w:r w:rsidRPr="008954C2">
        <w:rPr>
          <w:color w:val="000000"/>
          <w:u w:val="single"/>
        </w:rPr>
        <w:t>El déficit comercial estadounidense empieza en casa</w:t>
      </w:r>
      <w:r>
        <w:rPr>
          <w:color w:val="000000"/>
        </w:rPr>
        <w:t xml:space="preserve"> (Project Syndicate - </w:t>
      </w:r>
      <w:r w:rsidRPr="008954C2">
        <w:rPr>
          <w:b/>
          <w:color w:val="000000"/>
        </w:rPr>
        <w:t>25/4/16</w:t>
      </w:r>
      <w:r>
        <w:rPr>
          <w:color w:val="000000"/>
        </w:rPr>
        <w:t>)</w:t>
      </w:r>
    </w:p>
    <w:p w:rsidR="000711BB" w:rsidRPr="008526EB" w:rsidRDefault="000711BB" w:rsidP="000711BB">
      <w:pPr>
        <w:pStyle w:val="NormalWeb"/>
        <w:shd w:val="clear" w:color="auto" w:fill="FFFFFF"/>
        <w:spacing w:after="300"/>
        <w:jc w:val="both"/>
        <w:textAlignment w:val="baseline"/>
        <w:rPr>
          <w:color w:val="000000"/>
          <w:u w:val="single"/>
        </w:rPr>
      </w:pPr>
      <w:r>
        <w:rPr>
          <w:color w:val="000000"/>
        </w:rPr>
        <w:t>New Haven.-</w:t>
      </w:r>
      <w:r w:rsidRPr="008954C2">
        <w:rPr>
          <w:color w:val="000000"/>
        </w:rPr>
        <w:t xml:space="preserve"> </w:t>
      </w:r>
      <w:r w:rsidRPr="008526EB">
        <w:rPr>
          <w:color w:val="000000"/>
          <w:u w:val="single"/>
        </w:rPr>
        <w:t>Gracias a la siembra del miedo en la campaña presidencial estadounidense, el debate sobre el comercio y su impacto para los trabajadores está siendo distorsionado en ambos extremos del espectro político del país. Desde los ataques contra China por parte de la derecha hasta la reacción frente al Acuerdo Estratégico Transpacífico de Asociación Económica (TPP, por su sigla en inglés) de la izquierda, los políticos de ambos partidos han calificado incorrectamente al comercio exterior como la mayor amenaza económica para el país.</w:t>
      </w:r>
    </w:p>
    <w:p w:rsidR="000711BB" w:rsidRPr="008526EB" w:rsidRDefault="000711BB" w:rsidP="000711BB">
      <w:pPr>
        <w:pStyle w:val="NormalWeb"/>
        <w:shd w:val="clear" w:color="auto" w:fill="FFFFFF"/>
        <w:spacing w:after="300"/>
        <w:jc w:val="both"/>
        <w:textAlignment w:val="baseline"/>
        <w:rPr>
          <w:color w:val="000000"/>
          <w:u w:val="single"/>
        </w:rPr>
      </w:pPr>
      <w:r w:rsidRPr="008526EB">
        <w:rPr>
          <w:color w:val="000000"/>
          <w:u w:val="single"/>
        </w:rPr>
        <w:t>En 2015 Estados Unidos mantenía déficits comerciales con 101 países: un déficit comercial multilateral en la jerga económica. Pero no se p</w:t>
      </w:r>
      <w:r>
        <w:rPr>
          <w:color w:val="000000"/>
          <w:u w:val="single"/>
        </w:rPr>
        <w:t>uede atribuir esto a uno o dos “malos actores”</w:t>
      </w:r>
      <w:r w:rsidRPr="008526EB">
        <w:rPr>
          <w:color w:val="000000"/>
          <w:u w:val="single"/>
        </w:rPr>
        <w:t>, como invariablemente hacen l</w:t>
      </w:r>
      <w:r>
        <w:rPr>
          <w:color w:val="000000"/>
          <w:u w:val="single"/>
        </w:rPr>
        <w:t>os políticos. Es verdad, China -</w:t>
      </w:r>
      <w:r w:rsidRPr="008526EB">
        <w:rPr>
          <w:color w:val="000000"/>
          <w:u w:val="single"/>
        </w:rPr>
        <w:t>el chi</w:t>
      </w:r>
      <w:r>
        <w:rPr>
          <w:color w:val="000000"/>
          <w:u w:val="single"/>
        </w:rPr>
        <w:t>vo expiatorio favorito de todos-</w:t>
      </w:r>
      <w:r w:rsidRPr="008526EB">
        <w:rPr>
          <w:color w:val="000000"/>
          <w:u w:val="single"/>
        </w:rPr>
        <w:t xml:space="preserve"> representa la mayor parte de este desequilibrio. Pero los déficits combinados de los otros 100 países son aún mayores.</w:t>
      </w:r>
    </w:p>
    <w:p w:rsidR="000711BB" w:rsidRPr="008526EB" w:rsidRDefault="000711BB" w:rsidP="000711BB">
      <w:pPr>
        <w:pStyle w:val="NormalWeb"/>
        <w:shd w:val="clear" w:color="auto" w:fill="FFFFFF"/>
        <w:spacing w:after="300"/>
        <w:jc w:val="both"/>
        <w:textAlignment w:val="baseline"/>
        <w:rPr>
          <w:color w:val="FF0000"/>
          <w:u w:val="single"/>
        </w:rPr>
      </w:pPr>
      <w:r w:rsidRPr="008526EB">
        <w:rPr>
          <w:color w:val="FF0000"/>
          <w:u w:val="single"/>
        </w:rPr>
        <w:t>Lo que los candidatos no dicen al pueblo estadounidense sobre el déficit comercial es que las presiones que genera sobre los trabajadores de clase media en apuros derivan de problemas locales. De hecho, el v</w:t>
      </w:r>
      <w:r w:rsidR="00A25B2F">
        <w:rPr>
          <w:color w:val="FF0000"/>
          <w:u w:val="single"/>
        </w:rPr>
        <w:t>erdadero motivo por el cual EEUU</w:t>
      </w:r>
      <w:r w:rsidRPr="008526EB">
        <w:rPr>
          <w:color w:val="FF0000"/>
          <w:u w:val="single"/>
        </w:rPr>
        <w:t xml:space="preserve"> tiene un déficit comercial multilateral tan gigantesco es que los estadounidenses no ahorran.</w:t>
      </w:r>
    </w:p>
    <w:p w:rsidR="000711BB" w:rsidRPr="008526EB" w:rsidRDefault="000711BB" w:rsidP="000711BB">
      <w:pPr>
        <w:pStyle w:val="NormalWeb"/>
        <w:shd w:val="clear" w:color="auto" w:fill="FFFFFF"/>
        <w:spacing w:after="300"/>
        <w:jc w:val="both"/>
        <w:textAlignment w:val="baseline"/>
        <w:rPr>
          <w:color w:val="000000"/>
          <w:u w:val="single"/>
        </w:rPr>
      </w:pPr>
      <w:r>
        <w:rPr>
          <w:color w:val="000000"/>
          <w:u w:val="single"/>
        </w:rPr>
        <w:t>El ahorro total de EEUU -</w:t>
      </w:r>
      <w:r w:rsidRPr="008526EB">
        <w:rPr>
          <w:color w:val="000000"/>
          <w:u w:val="single"/>
        </w:rPr>
        <w:t>la suma del ahorro de las famil</w:t>
      </w:r>
      <w:r>
        <w:rPr>
          <w:color w:val="000000"/>
          <w:u w:val="single"/>
        </w:rPr>
        <w:t xml:space="preserve">ias, las empresas y el gobierno- </w:t>
      </w:r>
      <w:r w:rsidRPr="008526EB">
        <w:rPr>
          <w:color w:val="000000"/>
          <w:u w:val="single"/>
        </w:rPr>
        <w:t>representó solo el 2,6 % del ingreso nacional en el cuarto trimestre de 2015. Esto significa una caída interanual de 0,6 puntos porcentuales y es menos de la mitad del promedio del 6,3 % que prevaleció durante las últimas tres décadas del siglo XX.</w:t>
      </w:r>
    </w:p>
    <w:p w:rsidR="000711BB" w:rsidRPr="008526EB" w:rsidRDefault="000711BB" w:rsidP="000711BB">
      <w:pPr>
        <w:pStyle w:val="NormalWeb"/>
        <w:shd w:val="clear" w:color="auto" w:fill="FFFFFF"/>
        <w:spacing w:after="300"/>
        <w:jc w:val="both"/>
        <w:textAlignment w:val="baseline"/>
        <w:rPr>
          <w:color w:val="FF0000"/>
          <w:u w:val="single"/>
        </w:rPr>
      </w:pPr>
      <w:r w:rsidRPr="008526EB">
        <w:rPr>
          <w:color w:val="FF0000"/>
          <w:u w:val="single"/>
        </w:rPr>
        <w:t>Cualquier curso básico de economía enfatiza una identidad contable ineludible: el ahorro debe ser igual a la inversión en cada momento del tiempo. Sin ahorros, invertir para el futuro es imposible.</w:t>
      </w:r>
    </w:p>
    <w:p w:rsidR="000711BB" w:rsidRPr="008954C2" w:rsidRDefault="000711BB" w:rsidP="000711BB">
      <w:pPr>
        <w:pStyle w:val="NormalWeb"/>
        <w:shd w:val="clear" w:color="auto" w:fill="FFFFFF"/>
        <w:spacing w:after="300"/>
        <w:jc w:val="both"/>
        <w:textAlignment w:val="baseline"/>
        <w:rPr>
          <w:color w:val="000000"/>
        </w:rPr>
      </w:pPr>
      <w:r w:rsidRPr="008526EB">
        <w:rPr>
          <w:color w:val="000000"/>
          <w:u w:val="single"/>
        </w:rPr>
        <w:t>Sin embargo, en esa situaci</w:t>
      </w:r>
      <w:r>
        <w:rPr>
          <w:color w:val="000000"/>
          <w:u w:val="single"/>
        </w:rPr>
        <w:t>ón se encuentra actualmente EE</w:t>
      </w:r>
      <w:r w:rsidRPr="008526EB">
        <w:rPr>
          <w:color w:val="000000"/>
          <w:u w:val="single"/>
        </w:rPr>
        <w:t>UU</w:t>
      </w:r>
      <w:r w:rsidRPr="008954C2">
        <w:rPr>
          <w:color w:val="000000"/>
        </w:rPr>
        <w:t>. De hecho, los datos sobre el ahorro citados son «netos» de depreciaciones, eso significa que miden el ahorro disponible para financiar nueva capacidad, no para reemplazar las instalaciones que se desgastaron. Desafortunadamente, eso es exactamente lo que le falta a Estados Unidos.</w:t>
      </w:r>
    </w:p>
    <w:p w:rsidR="000711BB" w:rsidRPr="008526EB" w:rsidRDefault="000711BB" w:rsidP="000711BB">
      <w:pPr>
        <w:pStyle w:val="NormalWeb"/>
        <w:shd w:val="clear" w:color="auto" w:fill="FFFFFF"/>
        <w:spacing w:after="300"/>
        <w:jc w:val="both"/>
        <w:textAlignment w:val="baseline"/>
        <w:rPr>
          <w:color w:val="FF0000"/>
          <w:u w:val="single"/>
        </w:rPr>
      </w:pPr>
      <w:r w:rsidRPr="008526EB">
        <w:rPr>
          <w:color w:val="FF0000"/>
          <w:u w:val="single"/>
        </w:rPr>
        <w:t>¿Por qué es esto relevante para el debate sobre la cuestión comerc</w:t>
      </w:r>
      <w:r>
        <w:rPr>
          <w:color w:val="FF0000"/>
          <w:u w:val="single"/>
        </w:rPr>
        <w:t>ial? Para seguir creciendo, EEUU</w:t>
      </w:r>
      <w:r w:rsidRPr="008526EB">
        <w:rPr>
          <w:color w:val="FF0000"/>
          <w:u w:val="single"/>
        </w:rPr>
        <w:t xml:space="preserve"> debe importar ahorros excedentes desde el extranjero. Como la mayor potencia económica del mundo y emisor de lo que básicamente constituye la moneda de reserva mundial, Estados</w:t>
      </w:r>
      <w:r>
        <w:rPr>
          <w:color w:val="FF0000"/>
          <w:u w:val="single"/>
        </w:rPr>
        <w:t xml:space="preserve"> Unidos no ha tenido problemas -al menos hasta el momento-</w:t>
      </w:r>
      <w:r w:rsidRPr="008526EB">
        <w:rPr>
          <w:color w:val="FF0000"/>
          <w:u w:val="single"/>
        </w:rPr>
        <w:t xml:space="preserve"> para atraer el capital extranjero que necesita para compensar su déficit de ahorro interno.</w:t>
      </w:r>
    </w:p>
    <w:p w:rsidR="000711BB" w:rsidRPr="008526EB" w:rsidRDefault="000711BB" w:rsidP="000711BB">
      <w:pPr>
        <w:pStyle w:val="NormalWeb"/>
        <w:shd w:val="clear" w:color="auto" w:fill="FFFFFF"/>
        <w:spacing w:after="300"/>
        <w:jc w:val="both"/>
        <w:textAlignment w:val="baseline"/>
        <w:rPr>
          <w:color w:val="FF0000"/>
          <w:u w:val="single"/>
        </w:rPr>
      </w:pPr>
      <w:r w:rsidRPr="008526EB">
        <w:rPr>
          <w:color w:val="FF0000"/>
          <w:u w:val="single"/>
        </w:rPr>
        <w:t>Pero en todo esto anida una cuestión fundamental: para impor</w:t>
      </w:r>
      <w:r>
        <w:rPr>
          <w:color w:val="FF0000"/>
          <w:u w:val="single"/>
        </w:rPr>
        <w:t>tar ahorros del extranjero, EEUU</w:t>
      </w:r>
      <w:r w:rsidRPr="008526EB">
        <w:rPr>
          <w:color w:val="FF0000"/>
          <w:u w:val="single"/>
        </w:rPr>
        <w:t xml:space="preserve"> debe incurrir en un enorme déficit internacional en su balanza de pagos. La imagen especul</w:t>
      </w:r>
      <w:r>
        <w:rPr>
          <w:color w:val="FF0000"/>
          <w:u w:val="single"/>
        </w:rPr>
        <w:t>ar de la falta de ahorro en EEUU</w:t>
      </w:r>
      <w:r w:rsidRPr="008526EB">
        <w:rPr>
          <w:color w:val="FF0000"/>
          <w:u w:val="single"/>
        </w:rPr>
        <w:t xml:space="preserve"> es su déficit en la cuenta corriente, cuyo promedio ha sido del 2,6 % del PIB desde 1980.</w:t>
      </w:r>
    </w:p>
    <w:p w:rsidR="000711BB" w:rsidRPr="008526EB" w:rsidRDefault="000711BB" w:rsidP="000711BB">
      <w:pPr>
        <w:pStyle w:val="NormalWeb"/>
        <w:shd w:val="clear" w:color="auto" w:fill="FFFFFF"/>
        <w:spacing w:after="300"/>
        <w:jc w:val="both"/>
        <w:textAlignment w:val="baseline"/>
        <w:rPr>
          <w:color w:val="FF0000"/>
          <w:u w:val="single"/>
        </w:rPr>
      </w:pPr>
      <w:r w:rsidRPr="008526EB">
        <w:rPr>
          <w:color w:val="FF0000"/>
          <w:u w:val="single"/>
        </w:rPr>
        <w:lastRenderedPageBreak/>
        <w:t>Esta brecha crónica en la cuenta corriente es la que impulsa el déficit comercial multilateral con 101 países. Para e</w:t>
      </w:r>
      <w:r>
        <w:rPr>
          <w:color w:val="FF0000"/>
          <w:u w:val="single"/>
        </w:rPr>
        <w:t>ndeudarse en el extranjero, EEUU</w:t>
      </w:r>
      <w:r w:rsidRPr="008526EB">
        <w:rPr>
          <w:color w:val="FF0000"/>
          <w:u w:val="single"/>
        </w:rPr>
        <w:t xml:space="preserve"> debe dar a sus socios comerciales algo a cambio de su capital: la demanda estadounidense de productos fabricados en el extranjero.</w:t>
      </w:r>
    </w:p>
    <w:p w:rsidR="000711BB" w:rsidRPr="008526EB" w:rsidRDefault="000711BB" w:rsidP="000711BB">
      <w:pPr>
        <w:pStyle w:val="NormalWeb"/>
        <w:shd w:val="clear" w:color="auto" w:fill="FFFFFF"/>
        <w:spacing w:after="300"/>
        <w:jc w:val="both"/>
        <w:textAlignment w:val="baseline"/>
        <w:rPr>
          <w:color w:val="000000"/>
          <w:u w:val="single"/>
        </w:rPr>
      </w:pPr>
      <w:r w:rsidRPr="008526EB">
        <w:rPr>
          <w:color w:val="FF0000"/>
          <w:u w:val="single"/>
        </w:rPr>
        <w:t>Ahí reside la trampa de la politización de los problemas comerciales estadounidenses.</w:t>
      </w:r>
      <w:r w:rsidRPr="008526EB">
        <w:rPr>
          <w:color w:val="FF0000"/>
        </w:rPr>
        <w:t xml:space="preserve"> </w:t>
      </w:r>
      <w:r w:rsidRPr="008526EB">
        <w:rPr>
          <w:color w:val="000000"/>
          <w:u w:val="single"/>
        </w:rPr>
        <w:t>Cerrar el comercio con China, como haría Donald Trump con su arancel propuesto del 45 % para los produc</w:t>
      </w:r>
      <w:r>
        <w:rPr>
          <w:color w:val="000000"/>
          <w:u w:val="single"/>
        </w:rPr>
        <w:t>tos chinos que se vendan en EEUU</w:t>
      </w:r>
      <w:r w:rsidRPr="008526EB">
        <w:rPr>
          <w:color w:val="000000"/>
          <w:u w:val="single"/>
        </w:rPr>
        <w:t xml:space="preserve"> tendría consecuencias negativas. Si no se soluciona el problema del ahorro, la porción china del desequilibrio comercial multilateral estadounidense simplemente se redistribuiría hacia otros países, cuyos costos de producción probablemente sean mayores.</w:t>
      </w:r>
    </w:p>
    <w:p w:rsidR="000711BB" w:rsidRPr="008954C2" w:rsidRDefault="000711BB" w:rsidP="000711BB">
      <w:pPr>
        <w:pStyle w:val="NormalWeb"/>
        <w:shd w:val="clear" w:color="auto" w:fill="FFFFFF"/>
        <w:spacing w:after="300"/>
        <w:jc w:val="both"/>
        <w:textAlignment w:val="baseline"/>
        <w:rPr>
          <w:color w:val="000000"/>
        </w:rPr>
      </w:pPr>
      <w:r w:rsidRPr="008526EB">
        <w:rPr>
          <w:color w:val="000000"/>
          <w:u w:val="single"/>
        </w:rPr>
        <w:t>He estimado que las tasas de remuneración al trabajo chino continúan estando muy por debajo de la mitad de las que prevalecen en el resto de los diez mayores proveedores externos. Si esos países ocuparan el vacío que cr</w:t>
      </w:r>
      <w:r>
        <w:rPr>
          <w:color w:val="000000"/>
          <w:u w:val="single"/>
        </w:rPr>
        <w:t>earía una penalización a China -como la propuesta por Trump-</w:t>
      </w:r>
      <w:r w:rsidRPr="008526EB">
        <w:rPr>
          <w:color w:val="000000"/>
          <w:u w:val="single"/>
        </w:rPr>
        <w:t xml:space="preserve"> los productores con mayores costos indudablemente cobrarían más que China po</w:t>
      </w:r>
      <w:r>
        <w:rPr>
          <w:color w:val="000000"/>
          <w:u w:val="single"/>
        </w:rPr>
        <w:t>r los productos vendidos en EE</w:t>
      </w:r>
      <w:r w:rsidRPr="008526EB">
        <w:rPr>
          <w:color w:val="000000"/>
          <w:u w:val="single"/>
        </w:rPr>
        <w:t>UU</w:t>
      </w:r>
      <w:r w:rsidRPr="008954C2">
        <w:rPr>
          <w:color w:val="000000"/>
        </w:rPr>
        <w:t>. El aumento resultante en los precios de las importaciones implicaría una suba real de impuestos sobre la clase media estadounidense. Eso resalta que es inútil buscar una solución bilateral a un problema multilateral.</w:t>
      </w:r>
    </w:p>
    <w:p w:rsidR="000711BB" w:rsidRPr="008526EB" w:rsidRDefault="000711BB" w:rsidP="000711BB">
      <w:pPr>
        <w:pStyle w:val="NormalWeb"/>
        <w:shd w:val="clear" w:color="auto" w:fill="FFFFFF"/>
        <w:spacing w:after="300"/>
        <w:jc w:val="both"/>
        <w:textAlignment w:val="baseline"/>
        <w:rPr>
          <w:color w:val="000000"/>
          <w:u w:val="single"/>
        </w:rPr>
      </w:pPr>
      <w:r w:rsidRPr="008526EB">
        <w:rPr>
          <w:color w:val="000000"/>
          <w:u w:val="single"/>
        </w:rPr>
        <w:t>El mismo resultado perverso podría esperarse de las insensatas políticas fiscales propuestas por otros políticos. Consideremos, por ejemplo, el despilfa</w:t>
      </w:r>
      <w:r>
        <w:rPr>
          <w:color w:val="000000"/>
          <w:u w:val="single"/>
        </w:rPr>
        <w:t>rro del gobierno federal por 14.</w:t>
      </w:r>
      <w:r w:rsidRPr="008526EB">
        <w:rPr>
          <w:color w:val="000000"/>
          <w:u w:val="single"/>
        </w:rPr>
        <w:t>500 millones en 10 años propuesto por el candidato presidencial demócrata Bernie Sanders: un programa que fue considerado carente de cualquier asomo de integridad fiscal por asesores económicos líderes del propio partido a través del cual busca nominarse.</w:t>
      </w:r>
    </w:p>
    <w:p w:rsidR="000711BB" w:rsidRPr="008526EB" w:rsidRDefault="000711BB" w:rsidP="000711BB">
      <w:pPr>
        <w:pStyle w:val="NormalWeb"/>
        <w:shd w:val="clear" w:color="auto" w:fill="FFFFFF"/>
        <w:spacing w:after="300"/>
        <w:jc w:val="both"/>
        <w:textAlignment w:val="baseline"/>
        <w:rPr>
          <w:color w:val="000000"/>
          <w:u w:val="single"/>
        </w:rPr>
      </w:pPr>
      <w:r w:rsidRPr="008526EB">
        <w:rPr>
          <w:color w:val="000000"/>
          <w:u w:val="single"/>
        </w:rPr>
        <w:t>Los déficits presupuestarios gubernamentales han representado desde hace mucho tiempo la mayor parte del aparentemente crónico déficit de ahorro estadounidense. Si a eso se suman los déficits de la sandernomics, o los de cualquier otro político, se deprimiría aún más el ahorro nacional, exacerbando por lo tanto el desequilibrio comercial multilateral que presiona tan fuertemente a las familias de clase media.</w:t>
      </w:r>
    </w:p>
    <w:p w:rsidR="000711BB" w:rsidRPr="008954C2" w:rsidRDefault="000711BB" w:rsidP="000711BB">
      <w:pPr>
        <w:pStyle w:val="NormalWeb"/>
        <w:shd w:val="clear" w:color="auto" w:fill="FFFFFF"/>
        <w:spacing w:after="300"/>
        <w:jc w:val="both"/>
        <w:textAlignment w:val="baseline"/>
        <w:rPr>
          <w:color w:val="000000"/>
        </w:rPr>
      </w:pPr>
      <w:r w:rsidRPr="008954C2">
        <w:rPr>
          <w:color w:val="000000"/>
        </w:rPr>
        <w:t xml:space="preserve">Considerados desde la misma perspectiva, los megaacuerdos comerciales, como el TPP, también incidirían fuertemente sobre las presiones que exprimen a los trabajadores estadounidenses. El TPP redireccionaría el comercio desde países que no son parte del acuerdo hacia otros que sí lo son. Como China no forma parte del TPP, el resultado sería el mismo fenómeno que mencionamos antes: las familias estadounidenses de clase media sufrirían la carga que implica redireccionar el comercio desde productores de bajo </w:t>
      </w:r>
      <w:r>
        <w:rPr>
          <w:color w:val="000000"/>
        </w:rPr>
        <w:t>costo que no pertenecen al TPP -como China-</w:t>
      </w:r>
      <w:r w:rsidRPr="008954C2">
        <w:rPr>
          <w:color w:val="000000"/>
        </w:rPr>
        <w:t xml:space="preserve"> hacia productores má</w:t>
      </w:r>
      <w:r>
        <w:rPr>
          <w:color w:val="000000"/>
        </w:rPr>
        <w:t>s caros que han firmado el TPP -como Japón, Canadá y Australia-</w:t>
      </w:r>
      <w:r w:rsidRPr="008954C2">
        <w:rPr>
          <w:color w:val="000000"/>
        </w:rPr>
        <w:t>.</w:t>
      </w:r>
    </w:p>
    <w:p w:rsidR="000711BB" w:rsidRPr="008954C2" w:rsidRDefault="000711BB" w:rsidP="000711BB">
      <w:pPr>
        <w:pStyle w:val="NormalWeb"/>
        <w:shd w:val="clear" w:color="auto" w:fill="FFFFFF"/>
        <w:spacing w:after="300"/>
        <w:jc w:val="both"/>
        <w:textAlignment w:val="baseline"/>
        <w:rPr>
          <w:color w:val="000000"/>
        </w:rPr>
      </w:pPr>
      <w:r w:rsidRPr="008526EB">
        <w:rPr>
          <w:color w:val="FF0000"/>
          <w:u w:val="single"/>
        </w:rPr>
        <w:t>En pocas palabras, atentar contra el comercio implica enfatizar las promesas vacías que los políticos de ambos partidos han hecho durante tanto tiempo a los votantes estadounidenses. El ahorro es la semilla del crecimiento económico: la forma de impulsar la competitividad estadounidense a través de la inversión en personas, infraestructura, tecnología y nueva capacidad productiva</w:t>
      </w:r>
      <w:r w:rsidRPr="008954C2">
        <w:rPr>
          <w:color w:val="000000"/>
        </w:rPr>
        <w:t xml:space="preserve">. </w:t>
      </w:r>
      <w:r w:rsidRPr="008526EB">
        <w:rPr>
          <w:color w:val="FF0000"/>
          <w:u w:val="single"/>
        </w:rPr>
        <w:t xml:space="preserve">El gobierno estadounidense, con décadas de gastos deficitarios y la promoción de políticas que alientan a los hogares a consumir en vez de ahorrar, ha obligado al país a depender del ahorro extranjero </w:t>
      </w:r>
      <w:r w:rsidRPr="008526EB">
        <w:rPr>
          <w:color w:val="FF0000"/>
          <w:u w:val="single"/>
        </w:rPr>
        <w:lastRenderedPageBreak/>
        <w:t>durante demasiado tiempo. Esto socavó la competitividad estadounidense y castigó a los trabajadores con las pérdidas de empleos y la compresión de los salarios que inevitablemente son consecuencia de los déficits comerciales.</w:t>
      </w:r>
    </w:p>
    <w:p w:rsidR="000711BB" w:rsidRPr="008526EB" w:rsidRDefault="000711BB" w:rsidP="000711BB">
      <w:pPr>
        <w:pStyle w:val="NormalWeb"/>
        <w:shd w:val="clear" w:color="auto" w:fill="FFFFFF"/>
        <w:spacing w:before="0" w:beforeAutospacing="0" w:after="300" w:afterAutospacing="0"/>
        <w:jc w:val="both"/>
        <w:textAlignment w:val="baseline"/>
        <w:rPr>
          <w:b/>
          <w:color w:val="FF0000"/>
          <w:u w:val="single"/>
        </w:rPr>
      </w:pPr>
      <w:r>
        <w:rPr>
          <w:b/>
          <w:color w:val="FF0000"/>
          <w:u w:val="single"/>
        </w:rPr>
        <w:t>Los 101 déficits de EEUU</w:t>
      </w:r>
      <w:r w:rsidRPr="008526EB">
        <w:rPr>
          <w:b/>
          <w:color w:val="FF0000"/>
          <w:u w:val="single"/>
        </w:rPr>
        <w:t xml:space="preserve"> no existen en el vacío. Son el síntoma de un problema mayor: una economía que vivió más allá de sus medios durante décadas. Ahorrar no es más que un medio para un fin: en este caso, el sustento de una clase media segura y próspera. Sin ahorro, el sueño americano corre el riesgo de convertirse en una pesadilla. El debate sobre la cuestión comercial en la actual campaña presidencial intensifica ese riesgo.</w:t>
      </w:r>
    </w:p>
    <w:p w:rsidR="000711BB" w:rsidRDefault="000711BB" w:rsidP="000711BB">
      <w:pPr>
        <w:pStyle w:val="NormalWeb"/>
        <w:shd w:val="clear" w:color="auto" w:fill="FFFFFF"/>
        <w:spacing w:before="0" w:beforeAutospacing="0" w:after="300" w:afterAutospacing="0"/>
        <w:jc w:val="both"/>
        <w:textAlignment w:val="baseline"/>
        <w:rPr>
          <w:color w:val="000000"/>
        </w:rPr>
      </w:pPr>
      <w:r>
        <w:rPr>
          <w:color w:val="000000"/>
        </w:rPr>
        <w:t>(</w:t>
      </w:r>
      <w:r w:rsidRPr="008954C2">
        <w:rPr>
          <w:color w:val="000000"/>
        </w:rPr>
        <w:t>Stephen S. Roach, former Chairman of Morgan Stanley Asia and the firm's chief economist, is a senior fellow at Yale University's Jackson Institute of Global Affairs and a senior lecturer at Yale's School of Management. He is the author of Unbalanced: The Co</w:t>
      </w:r>
      <w:r>
        <w:rPr>
          <w:color w:val="000000"/>
        </w:rPr>
        <w:t>dependency of America and China)</w:t>
      </w:r>
    </w:p>
    <w:p w:rsidR="000711BB" w:rsidRDefault="000711BB" w:rsidP="000711BB">
      <w:pPr>
        <w:pStyle w:val="NormalWeb"/>
        <w:shd w:val="clear" w:color="auto" w:fill="FFFFFF"/>
        <w:spacing w:after="300"/>
        <w:jc w:val="both"/>
        <w:textAlignment w:val="baseline"/>
        <w:rPr>
          <w:color w:val="000000"/>
        </w:rPr>
      </w:pPr>
      <w:r>
        <w:rPr>
          <w:color w:val="000000"/>
        </w:rPr>
        <w:t xml:space="preserve">- </w:t>
      </w:r>
      <w:r w:rsidRPr="00D7224D">
        <w:rPr>
          <w:color w:val="000000"/>
        </w:rPr>
        <w:t>¿</w:t>
      </w:r>
      <w:r w:rsidRPr="00D7224D">
        <w:rPr>
          <w:color w:val="000000"/>
          <w:u w:val="single"/>
        </w:rPr>
        <w:t>Por qué se somete a juicio a los bancos centrales nuevamente</w:t>
      </w:r>
      <w:r w:rsidRPr="00D7224D">
        <w:rPr>
          <w:color w:val="000000"/>
        </w:rPr>
        <w:t>?</w:t>
      </w:r>
      <w:r>
        <w:rPr>
          <w:color w:val="000000"/>
        </w:rPr>
        <w:t xml:space="preserve"> (Project Syndicate - </w:t>
      </w:r>
      <w:r w:rsidRPr="00D7224D">
        <w:rPr>
          <w:b/>
          <w:color w:val="000000"/>
        </w:rPr>
        <w:t>26/4/16</w:t>
      </w:r>
      <w:r>
        <w:rPr>
          <w:color w:val="000000"/>
        </w:rPr>
        <w:t>)</w:t>
      </w:r>
    </w:p>
    <w:p w:rsidR="000711BB" w:rsidRPr="00415CAD" w:rsidRDefault="000711BB" w:rsidP="000711BB">
      <w:pPr>
        <w:pStyle w:val="NormalWeb"/>
        <w:shd w:val="clear" w:color="auto" w:fill="FFFFFF"/>
        <w:spacing w:after="300"/>
        <w:jc w:val="both"/>
        <w:textAlignment w:val="baseline"/>
        <w:rPr>
          <w:color w:val="000000"/>
          <w:u w:val="single"/>
        </w:rPr>
      </w:pPr>
      <w:r>
        <w:rPr>
          <w:color w:val="000000"/>
        </w:rPr>
        <w:t>Londres.-</w:t>
      </w:r>
      <w:r w:rsidRPr="00D7224D">
        <w:rPr>
          <w:color w:val="000000"/>
        </w:rPr>
        <w:t xml:space="preserve"> </w:t>
      </w:r>
      <w:r w:rsidRPr="00415CAD">
        <w:rPr>
          <w:color w:val="000000"/>
          <w:u w:val="single"/>
        </w:rPr>
        <w:t>En la última década los bancos centrales han pasado de ser héroes a villanos, y viceversa. ¿Comienza ahora otra caída de su reputación y sus fortunas?</w:t>
      </w:r>
    </w:p>
    <w:p w:rsidR="000711BB" w:rsidRPr="00415CAD" w:rsidRDefault="000711BB" w:rsidP="000711BB">
      <w:pPr>
        <w:pStyle w:val="NormalWeb"/>
        <w:shd w:val="clear" w:color="auto" w:fill="FFFFFF"/>
        <w:spacing w:after="300"/>
        <w:jc w:val="both"/>
        <w:textAlignment w:val="baseline"/>
        <w:rPr>
          <w:color w:val="000000"/>
          <w:u w:val="single"/>
        </w:rPr>
      </w:pPr>
      <w:r w:rsidRPr="00415CAD">
        <w:rPr>
          <w:color w:val="000000"/>
          <w:u w:val="single"/>
        </w:rPr>
        <w:t>En 2006, cuando Alan Greenspan se jubiló tras 18 años como Presidente de la Junta de la Reserva Federal de Estados Unidos, era difícil que su reputación fuera mayor. Había estado al mando de la economía de su país, esquivando cuidadosamente el auge y caída de las “puntocom”, y la amenaza potencial al crecimiento de los ataques terroristas del 11 de septiembre de 2001. En su periodo hubo un fuerte crecimiento del PGB y la productividad. En su reunión final de la Junta, Timothy Geit</w:t>
      </w:r>
      <w:r w:rsidR="00766445">
        <w:rPr>
          <w:color w:val="000000"/>
          <w:u w:val="single"/>
        </w:rPr>
        <w:t>h</w:t>
      </w:r>
      <w:r w:rsidRPr="00415CAD">
        <w:rPr>
          <w:color w:val="000000"/>
          <w:u w:val="single"/>
        </w:rPr>
        <w:t>ner, entonces Presidente de la Fed de Nueva York, lo alabó en términos que hoy parecen embarazosos, diciendo que era probable que la altísima reputación de Greenspan aumentara en el futuro en lugar de disminuir.</w:t>
      </w:r>
    </w:p>
    <w:p w:rsidR="000711BB" w:rsidRPr="00415CAD" w:rsidRDefault="000711BB" w:rsidP="000711BB">
      <w:pPr>
        <w:pStyle w:val="NormalWeb"/>
        <w:shd w:val="clear" w:color="auto" w:fill="FFFFFF"/>
        <w:spacing w:after="300"/>
        <w:jc w:val="both"/>
        <w:textAlignment w:val="baseline"/>
        <w:rPr>
          <w:color w:val="FF0000"/>
          <w:u w:val="single"/>
        </w:rPr>
      </w:pPr>
      <w:r w:rsidRPr="00415CAD">
        <w:rPr>
          <w:color w:val="000000"/>
          <w:u w:val="single"/>
        </w:rPr>
        <w:t>Apenas tres años después, el economista y premio Nobel Paul Krugman, tomando prestada la expresión del sketch del papagayo de Monty Python, pudo decir que Greenspan era un ex “maestro” cuya reputación estaba ya bajo tierra</w:t>
      </w:r>
      <w:r w:rsidRPr="00D7224D">
        <w:rPr>
          <w:color w:val="000000"/>
        </w:rPr>
        <w:t xml:space="preserve">. </w:t>
      </w:r>
      <w:r w:rsidRPr="00415CAD">
        <w:rPr>
          <w:color w:val="FF0000"/>
          <w:u w:val="single"/>
        </w:rPr>
        <w:t>La opinión generalizada era que los bancos centrales no estuvieron lo suficientemente alerta en los primeros años de este siglo, permitiendo que se acumularan los desequilibrios globales, siendo benignos con una enorme burbuja crediticia, no prestando atención a las señales de peligro del mercado hipotecario y admirando sin espíritu crítico los productos novedosos pero tóxicos diseñados por bancos de inversión dirigidos por ejecutivos con sueldos sobredimensionados.</w:t>
      </w:r>
    </w:p>
    <w:p w:rsidR="000711BB" w:rsidRPr="00415CAD" w:rsidRDefault="000711BB" w:rsidP="000711BB">
      <w:pPr>
        <w:pStyle w:val="NormalWeb"/>
        <w:shd w:val="clear" w:color="auto" w:fill="FFFFFF"/>
        <w:spacing w:after="300"/>
        <w:jc w:val="both"/>
        <w:textAlignment w:val="baseline"/>
        <w:rPr>
          <w:color w:val="000000"/>
          <w:u w:val="single"/>
        </w:rPr>
      </w:pPr>
      <w:r w:rsidRPr="00415CAD">
        <w:rPr>
          <w:color w:val="000000"/>
          <w:u w:val="single"/>
        </w:rPr>
        <w:t>También fueron vacilantes las primeras reacciones de los bancos centrales a la profundización de la crisis</w:t>
      </w:r>
      <w:r w:rsidRPr="00D7224D">
        <w:rPr>
          <w:color w:val="000000"/>
        </w:rPr>
        <w:t xml:space="preserve">. </w:t>
      </w:r>
      <w:r w:rsidRPr="00415CAD">
        <w:rPr>
          <w:color w:val="000000"/>
          <w:u w:val="single"/>
        </w:rPr>
        <w:t>El Banco de Inglaterra (BoE) daba lecciones sobre el riesgo moral mientras a su alrededor implosionaba el sistema bancario, y el Banco Central Europeo seguía matando dragones inflacionarios imaginarios mientras casi todos los economistas veían riesgos mucho mayores de que se produjera un colapso en la eurozona y la consiguiente contracción del crédito.</w:t>
      </w:r>
    </w:p>
    <w:p w:rsidR="000711BB" w:rsidRPr="00415CAD" w:rsidRDefault="000711BB" w:rsidP="000711BB">
      <w:pPr>
        <w:pStyle w:val="NormalWeb"/>
        <w:shd w:val="clear" w:color="auto" w:fill="FFFFFF"/>
        <w:spacing w:after="300"/>
        <w:jc w:val="both"/>
        <w:textAlignment w:val="baseline"/>
        <w:rPr>
          <w:color w:val="FF0000"/>
          <w:u w:val="single"/>
        </w:rPr>
      </w:pPr>
      <w:r w:rsidRPr="00415CAD">
        <w:rPr>
          <w:color w:val="FF0000"/>
          <w:u w:val="single"/>
        </w:rPr>
        <w:lastRenderedPageBreak/>
        <w:t>Sin embargo, a pesar de estos errores de cálculo, cuando los gobiernos de todo el mundo tuvieron que ponderar cómo responder de la mejor manera a las lecciones de la crisis, los bancos centrales, que antes se consideraban parte del problema, comenzaron a verse como parte esencial de la solución. Recibieron nuevos poderes para regular el sistema financiero y se les recomendó adoptar nuevas políticas, altamente intervencionistas, en un intento por evitar la depresión y la deflación.</w:t>
      </w:r>
    </w:p>
    <w:p w:rsidR="000711BB" w:rsidRPr="00415CAD" w:rsidRDefault="000711BB" w:rsidP="000711BB">
      <w:pPr>
        <w:pStyle w:val="NormalWeb"/>
        <w:shd w:val="clear" w:color="auto" w:fill="FFFFFF"/>
        <w:spacing w:after="300"/>
        <w:jc w:val="both"/>
        <w:textAlignment w:val="baseline"/>
        <w:rPr>
          <w:color w:val="000000"/>
          <w:u w:val="single"/>
        </w:rPr>
      </w:pPr>
      <w:r w:rsidRPr="00D7224D">
        <w:rPr>
          <w:color w:val="000000"/>
        </w:rPr>
        <w:t xml:space="preserve">Los balances financieros de los bancos centrales han crecido de manera notable, así como las nuevas leyes para fortalecer sus medidas. </w:t>
      </w:r>
      <w:r w:rsidRPr="00415CAD">
        <w:rPr>
          <w:color w:val="000000"/>
          <w:u w:val="single"/>
        </w:rPr>
        <w:t>En Estados Unidos, la Ley Dodd-Franck dio a la Fed competencias en áreas del sistema financiero que nunca había regulado, y poderes para hacerse cargo de bancos en quiebra y resolver su situación.</w:t>
      </w:r>
    </w:p>
    <w:p w:rsidR="000711BB" w:rsidRPr="00415CAD" w:rsidRDefault="000711BB" w:rsidP="000711BB">
      <w:pPr>
        <w:pStyle w:val="NormalWeb"/>
        <w:shd w:val="clear" w:color="auto" w:fill="FFFFFF"/>
        <w:spacing w:after="300"/>
        <w:jc w:val="both"/>
        <w:textAlignment w:val="baseline"/>
        <w:rPr>
          <w:color w:val="000000"/>
          <w:u w:val="single"/>
        </w:rPr>
      </w:pPr>
      <w:r w:rsidRPr="00415CAD">
        <w:rPr>
          <w:color w:val="000000"/>
          <w:u w:val="single"/>
        </w:rPr>
        <w:t>En el caso del Reino Unido, el BoE recuperó en 2013 sus poderes de regulación bancaria, que había perdido en 1997, convirtiéndose por primera vez en el supervisor prudencial de las compañías de seguros, en lo que significó una gran ampliación de su papel. Mientras tanto, el BCE hoy supervisa directamente a más de un  80% del sector bancario de la Unión Europea.</w:t>
      </w:r>
    </w:p>
    <w:p w:rsidR="000711BB" w:rsidRPr="00415CAD" w:rsidRDefault="000711BB" w:rsidP="000711BB">
      <w:pPr>
        <w:pStyle w:val="NormalWeb"/>
        <w:shd w:val="clear" w:color="auto" w:fill="FFFFFF"/>
        <w:spacing w:after="300"/>
        <w:jc w:val="both"/>
        <w:textAlignment w:val="baseline"/>
        <w:rPr>
          <w:color w:val="FF0000"/>
          <w:u w:val="single"/>
        </w:rPr>
      </w:pPr>
      <w:r w:rsidRPr="00415CAD">
        <w:rPr>
          <w:color w:val="FF0000"/>
          <w:u w:val="single"/>
        </w:rPr>
        <w:t>En los últimos cinco años, el sector de los bancos centrales se ha convertido en uno de los de más rápido crecimiento del mundo Occidental. Pareciera que han superado a sus críticos, surgiendo triunfantes de la crisis. Sus medidas innovadoras y a veces polémicas han ayudado a que la economía mundial se recupere.</w:t>
      </w:r>
    </w:p>
    <w:p w:rsidR="000711BB" w:rsidRPr="00415CAD" w:rsidRDefault="000711BB" w:rsidP="000711BB">
      <w:pPr>
        <w:pStyle w:val="NormalWeb"/>
        <w:shd w:val="clear" w:color="auto" w:fill="FFFFFF"/>
        <w:spacing w:after="300"/>
        <w:jc w:val="both"/>
        <w:textAlignment w:val="baseline"/>
        <w:rPr>
          <w:color w:val="FF0000"/>
          <w:u w:val="single"/>
        </w:rPr>
      </w:pPr>
      <w:r w:rsidRPr="00415CAD">
        <w:rPr>
          <w:color w:val="FF0000"/>
          <w:u w:val="single"/>
        </w:rPr>
        <w:t>Pero hoy hay señales de que esta exaltación puede tener consecuencias ambiguas. De hecho, a algunos banqueros centrales les preocupa el que su papel se haya ampliado demasiado, exponiéndolos al riesgo de sufrir un contragolpe.</w:t>
      </w:r>
    </w:p>
    <w:p w:rsidR="000711BB" w:rsidRPr="00D7224D" w:rsidRDefault="000711BB" w:rsidP="000711BB">
      <w:pPr>
        <w:pStyle w:val="NormalWeb"/>
        <w:shd w:val="clear" w:color="auto" w:fill="FFFFFF"/>
        <w:spacing w:after="300"/>
        <w:jc w:val="both"/>
        <w:textAlignment w:val="baseline"/>
        <w:rPr>
          <w:color w:val="000000"/>
        </w:rPr>
      </w:pPr>
      <w:r w:rsidRPr="00D7224D">
        <w:rPr>
          <w:color w:val="000000"/>
        </w:rPr>
        <w:t>Existen dos peligros relacionados entre sí. El primero se resume en el título del último libro de Mohamed El-Erian, The Only Game in Town (El único juego en la ciudad). Los bancos centrales cargan con gran parte de las expectativas del ajuste post-crisis. Sus enormes adquisiciones de activos sirven de sistema de apoyo vital para la economía financiera. Sin embargo, no pueden solucionar por sí mismos los problemas globales subyacentes y el enorme problema de sobreendeudamiento. De hecho, puede que sean un obstáculo para los demás ajustes que hacen falta, ya sea fiscales o estructurales, para solucionar los impedimentos a la recuperación económica.</w:t>
      </w:r>
    </w:p>
    <w:p w:rsidR="000711BB" w:rsidRPr="00D7224D" w:rsidRDefault="000711BB" w:rsidP="000711BB">
      <w:pPr>
        <w:pStyle w:val="NormalWeb"/>
        <w:shd w:val="clear" w:color="auto" w:fill="FFFFFF"/>
        <w:spacing w:after="300"/>
        <w:jc w:val="both"/>
        <w:textAlignment w:val="baseline"/>
        <w:rPr>
          <w:color w:val="000000"/>
        </w:rPr>
      </w:pPr>
      <w:r w:rsidRPr="00D7224D">
        <w:rPr>
          <w:color w:val="000000"/>
        </w:rPr>
        <w:t>Esto es particularmente cierto en Europa. Mientras el BCE mantiene al euro a flote al “hacer lo que sea necesario”, siguiendo la frase de su Presidente, Mario Draghi, es poco lo que hacen los gobiernos. ¿Por qué adoptar medidas complicadas si el BCE administra dosis cada vez más intensas de sus medicamentos monetarios?</w:t>
      </w:r>
    </w:p>
    <w:p w:rsidR="000711BB" w:rsidRPr="00415CAD" w:rsidRDefault="000711BB" w:rsidP="000711BB">
      <w:pPr>
        <w:pStyle w:val="NormalWeb"/>
        <w:shd w:val="clear" w:color="auto" w:fill="FFFFFF"/>
        <w:spacing w:after="300"/>
        <w:jc w:val="both"/>
        <w:textAlignment w:val="baseline"/>
        <w:rPr>
          <w:color w:val="000000"/>
          <w:u w:val="single"/>
        </w:rPr>
      </w:pPr>
      <w:r w:rsidRPr="00D7224D">
        <w:rPr>
          <w:color w:val="000000"/>
        </w:rPr>
        <w:t xml:space="preserve">El segundo peligro es una versión de lo que a veces se llama el problema del “ciudadano con demasiado poder”. </w:t>
      </w:r>
      <w:r w:rsidRPr="00415CAD">
        <w:rPr>
          <w:color w:val="000000"/>
          <w:u w:val="single"/>
        </w:rPr>
        <w:t>¿Será que los bancos centrales han recibido demasiadas atribuciones y esto pueda afectar su propio bien?</w:t>
      </w:r>
    </w:p>
    <w:p w:rsidR="000711BB" w:rsidRPr="00415CAD" w:rsidRDefault="000711BB" w:rsidP="000711BB">
      <w:pPr>
        <w:pStyle w:val="NormalWeb"/>
        <w:shd w:val="clear" w:color="auto" w:fill="FFFFFF"/>
        <w:spacing w:after="300"/>
        <w:jc w:val="both"/>
        <w:textAlignment w:val="baseline"/>
        <w:rPr>
          <w:color w:val="000000"/>
          <w:u w:val="single"/>
        </w:rPr>
      </w:pPr>
      <w:r w:rsidRPr="00415CAD">
        <w:rPr>
          <w:color w:val="000000"/>
          <w:u w:val="single"/>
        </w:rPr>
        <w:t xml:space="preserve">Un caso ilustrativo es la facilitación cuantitativa. Las críticas han ido en aumento, ya que diluye los límites entre las políticas monetaria y fiscal (que sin duda deben ser  competencia de los gobiernos electos). Podemos verlo en Alemania, donde muchos hoy cuestionan si el BCE es demasiado poderoso, independiente y falto de la obligación de rendir cuentas. En Estados Unidos, se advierte una crítica similar entre quienes quieren </w:t>
      </w:r>
      <w:r w:rsidRPr="00415CAD">
        <w:rPr>
          <w:color w:val="000000"/>
          <w:u w:val="single"/>
        </w:rPr>
        <w:lastRenderedPageBreak/>
        <w:t>“auditar a la Fed”, lo que a menudo quiere decir someter la política monetaria a la supervisión del Congreso.</w:t>
      </w:r>
    </w:p>
    <w:p w:rsidR="000711BB" w:rsidRPr="00415CAD" w:rsidRDefault="000711BB" w:rsidP="000711BB">
      <w:pPr>
        <w:pStyle w:val="NormalWeb"/>
        <w:shd w:val="clear" w:color="auto" w:fill="FFFFFF"/>
        <w:spacing w:after="300"/>
        <w:jc w:val="both"/>
        <w:textAlignment w:val="baseline"/>
        <w:rPr>
          <w:color w:val="000000"/>
          <w:u w:val="single"/>
        </w:rPr>
      </w:pPr>
      <w:r w:rsidRPr="00415CAD">
        <w:rPr>
          <w:color w:val="000000"/>
          <w:u w:val="single"/>
        </w:rPr>
        <w:t>También existen inquietudes sobre la regulación financiera, especialmente los nuevos instrumentos macroprudenciales de los bancos centrales. En su nuevo libro The End of Alchemy (El fin de la alquimia), el ex Gobernador del BoE Mervyn King argumenta que la intervención directa en el mercado hipotecario mediante la limitación del crédito debería estar sujeta a decisiones políticas.</w:t>
      </w:r>
    </w:p>
    <w:p w:rsidR="000711BB" w:rsidRPr="00415CAD" w:rsidRDefault="000711BB" w:rsidP="000711BB">
      <w:pPr>
        <w:pStyle w:val="NormalWeb"/>
        <w:shd w:val="clear" w:color="auto" w:fill="FFFFFF"/>
        <w:spacing w:after="300"/>
        <w:jc w:val="both"/>
        <w:textAlignment w:val="baseline"/>
        <w:rPr>
          <w:color w:val="000000"/>
          <w:u w:val="single"/>
        </w:rPr>
      </w:pPr>
      <w:r w:rsidRPr="00415CAD">
        <w:rPr>
          <w:color w:val="000000"/>
          <w:u w:val="single"/>
        </w:rPr>
        <w:t>Otros, entre quienes destaca Axel Weber, ex presidente del Bundesbank, consideran que es peligroso que el banco central supervise directamente a los bancos. Cuando algo falla en los mercados financieros, se culpa a los supervisores. Si el banco central está al frente, existe el riesgo de contagio y pérdida de confianza en la política monetaria.</w:t>
      </w:r>
    </w:p>
    <w:p w:rsidR="000711BB" w:rsidRPr="00D7224D" w:rsidRDefault="000711BB" w:rsidP="000711BB">
      <w:pPr>
        <w:pStyle w:val="NormalWeb"/>
        <w:shd w:val="clear" w:color="auto" w:fill="FFFFFF"/>
        <w:spacing w:after="300"/>
        <w:jc w:val="both"/>
        <w:textAlignment w:val="baseline"/>
        <w:rPr>
          <w:color w:val="000000"/>
        </w:rPr>
      </w:pPr>
      <w:r w:rsidRPr="00D7224D">
        <w:rPr>
          <w:color w:val="000000"/>
        </w:rPr>
        <w:t>Y eso apunta a la mayor preocupación de todas. Fue difícil ganar la independencia de los bancos centrales en materia de política monetaria, que ha conllevado grandes beneficios para nuestras economías. No obstante, cabe exigir una forma diferente de rendición de cuentas políticas de una institución que compra bonos con dinero público, toma decisiones sobre la disponibilidad de las finanzas hipotecarias y reduce el ritmo de los bancos, afectando de manera importante a sus accionistas.</w:t>
      </w:r>
    </w:p>
    <w:p w:rsidR="000711BB" w:rsidRPr="00415CAD" w:rsidRDefault="000711BB" w:rsidP="000711BB">
      <w:pPr>
        <w:pStyle w:val="NormalWeb"/>
        <w:shd w:val="clear" w:color="auto" w:fill="FFFFFF"/>
        <w:spacing w:before="0" w:beforeAutospacing="0" w:after="300" w:afterAutospacing="0"/>
        <w:jc w:val="both"/>
        <w:textAlignment w:val="baseline"/>
        <w:rPr>
          <w:color w:val="FF0000"/>
          <w:u w:val="single"/>
        </w:rPr>
      </w:pPr>
      <w:r w:rsidRPr="00415CAD">
        <w:rPr>
          <w:color w:val="FF0000"/>
          <w:u w:val="single"/>
        </w:rPr>
        <w:t>El peligro es que la toma de decisiones apresuradas tras la crisis para dotar de funciones adicionales a los bancos centrales tenga consecuencias imprevistas e indeseables. En particular, la política monetaria también podría verse afectada si estas funciones quedan sujetas a una mayor supervisión política. Por esto, habrá que diseñar con extraordinario cuidado los nuevos mecanismos que se adopten para mejorar la rendición de cuentas de los bancos centrales.</w:t>
      </w:r>
    </w:p>
    <w:p w:rsidR="000711BB" w:rsidRDefault="000711BB" w:rsidP="000711BB">
      <w:pPr>
        <w:pStyle w:val="NormalWeb"/>
        <w:shd w:val="clear" w:color="auto" w:fill="FFFFFF"/>
        <w:spacing w:before="0" w:beforeAutospacing="0" w:after="300" w:afterAutospacing="0"/>
        <w:jc w:val="both"/>
        <w:textAlignment w:val="baseline"/>
        <w:rPr>
          <w:color w:val="000000"/>
        </w:rPr>
      </w:pPr>
      <w:r>
        <w:rPr>
          <w:color w:val="000000"/>
        </w:rPr>
        <w:t>(</w:t>
      </w:r>
      <w:r w:rsidRPr="00D7224D">
        <w:rPr>
          <w:color w:val="000000"/>
        </w:rPr>
        <w:t xml:space="preserve">Howard Davies, the first chairman of the United Kingdom’s Financial Services Authority (1997-2003), is Chairman of the Royal Bank of Scotland. He was Director of the London School of Economics (2003-11) and served as Deputy Governor of </w:t>
      </w:r>
      <w:r>
        <w:rPr>
          <w:color w:val="000000"/>
        </w:rPr>
        <w:t>the Bank of England</w:t>
      </w:r>
      <w:r w:rsidRPr="00D7224D">
        <w:rPr>
          <w:color w:val="000000"/>
        </w:rPr>
        <w:t>…</w:t>
      </w:r>
      <w:r>
        <w:rPr>
          <w:color w:val="000000"/>
        </w:rPr>
        <w:t>)</w:t>
      </w:r>
    </w:p>
    <w:p w:rsidR="000711BB" w:rsidRPr="00FF07E4" w:rsidRDefault="000711BB" w:rsidP="000711BB">
      <w:pPr>
        <w:pStyle w:val="NormalWeb"/>
        <w:shd w:val="clear" w:color="auto" w:fill="FFFFFF"/>
        <w:spacing w:after="300"/>
        <w:jc w:val="both"/>
        <w:textAlignment w:val="baseline"/>
        <w:rPr>
          <w:color w:val="000000"/>
        </w:rPr>
      </w:pPr>
      <w:r>
        <w:rPr>
          <w:color w:val="000000"/>
        </w:rPr>
        <w:t xml:space="preserve">- </w:t>
      </w:r>
      <w:r w:rsidRPr="00FF07E4">
        <w:rPr>
          <w:color w:val="000000"/>
          <w:u w:val="single"/>
        </w:rPr>
        <w:t>Gestión de la deuda en un mundo excesivamente apalancado</w:t>
      </w:r>
      <w:r>
        <w:rPr>
          <w:color w:val="000000"/>
        </w:rPr>
        <w:t xml:space="preserve"> (Project Syndicate - </w:t>
      </w:r>
      <w:r w:rsidRPr="00FF07E4">
        <w:rPr>
          <w:b/>
          <w:color w:val="000000"/>
        </w:rPr>
        <w:t>27/4/16</w:t>
      </w:r>
      <w:r>
        <w:rPr>
          <w:color w:val="000000"/>
        </w:rPr>
        <w:t>)</w:t>
      </w:r>
    </w:p>
    <w:p w:rsidR="000711BB" w:rsidRPr="00D06527" w:rsidRDefault="000711BB" w:rsidP="000711BB">
      <w:pPr>
        <w:pStyle w:val="NormalWeb"/>
        <w:shd w:val="clear" w:color="auto" w:fill="FFFFFF"/>
        <w:spacing w:after="300"/>
        <w:jc w:val="both"/>
        <w:textAlignment w:val="baseline"/>
        <w:rPr>
          <w:color w:val="000000"/>
          <w:u w:val="single"/>
        </w:rPr>
      </w:pPr>
      <w:r>
        <w:rPr>
          <w:color w:val="000000"/>
        </w:rPr>
        <w:t>Milán.-</w:t>
      </w:r>
      <w:r w:rsidRPr="00FF07E4">
        <w:rPr>
          <w:color w:val="000000"/>
        </w:rPr>
        <w:t xml:space="preserve"> ¿</w:t>
      </w:r>
      <w:r w:rsidRPr="00D06527">
        <w:rPr>
          <w:color w:val="000000"/>
          <w:u w:val="single"/>
        </w:rPr>
        <w:t>Qué pasó, realmente, con el desapalancamiento de la deuda? En los años que transcurrieron desde la crisis financiera mundial del 2008, austeridad y reparación del balance de resultados fueron las palabras usadas como lema en la economía mundial. Y, no obstante, hoy más que nunca, la deuda es la que impulsa las preocupaciones relativas a las perspectivas de crecimiento en todo el mundo.</w:t>
      </w:r>
    </w:p>
    <w:p w:rsidR="000711BB" w:rsidRPr="00D06527" w:rsidRDefault="000711BB" w:rsidP="000711BB">
      <w:pPr>
        <w:pStyle w:val="NormalWeb"/>
        <w:shd w:val="clear" w:color="auto" w:fill="FFFFFF"/>
        <w:spacing w:after="300"/>
        <w:jc w:val="both"/>
        <w:textAlignment w:val="baseline"/>
        <w:rPr>
          <w:color w:val="FF0000"/>
          <w:u w:val="single"/>
        </w:rPr>
      </w:pPr>
      <w:r w:rsidRPr="00D06527">
        <w:rPr>
          <w:color w:val="FF0000"/>
          <w:u w:val="single"/>
        </w:rPr>
        <w:t>El Instituto Global McKinsey, en un estudio sobre las tendencias de la deuda después de las crisis, señala que, desde el año 2008, la deuda bruta se ha incrementado en alrededor de $</w:t>
      </w:r>
      <w:r>
        <w:rPr>
          <w:color w:val="FF0000"/>
          <w:u w:val="single"/>
        </w:rPr>
        <w:t xml:space="preserve"> 60 millones de millones -</w:t>
      </w:r>
      <w:r w:rsidRPr="00D06527">
        <w:rPr>
          <w:color w:val="FF0000"/>
          <w:u w:val="single"/>
        </w:rPr>
        <w:t>dicho de otra forma: alcanza un monto que representa el 75% del PIB mundial. La deuda de China, por ejemplo, se ha cuadruplicado desde el año 2007, y su ratio deuda-a-PIB se ha incrementado en a</w:t>
      </w:r>
      <w:r>
        <w:rPr>
          <w:color w:val="FF0000"/>
          <w:u w:val="single"/>
        </w:rPr>
        <w:t>lrededor del 282%-</w:t>
      </w:r>
      <w:r w:rsidRPr="00D06527">
        <w:rPr>
          <w:color w:val="FF0000"/>
          <w:u w:val="single"/>
        </w:rPr>
        <w:t xml:space="preserve"> este ratio es más alto que el de muchas economías importantes, incluyéndose entre ellas la de Estados Unidos.</w:t>
      </w:r>
    </w:p>
    <w:p w:rsidR="000711BB" w:rsidRPr="00D06527" w:rsidRDefault="000711BB" w:rsidP="000711BB">
      <w:pPr>
        <w:pStyle w:val="NormalWeb"/>
        <w:shd w:val="clear" w:color="auto" w:fill="FFFFFF"/>
        <w:spacing w:after="300"/>
        <w:jc w:val="both"/>
        <w:textAlignment w:val="baseline"/>
        <w:rPr>
          <w:color w:val="FF0000"/>
          <w:u w:val="single"/>
        </w:rPr>
      </w:pPr>
      <w:r w:rsidRPr="00D06527">
        <w:rPr>
          <w:color w:val="000000"/>
          <w:u w:val="single"/>
        </w:rPr>
        <w:lastRenderedPageBreak/>
        <w:t xml:space="preserve">Una economía mundial que aumenta su apalancamiento, y que al mismo tiempo no puede generar suficiente demanda agregada para lograr un crecimiento potencial, se encuentra en un camino con riesgos. Sin embargo, </w:t>
      </w:r>
      <w:r w:rsidRPr="00D06527">
        <w:rPr>
          <w:color w:val="FF0000"/>
          <w:u w:val="single"/>
        </w:rPr>
        <w:t>para evaluar cuán riesgoso es dicho camino, se deben considerar varios factores.</w:t>
      </w:r>
    </w:p>
    <w:p w:rsidR="000711BB" w:rsidRPr="00D06527" w:rsidRDefault="000711BB" w:rsidP="000711BB">
      <w:pPr>
        <w:pStyle w:val="NormalWeb"/>
        <w:shd w:val="clear" w:color="auto" w:fill="FFFFFF"/>
        <w:spacing w:after="300"/>
        <w:jc w:val="both"/>
        <w:textAlignment w:val="baseline"/>
        <w:rPr>
          <w:color w:val="FF0000"/>
          <w:u w:val="single"/>
        </w:rPr>
      </w:pPr>
      <w:r w:rsidRPr="00D06527">
        <w:rPr>
          <w:color w:val="FF0000"/>
          <w:u w:val="single"/>
        </w:rPr>
        <w:t>En primer lugar, se debe considerar la composición de la deuda a lo largo de todos los sectores (hogares, gobierno, empresas no financieras y el sector financiero). Al fin y al cabo, el estrés en estos sectores tiene efectos muy distintos sobre la economía en general.</w:t>
      </w:r>
    </w:p>
    <w:p w:rsidR="000711BB" w:rsidRPr="00FF07E4" w:rsidRDefault="000711BB" w:rsidP="000711BB">
      <w:pPr>
        <w:pStyle w:val="NormalWeb"/>
        <w:shd w:val="clear" w:color="auto" w:fill="FFFFFF"/>
        <w:spacing w:after="300"/>
        <w:jc w:val="both"/>
        <w:textAlignment w:val="baseline"/>
        <w:rPr>
          <w:color w:val="000000"/>
        </w:rPr>
      </w:pPr>
      <w:r w:rsidRPr="00FF07E4">
        <w:rPr>
          <w:color w:val="000000"/>
        </w:rPr>
        <w:t>En los hechos, las economías con niveles de deuda bruta que sean similares y relativamente altos en relación al PIB muestran grandes diferencias en lo que respecta a la composición de su deuda. Una deuda excesiva de los hogares es especialmente riesgosa, porque un shock en el precio de los activos (especialmente en el precio de los bienes raíces) se traduce rápidamente en una reducción del consumo, ya que debilita el crecimiento, el empleo y la inversión. La recuperación de un shock de ese tipo es un proceso largo.</w:t>
      </w:r>
    </w:p>
    <w:p w:rsidR="00A25B2F" w:rsidRDefault="000711BB" w:rsidP="000711BB">
      <w:pPr>
        <w:pStyle w:val="NormalWeb"/>
        <w:shd w:val="clear" w:color="auto" w:fill="FFFFFF"/>
        <w:spacing w:after="300"/>
        <w:jc w:val="both"/>
        <w:textAlignment w:val="baseline"/>
        <w:rPr>
          <w:color w:val="000000"/>
        </w:rPr>
      </w:pPr>
      <w:r w:rsidRPr="00B35B7B">
        <w:rPr>
          <w:color w:val="FF0000"/>
          <w:u w:val="single"/>
        </w:rPr>
        <w:t>El segundo factor a consid</w:t>
      </w:r>
      <w:r>
        <w:rPr>
          <w:color w:val="FF0000"/>
          <w:u w:val="single"/>
        </w:rPr>
        <w:t>erar es el crecimiento nominal -</w:t>
      </w:r>
      <w:r w:rsidRPr="00B35B7B">
        <w:rPr>
          <w:color w:val="FF0000"/>
          <w:u w:val="single"/>
        </w:rPr>
        <w:t xml:space="preserve"> es decir, el crecimiento real más la inflación. Hoy en día, el crecimiento real es tenue y puede incluso estar ralentizándose, y, a su vez, la inflación se sitúa por debajo de los objetivos fijados en la mayoría de lugares, e incluso en algunas economías existe un riesgo de deflación.</w:t>
      </w:r>
      <w:r w:rsidRPr="00B35B7B">
        <w:rPr>
          <w:color w:val="FF0000"/>
        </w:rPr>
        <w:t xml:space="preserve"> </w:t>
      </w:r>
      <w:r w:rsidRPr="00FF07E4">
        <w:rPr>
          <w:color w:val="000000"/>
        </w:rPr>
        <w:t>Debido a que la deuda es un pasivo para los prestatarios y un activo para los acreedores, estas tendencias tienen efectos divergentes, ya que aumentan el valor para el titular de los activos, y, al mismo tiempo, aumentan las cargas financieras del deudor. El problema es que, en un entorno de bajo crecimiento, se elevan considerablemente las probabilidades de que surja algún tipo de morator</w:t>
      </w:r>
      <w:r w:rsidR="00A25B2F">
        <w:rPr>
          <w:color w:val="000000"/>
        </w:rPr>
        <w:t>ia. En dicho caso, nadie gana.</w:t>
      </w:r>
      <w:r w:rsidR="00A25B2F">
        <w:rPr>
          <w:color w:val="000000"/>
        </w:rPr>
        <w:cr/>
      </w:r>
    </w:p>
    <w:p w:rsidR="000711BB" w:rsidRPr="007616E2" w:rsidRDefault="000711BB" w:rsidP="000711BB">
      <w:pPr>
        <w:pStyle w:val="NormalWeb"/>
        <w:shd w:val="clear" w:color="auto" w:fill="FFFFFF"/>
        <w:spacing w:after="300"/>
        <w:jc w:val="both"/>
        <w:textAlignment w:val="baseline"/>
        <w:rPr>
          <w:color w:val="000000"/>
        </w:rPr>
      </w:pPr>
      <w:r w:rsidRPr="00B35B7B">
        <w:rPr>
          <w:color w:val="FF0000"/>
          <w:u w:val="single"/>
        </w:rPr>
        <w:t>El tercer factor clave para evaluar el riesgo que conlleva una deuda creciente se compone por la política monetaria y las tasas de interés. Si bien nadie sabe exactamente como sería un entorno con tasas de interés “normales” en el mundo post-crisis, es razonable suponer que no sería parecido al mundo de hoy; es decir, un mundo en el que muchas economías están manteniendo sus tasas cercanas a cero y algunas, incluso, se desplazan a territorio negativo.</w:t>
      </w:r>
    </w:p>
    <w:p w:rsidR="000711BB" w:rsidRPr="00FF07E4" w:rsidRDefault="000711BB" w:rsidP="000711BB">
      <w:pPr>
        <w:pStyle w:val="NormalWeb"/>
        <w:shd w:val="clear" w:color="auto" w:fill="FFFFFF"/>
        <w:spacing w:after="300"/>
        <w:jc w:val="both"/>
        <w:textAlignment w:val="baseline"/>
        <w:rPr>
          <w:color w:val="000000"/>
        </w:rPr>
      </w:pPr>
      <w:r w:rsidRPr="00FF07E4">
        <w:rPr>
          <w:color w:val="000000"/>
        </w:rPr>
        <w:t>Los países soberanos que tienen niveles altos y/o en aumento de deuda pueden considerar que dichas tasas pueden ser sostenibles en la actualidad, siempre y cuando se implemente una política monetaria acomodaticia agresiva. Desafortunadamente, tal acomodamiento no se puede mantener por siempre, las condiciones de hoy en día se consideran a menudo como cuasi permanentes, creando la ilusión de estabilidad y reduciendo el incentivo para llevar a cabo difíciles reformas que promuevan el crecimiento a futuro.</w:t>
      </w:r>
    </w:p>
    <w:p w:rsidR="000711BB" w:rsidRPr="00B35B7B" w:rsidRDefault="000711BB" w:rsidP="000711BB">
      <w:pPr>
        <w:pStyle w:val="NormalWeb"/>
        <w:shd w:val="clear" w:color="auto" w:fill="FFFFFF"/>
        <w:spacing w:after="300"/>
        <w:jc w:val="both"/>
        <w:textAlignment w:val="baseline"/>
        <w:rPr>
          <w:color w:val="FF0000"/>
          <w:u w:val="single"/>
        </w:rPr>
      </w:pPr>
      <w:r w:rsidRPr="00B35B7B">
        <w:rPr>
          <w:color w:val="FF0000"/>
          <w:u w:val="single"/>
        </w:rPr>
        <w:t>El último factor que conforma el riesgo de la deuda, y que podría ser visto como el factor más importante, está vinculado con la inversión. Incrementar la deuda para sostener el consumo corriente, ya sea en el sector de los hogares o el sector gubernamental, se considera, de manera correcta, como un elemento insostenible de un patrón de crecimiento. En este punto, el caso de China es instructivo.</w:t>
      </w:r>
    </w:p>
    <w:p w:rsidR="000711BB" w:rsidRPr="00FF07E4" w:rsidRDefault="000711BB" w:rsidP="000711BB">
      <w:pPr>
        <w:pStyle w:val="NormalWeb"/>
        <w:shd w:val="clear" w:color="auto" w:fill="FFFFFF"/>
        <w:spacing w:after="300"/>
        <w:jc w:val="both"/>
        <w:textAlignment w:val="baseline"/>
        <w:rPr>
          <w:color w:val="000000"/>
        </w:rPr>
      </w:pPr>
      <w:r w:rsidRPr="00FF07E4">
        <w:rPr>
          <w:color w:val="000000"/>
        </w:rPr>
        <w:lastRenderedPageBreak/>
        <w:t>En un sentido, es cierto el estribillo que se repite con frecuencia sobre que la deuda de China se encuentra en un camino insostenible.  Al fin de cuentas, altos niveles de  deuda incrementan la vulnerabilidad frente a impactos negativos. Pero, en otro sentido, dicho estribillo no capta la idea de lo que ocurre.</w:t>
      </w:r>
    </w:p>
    <w:p w:rsidR="000711BB" w:rsidRPr="00B35B7B" w:rsidRDefault="000711BB" w:rsidP="000711BB">
      <w:pPr>
        <w:pStyle w:val="NormalWeb"/>
        <w:shd w:val="clear" w:color="auto" w:fill="FFFFFF"/>
        <w:spacing w:after="300"/>
        <w:jc w:val="both"/>
        <w:textAlignment w:val="baseline"/>
        <w:rPr>
          <w:color w:val="000000"/>
          <w:u w:val="single"/>
        </w:rPr>
      </w:pPr>
      <w:r w:rsidRPr="00B35B7B">
        <w:rPr>
          <w:color w:val="000000"/>
          <w:u w:val="single"/>
        </w:rPr>
        <w:t>Muchos gobiernos hoy en día están acumulando deuda con el fin de reforzar el consumo público o privado. Este abordaje, si es usado en exceso, puede ser equivalente a prestarse demanda futura; en dicho caso, el abordaje es claramente insostenible. Sin embargo, si se utiliza como una medida transitoria para ayudar a impulsar la puesta en marcha de una economía o para proporcionar un amortiguador frente a shocks de demanda negativa, tales esfuerzos pueden ser altamente beneficiosos.</w:t>
      </w:r>
    </w:p>
    <w:p w:rsidR="000711BB" w:rsidRPr="00FF07E4" w:rsidRDefault="000711BB" w:rsidP="000711BB">
      <w:pPr>
        <w:pStyle w:val="NormalWeb"/>
        <w:shd w:val="clear" w:color="auto" w:fill="FFFFFF"/>
        <w:spacing w:after="300"/>
        <w:jc w:val="both"/>
        <w:textAlignment w:val="baseline"/>
        <w:rPr>
          <w:color w:val="000000"/>
        </w:rPr>
      </w:pPr>
      <w:r w:rsidRPr="00FF07E4">
        <w:rPr>
          <w:color w:val="000000"/>
        </w:rPr>
        <w:t>Por otra parte, en una economía que tiene relativamente un alto crecimiento, los ostensibles niveles altos de deuda no se traducen, necesariamente, en un problema, siempre y cuando la deuda se utilice para financiar inversiones que, o produzcan altos rendimientos o, alternativamente, creen activos cuyo valor supere al de la deuda. En el caso de la deuda soberana, el retorno sobre la inversión puede ser visto como el incremento en el crecimiento futuro.</w:t>
      </w:r>
    </w:p>
    <w:p w:rsidR="000711BB" w:rsidRPr="00FF07E4" w:rsidRDefault="000711BB" w:rsidP="000711BB">
      <w:pPr>
        <w:pStyle w:val="NormalWeb"/>
        <w:shd w:val="clear" w:color="auto" w:fill="FFFFFF"/>
        <w:spacing w:after="300"/>
        <w:jc w:val="both"/>
        <w:textAlignment w:val="baseline"/>
        <w:rPr>
          <w:color w:val="000000"/>
        </w:rPr>
      </w:pPr>
      <w:r w:rsidRPr="00B35B7B">
        <w:rPr>
          <w:color w:val="000000"/>
          <w:u w:val="single"/>
        </w:rPr>
        <w:t>La buena noticia, en el caso de China, es que gran parte del apalancamiento acumulado ha sido utilizado efectivamente para financiar inversiones, mismas que por principio crean activos que aumentarán el crecimiento futuro</w:t>
      </w:r>
      <w:r w:rsidRPr="00FF07E4">
        <w:rPr>
          <w:color w:val="000000"/>
        </w:rPr>
        <w:t>. (Queda aún por verse si los resultados de la reciente decisión del gobierno sobre incrementar el déficit fiscal para estimular la economía sigue este patrón de largo plazo y de mejora del crecimiento).</w:t>
      </w:r>
    </w:p>
    <w:p w:rsidR="000711BB" w:rsidRPr="00B35B7B" w:rsidRDefault="000711BB" w:rsidP="000711BB">
      <w:pPr>
        <w:pStyle w:val="NormalWeb"/>
        <w:shd w:val="clear" w:color="auto" w:fill="FFFFFF"/>
        <w:spacing w:after="300"/>
        <w:jc w:val="both"/>
        <w:textAlignment w:val="baseline"/>
        <w:rPr>
          <w:color w:val="000000"/>
          <w:u w:val="single"/>
        </w:rPr>
      </w:pPr>
      <w:r w:rsidRPr="00B35B7B">
        <w:rPr>
          <w:color w:val="000000"/>
          <w:u w:val="single"/>
        </w:rPr>
        <w:t>La mala noticia, en el caso de China, es que prestar de manera direccionada y relajar los estándares para el otorgamiento de créditos, sobre todo después de la crisis, dio lugar a inversiones en activos en el sector inmobiliario y la industria pesada que tienen un valor muy por debajo del costo de la creación de los mismos. El retorno sobre dichos activos es negativo.</w:t>
      </w:r>
    </w:p>
    <w:p w:rsidR="000711BB" w:rsidRPr="00FF07E4" w:rsidRDefault="000711BB" w:rsidP="000711BB">
      <w:pPr>
        <w:pStyle w:val="NormalWeb"/>
        <w:shd w:val="clear" w:color="auto" w:fill="FFFFFF"/>
        <w:spacing w:after="300"/>
        <w:jc w:val="both"/>
        <w:textAlignment w:val="baseline"/>
        <w:rPr>
          <w:color w:val="000000"/>
        </w:rPr>
      </w:pPr>
      <w:r w:rsidRPr="00B35B7B">
        <w:rPr>
          <w:color w:val="000000"/>
          <w:u w:val="single"/>
        </w:rPr>
        <w:t>El llamado problema de la deuda de China, por lo tanto, no es realmente un problema de la deuda, sino que es un problema de la inversión. Para abordar dicho problema, China debe reformar sus sistemas financieros y de inversión, de manera que las inversiones con retornos bajos o negativos sean identificadas y descartadas de manera más fiable.</w:t>
      </w:r>
      <w:r w:rsidRPr="00FF07E4">
        <w:rPr>
          <w:color w:val="000000"/>
        </w:rPr>
        <w:t xml:space="preserve"> Esto significa hacer frente a los errores de valoración del riesgo que sobrevienen a consecuencia del respaldo que brinda el gobierno a los bancos estatales del país (bancos a los que, con seguridad, no se les permitiría fracasar).</w:t>
      </w:r>
    </w:p>
    <w:p w:rsidR="000711BB" w:rsidRPr="00B35B7B" w:rsidRDefault="000711BB" w:rsidP="000711BB">
      <w:pPr>
        <w:pStyle w:val="NormalWeb"/>
        <w:shd w:val="clear" w:color="auto" w:fill="FFFFFF"/>
        <w:spacing w:after="300"/>
        <w:jc w:val="both"/>
        <w:textAlignment w:val="baseline"/>
        <w:rPr>
          <w:color w:val="000000"/>
          <w:u w:val="single"/>
        </w:rPr>
      </w:pPr>
      <w:r w:rsidRPr="00B35B7B">
        <w:rPr>
          <w:color w:val="000000"/>
          <w:u w:val="single"/>
        </w:rPr>
        <w:t>Muchos países desarrollados también están fallando en cuanto a invertir en activos de alto rendimiento, pero esto ocurre por una razón diferente: sus apretados presupuestos y sus crecientes deudas evitan que inviertan mucho. A medida que esta situación debilita el crecimiento y reduce la inflación, la velocidad con la que se pueden reducir los ratios de deuda soberana disminuye de manera considerable.</w:t>
      </w:r>
    </w:p>
    <w:p w:rsidR="000711BB" w:rsidRPr="00B35B7B" w:rsidRDefault="000711BB" w:rsidP="000711BB">
      <w:pPr>
        <w:pStyle w:val="NormalWeb"/>
        <w:shd w:val="clear" w:color="auto" w:fill="FFFFFF"/>
        <w:spacing w:after="300"/>
        <w:jc w:val="both"/>
        <w:textAlignment w:val="baseline"/>
        <w:rPr>
          <w:color w:val="FF0000"/>
          <w:u w:val="single"/>
        </w:rPr>
      </w:pPr>
      <w:r w:rsidRPr="00B35B7B">
        <w:rPr>
          <w:color w:val="FF0000"/>
          <w:u w:val="single"/>
        </w:rPr>
        <w:t>Con el fin de estimular el crecimiento y el empleo, estas economías deben empezar a prestar más atención al tipo de deuda que acumulan. Si la deuda es para la financiación de inversiones que promueven el crecimiento, puede que endeudarse sea una muy buena idea. Sin embargo, si la deuda se destina a financiar “operaciones corrientes” y a aumentar la demanda agregada a corto plazo, es muy riesgosa.</w:t>
      </w:r>
    </w:p>
    <w:p w:rsidR="000711BB" w:rsidRPr="00B35B7B" w:rsidRDefault="000711BB" w:rsidP="000711BB">
      <w:pPr>
        <w:pStyle w:val="NormalWeb"/>
        <w:shd w:val="clear" w:color="auto" w:fill="FFFFFF"/>
        <w:spacing w:after="300"/>
        <w:jc w:val="both"/>
        <w:textAlignment w:val="baseline"/>
        <w:rPr>
          <w:color w:val="FF0000"/>
          <w:u w:val="single"/>
        </w:rPr>
      </w:pPr>
      <w:r w:rsidRPr="00B35B7B">
        <w:rPr>
          <w:color w:val="FF0000"/>
          <w:u w:val="single"/>
        </w:rPr>
        <w:lastRenderedPageBreak/>
        <w:t>Por supuesto, la situación no está claramente definida. El retorno sobre la inversión pública se ve afectado por la presencia o ausencia de reformas complementarias, mismas que pueden variar de un país a otro. Y hay un cierto potencial para el abuso, cuando hay gastos que se clasifican erróneamente como inversiones.</w:t>
      </w:r>
    </w:p>
    <w:p w:rsidR="000711BB" w:rsidRDefault="000711BB" w:rsidP="000711BB">
      <w:pPr>
        <w:pStyle w:val="NormalWeb"/>
        <w:shd w:val="clear" w:color="auto" w:fill="FFFFFF"/>
        <w:spacing w:before="0" w:beforeAutospacing="0" w:after="300" w:afterAutospacing="0"/>
        <w:jc w:val="both"/>
        <w:textAlignment w:val="baseline"/>
        <w:rPr>
          <w:color w:val="000000"/>
        </w:rPr>
      </w:pPr>
      <w:r w:rsidRPr="00FF07E4">
        <w:rPr>
          <w:color w:val="000000"/>
        </w:rPr>
        <w:t>No obstante, en un entorno de tasas de interés a largo plazo que son bajas y demanda agregada deficiente a corto plazo (lo cual significa que hay poco riesgo perjudicar al sector privado), es un error no relajar las restricciones fiscales a la inversión. De hecho, el tipo adecuado de inversión pública probablemente estimule una mayor inversión del sector privado. La identificación de este tipo de inversiones es el lugar donde debería ubicarse el actual debate sobre la deuda.</w:t>
      </w:r>
    </w:p>
    <w:p w:rsidR="000711BB" w:rsidRDefault="000711BB" w:rsidP="000711BB">
      <w:pPr>
        <w:pStyle w:val="NormalWeb"/>
        <w:shd w:val="clear" w:color="auto" w:fill="FFFFFF"/>
        <w:spacing w:before="0" w:beforeAutospacing="0" w:after="300" w:afterAutospacing="0"/>
        <w:jc w:val="both"/>
        <w:textAlignment w:val="baseline"/>
        <w:rPr>
          <w:color w:val="000000"/>
        </w:rPr>
      </w:pPr>
      <w:r>
        <w:rPr>
          <w:color w:val="000000"/>
        </w:rPr>
        <w:t>(</w:t>
      </w:r>
      <w:r w:rsidRPr="00D7224D">
        <w:rPr>
          <w:color w:val="000000"/>
        </w:rPr>
        <w:t>Michael Spence, a Nobel laureate in economics, is Professor of Economics at NYU’s Stern School of Business, Distinguished Visiting Fellow at the Council on Foreign Relations, Senior Fellow at the Hoover Institution at Stanford University, Academic Board Chairman of the Asia Global Institute in Hong</w:t>
      </w:r>
      <w:r>
        <w:rPr>
          <w:color w:val="000000"/>
        </w:rPr>
        <w:t xml:space="preserve"> Kong</w:t>
      </w:r>
      <w:r w:rsidRPr="00D7224D">
        <w:rPr>
          <w:color w:val="000000"/>
        </w:rPr>
        <w:t>…</w:t>
      </w:r>
      <w:r>
        <w:rPr>
          <w:color w:val="000000"/>
        </w:rPr>
        <w:t>)</w:t>
      </w:r>
    </w:p>
    <w:p w:rsidR="000711BB" w:rsidRPr="00FD4874" w:rsidRDefault="000711BB" w:rsidP="000711BB">
      <w:pPr>
        <w:spacing w:line="240" w:lineRule="auto"/>
        <w:jc w:val="both"/>
        <w:rPr>
          <w:rFonts w:ascii="Times New Roman" w:hAnsi="Times New Roman"/>
          <w:sz w:val="24"/>
          <w:szCs w:val="24"/>
        </w:rPr>
      </w:pPr>
      <w:r>
        <w:rPr>
          <w:rFonts w:ascii="Times New Roman" w:hAnsi="Times New Roman"/>
          <w:sz w:val="24"/>
          <w:szCs w:val="24"/>
        </w:rPr>
        <w:t xml:space="preserve">- </w:t>
      </w:r>
      <w:r w:rsidRPr="00FD4874">
        <w:rPr>
          <w:rFonts w:ascii="Times New Roman" w:hAnsi="Times New Roman"/>
          <w:sz w:val="24"/>
          <w:szCs w:val="24"/>
          <w:u w:val="single"/>
        </w:rPr>
        <w:t>Los dilemas económicos de Japón</w:t>
      </w:r>
      <w:r>
        <w:rPr>
          <w:rFonts w:ascii="Times New Roman" w:hAnsi="Times New Roman"/>
          <w:sz w:val="24"/>
          <w:szCs w:val="24"/>
        </w:rPr>
        <w:t xml:space="preserve"> (Project Syndicate - </w:t>
      </w:r>
      <w:r w:rsidRPr="00FD4874">
        <w:rPr>
          <w:rFonts w:ascii="Times New Roman" w:hAnsi="Times New Roman"/>
          <w:b/>
          <w:sz w:val="24"/>
          <w:szCs w:val="24"/>
        </w:rPr>
        <w:t>29/4/16</w:t>
      </w:r>
      <w:r>
        <w:rPr>
          <w:rFonts w:ascii="Times New Roman" w:hAnsi="Times New Roman"/>
          <w:sz w:val="24"/>
          <w:szCs w:val="24"/>
        </w:rPr>
        <w:t>)</w:t>
      </w:r>
    </w:p>
    <w:p w:rsidR="000711BB" w:rsidRPr="00403206" w:rsidRDefault="000711BB" w:rsidP="000711BB">
      <w:pPr>
        <w:spacing w:line="240" w:lineRule="auto"/>
        <w:jc w:val="both"/>
        <w:rPr>
          <w:rFonts w:ascii="Times New Roman" w:hAnsi="Times New Roman"/>
          <w:sz w:val="24"/>
          <w:szCs w:val="24"/>
          <w:u w:val="single"/>
        </w:rPr>
      </w:pPr>
      <w:r>
        <w:rPr>
          <w:rFonts w:ascii="Times New Roman" w:hAnsi="Times New Roman"/>
          <w:sz w:val="24"/>
          <w:szCs w:val="24"/>
        </w:rPr>
        <w:t>Cambridge.-</w:t>
      </w:r>
      <w:r w:rsidRPr="00FD4874">
        <w:rPr>
          <w:rFonts w:ascii="Times New Roman" w:hAnsi="Times New Roman"/>
          <w:sz w:val="24"/>
          <w:szCs w:val="24"/>
        </w:rPr>
        <w:t xml:space="preserve"> </w:t>
      </w:r>
      <w:r w:rsidRPr="00403206">
        <w:rPr>
          <w:rFonts w:ascii="Times New Roman" w:hAnsi="Times New Roman"/>
          <w:sz w:val="24"/>
          <w:szCs w:val="24"/>
          <w:u w:val="single"/>
        </w:rPr>
        <w:t>La economía japonesa es una mezcla paradójica de prosperidad y fracaso. Y, de una manera significativa, su prosperidad hace que sus fracasos sean difíciles de abordar.</w:t>
      </w:r>
    </w:p>
    <w:p w:rsidR="000711BB" w:rsidRPr="00FD4874" w:rsidRDefault="000711BB" w:rsidP="000711BB">
      <w:pPr>
        <w:spacing w:line="240" w:lineRule="auto"/>
        <w:jc w:val="both"/>
        <w:rPr>
          <w:rFonts w:ascii="Times New Roman" w:hAnsi="Times New Roman"/>
          <w:sz w:val="24"/>
          <w:szCs w:val="24"/>
        </w:rPr>
      </w:pPr>
      <w:r w:rsidRPr="00403206">
        <w:rPr>
          <w:rFonts w:ascii="Times New Roman" w:hAnsi="Times New Roman"/>
          <w:sz w:val="24"/>
          <w:szCs w:val="24"/>
          <w:u w:val="single"/>
        </w:rPr>
        <w:t>La opulencia de Japón es palpable para cualquier persona que visite Tokio</w:t>
      </w:r>
      <w:r w:rsidRPr="00FD4874">
        <w:rPr>
          <w:rFonts w:ascii="Times New Roman" w:hAnsi="Times New Roman"/>
          <w:sz w:val="24"/>
          <w:szCs w:val="24"/>
        </w:rPr>
        <w:t>. El nivel de vida es alto, el país tuvo un ingreso per cápita en el año 2015 (en términos de paridad de poder adquisitivo) de $</w:t>
      </w:r>
      <w:r>
        <w:rPr>
          <w:rFonts w:ascii="Times New Roman" w:hAnsi="Times New Roman"/>
          <w:sz w:val="24"/>
          <w:szCs w:val="24"/>
        </w:rPr>
        <w:t xml:space="preserve"> </w:t>
      </w:r>
      <w:r w:rsidRPr="00FD4874">
        <w:rPr>
          <w:rFonts w:ascii="Times New Roman" w:hAnsi="Times New Roman"/>
          <w:sz w:val="24"/>
          <w:szCs w:val="24"/>
        </w:rPr>
        <w:t>38.000; cifra que se cerca al promedio de $ 41.000 en Francia y Gran Bretaña. La tasa de desempleo, que está en un nivel del 3,3%, es sustancialmente inferior a la tasa estadounidense del 5% y a la de la eurozona que está en alrededor del 10%.</w:t>
      </w:r>
    </w:p>
    <w:p w:rsidR="000711BB" w:rsidRPr="00FD4874" w:rsidRDefault="000711BB" w:rsidP="000711BB">
      <w:pPr>
        <w:spacing w:line="240" w:lineRule="auto"/>
        <w:jc w:val="both"/>
        <w:rPr>
          <w:rFonts w:ascii="Times New Roman" w:hAnsi="Times New Roman"/>
          <w:sz w:val="24"/>
          <w:szCs w:val="24"/>
        </w:rPr>
      </w:pPr>
      <w:r w:rsidRPr="00FD4874">
        <w:rPr>
          <w:rFonts w:ascii="Times New Roman" w:hAnsi="Times New Roman"/>
          <w:sz w:val="24"/>
          <w:szCs w:val="24"/>
        </w:rPr>
        <w:t>Sin embargo, hoy en día la economía de Japón se ha deslizado a una deflación: los precios para el consumidor en el mes de marzo se situaron en un nivel más bajo en comparación con el registrado un año atrás, y, al mismo tiempo, el PIB real está disminuyendo. A pesar de que los costos de endeudamiento se encuentran cerca de cero, el déficit fiscal se sitúa en casi el 7% del PIB, y la deuda pública supera el 230% del PIB. La población y la mano de obra están reduciéndose, lo que implica que en el futuro se tendrán ratios de endeudamiento aún más altos.</w:t>
      </w:r>
    </w:p>
    <w:p w:rsidR="000711BB" w:rsidRPr="00403206" w:rsidRDefault="000711BB" w:rsidP="000711BB">
      <w:pPr>
        <w:spacing w:line="240" w:lineRule="auto"/>
        <w:jc w:val="both"/>
        <w:rPr>
          <w:rFonts w:ascii="Times New Roman" w:hAnsi="Times New Roman"/>
          <w:sz w:val="24"/>
          <w:szCs w:val="24"/>
          <w:u w:val="single"/>
        </w:rPr>
      </w:pPr>
      <w:r w:rsidRPr="00403206">
        <w:rPr>
          <w:rFonts w:ascii="Times New Roman" w:hAnsi="Times New Roman"/>
          <w:sz w:val="24"/>
          <w:szCs w:val="24"/>
          <w:u w:val="single"/>
        </w:rPr>
        <w:t>Cuando el primer ministro Shinzo Abe asumió el cargo en diciembre del año 2012, anunció un</w:t>
      </w:r>
      <w:r>
        <w:rPr>
          <w:rFonts w:ascii="Times New Roman" w:hAnsi="Times New Roman"/>
          <w:sz w:val="24"/>
          <w:szCs w:val="24"/>
          <w:u w:val="single"/>
        </w:rPr>
        <w:t>a estrategia -compuesta por tres “flechas”-</w:t>
      </w:r>
      <w:r w:rsidRPr="00403206">
        <w:rPr>
          <w:rFonts w:ascii="Times New Roman" w:hAnsi="Times New Roman"/>
          <w:sz w:val="24"/>
          <w:szCs w:val="24"/>
          <w:u w:val="single"/>
        </w:rPr>
        <w:t xml:space="preserve"> para superar la combinación de lento crecimiento y baja inflación de la economía: una política monetaria de muy amplia liquidez, estímulo fiscal a corto plazo y reformas estructurales en los mercados laborales y de productos. Sin embargo, las políticas económicas del gobierno (las llamadas políticas Abe-económicas) no han solucionado los problemas de Japón y es improbable que lo hagan en el futuro.</w:t>
      </w:r>
    </w:p>
    <w:p w:rsidR="000711BB" w:rsidRPr="00FD4874" w:rsidRDefault="000711BB" w:rsidP="000711BB">
      <w:pPr>
        <w:spacing w:line="240" w:lineRule="auto"/>
        <w:jc w:val="both"/>
        <w:rPr>
          <w:rFonts w:ascii="Times New Roman" w:hAnsi="Times New Roman"/>
          <w:sz w:val="24"/>
          <w:szCs w:val="24"/>
        </w:rPr>
      </w:pPr>
      <w:r w:rsidRPr="00FD4874">
        <w:rPr>
          <w:rFonts w:ascii="Times New Roman" w:hAnsi="Times New Roman"/>
          <w:sz w:val="24"/>
          <w:szCs w:val="24"/>
        </w:rPr>
        <w:t xml:space="preserve">Después de que </w:t>
      </w:r>
      <w:r w:rsidR="00766445">
        <w:rPr>
          <w:rFonts w:ascii="Times New Roman" w:hAnsi="Times New Roman"/>
          <w:sz w:val="24"/>
          <w:szCs w:val="24"/>
        </w:rPr>
        <w:t>Abe designó a  Haruhiko Kuroda</w:t>
      </w:r>
      <w:r w:rsidRPr="00FD4874">
        <w:rPr>
          <w:rFonts w:ascii="Times New Roman" w:hAnsi="Times New Roman"/>
          <w:sz w:val="24"/>
          <w:szCs w:val="24"/>
        </w:rPr>
        <w:t xml:space="preserve"> como el nuevo presidente del Banco de Japón (BOJ) y le diera el mandato de hacer que la tasa de </w:t>
      </w:r>
      <w:r w:rsidR="00766445">
        <w:rPr>
          <w:rFonts w:ascii="Times New Roman" w:hAnsi="Times New Roman"/>
          <w:sz w:val="24"/>
          <w:szCs w:val="24"/>
        </w:rPr>
        <w:t>inflación llegue al 2%, Kuroda</w:t>
      </w:r>
      <w:r w:rsidRPr="00FD4874">
        <w:rPr>
          <w:rFonts w:ascii="Times New Roman" w:hAnsi="Times New Roman"/>
          <w:sz w:val="24"/>
          <w:szCs w:val="24"/>
        </w:rPr>
        <w:t xml:space="preserve"> relajó la política monetaria dramáticamente y de forma inmediata, recortando las tasas de interés e iniciando compras a gran escala de bonos del gobierno de largo plazo. Esto provocó una fuerte caída en el valor del yen e hizo que la tasa de interés de </w:t>
      </w:r>
      <w:r w:rsidRPr="00FD4874">
        <w:rPr>
          <w:rFonts w:ascii="Times New Roman" w:hAnsi="Times New Roman"/>
          <w:sz w:val="24"/>
          <w:szCs w:val="24"/>
        </w:rPr>
        <w:lastRenderedPageBreak/>
        <w:t>los bonos a diez años vaya con dirección a cero. Una tipo de cambio del yen más competitivo elevó las ganancias de los exportadores japoneses, pero no elevó su producción; además, un yen más débil también elevó los precios de las importaciones, reduciendo, consiguientemente, los ingresos reales de la mayoría de los hogares japoneses.</w:t>
      </w:r>
    </w:p>
    <w:p w:rsidR="000711BB" w:rsidRPr="00FD4874" w:rsidRDefault="000711BB" w:rsidP="000711BB">
      <w:pPr>
        <w:spacing w:line="240" w:lineRule="auto"/>
        <w:jc w:val="both"/>
        <w:rPr>
          <w:rFonts w:ascii="Times New Roman" w:hAnsi="Times New Roman"/>
          <w:sz w:val="24"/>
          <w:szCs w:val="24"/>
        </w:rPr>
      </w:pPr>
      <w:r w:rsidRPr="00FD4874">
        <w:rPr>
          <w:rFonts w:ascii="Times New Roman" w:hAnsi="Times New Roman"/>
          <w:sz w:val="24"/>
          <w:szCs w:val="24"/>
        </w:rPr>
        <w:t>En enero, el BOJ fue más allá e introdujo tasas de depósito negativas para las reservas obligatorias de los bancos comerciales, los mercados interpretaron dichas tasas como un acto desorientador y desesperado. Ese acto tuvo el efecto adverso de debilitamiento de la demanda de los hogares y las empresas. Y, a pesar de la flexibilización del BOJ, las condiciones financieras a nivel mundial pronto llevaron a un aumento en el valor del yen, que se incrementó en casi un 10% con respecto al dólar.</w:t>
      </w:r>
    </w:p>
    <w:p w:rsidR="000711BB" w:rsidRPr="00FD4874" w:rsidRDefault="000711BB" w:rsidP="000711BB">
      <w:pPr>
        <w:spacing w:line="240" w:lineRule="auto"/>
        <w:jc w:val="both"/>
        <w:rPr>
          <w:rFonts w:ascii="Times New Roman" w:hAnsi="Times New Roman"/>
          <w:sz w:val="24"/>
          <w:szCs w:val="24"/>
        </w:rPr>
      </w:pPr>
      <w:r w:rsidRPr="00FD4874">
        <w:rPr>
          <w:rFonts w:ascii="Times New Roman" w:hAnsi="Times New Roman"/>
          <w:sz w:val="24"/>
          <w:szCs w:val="24"/>
        </w:rPr>
        <w:t>Esta semana, el BOJ sorprendió a los mercados al no hacer ningún cambio de política durante su reunión, contrariamente a la expectativa generalizada que espera que se decida llevar a cabo una mayor y significativa flexibilización de las condiciones monetarias. Los mercados reaccionaron con aspereza, con un fortalecimiento del yen en un 2% frente al dólar y una caída en la bolsa japonesa del 3%.</w:t>
      </w:r>
    </w:p>
    <w:p w:rsidR="000711BB" w:rsidRPr="00FD4874" w:rsidRDefault="000711BB" w:rsidP="000711BB">
      <w:pPr>
        <w:spacing w:line="240" w:lineRule="auto"/>
        <w:jc w:val="both"/>
        <w:rPr>
          <w:rFonts w:ascii="Times New Roman" w:hAnsi="Times New Roman"/>
          <w:sz w:val="24"/>
          <w:szCs w:val="24"/>
        </w:rPr>
      </w:pPr>
      <w:r w:rsidRPr="00FD4874">
        <w:rPr>
          <w:rFonts w:ascii="Times New Roman" w:hAnsi="Times New Roman"/>
          <w:sz w:val="24"/>
          <w:szCs w:val="24"/>
        </w:rPr>
        <w:t>Abe comenzó su política fiscal con un programa de gasto de grandes proporciones, un programa centrado principalmente en la reparación y sustitución de la infraestructura afectada por el terremoto del año 2011. Pero también elevó el impuesto sobre el valor agregado (IVA) del 5% al ​​8% para hacer frente al enorme déficit y la creciente deuda nacional. El resultado fue una recesión económica, que condujo a dos trimestres de caída del PIB. Al presente, el nivel del PIB real no es más alto del registrado en el año 2008.</w:t>
      </w:r>
    </w:p>
    <w:p w:rsidR="000711BB" w:rsidRPr="00FD4874" w:rsidRDefault="000711BB" w:rsidP="000711BB">
      <w:pPr>
        <w:spacing w:line="240" w:lineRule="auto"/>
        <w:jc w:val="both"/>
        <w:rPr>
          <w:rFonts w:ascii="Times New Roman" w:hAnsi="Times New Roman"/>
          <w:sz w:val="24"/>
          <w:szCs w:val="24"/>
        </w:rPr>
      </w:pPr>
      <w:r w:rsidRPr="00FD4874">
        <w:rPr>
          <w:rFonts w:ascii="Times New Roman" w:hAnsi="Times New Roman"/>
          <w:sz w:val="24"/>
          <w:szCs w:val="24"/>
        </w:rPr>
        <w:t>La tercera flecha d</w:t>
      </w:r>
      <w:r>
        <w:rPr>
          <w:rFonts w:ascii="Times New Roman" w:hAnsi="Times New Roman"/>
          <w:sz w:val="24"/>
          <w:szCs w:val="24"/>
        </w:rPr>
        <w:t xml:space="preserve">e las políticas Abe-económicas </w:t>
      </w:r>
      <w:r w:rsidRPr="00FD4874">
        <w:rPr>
          <w:rFonts w:ascii="Times New Roman" w:hAnsi="Times New Roman"/>
          <w:sz w:val="24"/>
          <w:szCs w:val="24"/>
        </w:rPr>
        <w:t xml:space="preserve"> </w:t>
      </w:r>
      <w:r>
        <w:rPr>
          <w:rFonts w:ascii="Times New Roman" w:hAnsi="Times New Roman"/>
          <w:sz w:val="24"/>
          <w:szCs w:val="24"/>
        </w:rPr>
        <w:t>-</w:t>
      </w:r>
      <w:r w:rsidRPr="00FD4874">
        <w:rPr>
          <w:rFonts w:ascii="Times New Roman" w:hAnsi="Times New Roman"/>
          <w:sz w:val="24"/>
          <w:szCs w:val="24"/>
        </w:rPr>
        <w:t>las políticas estructurales destinadas a impuls</w:t>
      </w:r>
      <w:r>
        <w:rPr>
          <w:rFonts w:ascii="Times New Roman" w:hAnsi="Times New Roman"/>
          <w:sz w:val="24"/>
          <w:szCs w:val="24"/>
        </w:rPr>
        <w:t>ar el potencial de crecimiento-</w:t>
      </w:r>
      <w:r w:rsidRPr="00FD4874">
        <w:rPr>
          <w:rFonts w:ascii="Times New Roman" w:hAnsi="Times New Roman"/>
          <w:sz w:val="24"/>
          <w:szCs w:val="24"/>
        </w:rPr>
        <w:t xml:space="preserve"> ha sido apenas puesta en marcha. La buena noticia es que ha habido un cierto aumento en la participación femenina en la fuerza laboral y en la cantidad de turistas que visitan Japón. Y, se planifican una diversidad de reformas destinadas a reformar completamente el altamente protegido sector agrícola, aunque el cambio sustancial depende de la ratificación del Acuerdo Estratégico Transpacífico de Asociación Económica (e incluso entonces, los cambios sólo ocurrirán en fases distribuidas a largo de varias décadas).</w:t>
      </w:r>
    </w:p>
    <w:p w:rsidR="000711BB" w:rsidRPr="00FD4874" w:rsidRDefault="000711BB" w:rsidP="000711BB">
      <w:pPr>
        <w:spacing w:line="240" w:lineRule="auto"/>
        <w:jc w:val="both"/>
        <w:rPr>
          <w:rFonts w:ascii="Times New Roman" w:hAnsi="Times New Roman"/>
          <w:sz w:val="24"/>
          <w:szCs w:val="24"/>
        </w:rPr>
      </w:pPr>
      <w:r w:rsidRPr="00FD4874">
        <w:rPr>
          <w:rFonts w:ascii="Times New Roman" w:hAnsi="Times New Roman"/>
          <w:sz w:val="24"/>
          <w:szCs w:val="24"/>
        </w:rPr>
        <w:t>La población en disminución y la reducción de la fuerza laboral de Japón se constituyen en u</w:t>
      </w:r>
      <w:r w:rsidR="00766445">
        <w:rPr>
          <w:rFonts w:ascii="Times New Roman" w:hAnsi="Times New Roman"/>
          <w:sz w:val="24"/>
          <w:szCs w:val="24"/>
        </w:rPr>
        <w:t>n principal reto a largo plazo -</w:t>
      </w:r>
      <w:r w:rsidRPr="00FD4874">
        <w:rPr>
          <w:rFonts w:ascii="Times New Roman" w:hAnsi="Times New Roman"/>
          <w:sz w:val="24"/>
          <w:szCs w:val="24"/>
        </w:rPr>
        <w:t xml:space="preserve"> este reto se refleja en la convocatoria de Abe para que más mujeres trabajen fuera del hogar. Si bien un sistema de permisos temporales hace posible que trabajadores extranjeros puedan emplearse en Japón durante un máximo de tres años, el país no tratará de mejorar las tendencias demográficas adversas abriéndose a la inmigración permanente.</w:t>
      </w:r>
    </w:p>
    <w:p w:rsidR="000711BB" w:rsidRPr="00FD4874" w:rsidRDefault="000711BB" w:rsidP="000711BB">
      <w:pPr>
        <w:spacing w:line="240" w:lineRule="auto"/>
        <w:jc w:val="both"/>
        <w:rPr>
          <w:rFonts w:ascii="Times New Roman" w:hAnsi="Times New Roman"/>
          <w:sz w:val="24"/>
          <w:szCs w:val="24"/>
        </w:rPr>
      </w:pPr>
      <w:r w:rsidRPr="00FD4874">
        <w:rPr>
          <w:rFonts w:ascii="Times New Roman" w:hAnsi="Times New Roman"/>
          <w:sz w:val="24"/>
          <w:szCs w:val="24"/>
        </w:rPr>
        <w:t>La renuencia a ampliar el número de trabajadores extranjeros y a cambiar las costumbres de trabajo para alentar a que más mujeres casadas se unan a la fuerza laboral puede reflejar la relativa opulencia que Japón disfruta en la actualidad. Puede que el público japonés prefiera mantener su estilo de vida y homogeneidad cultural de hoy en día, a pesar de que al hacerlo se está impidiendo un crecimiento económico más rápido.</w:t>
      </w:r>
    </w:p>
    <w:p w:rsidR="000711BB" w:rsidRPr="00FD4874" w:rsidRDefault="000711BB" w:rsidP="000711BB">
      <w:pPr>
        <w:spacing w:line="240" w:lineRule="auto"/>
        <w:jc w:val="both"/>
        <w:rPr>
          <w:rFonts w:ascii="Times New Roman" w:hAnsi="Times New Roman"/>
          <w:sz w:val="24"/>
          <w:szCs w:val="24"/>
        </w:rPr>
      </w:pPr>
      <w:r w:rsidRPr="00FD4874">
        <w:rPr>
          <w:rFonts w:ascii="Times New Roman" w:hAnsi="Times New Roman"/>
          <w:sz w:val="24"/>
          <w:szCs w:val="24"/>
        </w:rPr>
        <w:t xml:space="preserve">El mayor problema inmediato que tiene el Japón, sin embargo, es el déficit presupuestario y la deuda pública. Si el BOJ tiene éxito en el logro de una tasa de inflación del 2%, el déficit aumentará rápidamente, ya que la tasa de interés de la deuda </w:t>
      </w:r>
      <w:r w:rsidRPr="00FD4874">
        <w:rPr>
          <w:rFonts w:ascii="Times New Roman" w:hAnsi="Times New Roman"/>
          <w:sz w:val="24"/>
          <w:szCs w:val="24"/>
        </w:rPr>
        <w:lastRenderedPageBreak/>
        <w:t>pública aumentaría del actual nivel de cero. La falta de aplicación de recortes a los gastos y los aumentos de ingresos necesarios para reducir el déficit presupuestario socavarían la confianza en las perspectivas que tiene la economía y podrían incrementar las especulaciones sobre que el gobierno a la larga pudiese llegar a recurrir a alguna forma de repudio de la deuda.</w:t>
      </w:r>
    </w:p>
    <w:p w:rsidR="000711BB" w:rsidRPr="00FD4874" w:rsidRDefault="000711BB" w:rsidP="000711BB">
      <w:pPr>
        <w:spacing w:line="240" w:lineRule="auto"/>
        <w:jc w:val="both"/>
        <w:rPr>
          <w:rFonts w:ascii="Times New Roman" w:hAnsi="Times New Roman"/>
          <w:sz w:val="24"/>
          <w:szCs w:val="24"/>
        </w:rPr>
      </w:pPr>
      <w:r w:rsidRPr="00FD4874">
        <w:rPr>
          <w:rFonts w:ascii="Times New Roman" w:hAnsi="Times New Roman"/>
          <w:sz w:val="24"/>
          <w:szCs w:val="24"/>
        </w:rPr>
        <w:t>Por lo tanto, Abe se enfrenta a un dilema, tiene que decidir si va a subir el IVA aún más, del 8% al 10%, tal como estaba previsto. Si lo hace, esto ocurriría, sin lugar a dudas, en un momento difícil ya que el PIB ha disminuido y la inflación del índice de precios al consumidor (IPC) se ha tornado negativa. Y, sin embargo, no elevar el IVA o no cortar el gasto público significa continuar con grandes déficits y un aumento vertiginoso de la deuda pública.</w:t>
      </w:r>
    </w:p>
    <w:p w:rsidR="000711BB" w:rsidRPr="00FD4874" w:rsidRDefault="000711BB" w:rsidP="000711BB">
      <w:pPr>
        <w:spacing w:line="240" w:lineRule="auto"/>
        <w:jc w:val="both"/>
        <w:rPr>
          <w:rFonts w:ascii="Times New Roman" w:hAnsi="Times New Roman"/>
          <w:sz w:val="24"/>
          <w:szCs w:val="24"/>
        </w:rPr>
      </w:pPr>
      <w:r w:rsidRPr="00FD4874">
        <w:rPr>
          <w:rFonts w:ascii="Times New Roman" w:hAnsi="Times New Roman"/>
          <w:sz w:val="24"/>
          <w:szCs w:val="24"/>
        </w:rPr>
        <w:t>Abe ha dicho que va a compensar el efecto inmediato de contracción por la subida del IVA con un estímulo fiscal a corto plazo en la forma de un aumento del gasto público. Eso podría permitir la necesaria reducción permanente del déficit sin causar una repetición de la recesión económica que acompañó a la última subida del IVA.</w:t>
      </w:r>
    </w:p>
    <w:p w:rsidR="000711BB" w:rsidRPr="00FD4874" w:rsidRDefault="000711BB" w:rsidP="000711BB">
      <w:pPr>
        <w:spacing w:line="240" w:lineRule="auto"/>
        <w:jc w:val="both"/>
        <w:rPr>
          <w:rFonts w:ascii="Times New Roman" w:hAnsi="Times New Roman"/>
          <w:sz w:val="24"/>
          <w:szCs w:val="24"/>
        </w:rPr>
      </w:pPr>
      <w:r w:rsidRPr="00FD4874">
        <w:rPr>
          <w:rFonts w:ascii="Times New Roman" w:hAnsi="Times New Roman"/>
          <w:sz w:val="24"/>
          <w:szCs w:val="24"/>
        </w:rPr>
        <w:t>Otra estrategia que podría ayudar a sostener la demanda agregada sería hacer que la subida del IVA sea implementada en fases, aumentando un 1% cada año durante tres o cuatro años. Esto incentivaría a los consumidores a aumentar el gasto, especialmente en artículos cuyos precios son considerables, antes de que se implemente cada incremento del IVA aumente los precios.</w:t>
      </w:r>
    </w:p>
    <w:p w:rsidR="000711BB" w:rsidRPr="00403206" w:rsidRDefault="000711BB" w:rsidP="000711BB">
      <w:pPr>
        <w:spacing w:line="240" w:lineRule="auto"/>
        <w:jc w:val="both"/>
        <w:rPr>
          <w:rFonts w:ascii="Times New Roman" w:hAnsi="Times New Roman"/>
          <w:sz w:val="24"/>
          <w:szCs w:val="24"/>
          <w:u w:val="single"/>
        </w:rPr>
      </w:pPr>
      <w:r w:rsidRPr="00403206">
        <w:rPr>
          <w:rFonts w:ascii="Times New Roman" w:hAnsi="Times New Roman"/>
          <w:sz w:val="24"/>
          <w:szCs w:val="24"/>
          <w:u w:val="single"/>
        </w:rPr>
        <w:t>No hay manera de evitar la reducción del déficit público sin poner en peligro</w:t>
      </w:r>
      <w:r>
        <w:rPr>
          <w:rFonts w:ascii="Times New Roman" w:hAnsi="Times New Roman"/>
          <w:sz w:val="24"/>
          <w:szCs w:val="24"/>
          <w:u w:val="single"/>
        </w:rPr>
        <w:t xml:space="preserve"> la sostenibilidad de la deuda -</w:t>
      </w:r>
      <w:r w:rsidRPr="00403206">
        <w:rPr>
          <w:rFonts w:ascii="Times New Roman" w:hAnsi="Times New Roman"/>
          <w:sz w:val="24"/>
          <w:szCs w:val="24"/>
          <w:u w:val="single"/>
        </w:rPr>
        <w:t xml:space="preserve"> y probablemente esto ocurrirá más pronto que tarde. Si Abe puede poner las finanzas públicas bajo control, Japón estará en una posición mucho más fuerte para hacer frente a sus otros desafíos económicos.</w:t>
      </w:r>
    </w:p>
    <w:p w:rsidR="000711BB" w:rsidRPr="001E644C" w:rsidRDefault="000711BB" w:rsidP="000711BB">
      <w:pPr>
        <w:spacing w:line="240" w:lineRule="auto"/>
        <w:jc w:val="both"/>
        <w:rPr>
          <w:rFonts w:ascii="Times New Roman" w:hAnsi="Times New Roman"/>
          <w:sz w:val="24"/>
          <w:szCs w:val="24"/>
          <w:lang w:val="en-US"/>
        </w:rPr>
      </w:pPr>
      <w:r w:rsidRPr="001E644C">
        <w:rPr>
          <w:rFonts w:ascii="Times New Roman" w:hAnsi="Times New Roman"/>
          <w:sz w:val="24"/>
          <w:szCs w:val="24"/>
          <w:lang w:val="en-US"/>
        </w:rPr>
        <w:t>(Martin Feldstein, Professor of Economics at Harvard University and President Emeritus of the National Bureau of Economic Research, chaired President Ronald Reagan’s Council of Economic Advisers from 1982 to 1984. In 2006, he was appointed to President Bush's Foreign I</w:t>
      </w:r>
      <w:r>
        <w:rPr>
          <w:rFonts w:ascii="Times New Roman" w:hAnsi="Times New Roman"/>
          <w:sz w:val="24"/>
          <w:szCs w:val="24"/>
          <w:lang w:val="en-US"/>
        </w:rPr>
        <w:t>ntelligence Advisory Board</w:t>
      </w:r>
      <w:r w:rsidRPr="001E644C">
        <w:rPr>
          <w:rFonts w:ascii="Times New Roman" w:hAnsi="Times New Roman"/>
          <w:sz w:val="24"/>
          <w:szCs w:val="24"/>
          <w:lang w:val="en-US"/>
        </w:rPr>
        <w:t>…)</w:t>
      </w:r>
    </w:p>
    <w:p w:rsidR="000711BB" w:rsidRDefault="000711BB" w:rsidP="000711BB">
      <w:pPr>
        <w:spacing w:line="240" w:lineRule="auto"/>
        <w:jc w:val="both"/>
        <w:rPr>
          <w:rFonts w:ascii="Times New Roman" w:hAnsi="Times New Roman"/>
          <w:sz w:val="24"/>
          <w:szCs w:val="24"/>
        </w:rPr>
      </w:pPr>
      <w:r>
        <w:rPr>
          <w:rFonts w:ascii="Times New Roman" w:hAnsi="Times New Roman"/>
          <w:sz w:val="24"/>
          <w:szCs w:val="24"/>
        </w:rPr>
        <w:t xml:space="preserve">- </w:t>
      </w:r>
      <w:r w:rsidRPr="005D2044">
        <w:rPr>
          <w:rFonts w:ascii="Times New Roman" w:hAnsi="Times New Roman"/>
          <w:sz w:val="24"/>
          <w:szCs w:val="24"/>
          <w:u w:val="single"/>
        </w:rPr>
        <w:t>Helicópteros al rescate de economías náufragas</w:t>
      </w:r>
      <w:r>
        <w:rPr>
          <w:rFonts w:ascii="Times New Roman" w:hAnsi="Times New Roman"/>
          <w:sz w:val="24"/>
          <w:szCs w:val="24"/>
        </w:rPr>
        <w:t xml:space="preserve"> (Project Syndicate - </w:t>
      </w:r>
      <w:r w:rsidRPr="005D2044">
        <w:rPr>
          <w:rFonts w:ascii="Times New Roman" w:hAnsi="Times New Roman"/>
          <w:b/>
          <w:sz w:val="24"/>
          <w:szCs w:val="24"/>
        </w:rPr>
        <w:t>29/4/16</w:t>
      </w:r>
      <w:r>
        <w:rPr>
          <w:rFonts w:ascii="Times New Roman" w:hAnsi="Times New Roman"/>
          <w:sz w:val="24"/>
          <w:szCs w:val="24"/>
        </w:rPr>
        <w:t>)</w:t>
      </w:r>
    </w:p>
    <w:p w:rsidR="000711BB" w:rsidRPr="00403206" w:rsidRDefault="000711BB" w:rsidP="000711BB">
      <w:pPr>
        <w:spacing w:line="240" w:lineRule="auto"/>
        <w:jc w:val="both"/>
        <w:rPr>
          <w:rFonts w:ascii="Times New Roman" w:hAnsi="Times New Roman"/>
          <w:sz w:val="24"/>
          <w:szCs w:val="24"/>
          <w:u w:val="single"/>
        </w:rPr>
      </w:pPr>
      <w:r>
        <w:rPr>
          <w:rFonts w:ascii="Times New Roman" w:hAnsi="Times New Roman"/>
          <w:sz w:val="24"/>
          <w:szCs w:val="24"/>
        </w:rPr>
        <w:t>Berkeley.-</w:t>
      </w:r>
      <w:r w:rsidRPr="005D2044">
        <w:rPr>
          <w:rFonts w:ascii="Times New Roman" w:hAnsi="Times New Roman"/>
          <w:sz w:val="24"/>
          <w:szCs w:val="24"/>
        </w:rPr>
        <w:t xml:space="preserve"> </w:t>
      </w:r>
      <w:r w:rsidRPr="00403206">
        <w:rPr>
          <w:rFonts w:ascii="Times New Roman" w:hAnsi="Times New Roman"/>
          <w:sz w:val="24"/>
          <w:szCs w:val="24"/>
          <w:u w:val="single"/>
        </w:rPr>
        <w:t>Para países donde el tipo de interés nominal es cero o casi, la ecuación del estímulo fiscal debería ser muy simple. En tanto el tipo de interés que paga un gobierno para endeudarse sea menor que la suma de la inflación y del crecimiento de la fuerza laboral y de su productividad, el costo de amortización de los pasivos adicionales será negativo. Al mismo tiempo, las ventajas de aumentar el gasto pueden ser considerables. Se cree que el multiplicador fiscal keynesiano para grandes economías industriales o expansiones coordinadas es aproximadamente dos: es decir, cada dólar extra de expansión fiscal da al PIB real un aumento de dos dólares.</w:t>
      </w:r>
    </w:p>
    <w:p w:rsidR="000711BB" w:rsidRPr="005D2044" w:rsidRDefault="000711BB" w:rsidP="000711BB">
      <w:pPr>
        <w:spacing w:line="240" w:lineRule="auto"/>
        <w:jc w:val="both"/>
        <w:rPr>
          <w:rFonts w:ascii="Times New Roman" w:hAnsi="Times New Roman"/>
          <w:sz w:val="24"/>
          <w:szCs w:val="24"/>
        </w:rPr>
      </w:pPr>
      <w:r w:rsidRPr="008234A9">
        <w:rPr>
          <w:rFonts w:ascii="Times New Roman" w:hAnsi="Times New Roman"/>
          <w:sz w:val="24"/>
          <w:szCs w:val="24"/>
          <w:u w:val="single"/>
        </w:rPr>
        <w:t>Algunos apuntan al riesgo de que cuando la economía se recupere y suban los tipos de interés, los gobiernos no hagan los ajustes correspondientes a la política fiscal. Pero es un argumento falaz</w:t>
      </w:r>
      <w:r w:rsidRPr="005D2044">
        <w:rPr>
          <w:rFonts w:ascii="Times New Roman" w:hAnsi="Times New Roman"/>
          <w:sz w:val="24"/>
          <w:szCs w:val="24"/>
        </w:rPr>
        <w:t>. Si un gobierno quiere aplicar malas políticas, lo hará independientemente de las decisiones que se tomen hoy. Y en la medida en que dicho riesgo exista, se compensa por los muy tangibles beneficios económicos del estímulo: aumento de capacidades de la fuerza laboral, más inversión de las empresas, desarrollo más veloz de modelos de negocios y creación de infraestructuras útiles.</w:t>
      </w:r>
    </w:p>
    <w:p w:rsidR="000711BB" w:rsidRPr="005D2044" w:rsidRDefault="000711BB" w:rsidP="000711BB">
      <w:pPr>
        <w:spacing w:line="240" w:lineRule="auto"/>
        <w:jc w:val="both"/>
        <w:rPr>
          <w:rFonts w:ascii="Times New Roman" w:hAnsi="Times New Roman"/>
          <w:sz w:val="24"/>
          <w:szCs w:val="24"/>
        </w:rPr>
      </w:pPr>
      <w:r w:rsidRPr="008234A9">
        <w:rPr>
          <w:rFonts w:ascii="Times New Roman" w:hAnsi="Times New Roman"/>
          <w:sz w:val="24"/>
          <w:szCs w:val="24"/>
          <w:u w:val="single"/>
        </w:rPr>
        <w:lastRenderedPageBreak/>
        <w:t>El rechazo a la expansión fiscal no surge de consideraciones pragmáticas sino de la lisa y llana ideología</w:t>
      </w:r>
      <w:r w:rsidRPr="005D2044">
        <w:rPr>
          <w:rFonts w:ascii="Times New Roman" w:hAnsi="Times New Roman"/>
          <w:sz w:val="24"/>
          <w:szCs w:val="24"/>
        </w:rPr>
        <w:t>. Son pocos los economistas competentes que no hayan llegado a la conclusión de que en Estados Unidos, Alemania y el Reino Unido los multiplicadores fiscales son suficientemente grandes y hay buenas oportunidades de derrame para programas de estímulo a la demanda, inversión e infraestructura, además de suficiente margen financiero para recomendar el uso de políticas considerablemente más expansivas.</w:t>
      </w:r>
    </w:p>
    <w:p w:rsidR="000711BB" w:rsidRPr="008234A9" w:rsidRDefault="000711BB" w:rsidP="000711BB">
      <w:pPr>
        <w:spacing w:line="240" w:lineRule="auto"/>
        <w:jc w:val="both"/>
        <w:rPr>
          <w:rFonts w:ascii="Times New Roman" w:hAnsi="Times New Roman"/>
          <w:sz w:val="24"/>
          <w:szCs w:val="24"/>
          <w:u w:val="single"/>
        </w:rPr>
      </w:pPr>
      <w:r w:rsidRPr="008234A9">
        <w:rPr>
          <w:rFonts w:ascii="Times New Roman" w:hAnsi="Times New Roman"/>
          <w:sz w:val="24"/>
          <w:szCs w:val="24"/>
          <w:u w:val="single"/>
        </w:rPr>
        <w:t>La cuestión no es si el estímulo fiscal es adecuado, sino cuánto de él. Para responder a esa pregunta debería bastar un simple cálculo tecnocrático de costos y beneficios. Pero en la mayoría de los países a los que el estímulo fiscal podría ayudarlos, no se está haciendo nada.</w:t>
      </w:r>
    </w:p>
    <w:p w:rsidR="000711BB" w:rsidRPr="008234A9" w:rsidRDefault="000711BB" w:rsidP="000711BB">
      <w:pPr>
        <w:spacing w:line="240" w:lineRule="auto"/>
        <w:jc w:val="both"/>
        <w:rPr>
          <w:rFonts w:ascii="Times New Roman" w:hAnsi="Times New Roman"/>
          <w:color w:val="FF0000"/>
          <w:sz w:val="24"/>
          <w:szCs w:val="24"/>
          <w:u w:val="single"/>
        </w:rPr>
      </w:pPr>
      <w:r w:rsidRPr="005D2044">
        <w:rPr>
          <w:rFonts w:ascii="Times New Roman" w:hAnsi="Times New Roman"/>
          <w:sz w:val="24"/>
          <w:szCs w:val="24"/>
        </w:rPr>
        <w:t xml:space="preserve">A la luz de todo esto, mi exprofesor y viejo colega Barry Eichengreen está decididamente preocupado: </w:t>
      </w:r>
      <w:r w:rsidRPr="007616E2">
        <w:rPr>
          <w:rFonts w:ascii="Times New Roman" w:hAnsi="Times New Roman"/>
          <w:color w:val="FF0000"/>
          <w:sz w:val="24"/>
          <w:szCs w:val="24"/>
        </w:rPr>
        <w:t>“</w:t>
      </w:r>
      <w:r w:rsidRPr="008234A9">
        <w:rPr>
          <w:rFonts w:ascii="Times New Roman" w:hAnsi="Times New Roman"/>
          <w:color w:val="FF0000"/>
          <w:sz w:val="24"/>
          <w:szCs w:val="24"/>
          <w:u w:val="single"/>
        </w:rPr>
        <w:t>La economía del mundo se hunde a la vista de todos, y las autoridades que deberían hacerse cargo están cada vez más enredadas”.</w:t>
      </w:r>
    </w:p>
    <w:p w:rsidR="000711BB" w:rsidRPr="005D2044" w:rsidRDefault="000711BB" w:rsidP="000711BB">
      <w:pPr>
        <w:spacing w:line="240" w:lineRule="auto"/>
        <w:jc w:val="both"/>
        <w:rPr>
          <w:rFonts w:ascii="Times New Roman" w:hAnsi="Times New Roman"/>
          <w:sz w:val="24"/>
          <w:szCs w:val="24"/>
        </w:rPr>
      </w:pPr>
      <w:r w:rsidRPr="005D2044">
        <w:rPr>
          <w:rFonts w:ascii="Times New Roman" w:hAnsi="Times New Roman"/>
          <w:sz w:val="24"/>
          <w:szCs w:val="24"/>
        </w:rPr>
        <w:t>Según Eichengreen, la experiencia de Alemania con la hiperinflación en la década de 1920 y su posterior adopción del “ordoliberalismo” (por el cual el Estado se abstiene de intervenir en la economía) generó en los alemanes alergia a la macroeconomía. A la vez que en Estados Unidos, la profunda desconfianza hacia el poder del gobierno federal (especialmente en el Sur, donde se usó para abolir la esclavitud e imponer los derechos civiles) dio lugar a hostilidad hacia las políticas macroeconómicas anticíclicas.</w:t>
      </w:r>
    </w:p>
    <w:p w:rsidR="000711BB" w:rsidRPr="008234A9" w:rsidRDefault="000711BB" w:rsidP="000711BB">
      <w:pPr>
        <w:spacing w:line="240" w:lineRule="auto"/>
        <w:jc w:val="both"/>
        <w:rPr>
          <w:rFonts w:ascii="Times New Roman" w:hAnsi="Times New Roman"/>
          <w:color w:val="FF0000"/>
          <w:sz w:val="24"/>
          <w:szCs w:val="24"/>
          <w:u w:val="single"/>
        </w:rPr>
      </w:pPr>
      <w:r w:rsidRPr="008234A9">
        <w:rPr>
          <w:rFonts w:ascii="Times New Roman" w:hAnsi="Times New Roman"/>
          <w:color w:val="FF0000"/>
          <w:sz w:val="24"/>
          <w:szCs w:val="24"/>
          <w:u w:val="single"/>
        </w:rPr>
        <w:t>Eichengreen concluye señalando que: “Para poner fin al estancamiento actual habrá que superar prejuicios ideológicos y políticos profundamente arraigados en la historia. Si no los enfrentamos en un período prolongado de escaso crecimiento después de una crisis, ¿cuándo lo haremos?”.</w:t>
      </w:r>
    </w:p>
    <w:p w:rsidR="000711BB" w:rsidRPr="008234A9" w:rsidRDefault="000711BB" w:rsidP="000711BB">
      <w:pPr>
        <w:spacing w:line="240" w:lineRule="auto"/>
        <w:jc w:val="both"/>
        <w:rPr>
          <w:rFonts w:ascii="Times New Roman" w:hAnsi="Times New Roman"/>
          <w:color w:val="FF0000"/>
          <w:sz w:val="24"/>
          <w:szCs w:val="24"/>
          <w:u w:val="single"/>
        </w:rPr>
      </w:pPr>
      <w:r w:rsidRPr="008234A9">
        <w:rPr>
          <w:rFonts w:ascii="Times New Roman" w:hAnsi="Times New Roman"/>
          <w:color w:val="FF0000"/>
          <w:sz w:val="24"/>
          <w:szCs w:val="24"/>
          <w:u w:val="single"/>
        </w:rPr>
        <w:t>Por desgracia, este debate ya no es un ejercicio intelectual (si alguna vez lo fue). Es probable que se necesiten acciones audaces. Es hora de que los bancos centrales asuman la responsabilidad e implementen la idea de arrojar “dinero del helicóptero”, es decir, entregar efectivo directamente a personas que lo gasten.</w:t>
      </w:r>
    </w:p>
    <w:p w:rsidR="000711BB" w:rsidRPr="005D2044" w:rsidRDefault="000711BB" w:rsidP="000711BB">
      <w:pPr>
        <w:spacing w:line="240" w:lineRule="auto"/>
        <w:jc w:val="both"/>
        <w:rPr>
          <w:rFonts w:ascii="Times New Roman" w:hAnsi="Times New Roman"/>
          <w:sz w:val="24"/>
          <w:szCs w:val="24"/>
        </w:rPr>
      </w:pPr>
      <w:r w:rsidRPr="005D2044">
        <w:rPr>
          <w:rFonts w:ascii="Times New Roman" w:hAnsi="Times New Roman"/>
          <w:sz w:val="24"/>
          <w:szCs w:val="24"/>
        </w:rPr>
        <w:t>Los partidarios de la austeridad en Alemania, Estados Unidos y el Reino Unido desconfían de los bancos centrales por los mismos motivos ideológicos por los que rechazan a las legislaturas que aprueban déficits presupuestarios. Pero en el caso de los bancos centrales, sus objeciones son mucho más débiles, porque como señaló David Glasner, economista de la Comisión Federal de Comercio de los Estados Unidos, todos los intentos de crear un sistema monetario automático (sea sobre la base del patrón oro, la regla del k por ciento de Milton Friedman o la “política monetaria basada en reglas” del economista John Taylor de la Universidad de Stanford) fracasaron espectacularmente.</w:t>
      </w:r>
    </w:p>
    <w:p w:rsidR="000711BB" w:rsidRPr="005D2044" w:rsidRDefault="000711BB" w:rsidP="000711BB">
      <w:pPr>
        <w:spacing w:line="240" w:lineRule="auto"/>
        <w:jc w:val="both"/>
        <w:rPr>
          <w:rFonts w:ascii="Times New Roman" w:hAnsi="Times New Roman"/>
          <w:sz w:val="24"/>
          <w:szCs w:val="24"/>
        </w:rPr>
      </w:pPr>
      <w:r w:rsidRPr="005D2044">
        <w:rPr>
          <w:rFonts w:ascii="Times New Roman" w:hAnsi="Times New Roman"/>
          <w:sz w:val="24"/>
          <w:szCs w:val="24"/>
        </w:rPr>
        <w:t>La historia refutó el llamado del economista Henry Simons de la Universidad de Chicago a que la política monetaria esté supeditada a “reglas en vez de autoridades”. La tarea de diseño de la política monetaria no es formular reglas sino más bien instituir autoridades con objetivos, valores y competencia tecnocrática razonables.</w:t>
      </w:r>
    </w:p>
    <w:p w:rsidR="000711BB" w:rsidRPr="005D2044" w:rsidRDefault="000711BB" w:rsidP="000711BB">
      <w:pPr>
        <w:spacing w:line="240" w:lineRule="auto"/>
        <w:jc w:val="both"/>
        <w:rPr>
          <w:rFonts w:ascii="Times New Roman" w:hAnsi="Times New Roman"/>
          <w:sz w:val="24"/>
          <w:szCs w:val="24"/>
        </w:rPr>
      </w:pPr>
      <w:r w:rsidRPr="005D2044">
        <w:rPr>
          <w:rFonts w:ascii="Times New Roman" w:hAnsi="Times New Roman"/>
          <w:sz w:val="24"/>
          <w:szCs w:val="24"/>
        </w:rPr>
        <w:t xml:space="preserve">Las acciones de los bancos centrales siempre han sido “política fiscal” en todo su sentido, simplemente porque sus intervenciones modifican el valor actual de los pagos futuros de capital e intereses de los títulos de deuda pública. Pero los bancos centrales </w:t>
      </w:r>
      <w:r w:rsidRPr="005D2044">
        <w:rPr>
          <w:rFonts w:ascii="Times New Roman" w:hAnsi="Times New Roman"/>
          <w:sz w:val="24"/>
          <w:szCs w:val="24"/>
        </w:rPr>
        <w:lastRenderedPageBreak/>
        <w:t>pueden hacer mucho más para promover la recuperación económica. Tienen inmensos poderes regulatorios para obligar a los bancos bajo su órbita a conservar capital, prestar dinero a destinatarios históricamente discriminados y servir a las comunidades de las que forman parte. Y tienen muy buenos abogados.</w:t>
      </w:r>
    </w:p>
    <w:p w:rsidR="000711BB" w:rsidRPr="005D2044" w:rsidRDefault="000711BB" w:rsidP="000711BB">
      <w:pPr>
        <w:spacing w:line="240" w:lineRule="auto"/>
        <w:jc w:val="both"/>
        <w:rPr>
          <w:rFonts w:ascii="Times New Roman" w:hAnsi="Times New Roman"/>
          <w:sz w:val="24"/>
          <w:szCs w:val="24"/>
        </w:rPr>
      </w:pPr>
      <w:r w:rsidRPr="005D2044">
        <w:rPr>
          <w:rFonts w:ascii="Times New Roman" w:hAnsi="Times New Roman"/>
          <w:sz w:val="24"/>
          <w:szCs w:val="24"/>
        </w:rPr>
        <w:t>El rescate podría adoptar muchas formas; la implementación exacta dependerá de la estructura jurídica de cada banco central y de la mayor o menor disposición de sus administradores para tomar medidas que exceden su mandato tradicional (con la garantía, implícita o explícita, de que las otras autoridades harán la vista gorda).</w:t>
      </w:r>
    </w:p>
    <w:p w:rsidR="000711BB" w:rsidRPr="008234A9" w:rsidRDefault="000711BB" w:rsidP="000711BB">
      <w:pPr>
        <w:spacing w:line="240" w:lineRule="auto"/>
        <w:jc w:val="both"/>
        <w:rPr>
          <w:rFonts w:ascii="Times New Roman" w:hAnsi="Times New Roman"/>
          <w:sz w:val="24"/>
          <w:szCs w:val="24"/>
          <w:u w:val="single"/>
        </w:rPr>
      </w:pPr>
      <w:r w:rsidRPr="008234A9">
        <w:rPr>
          <w:rFonts w:ascii="Times New Roman" w:hAnsi="Times New Roman"/>
          <w:sz w:val="24"/>
          <w:szCs w:val="24"/>
          <w:u w:val="single"/>
        </w:rPr>
        <w:t>La reactivación de la economía dependerá de asegurar que el efectivo extra vaya a personas cuyo nivel de gastos está restringido por bajos ingresos y falta de activos utilizables como garantía. Y lo mismo que con los gobiernos que encaran programas de estímulo fiscal, la clave del éxito está en disipar hasta el más mínimo temor de que la devolución de lo prestado pueda volverse insostenible.</w:t>
      </w:r>
    </w:p>
    <w:p w:rsidR="000711BB" w:rsidRPr="001E644C" w:rsidRDefault="000711BB" w:rsidP="000711BB">
      <w:pPr>
        <w:spacing w:line="240" w:lineRule="auto"/>
        <w:jc w:val="both"/>
        <w:rPr>
          <w:rFonts w:ascii="Times New Roman" w:hAnsi="Times New Roman"/>
          <w:sz w:val="24"/>
          <w:szCs w:val="24"/>
          <w:lang w:val="en-US"/>
        </w:rPr>
      </w:pPr>
      <w:r w:rsidRPr="001E644C">
        <w:rPr>
          <w:rFonts w:ascii="Times New Roman" w:hAnsi="Times New Roman"/>
          <w:sz w:val="24"/>
          <w:szCs w:val="24"/>
          <w:lang w:val="en-US"/>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 negotiatio</w:t>
      </w:r>
      <w:r>
        <w:rPr>
          <w:rFonts w:ascii="Times New Roman" w:hAnsi="Times New Roman"/>
          <w:sz w:val="24"/>
          <w:szCs w:val="24"/>
          <w:lang w:val="en-US"/>
        </w:rPr>
        <w:t>n</w:t>
      </w:r>
      <w:r w:rsidRPr="001E644C">
        <w:rPr>
          <w:rFonts w:ascii="Times New Roman" w:hAnsi="Times New Roman"/>
          <w:sz w:val="24"/>
          <w:szCs w:val="24"/>
          <w:lang w:val="en-US"/>
        </w:rPr>
        <w:t>…)</w:t>
      </w:r>
    </w:p>
    <w:p w:rsidR="000711BB" w:rsidRPr="00FD4874" w:rsidRDefault="000711BB" w:rsidP="000711BB">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FD4874">
        <w:rPr>
          <w:rFonts w:ascii="Times New Roman" w:hAnsi="Times New Roman"/>
          <w:sz w:val="24"/>
          <w:szCs w:val="24"/>
          <w:u w:val="single"/>
        </w:rPr>
        <w:t>La caída del crecimiento global</w:t>
      </w:r>
      <w:r>
        <w:rPr>
          <w:rFonts w:ascii="Times New Roman" w:hAnsi="Times New Roman"/>
          <w:sz w:val="24"/>
          <w:szCs w:val="24"/>
        </w:rPr>
        <w:t xml:space="preserve"> (Project Syndicate - </w:t>
      </w:r>
      <w:r w:rsidRPr="00FD4874">
        <w:rPr>
          <w:rFonts w:ascii="Times New Roman" w:hAnsi="Times New Roman"/>
          <w:b/>
          <w:sz w:val="24"/>
          <w:szCs w:val="24"/>
        </w:rPr>
        <w:t>2/5/16</w:t>
      </w:r>
      <w:r>
        <w:rPr>
          <w:rFonts w:ascii="Times New Roman" w:hAnsi="Times New Roman"/>
          <w:sz w:val="24"/>
          <w:szCs w:val="24"/>
        </w:rPr>
        <w:t>)</w:t>
      </w:r>
    </w:p>
    <w:p w:rsidR="000711BB" w:rsidRPr="00FD4874" w:rsidRDefault="000711BB" w:rsidP="000711BB">
      <w:pPr>
        <w:shd w:val="clear" w:color="auto" w:fill="FFFFFF"/>
        <w:spacing w:after="0" w:line="240" w:lineRule="auto"/>
        <w:jc w:val="both"/>
        <w:rPr>
          <w:rFonts w:ascii="Times New Roman" w:hAnsi="Times New Roman"/>
          <w:sz w:val="24"/>
          <w:szCs w:val="24"/>
        </w:rPr>
      </w:pPr>
    </w:p>
    <w:p w:rsidR="000711BB" w:rsidRDefault="000711BB" w:rsidP="000711BB">
      <w:pPr>
        <w:shd w:val="clear" w:color="auto" w:fill="FFFFFF"/>
        <w:spacing w:after="0" w:line="240" w:lineRule="auto"/>
        <w:jc w:val="both"/>
        <w:rPr>
          <w:rFonts w:ascii="Times New Roman" w:hAnsi="Times New Roman"/>
          <w:sz w:val="24"/>
          <w:szCs w:val="24"/>
          <w:u w:val="single"/>
        </w:rPr>
      </w:pPr>
      <w:r>
        <w:rPr>
          <w:rFonts w:ascii="Times New Roman" w:hAnsi="Times New Roman"/>
          <w:sz w:val="24"/>
          <w:szCs w:val="24"/>
        </w:rPr>
        <w:t>Nueva York.-</w:t>
      </w:r>
      <w:r w:rsidRPr="00FD4874">
        <w:rPr>
          <w:rFonts w:ascii="Times New Roman" w:hAnsi="Times New Roman"/>
          <w:sz w:val="24"/>
          <w:szCs w:val="24"/>
        </w:rPr>
        <w:t xml:space="preserve"> </w:t>
      </w:r>
      <w:r w:rsidRPr="00FE46A3">
        <w:rPr>
          <w:rFonts w:ascii="Times New Roman" w:hAnsi="Times New Roman"/>
          <w:sz w:val="24"/>
          <w:szCs w:val="24"/>
          <w:u w:val="single"/>
        </w:rPr>
        <w:t>Recientemente, el Fondo Monetario Internacional y otros organismos revisaron a la baja (una vez más) sus pronósticos de crecimiento global. No es extraño: hoy la economía mundial tiene pocas luminarias, y muchas de ellas se apagan velozmente.</w:t>
      </w:r>
    </w:p>
    <w:p w:rsidR="000711BB" w:rsidRPr="00FD4874" w:rsidRDefault="000711BB" w:rsidP="000711BB">
      <w:pPr>
        <w:shd w:val="clear" w:color="auto" w:fill="FFFFFF"/>
        <w:spacing w:after="0" w:line="240" w:lineRule="auto"/>
        <w:jc w:val="both"/>
        <w:rPr>
          <w:rFonts w:ascii="Times New Roman" w:hAnsi="Times New Roman"/>
          <w:sz w:val="24"/>
          <w:szCs w:val="24"/>
        </w:rPr>
      </w:pPr>
    </w:p>
    <w:p w:rsidR="000711BB" w:rsidRPr="00FD4874" w:rsidRDefault="000711BB" w:rsidP="000711BB">
      <w:pPr>
        <w:shd w:val="clear" w:color="auto" w:fill="FFFFFF"/>
        <w:spacing w:after="0" w:line="240" w:lineRule="auto"/>
        <w:jc w:val="both"/>
        <w:rPr>
          <w:rFonts w:ascii="Times New Roman" w:hAnsi="Times New Roman"/>
          <w:sz w:val="24"/>
          <w:szCs w:val="24"/>
        </w:rPr>
      </w:pPr>
      <w:r w:rsidRPr="00FE46A3">
        <w:rPr>
          <w:rFonts w:ascii="Times New Roman" w:hAnsi="Times New Roman"/>
          <w:sz w:val="24"/>
          <w:szCs w:val="24"/>
          <w:u w:val="single"/>
        </w:rPr>
        <w:t>Entre las economías avanzadas, Estados Unidos lleva dos trimestres con 1% de crecimiento promedio. La extensión de la flexibilización monetaria reforzó una recuperación cíclica en la eurozona, pero en la mayoría de los países el crecimiento potencial sigue muy por debajo de 1%.</w:t>
      </w:r>
      <w:r w:rsidRPr="00FD4874">
        <w:rPr>
          <w:rFonts w:ascii="Times New Roman" w:hAnsi="Times New Roman"/>
          <w:sz w:val="24"/>
          <w:szCs w:val="24"/>
        </w:rPr>
        <w:t xml:space="preserve"> En Japón, la “Abenomics” se está quedando sin fuerza; la economía viene frenando desde mediados de 2015 y ya está cerca de la recesión. En el Reino Unido, la incertidumbre por el referendo de junio sobre la permanencia en la Unión Europea provoca que las principales empresas difieran la toma de personal y la inversión de capital. Y otras economías avanzadas (como Canadá, Australia y Noruega) se enfrentan a dificultades por el abaratamiento de los commodities.</w:t>
      </w:r>
    </w:p>
    <w:p w:rsidR="000711BB" w:rsidRDefault="000711BB" w:rsidP="000711BB">
      <w:pPr>
        <w:shd w:val="clear" w:color="auto" w:fill="FFFFFF"/>
        <w:spacing w:after="0" w:line="240" w:lineRule="auto"/>
        <w:jc w:val="both"/>
        <w:rPr>
          <w:rFonts w:ascii="Times New Roman" w:hAnsi="Times New Roman"/>
          <w:sz w:val="24"/>
          <w:szCs w:val="24"/>
        </w:rPr>
      </w:pPr>
    </w:p>
    <w:p w:rsidR="000711BB" w:rsidRDefault="000711BB" w:rsidP="000711BB">
      <w:pPr>
        <w:shd w:val="clear" w:color="auto" w:fill="FFFFFF"/>
        <w:spacing w:after="0" w:line="240" w:lineRule="auto"/>
        <w:jc w:val="both"/>
        <w:rPr>
          <w:rFonts w:ascii="Times New Roman" w:hAnsi="Times New Roman"/>
          <w:sz w:val="24"/>
          <w:szCs w:val="24"/>
        </w:rPr>
      </w:pPr>
      <w:r w:rsidRPr="00FE46A3">
        <w:rPr>
          <w:rFonts w:ascii="Times New Roman" w:hAnsi="Times New Roman"/>
          <w:sz w:val="24"/>
          <w:szCs w:val="24"/>
          <w:u w:val="single"/>
        </w:rPr>
        <w:t>Para la mayoría de las economías emergentes las cosas no andan mucho mejor</w:t>
      </w:r>
      <w:r w:rsidRPr="00FD4874">
        <w:rPr>
          <w:rFonts w:ascii="Times New Roman" w:hAnsi="Times New Roman"/>
          <w:sz w:val="24"/>
          <w:szCs w:val="24"/>
        </w:rPr>
        <w:t>. De los cinco países del grupo BRICS, dos (Brasil y Rusia) están en recesión; uno (Sudáfrica) apenas crece; otro (China) atraviesa una abrupta desaceleración estructural; a la única que le está yendo bien es a la India, solo porque (en palabras del presidente de su banco central, Raghuram Rajan), en el país de los ciegos, el tuerto es rey. Muchos otros mercados emergentes también se frenaron desde 2013, debido a malas condiciones externas, fragilidad económica (derivada de unas políticas monetaria, fiscal y crediticia laxas en los años buenos) y, muchas veces, el abandono de las reformas promercado y la adopción de variantes del capitalismo de Estado.</w:t>
      </w:r>
    </w:p>
    <w:p w:rsidR="000711BB" w:rsidRPr="00FD4874" w:rsidRDefault="000711BB" w:rsidP="000711BB">
      <w:pPr>
        <w:shd w:val="clear" w:color="auto" w:fill="FFFFFF"/>
        <w:spacing w:after="0" w:line="240" w:lineRule="auto"/>
        <w:jc w:val="both"/>
        <w:rPr>
          <w:rFonts w:ascii="Times New Roman" w:hAnsi="Times New Roman"/>
          <w:sz w:val="24"/>
          <w:szCs w:val="24"/>
        </w:rPr>
      </w:pPr>
    </w:p>
    <w:p w:rsidR="000711BB" w:rsidRDefault="000711BB" w:rsidP="000711BB">
      <w:pPr>
        <w:shd w:val="clear" w:color="auto" w:fill="FFFFFF"/>
        <w:spacing w:after="0" w:line="240" w:lineRule="auto"/>
        <w:jc w:val="both"/>
        <w:rPr>
          <w:rFonts w:ascii="Times New Roman" w:hAnsi="Times New Roman"/>
          <w:sz w:val="24"/>
          <w:szCs w:val="24"/>
        </w:rPr>
      </w:pPr>
      <w:r w:rsidRPr="00FE46A3">
        <w:rPr>
          <w:rFonts w:ascii="Times New Roman" w:hAnsi="Times New Roman"/>
          <w:sz w:val="24"/>
          <w:szCs w:val="24"/>
          <w:u w:val="single"/>
        </w:rPr>
        <w:t>Para peor, el crecimiento potencial disminuyó tanto en las economías avanzadas como en las emergentes</w:t>
      </w:r>
      <w:r w:rsidRPr="00FD4874">
        <w:rPr>
          <w:rFonts w:ascii="Times New Roman" w:hAnsi="Times New Roman"/>
          <w:sz w:val="24"/>
          <w:szCs w:val="24"/>
        </w:rPr>
        <w:t xml:space="preserve">. En primer término, altos niveles de deuda pública y privada </w:t>
      </w:r>
      <w:r w:rsidRPr="00FD4874">
        <w:rPr>
          <w:rFonts w:ascii="Times New Roman" w:hAnsi="Times New Roman"/>
          <w:sz w:val="24"/>
          <w:szCs w:val="24"/>
        </w:rPr>
        <w:lastRenderedPageBreak/>
        <w:t>restringen el gasto (especialmente la inversión en capital, promotora del crecimiento, que disminuyó como porcentaje del PIB después de la crisis financiera global y no se recuperó a los niveles precrisis). Esta caída de la inversión implica menos crecimiento de la productividad, a la par que el envejecimiento poblacional en los países desarrollados (y en cada vez más mercados emergentes, como China, Rusia y Corea) reduce la participación de la mano de obra en la producción.</w:t>
      </w:r>
    </w:p>
    <w:p w:rsidR="000711BB" w:rsidRPr="00FD4874" w:rsidRDefault="000711BB" w:rsidP="000711BB">
      <w:pPr>
        <w:shd w:val="clear" w:color="auto" w:fill="FFFFFF"/>
        <w:spacing w:after="0" w:line="240" w:lineRule="auto"/>
        <w:jc w:val="both"/>
        <w:rPr>
          <w:rFonts w:ascii="Times New Roman" w:hAnsi="Times New Roman"/>
          <w:sz w:val="24"/>
          <w:szCs w:val="24"/>
        </w:rPr>
      </w:pPr>
    </w:p>
    <w:p w:rsidR="000711BB" w:rsidRPr="00FE46A3" w:rsidRDefault="000711BB" w:rsidP="000711BB">
      <w:pPr>
        <w:shd w:val="clear" w:color="auto" w:fill="FFFFFF"/>
        <w:spacing w:after="0" w:line="240" w:lineRule="auto"/>
        <w:jc w:val="both"/>
        <w:rPr>
          <w:rFonts w:ascii="Times New Roman" w:hAnsi="Times New Roman"/>
          <w:sz w:val="24"/>
          <w:szCs w:val="24"/>
          <w:u w:val="single"/>
        </w:rPr>
      </w:pPr>
      <w:r w:rsidRPr="00FE46A3">
        <w:rPr>
          <w:rFonts w:ascii="Times New Roman" w:hAnsi="Times New Roman"/>
          <w:sz w:val="24"/>
          <w:szCs w:val="24"/>
          <w:u w:val="single"/>
        </w:rPr>
        <w:t>El aumento de la desigualdad de ingresos y distribución de la riqueza agrava el exceso global de ahorro (que es la contracara del déficit global de inversión). Conforme los ingresos se redistribuyen de la mano de obra al capital, fluyen de quienes tienen una mayor propensión marginal al gasto (familias de ingresos bajos y medios) a quienes tienen una mayor propensión marginal al ahorro (familias de altos ingresos y corporaciones).</w:t>
      </w:r>
    </w:p>
    <w:p w:rsidR="000711BB" w:rsidRPr="00FD4874" w:rsidRDefault="000711BB" w:rsidP="000711BB">
      <w:pPr>
        <w:shd w:val="clear" w:color="auto" w:fill="FFFFFF"/>
        <w:spacing w:after="0" w:line="240" w:lineRule="auto"/>
        <w:jc w:val="both"/>
        <w:rPr>
          <w:rFonts w:ascii="Times New Roman" w:hAnsi="Times New Roman"/>
          <w:sz w:val="24"/>
          <w:szCs w:val="24"/>
        </w:rPr>
      </w:pPr>
    </w:p>
    <w:p w:rsidR="000711BB" w:rsidRPr="00FE46A3" w:rsidRDefault="000711BB" w:rsidP="000711BB">
      <w:pPr>
        <w:shd w:val="clear" w:color="auto" w:fill="FFFFFF"/>
        <w:spacing w:after="0" w:line="240" w:lineRule="auto"/>
        <w:jc w:val="both"/>
        <w:rPr>
          <w:rFonts w:ascii="Times New Roman" w:hAnsi="Times New Roman"/>
          <w:sz w:val="24"/>
          <w:szCs w:val="24"/>
          <w:u w:val="single"/>
        </w:rPr>
      </w:pPr>
      <w:r w:rsidRPr="00FE46A3">
        <w:rPr>
          <w:rFonts w:ascii="Times New Roman" w:hAnsi="Times New Roman"/>
          <w:sz w:val="24"/>
          <w:szCs w:val="24"/>
          <w:u w:val="single"/>
        </w:rPr>
        <w:t>Además, una desaceleración cíclica prolongada puede reducir el ritmo de crecimiento subyacente, en un proceso que los economistas llaman “histéresis”. El desempleo duradero erosiona el capital humano y la capacitación de los trabajadores; y como la incorporación de innovaciones se realiza a través de bienes de capital nuevos, la escasez de inversión reduce en forma permanente el crecimiento de la productividad.</w:t>
      </w:r>
    </w:p>
    <w:p w:rsidR="000711BB" w:rsidRPr="00FE46A3" w:rsidRDefault="000711BB" w:rsidP="000711BB">
      <w:pPr>
        <w:shd w:val="clear" w:color="auto" w:fill="FFFFFF"/>
        <w:spacing w:after="0" w:line="240" w:lineRule="auto"/>
        <w:jc w:val="both"/>
        <w:rPr>
          <w:rFonts w:ascii="Times New Roman" w:hAnsi="Times New Roman"/>
          <w:sz w:val="24"/>
          <w:szCs w:val="24"/>
          <w:u w:val="single"/>
        </w:rPr>
      </w:pPr>
    </w:p>
    <w:p w:rsidR="000711BB" w:rsidRDefault="000711BB" w:rsidP="000711BB">
      <w:pPr>
        <w:shd w:val="clear" w:color="auto" w:fill="FFFFFF"/>
        <w:spacing w:after="0" w:line="240" w:lineRule="auto"/>
        <w:jc w:val="both"/>
        <w:rPr>
          <w:rFonts w:ascii="Times New Roman" w:hAnsi="Times New Roman"/>
          <w:sz w:val="24"/>
          <w:szCs w:val="24"/>
        </w:rPr>
      </w:pPr>
      <w:r w:rsidRPr="00FD4874">
        <w:rPr>
          <w:rFonts w:ascii="Times New Roman" w:hAnsi="Times New Roman"/>
          <w:sz w:val="24"/>
          <w:szCs w:val="24"/>
        </w:rPr>
        <w:t>Por último, con tantos factores que reducen el crecimiento potencial, se necesitan reformas estructurales para estimularlo; pero no se están implementando suficientemente rápido (ni en las economías avanzadas ni en las emergentes), porque todos los costos se pagan al principio, mientras que los beneficios se dan en el mediano a largo plazo: esto da una ventaja política a sus adversarios.</w:t>
      </w:r>
    </w:p>
    <w:p w:rsidR="000711BB" w:rsidRPr="00FD4874" w:rsidRDefault="000711BB" w:rsidP="000711BB">
      <w:pPr>
        <w:shd w:val="clear" w:color="auto" w:fill="FFFFFF"/>
        <w:spacing w:after="0" w:line="240" w:lineRule="auto"/>
        <w:jc w:val="both"/>
        <w:rPr>
          <w:rFonts w:ascii="Times New Roman" w:hAnsi="Times New Roman"/>
          <w:sz w:val="24"/>
          <w:szCs w:val="24"/>
        </w:rPr>
      </w:pPr>
    </w:p>
    <w:p w:rsidR="000711BB" w:rsidRPr="00FE46A3" w:rsidRDefault="000711BB" w:rsidP="000711BB">
      <w:pPr>
        <w:shd w:val="clear" w:color="auto" w:fill="FFFFFF"/>
        <w:spacing w:after="0" w:line="240" w:lineRule="auto"/>
        <w:jc w:val="both"/>
        <w:rPr>
          <w:rFonts w:ascii="Times New Roman" w:hAnsi="Times New Roman"/>
          <w:sz w:val="24"/>
          <w:szCs w:val="24"/>
          <w:u w:val="single"/>
        </w:rPr>
      </w:pPr>
      <w:r w:rsidRPr="00FE46A3">
        <w:rPr>
          <w:rFonts w:ascii="Times New Roman" w:hAnsi="Times New Roman"/>
          <w:sz w:val="24"/>
          <w:szCs w:val="24"/>
          <w:u w:val="single"/>
        </w:rPr>
        <w:t>Entretanto, el crecimiento real sigue por debajo de ese potencial ya reducido. Un difícil proceso de desapalancamiento implica que el gasto público y privado debe disminuir, y que el ahorro debe aumentar, para reducir el alto déficit y el endeudamiento. Este proceso empezó en Estados Unidos tras la debacle inmobiliaria, después se extendió a Europa, y ahora se está dando en los mercados emergentes que se endeudaron demasiado durante la década anterior.</w:t>
      </w:r>
    </w:p>
    <w:p w:rsidR="000711BB" w:rsidRPr="00FD4874" w:rsidRDefault="000711BB" w:rsidP="000711BB">
      <w:pPr>
        <w:shd w:val="clear" w:color="auto" w:fill="FFFFFF"/>
        <w:spacing w:after="0" w:line="240" w:lineRule="auto"/>
        <w:jc w:val="both"/>
        <w:rPr>
          <w:rFonts w:ascii="Times New Roman" w:hAnsi="Times New Roman"/>
          <w:sz w:val="24"/>
          <w:szCs w:val="24"/>
        </w:rPr>
      </w:pPr>
    </w:p>
    <w:p w:rsidR="000711BB" w:rsidRPr="00FE46A3" w:rsidRDefault="000711BB" w:rsidP="000711BB">
      <w:pPr>
        <w:shd w:val="clear" w:color="auto" w:fill="FFFFFF"/>
        <w:spacing w:after="0" w:line="240" w:lineRule="auto"/>
        <w:jc w:val="both"/>
        <w:rPr>
          <w:rFonts w:ascii="Times New Roman" w:hAnsi="Times New Roman"/>
          <w:sz w:val="24"/>
          <w:szCs w:val="24"/>
          <w:u w:val="single"/>
        </w:rPr>
      </w:pPr>
      <w:r w:rsidRPr="00FE46A3">
        <w:rPr>
          <w:rFonts w:ascii="Times New Roman" w:hAnsi="Times New Roman"/>
          <w:sz w:val="24"/>
          <w:szCs w:val="24"/>
          <w:u w:val="single"/>
        </w:rPr>
        <w:t>Al mismo tiempo, la combinación de políticas no ha sido ideal. Una reducción demasiado apresurada del gasto público en la mayoría de las economías avanzadas puso casi toda la carga de reactivar el crecimiento sobre políticas monetarias heterodoxas cuya eficacia es decreciente (cuando no son contraproducentes).</w:t>
      </w:r>
    </w:p>
    <w:p w:rsidR="000711BB" w:rsidRPr="00FE46A3" w:rsidRDefault="000711BB" w:rsidP="000711BB">
      <w:pPr>
        <w:shd w:val="clear" w:color="auto" w:fill="FFFFFF"/>
        <w:spacing w:after="0" w:line="240" w:lineRule="auto"/>
        <w:jc w:val="both"/>
        <w:rPr>
          <w:rFonts w:ascii="Times New Roman" w:hAnsi="Times New Roman"/>
          <w:sz w:val="24"/>
          <w:szCs w:val="24"/>
          <w:u w:val="single"/>
        </w:rPr>
      </w:pPr>
    </w:p>
    <w:p w:rsidR="000711BB" w:rsidRPr="00FE46A3" w:rsidRDefault="000711BB" w:rsidP="000711BB">
      <w:pPr>
        <w:shd w:val="clear" w:color="auto" w:fill="FFFFFF"/>
        <w:spacing w:after="0" w:line="240" w:lineRule="auto"/>
        <w:jc w:val="both"/>
        <w:rPr>
          <w:rFonts w:ascii="Times New Roman" w:hAnsi="Times New Roman"/>
          <w:sz w:val="24"/>
          <w:szCs w:val="24"/>
          <w:u w:val="single"/>
        </w:rPr>
      </w:pPr>
      <w:r w:rsidRPr="00FE46A3">
        <w:rPr>
          <w:rFonts w:ascii="Times New Roman" w:hAnsi="Times New Roman"/>
          <w:sz w:val="24"/>
          <w:szCs w:val="24"/>
          <w:u w:val="single"/>
        </w:rPr>
        <w:t>También afecta al crecimiento el ajuste asimétrico de economías deudoras y acreedoras. Las primeras venían gastando de más y ahorrando de menos, hasta que los mercados las obligaron a invertir la ecuación; pero a las segundas nada las obligó a aumentar el gasto y reducir el ahorro. Esto agravó el exceso global de ahorro y la falta global de inversión.</w:t>
      </w:r>
    </w:p>
    <w:p w:rsidR="000711BB" w:rsidRDefault="000711BB" w:rsidP="000711BB">
      <w:pPr>
        <w:shd w:val="clear" w:color="auto" w:fill="FFFFFF"/>
        <w:spacing w:after="0" w:line="240" w:lineRule="auto"/>
        <w:jc w:val="both"/>
        <w:rPr>
          <w:rFonts w:ascii="Times New Roman" w:hAnsi="Times New Roman"/>
          <w:sz w:val="24"/>
          <w:szCs w:val="24"/>
          <w:u w:val="single"/>
        </w:rPr>
      </w:pPr>
      <w:r w:rsidRPr="00FE46A3">
        <w:rPr>
          <w:rFonts w:ascii="Times New Roman" w:hAnsi="Times New Roman"/>
          <w:sz w:val="24"/>
          <w:szCs w:val="24"/>
          <w:u w:val="single"/>
        </w:rPr>
        <w:t>Finalmente, la histéresis debilitó aún más el crecimiento real. Una desaceleración cíclica disminuyó el potencial de crecimiento, y esto llevó a una mayor debilidad cíclica, conforme el gasto se redujo en respuesta a la revisión a la baja de las expectativas.</w:t>
      </w:r>
    </w:p>
    <w:p w:rsidR="000711BB" w:rsidRPr="00FE46A3" w:rsidRDefault="000711BB" w:rsidP="000711BB">
      <w:pPr>
        <w:shd w:val="clear" w:color="auto" w:fill="FFFFFF"/>
        <w:spacing w:after="0" w:line="240" w:lineRule="auto"/>
        <w:jc w:val="both"/>
        <w:rPr>
          <w:rFonts w:ascii="Times New Roman" w:hAnsi="Times New Roman"/>
          <w:sz w:val="24"/>
          <w:szCs w:val="24"/>
          <w:u w:val="single"/>
        </w:rPr>
      </w:pPr>
    </w:p>
    <w:p w:rsidR="000711BB" w:rsidRDefault="000711BB" w:rsidP="000711BB">
      <w:pPr>
        <w:shd w:val="clear" w:color="auto" w:fill="FFFFFF"/>
        <w:spacing w:after="0" w:line="240" w:lineRule="auto"/>
        <w:jc w:val="both"/>
        <w:rPr>
          <w:rFonts w:ascii="Times New Roman" w:hAnsi="Times New Roman"/>
          <w:sz w:val="24"/>
          <w:szCs w:val="24"/>
        </w:rPr>
      </w:pPr>
      <w:r w:rsidRPr="00FD4874">
        <w:rPr>
          <w:rFonts w:ascii="Times New Roman" w:hAnsi="Times New Roman"/>
          <w:sz w:val="24"/>
          <w:szCs w:val="24"/>
        </w:rPr>
        <w:t xml:space="preserve">No hay soluciones políticamente sencillas para el dilema en que hoy se encuentra la economía global. Evitar un proceso de desapalancamiento prolongado (que bien puede durar una década o más) demanda reducir en forma rápida y ordenada unos niveles de deuda insostenibles. Pero no hay mecanismos de reducción ordenada de deuda para </w:t>
      </w:r>
      <w:r w:rsidRPr="00FD4874">
        <w:rPr>
          <w:rFonts w:ascii="Times New Roman" w:hAnsi="Times New Roman"/>
          <w:sz w:val="24"/>
          <w:szCs w:val="24"/>
        </w:rPr>
        <w:lastRenderedPageBreak/>
        <w:t>deudores soberanos, y su implementación dentro de los países para las familias, las empresas y las instituciones financieras es políticamente difícil.</w:t>
      </w:r>
    </w:p>
    <w:p w:rsidR="000711BB" w:rsidRDefault="000711BB" w:rsidP="000711BB">
      <w:pPr>
        <w:shd w:val="clear" w:color="auto" w:fill="FFFFFF"/>
        <w:spacing w:after="0" w:line="240" w:lineRule="auto"/>
        <w:jc w:val="both"/>
        <w:rPr>
          <w:rFonts w:ascii="Times New Roman" w:hAnsi="Times New Roman"/>
          <w:sz w:val="24"/>
          <w:szCs w:val="24"/>
        </w:rPr>
      </w:pPr>
    </w:p>
    <w:p w:rsidR="000711BB" w:rsidRDefault="000711BB" w:rsidP="000711BB">
      <w:pPr>
        <w:shd w:val="clear" w:color="auto" w:fill="FFFFFF"/>
        <w:spacing w:after="0" w:line="240" w:lineRule="auto"/>
        <w:jc w:val="both"/>
        <w:rPr>
          <w:rFonts w:ascii="Times New Roman" w:hAnsi="Times New Roman"/>
          <w:sz w:val="24"/>
          <w:szCs w:val="24"/>
        </w:rPr>
      </w:pPr>
      <w:r w:rsidRPr="00FD4874">
        <w:rPr>
          <w:rFonts w:ascii="Times New Roman" w:hAnsi="Times New Roman"/>
          <w:sz w:val="24"/>
          <w:szCs w:val="24"/>
        </w:rPr>
        <w:t>Además, se necesitan reformas estructurales y promercado para realzar el crecimiento potencial. Pero la divergencia temporal entre costos y beneficios socava el apoyo popular a esas medidas, sobre todo en economías que ya están frenadas.</w:t>
      </w:r>
    </w:p>
    <w:p w:rsidR="000711BB" w:rsidRPr="00FD4874" w:rsidRDefault="000711BB" w:rsidP="000711BB">
      <w:pPr>
        <w:shd w:val="clear" w:color="auto" w:fill="FFFFFF"/>
        <w:spacing w:after="0" w:line="240" w:lineRule="auto"/>
        <w:jc w:val="both"/>
        <w:rPr>
          <w:rFonts w:ascii="Times New Roman" w:hAnsi="Times New Roman"/>
          <w:sz w:val="24"/>
          <w:szCs w:val="24"/>
        </w:rPr>
      </w:pPr>
    </w:p>
    <w:p w:rsidR="000711BB" w:rsidRDefault="000711BB" w:rsidP="000711BB">
      <w:pPr>
        <w:shd w:val="clear" w:color="auto" w:fill="FFFFFF"/>
        <w:spacing w:after="0" w:line="240" w:lineRule="auto"/>
        <w:jc w:val="both"/>
        <w:rPr>
          <w:rFonts w:ascii="Times New Roman" w:hAnsi="Times New Roman"/>
          <w:sz w:val="24"/>
          <w:szCs w:val="24"/>
        </w:rPr>
      </w:pPr>
      <w:r w:rsidRPr="00FD4874">
        <w:rPr>
          <w:rFonts w:ascii="Times New Roman" w:hAnsi="Times New Roman"/>
          <w:sz w:val="24"/>
          <w:szCs w:val="24"/>
        </w:rPr>
        <w:t>También será difícil abandonar las políticas monetarias no convencionales, como acaba de insinuar la Reserva Federal de los Estados Unidos al dar señales de que se tomará más tiempo del previsto para normalizar las tasas de referencia. Entretanto, la política fiscal (especialmente la inversión pública productiva, que estimula tanto la demanda como la oferta) sigue atrapada en altos niveles de endeudamiento y medidas de austeridad desacertadas, incluso en países con capacidad financiera para emprender una consolidación más lenta.</w:t>
      </w:r>
    </w:p>
    <w:p w:rsidR="000711BB" w:rsidRPr="00FD4874" w:rsidRDefault="000711BB" w:rsidP="000711BB">
      <w:pPr>
        <w:shd w:val="clear" w:color="auto" w:fill="FFFFFF"/>
        <w:spacing w:after="0" w:line="240" w:lineRule="auto"/>
        <w:jc w:val="both"/>
        <w:rPr>
          <w:rFonts w:ascii="Times New Roman" w:hAnsi="Times New Roman"/>
          <w:sz w:val="24"/>
          <w:szCs w:val="24"/>
        </w:rPr>
      </w:pPr>
    </w:p>
    <w:p w:rsidR="000711BB" w:rsidRPr="00403206" w:rsidRDefault="000711BB" w:rsidP="000711BB">
      <w:pPr>
        <w:shd w:val="clear" w:color="auto" w:fill="FFFFFF"/>
        <w:spacing w:after="0" w:line="240" w:lineRule="auto"/>
        <w:jc w:val="both"/>
        <w:rPr>
          <w:rFonts w:ascii="Times New Roman" w:hAnsi="Times New Roman"/>
          <w:b/>
          <w:color w:val="FF0000"/>
          <w:sz w:val="24"/>
          <w:szCs w:val="24"/>
          <w:u w:val="single"/>
        </w:rPr>
      </w:pPr>
      <w:r w:rsidRPr="00403206">
        <w:rPr>
          <w:rFonts w:ascii="Times New Roman" w:hAnsi="Times New Roman"/>
          <w:b/>
          <w:color w:val="FF0000"/>
          <w:sz w:val="24"/>
          <w:szCs w:val="24"/>
          <w:u w:val="single"/>
        </w:rPr>
        <w:t>Por eso, y por ahora, es probable que sigamos dentro de lo que el FMI llama “la nueva mediocridad”; lo que Larry Summers llama “estancamiento secular”; y lo que los chinos llaman “nueva normalidad”. Pero a no equivocarse: nada de normal o saludable puede haber en un proceso económico que aumenta la desigualdad y, en muchos países, lleva a una reacción populista (desde la derecha y la izquierda) contra el comercio internacional, la globalización, las migraciones, la innovación tecnológica y las políticas promercado.</w:t>
      </w:r>
    </w:p>
    <w:p w:rsidR="000711BB" w:rsidRPr="00403206" w:rsidRDefault="000711BB" w:rsidP="000711BB">
      <w:pPr>
        <w:shd w:val="clear" w:color="auto" w:fill="FFFFFF"/>
        <w:spacing w:after="0" w:line="240" w:lineRule="auto"/>
        <w:jc w:val="both"/>
        <w:rPr>
          <w:rFonts w:ascii="Times New Roman" w:hAnsi="Times New Roman"/>
          <w:b/>
          <w:color w:val="FF0000"/>
          <w:sz w:val="24"/>
          <w:szCs w:val="24"/>
          <w:u w:val="single"/>
        </w:rPr>
      </w:pPr>
    </w:p>
    <w:p w:rsidR="000711BB" w:rsidRDefault="000711BB" w:rsidP="00A25B2F">
      <w:pPr>
        <w:shd w:val="clear" w:color="auto" w:fill="FFFFFF"/>
        <w:spacing w:after="0" w:line="240" w:lineRule="auto"/>
        <w:jc w:val="both"/>
        <w:rPr>
          <w:rFonts w:ascii="Times New Roman" w:hAnsi="Times New Roman"/>
          <w:sz w:val="24"/>
          <w:szCs w:val="24"/>
          <w:lang w:val="en-US"/>
        </w:rPr>
      </w:pPr>
      <w:r w:rsidRPr="001E644C">
        <w:rPr>
          <w:rFonts w:ascii="Times New Roman" w:hAnsi="Times New Roman"/>
          <w:sz w:val="24"/>
          <w:szCs w:val="24"/>
          <w:lang w:val="en-US"/>
        </w:rPr>
        <w:t>(Nouriel Roubini, a professor at NYU’s Stern School of Business and Chairman of Roubini Global Economics, was Senior Economist for International Affairs in the White House's Council of Economic Advisers during the Clinton Administration. He has worked for the Int</w:t>
      </w:r>
      <w:r>
        <w:rPr>
          <w:rFonts w:ascii="Times New Roman" w:hAnsi="Times New Roman"/>
          <w:sz w:val="24"/>
          <w:szCs w:val="24"/>
          <w:lang w:val="en-US"/>
        </w:rPr>
        <w:t>ernational Monetary Fund</w:t>
      </w:r>
      <w:r w:rsidR="00A25B2F">
        <w:rPr>
          <w:rFonts w:ascii="Times New Roman" w:hAnsi="Times New Roman"/>
          <w:sz w:val="24"/>
          <w:szCs w:val="24"/>
          <w:lang w:val="en-US"/>
        </w:rPr>
        <w:t>…)</w:t>
      </w:r>
    </w:p>
    <w:p w:rsidR="00A25B2F" w:rsidRDefault="00A25B2F" w:rsidP="00A25B2F">
      <w:pPr>
        <w:shd w:val="clear" w:color="auto" w:fill="FFFFFF"/>
        <w:spacing w:after="0" w:line="240" w:lineRule="auto"/>
        <w:jc w:val="both"/>
        <w:rPr>
          <w:rFonts w:ascii="Times New Roman" w:hAnsi="Times New Roman"/>
          <w:sz w:val="24"/>
          <w:szCs w:val="24"/>
          <w:lang w:val="en-US"/>
        </w:rPr>
      </w:pPr>
    </w:p>
    <w:p w:rsidR="000711BB" w:rsidRPr="005D2044" w:rsidRDefault="000711BB" w:rsidP="000711BB">
      <w:pPr>
        <w:spacing w:line="240" w:lineRule="auto"/>
        <w:jc w:val="both"/>
        <w:rPr>
          <w:rFonts w:ascii="Times New Roman" w:hAnsi="Times New Roman"/>
          <w:sz w:val="24"/>
          <w:szCs w:val="24"/>
        </w:rPr>
      </w:pPr>
      <w:r>
        <w:rPr>
          <w:rFonts w:ascii="Times New Roman" w:hAnsi="Times New Roman"/>
          <w:sz w:val="24"/>
          <w:szCs w:val="24"/>
        </w:rPr>
        <w:t xml:space="preserve">- </w:t>
      </w:r>
      <w:r w:rsidRPr="005D2044">
        <w:rPr>
          <w:rFonts w:ascii="Times New Roman" w:hAnsi="Times New Roman"/>
          <w:sz w:val="24"/>
          <w:szCs w:val="24"/>
        </w:rPr>
        <w:t>¿</w:t>
      </w:r>
      <w:r w:rsidRPr="005D2044">
        <w:rPr>
          <w:rFonts w:ascii="Times New Roman" w:hAnsi="Times New Roman"/>
          <w:sz w:val="24"/>
          <w:szCs w:val="24"/>
          <w:u w:val="single"/>
        </w:rPr>
        <w:t>Los bancos centrales se han vuelto locos</w:t>
      </w:r>
      <w:r w:rsidRPr="005D2044">
        <w:rPr>
          <w:rFonts w:ascii="Times New Roman" w:hAnsi="Times New Roman"/>
          <w:sz w:val="24"/>
          <w:szCs w:val="24"/>
        </w:rPr>
        <w:t>?</w:t>
      </w:r>
      <w:r>
        <w:rPr>
          <w:rFonts w:ascii="Times New Roman" w:hAnsi="Times New Roman"/>
          <w:sz w:val="24"/>
          <w:szCs w:val="24"/>
        </w:rPr>
        <w:t xml:space="preserve"> (Project Syndicate - </w:t>
      </w:r>
      <w:r w:rsidRPr="005D2044">
        <w:rPr>
          <w:rFonts w:ascii="Times New Roman" w:hAnsi="Times New Roman"/>
          <w:b/>
          <w:sz w:val="24"/>
          <w:szCs w:val="24"/>
        </w:rPr>
        <w:t>2/5/16</w:t>
      </w:r>
      <w:r>
        <w:rPr>
          <w:rFonts w:ascii="Times New Roman" w:hAnsi="Times New Roman"/>
          <w:sz w:val="24"/>
          <w:szCs w:val="24"/>
        </w:rPr>
        <w:t>)</w:t>
      </w:r>
    </w:p>
    <w:p w:rsidR="000711BB" w:rsidRPr="008234A9" w:rsidRDefault="000711BB" w:rsidP="000711BB">
      <w:pPr>
        <w:spacing w:line="240" w:lineRule="auto"/>
        <w:jc w:val="both"/>
        <w:rPr>
          <w:rFonts w:ascii="Times New Roman" w:hAnsi="Times New Roman"/>
          <w:sz w:val="24"/>
          <w:szCs w:val="24"/>
          <w:u w:val="single"/>
        </w:rPr>
      </w:pPr>
      <w:r>
        <w:rPr>
          <w:rFonts w:ascii="Times New Roman" w:hAnsi="Times New Roman"/>
          <w:sz w:val="24"/>
          <w:szCs w:val="24"/>
        </w:rPr>
        <w:t>Praga.-</w:t>
      </w:r>
      <w:r w:rsidRPr="005D2044">
        <w:rPr>
          <w:rFonts w:ascii="Times New Roman" w:hAnsi="Times New Roman"/>
          <w:sz w:val="24"/>
          <w:szCs w:val="24"/>
        </w:rPr>
        <w:t xml:space="preserve"> </w:t>
      </w:r>
      <w:r w:rsidRPr="008234A9">
        <w:rPr>
          <w:rFonts w:ascii="Times New Roman" w:hAnsi="Times New Roman"/>
          <w:sz w:val="24"/>
          <w:szCs w:val="24"/>
          <w:u w:val="single"/>
        </w:rPr>
        <w:t>Últimamente, criticar de manera indiscriminada a los bancos centrales de los países desarrollados se ha puesto de moda. El razonamiento principal del ataque es más o menos éste: los responsables de las políticas monetarias han sido demasiado activistas desde 2008, extralimitándose en sus mandatos y perjudicando a la economía. Este argumento -que, curiosamente, es igual de popular entre adversarios ideológicos que en otras circunstancias serían irreconciliables, como los libertarios y los neo-marxistas- es decididamente erróneo.</w:t>
      </w:r>
    </w:p>
    <w:p w:rsidR="000711BB" w:rsidRPr="008234A9" w:rsidRDefault="000711BB" w:rsidP="000711BB">
      <w:pPr>
        <w:spacing w:line="240" w:lineRule="auto"/>
        <w:jc w:val="both"/>
        <w:rPr>
          <w:rFonts w:ascii="Times New Roman" w:hAnsi="Times New Roman"/>
          <w:sz w:val="24"/>
          <w:szCs w:val="24"/>
          <w:u w:val="single"/>
        </w:rPr>
      </w:pPr>
      <w:r w:rsidRPr="008234A9">
        <w:rPr>
          <w:rFonts w:ascii="Times New Roman" w:hAnsi="Times New Roman"/>
          <w:sz w:val="24"/>
          <w:szCs w:val="24"/>
          <w:u w:val="single"/>
        </w:rPr>
        <w:t>Lo que los críticos no llegan a entender es que los bancos centrales modernos son responsables no sólo de combatir la inflación sino de mantener la estabilidad de precios a largo plazo</w:t>
      </w:r>
      <w:r w:rsidRPr="005D2044">
        <w:rPr>
          <w:rFonts w:ascii="Times New Roman" w:hAnsi="Times New Roman"/>
          <w:sz w:val="24"/>
          <w:szCs w:val="24"/>
        </w:rPr>
        <w:t xml:space="preserve">. Al igual que la temperatura corporal de una persona, los niveles de precios no pueden ni subir ni bajar demasiado sin causar serias complicaciones. </w:t>
      </w:r>
      <w:r w:rsidRPr="008234A9">
        <w:rPr>
          <w:rFonts w:ascii="Times New Roman" w:hAnsi="Times New Roman"/>
          <w:sz w:val="24"/>
          <w:szCs w:val="24"/>
          <w:u w:val="single"/>
        </w:rPr>
        <w:t xml:space="preserve">Los </w:t>
      </w:r>
      <w:r>
        <w:rPr>
          <w:rFonts w:ascii="Times New Roman" w:hAnsi="Times New Roman"/>
          <w:sz w:val="24"/>
          <w:szCs w:val="24"/>
          <w:u w:val="single"/>
        </w:rPr>
        <w:t>bancos centrales deben ser tan “activistas”</w:t>
      </w:r>
      <w:r w:rsidRPr="008234A9">
        <w:rPr>
          <w:rFonts w:ascii="Times New Roman" w:hAnsi="Times New Roman"/>
          <w:sz w:val="24"/>
          <w:szCs w:val="24"/>
          <w:u w:val="single"/>
        </w:rPr>
        <w:t xml:space="preserve"> cuando combaten la deflación causada por una demanda floja como cuando hacen frente a una inflación elevada generada por una demanda excesivamente fuerte.</w:t>
      </w:r>
    </w:p>
    <w:p w:rsidR="000711BB" w:rsidRPr="005D2044" w:rsidRDefault="000711BB" w:rsidP="000711BB">
      <w:pPr>
        <w:spacing w:line="240" w:lineRule="auto"/>
        <w:jc w:val="both"/>
        <w:rPr>
          <w:rFonts w:ascii="Times New Roman" w:hAnsi="Times New Roman"/>
          <w:sz w:val="24"/>
          <w:szCs w:val="24"/>
        </w:rPr>
      </w:pPr>
      <w:r w:rsidRPr="008234A9">
        <w:rPr>
          <w:rFonts w:ascii="Times New Roman" w:hAnsi="Times New Roman"/>
          <w:sz w:val="24"/>
          <w:szCs w:val="24"/>
          <w:u w:val="single"/>
        </w:rPr>
        <w:t>Si bien la batalla es completamente simétrica, la evaluación que hace de ella la población es inexplicablemente asimétrica, en especial en países con poblaciones financieramente conservadoras</w:t>
      </w:r>
      <w:r w:rsidRPr="005D2044">
        <w:rPr>
          <w:rFonts w:ascii="Times New Roman" w:hAnsi="Times New Roman"/>
          <w:sz w:val="24"/>
          <w:szCs w:val="24"/>
        </w:rPr>
        <w:t xml:space="preserve">. Esto incluye a mi propio país, la República Checa, un país de pequeños ahorristas donde el ratio préstamos-depósitos sigue estando muy por debajo del 100%. Los checos le temen a la inflación, aunque ésta alcanzó un mínimo de </w:t>
      </w:r>
      <w:r w:rsidRPr="005D2044">
        <w:rPr>
          <w:rFonts w:ascii="Times New Roman" w:hAnsi="Times New Roman"/>
          <w:sz w:val="24"/>
          <w:szCs w:val="24"/>
        </w:rPr>
        <w:lastRenderedPageBreak/>
        <w:t>13 años el año pasado y el Banco Nacional Checo, del cual soy vicegobernador, ha venido luchando por evitar el riesgo de deflación desde 2013.</w:t>
      </w:r>
    </w:p>
    <w:p w:rsidR="000711BB" w:rsidRPr="008234A9" w:rsidRDefault="000711BB" w:rsidP="000711BB">
      <w:pPr>
        <w:spacing w:line="240" w:lineRule="auto"/>
        <w:jc w:val="both"/>
        <w:rPr>
          <w:rFonts w:ascii="Times New Roman" w:hAnsi="Times New Roman"/>
          <w:sz w:val="24"/>
          <w:szCs w:val="24"/>
          <w:u w:val="single"/>
        </w:rPr>
      </w:pPr>
      <w:r w:rsidRPr="008234A9">
        <w:rPr>
          <w:rFonts w:ascii="Times New Roman" w:hAnsi="Times New Roman"/>
          <w:sz w:val="24"/>
          <w:szCs w:val="24"/>
          <w:u w:val="single"/>
        </w:rPr>
        <w:t>Otra queja frecuente sobre las políticas de los bancos centrales de los países desarrollados desde 2008 es que tienen efectos redistributivos. Los tienen, ¿y cuál es el problema? Todas las acciones de políticas monetarias redistribuyen la riqueza</w:t>
      </w:r>
      <w:r w:rsidRPr="005D2044">
        <w:rPr>
          <w:rFonts w:ascii="Times New Roman" w:hAnsi="Times New Roman"/>
          <w:sz w:val="24"/>
          <w:szCs w:val="24"/>
        </w:rPr>
        <w:t xml:space="preserve">. Una suba de las tasas de interés contenta a los ahorristas, mientras que un recorte de las tasas es un beneficio para los prestatarios. Los importadores prefieren un tipo de cambio fuerte; los exportadores prefieren un tipo de cambio débil. </w:t>
      </w:r>
      <w:r w:rsidRPr="008234A9">
        <w:rPr>
          <w:rFonts w:ascii="Times New Roman" w:hAnsi="Times New Roman"/>
          <w:sz w:val="24"/>
          <w:szCs w:val="24"/>
          <w:u w:val="single"/>
        </w:rPr>
        <w:t>Para que tenga algún sentido, la política monetaria debe tener efectos diferentes en grupos diferentes en momentos diferentes. Ese no es ningún error; es la esencia de la política monetaria.</w:t>
      </w:r>
    </w:p>
    <w:p w:rsidR="000711BB" w:rsidRPr="005D2044" w:rsidRDefault="000711BB" w:rsidP="000711BB">
      <w:pPr>
        <w:spacing w:line="240" w:lineRule="auto"/>
        <w:jc w:val="both"/>
        <w:rPr>
          <w:rFonts w:ascii="Times New Roman" w:hAnsi="Times New Roman"/>
          <w:sz w:val="24"/>
          <w:szCs w:val="24"/>
        </w:rPr>
      </w:pPr>
      <w:r w:rsidRPr="005D2044">
        <w:rPr>
          <w:rFonts w:ascii="Times New Roman" w:hAnsi="Times New Roman"/>
          <w:sz w:val="24"/>
          <w:szCs w:val="24"/>
        </w:rPr>
        <w:t>Algunos críticos agregan que, de todas maneras, los bancos centrales no están cumpliendo con sus metas de inflación, de modo que su activismo no sólo no está garantizado sino que además es ineficaz. A veces incluso logran formular estas críticas contradictorias en la misma frase, como si estuvieran acusando a alguien de disparar balas de fogueo, pero a su vez de herir y matar gente.</w:t>
      </w:r>
    </w:p>
    <w:p w:rsidR="000711BB" w:rsidRPr="008234A9" w:rsidRDefault="000711BB" w:rsidP="000711BB">
      <w:pPr>
        <w:spacing w:line="240" w:lineRule="auto"/>
        <w:jc w:val="both"/>
        <w:rPr>
          <w:rFonts w:ascii="Times New Roman" w:hAnsi="Times New Roman"/>
          <w:sz w:val="24"/>
          <w:szCs w:val="24"/>
          <w:u w:val="single"/>
        </w:rPr>
      </w:pPr>
      <w:r w:rsidRPr="008234A9">
        <w:rPr>
          <w:rFonts w:ascii="Times New Roman" w:hAnsi="Times New Roman"/>
          <w:sz w:val="24"/>
          <w:szCs w:val="24"/>
          <w:u w:val="single"/>
        </w:rPr>
        <w:t>La realidad es que los bancos centrales en el mundo desarrollado han logrado mantener -de una manera verdaderamente fascinante- la estabilidad de precios y el poder adquisitivo del dinero durante y después de la crisis financiera global. Si no hubieran intervenido, sus economías habrían enfrentado una deflación catastrófica, importantes desplomes de los precios de los activos y un colapso total de los sectores financiero y real. Claramente, una acción categórica fue la respuesta correcta ante la crisis (hasta qué punto los bancos centrales pueden haber contribuido a su estallido es otra cuestión).</w:t>
      </w:r>
    </w:p>
    <w:p w:rsidR="000711BB" w:rsidRPr="002D7F61" w:rsidRDefault="000711BB" w:rsidP="000711BB">
      <w:pPr>
        <w:spacing w:line="240" w:lineRule="auto"/>
        <w:jc w:val="both"/>
        <w:rPr>
          <w:rFonts w:ascii="Times New Roman" w:hAnsi="Times New Roman"/>
          <w:sz w:val="24"/>
          <w:szCs w:val="24"/>
          <w:u w:val="single"/>
        </w:rPr>
      </w:pPr>
      <w:r w:rsidRPr="005D2044">
        <w:rPr>
          <w:rFonts w:ascii="Times New Roman" w:hAnsi="Times New Roman"/>
          <w:sz w:val="24"/>
          <w:szCs w:val="24"/>
        </w:rPr>
        <w:t xml:space="preserve">En un sistema de dinero elástico sin ningún valor intrínseco, la cantidad de dinero tiene que cambiar con el tiempo si el poder adquisitivo del dinero ha de mantenerse, en términos generales, constante. </w:t>
      </w:r>
      <w:r w:rsidRPr="002D7F61">
        <w:rPr>
          <w:rFonts w:ascii="Times New Roman" w:hAnsi="Times New Roman"/>
          <w:sz w:val="24"/>
          <w:szCs w:val="24"/>
          <w:u w:val="single"/>
        </w:rPr>
        <w:t>De manera que lo que importa es la estabilidad de precios, no la cantidad de dinero. Los balances cada vez más inflados de los bancos centrales reflejan la gravedad de los problemas que muchas economías enfrentaron después de 2008. En ese contexto, los bancos centrales hicieron lo que era necesario para mantener el poder adquisitivo y la estabilidad de precios. No hubo ningún "activismo" de su parte; sólo había un mandato permanente que cumplir.</w:t>
      </w:r>
    </w:p>
    <w:p w:rsidR="000711BB" w:rsidRPr="005D2044" w:rsidRDefault="000711BB" w:rsidP="000711BB">
      <w:pPr>
        <w:spacing w:line="240" w:lineRule="auto"/>
        <w:jc w:val="both"/>
        <w:rPr>
          <w:rFonts w:ascii="Times New Roman" w:hAnsi="Times New Roman"/>
          <w:sz w:val="24"/>
          <w:szCs w:val="24"/>
        </w:rPr>
      </w:pPr>
      <w:r w:rsidRPr="005D2044">
        <w:rPr>
          <w:rFonts w:ascii="Times New Roman" w:hAnsi="Times New Roman"/>
          <w:sz w:val="24"/>
          <w:szCs w:val="24"/>
        </w:rPr>
        <w:t>Si esto suena arrogante, permítanme brindar cierta evidencia. La gente vota con su billetera. Si el poder adquisitivo de su dinero hubiera recibido un golpe después de 2008, naturalmente habría buscado sustitutos para sus monedas locales (otras monedas, metales preciosos o formas alternativas de ahorro). Esto prácticamente no sucedió en el mundo desarrollado.</w:t>
      </w:r>
    </w:p>
    <w:p w:rsidR="000711BB" w:rsidRPr="002D7F61" w:rsidRDefault="000711BB" w:rsidP="000711BB">
      <w:pPr>
        <w:spacing w:line="240" w:lineRule="auto"/>
        <w:jc w:val="both"/>
        <w:rPr>
          <w:rFonts w:ascii="Times New Roman" w:hAnsi="Times New Roman"/>
          <w:sz w:val="24"/>
          <w:szCs w:val="24"/>
          <w:u w:val="single"/>
        </w:rPr>
      </w:pPr>
      <w:r w:rsidRPr="002D7F61">
        <w:rPr>
          <w:rFonts w:ascii="Times New Roman" w:hAnsi="Times New Roman"/>
          <w:sz w:val="24"/>
          <w:szCs w:val="24"/>
          <w:u w:val="single"/>
        </w:rPr>
        <w:t>Por supuesto, es verdad que los bancos centrales en muchos países ahora le están errando a sus metas de inflación. (Los banqueros central</w:t>
      </w:r>
      <w:r>
        <w:rPr>
          <w:rFonts w:ascii="Times New Roman" w:hAnsi="Times New Roman"/>
          <w:sz w:val="24"/>
          <w:szCs w:val="24"/>
          <w:u w:val="single"/>
        </w:rPr>
        <w:t>es normalmente definen la “temperatura”</w:t>
      </w:r>
      <w:r w:rsidRPr="002D7F61">
        <w:rPr>
          <w:rFonts w:ascii="Times New Roman" w:hAnsi="Times New Roman"/>
          <w:sz w:val="24"/>
          <w:szCs w:val="24"/>
          <w:u w:val="single"/>
        </w:rPr>
        <w:t xml:space="preserve"> ideal de la economía como una inflación anual de aproximadamente 2%). Pero si bien eso es desagradable, no es desastroso, especialmente si consideramos que la caída de los precios es en parte el resultado de un shock de oferta -no de demanda-, representado por precios muy bajos del petróleo. Ese shock está beneficiando a los consumidores y no plantea ninguna amenaza para la estabilidad de precios, al menos en los países que son importadores netos de petróleo.</w:t>
      </w:r>
    </w:p>
    <w:p w:rsidR="000711BB" w:rsidRPr="005D2044" w:rsidRDefault="000711BB" w:rsidP="000711BB">
      <w:pPr>
        <w:spacing w:line="240" w:lineRule="auto"/>
        <w:jc w:val="both"/>
        <w:rPr>
          <w:rFonts w:ascii="Times New Roman" w:hAnsi="Times New Roman"/>
          <w:sz w:val="24"/>
          <w:szCs w:val="24"/>
        </w:rPr>
      </w:pPr>
      <w:r w:rsidRPr="005D2044">
        <w:rPr>
          <w:rFonts w:ascii="Times New Roman" w:hAnsi="Times New Roman"/>
          <w:sz w:val="24"/>
          <w:szCs w:val="24"/>
        </w:rPr>
        <w:t xml:space="preserve">Consideremos este escenario. Una empresa planea aumentar las ventas un 2%, pero sólo logra un crecimiento del 1% durante dos años seguidos. ¿Considerarían que la empresa </w:t>
      </w:r>
      <w:r w:rsidRPr="005D2044">
        <w:rPr>
          <w:rFonts w:ascii="Times New Roman" w:hAnsi="Times New Roman"/>
          <w:sz w:val="24"/>
          <w:szCs w:val="24"/>
        </w:rPr>
        <w:lastRenderedPageBreak/>
        <w:t>ha fracasado? Difícilmente. Después de todo, las ganancias y las ventas planeadas y reales de las empresas privadas pueden diferir fácilmente en 10% o más. La mayoría de las empresas operan en un contexto más simple con menos variables que los bancos centrales. ¿Cómo podemos esperar, entonces, que los bancos centrales siempre cumplan con metas precisas de inflación, independientemente de las circunstancias económicas?</w:t>
      </w:r>
    </w:p>
    <w:p w:rsidR="000711BB" w:rsidRPr="005D2044" w:rsidRDefault="000711BB" w:rsidP="000711BB">
      <w:pPr>
        <w:spacing w:line="240" w:lineRule="auto"/>
        <w:jc w:val="both"/>
        <w:rPr>
          <w:rFonts w:ascii="Times New Roman" w:hAnsi="Times New Roman"/>
          <w:sz w:val="24"/>
          <w:szCs w:val="24"/>
        </w:rPr>
      </w:pPr>
      <w:r w:rsidRPr="005D2044">
        <w:rPr>
          <w:rFonts w:ascii="Times New Roman" w:hAnsi="Times New Roman"/>
          <w:sz w:val="24"/>
          <w:szCs w:val="24"/>
        </w:rPr>
        <w:t>Para ser claro, no estoy diciendo que los bancos centrales no deberían esforzarse por acercarse a sus metas. Obviamente deberían hacerlo. Es más, la realidad es que no deberían permitir que se desestabilicen las expectativas de inflación.</w:t>
      </w:r>
    </w:p>
    <w:p w:rsidR="000711BB" w:rsidRPr="002D7F61" w:rsidRDefault="000711BB" w:rsidP="000711BB">
      <w:pPr>
        <w:spacing w:line="240" w:lineRule="auto"/>
        <w:jc w:val="both"/>
        <w:rPr>
          <w:rFonts w:ascii="Times New Roman" w:hAnsi="Times New Roman"/>
          <w:color w:val="FF0000"/>
          <w:sz w:val="24"/>
          <w:szCs w:val="24"/>
          <w:u w:val="single"/>
        </w:rPr>
      </w:pPr>
      <w:r w:rsidRPr="002D7F61">
        <w:rPr>
          <w:rFonts w:ascii="Times New Roman" w:hAnsi="Times New Roman"/>
          <w:sz w:val="24"/>
          <w:szCs w:val="24"/>
          <w:u w:val="single"/>
        </w:rPr>
        <w:t xml:space="preserve">Sin embargo, al juzgar a los bancos centrales, la gente no debe darle más importancia de la que realmente tiene. Y, en verdad, tiene que dejar de decir cosas que no son ciertas -por ejemplo, que el arsenal de políticas de los bancos centrales no sólo es limitado, sino que prácticamente está agotado-. </w:t>
      </w:r>
      <w:r w:rsidRPr="002D7F61">
        <w:rPr>
          <w:rFonts w:ascii="Times New Roman" w:hAnsi="Times New Roman"/>
          <w:color w:val="FF0000"/>
          <w:sz w:val="24"/>
          <w:szCs w:val="24"/>
          <w:u w:val="single"/>
        </w:rPr>
        <w:t xml:space="preserve">Los responsables de las políticas monetarias tienen muchas armas y una oferta interminable de municiones a su disposición. Esas armas tienen varios calibres y diferentes grados de efectividad en diferentes momentos. No todas las armas son apropiadas para cada ocasión o para cada economía. Pero la capacidad de los bancos centrales de crear y destruir dinero es, en teoría, ilimitada. </w:t>
      </w:r>
    </w:p>
    <w:p w:rsidR="000711BB" w:rsidRPr="001E644C" w:rsidRDefault="000711BB" w:rsidP="000711BB">
      <w:pPr>
        <w:spacing w:line="240" w:lineRule="auto"/>
        <w:jc w:val="both"/>
        <w:rPr>
          <w:rFonts w:ascii="Times New Roman" w:hAnsi="Times New Roman"/>
          <w:color w:val="FF0000"/>
          <w:sz w:val="24"/>
          <w:szCs w:val="24"/>
          <w:u w:val="single"/>
          <w:lang w:val="en-US"/>
        </w:rPr>
      </w:pPr>
      <w:r w:rsidRPr="002D7F61">
        <w:rPr>
          <w:rFonts w:ascii="Times New Roman" w:hAnsi="Times New Roman"/>
          <w:sz w:val="24"/>
          <w:szCs w:val="24"/>
          <w:u w:val="single"/>
        </w:rPr>
        <w:t>Los banqueros centrales d</w:t>
      </w:r>
      <w:r>
        <w:rPr>
          <w:rFonts w:ascii="Times New Roman" w:hAnsi="Times New Roman"/>
          <w:sz w:val="24"/>
          <w:szCs w:val="24"/>
          <w:u w:val="single"/>
        </w:rPr>
        <w:t>eberíamos decir “ya basta”</w:t>
      </w:r>
      <w:r w:rsidRPr="002D7F61">
        <w:rPr>
          <w:rFonts w:ascii="Times New Roman" w:hAnsi="Times New Roman"/>
          <w:sz w:val="24"/>
          <w:szCs w:val="24"/>
          <w:u w:val="single"/>
        </w:rPr>
        <w:t xml:space="preserve"> a las críticas ignorantes que enfrentamos</w:t>
      </w:r>
      <w:r w:rsidRPr="005D2044">
        <w:rPr>
          <w:rFonts w:ascii="Times New Roman" w:hAnsi="Times New Roman"/>
          <w:sz w:val="24"/>
          <w:szCs w:val="24"/>
        </w:rPr>
        <w:t xml:space="preserve">. Ninguno de nuestros críticos ha podido explicar con alguna claridad o credibilidad por qué la estabilidad de precios es el objetivo equivocado, qué objetivos clave deberían perseguir en cambio los bancos centrales o qué podríamos haber hecho radicalmente diferente después de 2008. </w:t>
      </w:r>
      <w:r w:rsidRPr="002D7F61">
        <w:rPr>
          <w:rFonts w:ascii="Times New Roman" w:hAnsi="Times New Roman"/>
          <w:color w:val="FF0000"/>
          <w:sz w:val="24"/>
          <w:szCs w:val="24"/>
          <w:u w:val="single"/>
        </w:rPr>
        <w:t xml:space="preserve">La explicación es sencilla: la estrategia adoptada por los bancos centrales de los países desarrollados desde la crisis fue la correcta. Por cierto, alejó a nuestras economías del borde del abismo. </w:t>
      </w:r>
      <w:r w:rsidRPr="001E644C">
        <w:rPr>
          <w:rFonts w:ascii="Times New Roman" w:hAnsi="Times New Roman"/>
          <w:color w:val="FF0000"/>
          <w:sz w:val="24"/>
          <w:szCs w:val="24"/>
          <w:u w:val="single"/>
          <w:lang w:val="en-US"/>
        </w:rPr>
        <w:t>De nada.</w:t>
      </w:r>
    </w:p>
    <w:p w:rsidR="000711BB" w:rsidRPr="001E644C" w:rsidRDefault="000711BB" w:rsidP="000711BB">
      <w:pPr>
        <w:spacing w:line="240" w:lineRule="auto"/>
        <w:jc w:val="both"/>
        <w:rPr>
          <w:rFonts w:ascii="Times New Roman" w:hAnsi="Times New Roman"/>
          <w:sz w:val="24"/>
          <w:szCs w:val="24"/>
          <w:lang w:val="en-US"/>
        </w:rPr>
      </w:pPr>
      <w:r w:rsidRPr="001E644C">
        <w:rPr>
          <w:rFonts w:ascii="Times New Roman" w:hAnsi="Times New Roman"/>
          <w:sz w:val="24"/>
          <w:szCs w:val="24"/>
          <w:lang w:val="en-US"/>
        </w:rPr>
        <w:t>(Mojmír Hampl is Vice-Governor of the Czech National Bank)</w:t>
      </w:r>
    </w:p>
    <w:p w:rsidR="000711BB" w:rsidRPr="00B6039E" w:rsidRDefault="000711BB" w:rsidP="000711BB">
      <w:pPr>
        <w:spacing w:line="240" w:lineRule="auto"/>
        <w:jc w:val="both"/>
        <w:rPr>
          <w:rFonts w:ascii="Times New Roman" w:hAnsi="Times New Roman"/>
          <w:sz w:val="24"/>
          <w:szCs w:val="24"/>
        </w:rPr>
      </w:pPr>
      <w:r>
        <w:rPr>
          <w:rFonts w:ascii="Times New Roman" w:hAnsi="Times New Roman"/>
          <w:sz w:val="24"/>
          <w:szCs w:val="24"/>
        </w:rPr>
        <w:t xml:space="preserve">- </w:t>
      </w:r>
      <w:r w:rsidRPr="00B6039E">
        <w:rPr>
          <w:rFonts w:ascii="Times New Roman" w:hAnsi="Times New Roman"/>
          <w:sz w:val="24"/>
          <w:szCs w:val="24"/>
          <w:u w:val="single"/>
        </w:rPr>
        <w:t>La falsa promesa del dinero helicóptero</w:t>
      </w:r>
      <w:r>
        <w:rPr>
          <w:rFonts w:ascii="Times New Roman" w:hAnsi="Times New Roman"/>
          <w:sz w:val="24"/>
          <w:szCs w:val="24"/>
        </w:rPr>
        <w:t xml:space="preserve"> (Project Syndicate - </w:t>
      </w:r>
      <w:r w:rsidRPr="00B6039E">
        <w:rPr>
          <w:rFonts w:ascii="Times New Roman" w:hAnsi="Times New Roman"/>
          <w:b/>
          <w:sz w:val="24"/>
          <w:szCs w:val="24"/>
        </w:rPr>
        <w:t>2/5/16</w:t>
      </w:r>
      <w:r>
        <w:rPr>
          <w:rFonts w:ascii="Times New Roman" w:hAnsi="Times New Roman"/>
          <w:sz w:val="24"/>
          <w:szCs w:val="24"/>
        </w:rPr>
        <w:t>)</w:t>
      </w:r>
    </w:p>
    <w:p w:rsidR="000711BB" w:rsidRPr="00EB7E93" w:rsidRDefault="000711BB" w:rsidP="000711BB">
      <w:pPr>
        <w:spacing w:line="240" w:lineRule="auto"/>
        <w:jc w:val="both"/>
        <w:rPr>
          <w:rFonts w:ascii="Times New Roman" w:hAnsi="Times New Roman"/>
          <w:sz w:val="24"/>
          <w:szCs w:val="24"/>
          <w:u w:val="single"/>
        </w:rPr>
      </w:pPr>
      <w:r>
        <w:rPr>
          <w:rFonts w:ascii="Times New Roman" w:hAnsi="Times New Roman"/>
          <w:sz w:val="24"/>
          <w:szCs w:val="24"/>
        </w:rPr>
        <w:t>Londres.-</w:t>
      </w:r>
      <w:r w:rsidRPr="00B6039E">
        <w:rPr>
          <w:rFonts w:ascii="Times New Roman" w:hAnsi="Times New Roman"/>
          <w:sz w:val="24"/>
          <w:szCs w:val="24"/>
        </w:rPr>
        <w:t xml:space="preserve"> </w:t>
      </w:r>
      <w:r w:rsidRPr="00EB7E93">
        <w:rPr>
          <w:rFonts w:ascii="Times New Roman" w:hAnsi="Times New Roman"/>
          <w:sz w:val="24"/>
          <w:szCs w:val="24"/>
          <w:u w:val="single"/>
        </w:rPr>
        <w:t>Una de las preguntas más importantes con respecto a la economía mundial de hoy es si la política monetaria se está acercando al límite de su eficacia. La inflación se mantiene muy por debajo del objetivo en la eurozona y Japón, a pesar de una flexibilización cuantitativa (QE) agresiva y tasas de interés de referencia negativas, y tanto el euro como el yen se han apreciado frente al dólar estadounidense desde inicios de este año.</w:t>
      </w:r>
    </w:p>
    <w:p w:rsidR="000711BB" w:rsidRPr="00476889" w:rsidRDefault="000711BB" w:rsidP="000711BB">
      <w:pPr>
        <w:spacing w:line="240" w:lineRule="auto"/>
        <w:jc w:val="both"/>
        <w:rPr>
          <w:rFonts w:ascii="Times New Roman" w:hAnsi="Times New Roman"/>
          <w:sz w:val="24"/>
          <w:szCs w:val="24"/>
          <w:u w:val="single"/>
        </w:rPr>
      </w:pPr>
      <w:r w:rsidRPr="00B6039E">
        <w:rPr>
          <w:rFonts w:ascii="Times New Roman" w:hAnsi="Times New Roman"/>
          <w:sz w:val="24"/>
          <w:szCs w:val="24"/>
        </w:rPr>
        <w:t xml:space="preserve">El problema con el debate es que el mismo se ha centrado exclusivamente en la eficacia de las políticas, sin tener en cuenta la necesidad de prudencia. </w:t>
      </w:r>
      <w:r w:rsidRPr="00476889">
        <w:rPr>
          <w:rFonts w:ascii="Times New Roman" w:hAnsi="Times New Roman"/>
          <w:sz w:val="24"/>
          <w:szCs w:val="24"/>
          <w:u w:val="single"/>
        </w:rPr>
        <w:t>La credibilidad e independencia de las autoridades monetarias son esenciales para la eficacia de sus políticas. Y, sin embargo, algunas de las propuestas que se presentan, hacen llamamientos a que los bancos centrales se descarríen aún más, ingresando en territorio desconocido, ampliando y extendiendo su desvío de un manejo cuidadoso del balance de resultados. Esto podría causar daños a su reputación que pudiesen ser difíciles de rectificar, con consecuencias financieras y económicas reales.</w:t>
      </w:r>
    </w:p>
    <w:p w:rsidR="000711BB" w:rsidRPr="00476889" w:rsidRDefault="000711BB" w:rsidP="000711BB">
      <w:pPr>
        <w:spacing w:line="240" w:lineRule="auto"/>
        <w:jc w:val="both"/>
        <w:rPr>
          <w:rFonts w:ascii="Times New Roman" w:hAnsi="Times New Roman"/>
          <w:sz w:val="24"/>
          <w:szCs w:val="24"/>
          <w:u w:val="single"/>
        </w:rPr>
      </w:pPr>
      <w:r w:rsidRPr="00476889">
        <w:rPr>
          <w:rFonts w:ascii="Times New Roman" w:hAnsi="Times New Roman"/>
          <w:sz w:val="24"/>
          <w:szCs w:val="24"/>
          <w:u w:val="single"/>
        </w:rPr>
        <w:t>El impacto directo de la política monetaria no convencional es evidente y en gran medida llega en la manera esperada (con la excepción de la reciente apreciación del euro y el yen). La liquidez en los sistemas bancarios es amplia, y los costos de endeudamiento han disminuido, incluso tornándose negativos en el caso de algunos gobiernos.</w:t>
      </w:r>
    </w:p>
    <w:p w:rsidR="000711BB" w:rsidRPr="00476889" w:rsidRDefault="000711BB" w:rsidP="000711BB">
      <w:pPr>
        <w:spacing w:line="240" w:lineRule="auto"/>
        <w:jc w:val="both"/>
        <w:rPr>
          <w:rFonts w:ascii="Times New Roman" w:hAnsi="Times New Roman"/>
          <w:sz w:val="24"/>
          <w:szCs w:val="24"/>
          <w:u w:val="single"/>
        </w:rPr>
      </w:pPr>
      <w:r w:rsidRPr="00476889">
        <w:rPr>
          <w:rFonts w:ascii="Times New Roman" w:hAnsi="Times New Roman"/>
          <w:sz w:val="24"/>
          <w:szCs w:val="24"/>
          <w:u w:val="single"/>
        </w:rPr>
        <w:lastRenderedPageBreak/>
        <w:t>No obstante, los efect</w:t>
      </w:r>
      <w:r>
        <w:rPr>
          <w:rFonts w:ascii="Times New Roman" w:hAnsi="Times New Roman"/>
          <w:sz w:val="24"/>
          <w:szCs w:val="24"/>
          <w:u w:val="single"/>
        </w:rPr>
        <w:t>os de segundo orden esperados -</w:t>
      </w:r>
      <w:r w:rsidRPr="00476889">
        <w:rPr>
          <w:rFonts w:ascii="Times New Roman" w:hAnsi="Times New Roman"/>
          <w:sz w:val="24"/>
          <w:szCs w:val="24"/>
          <w:u w:val="single"/>
        </w:rPr>
        <w:t>es decir, aumento de la activid</w:t>
      </w:r>
      <w:r>
        <w:rPr>
          <w:rFonts w:ascii="Times New Roman" w:hAnsi="Times New Roman"/>
          <w:sz w:val="24"/>
          <w:szCs w:val="24"/>
          <w:u w:val="single"/>
        </w:rPr>
        <w:t>ad económica y de la inflación-</w:t>
      </w:r>
      <w:r w:rsidRPr="00476889">
        <w:rPr>
          <w:rFonts w:ascii="Times New Roman" w:hAnsi="Times New Roman"/>
          <w:sz w:val="24"/>
          <w:szCs w:val="24"/>
          <w:u w:val="single"/>
        </w:rPr>
        <w:t xml:space="preserve"> no se han materializado. Como resultado, a pesar de que la inflación general está siendo arrastrada a la baja por los bajos precios de las materias primas, ha surgido un casi consenso sobre la necesidad de una flexibilización adicional.</w:t>
      </w:r>
    </w:p>
    <w:p w:rsidR="000711BB" w:rsidRPr="00B6039E" w:rsidRDefault="000711BB" w:rsidP="000711BB">
      <w:pPr>
        <w:spacing w:line="240" w:lineRule="auto"/>
        <w:jc w:val="both"/>
        <w:rPr>
          <w:rFonts w:ascii="Times New Roman" w:hAnsi="Times New Roman"/>
          <w:sz w:val="24"/>
          <w:szCs w:val="24"/>
        </w:rPr>
      </w:pPr>
      <w:r w:rsidRPr="00476889">
        <w:rPr>
          <w:rFonts w:ascii="Times New Roman" w:hAnsi="Times New Roman"/>
          <w:sz w:val="24"/>
          <w:szCs w:val="24"/>
          <w:u w:val="single"/>
        </w:rPr>
        <w:t>La política monetaria no es la única opción para una mayor flexibilización, pero es la más probable</w:t>
      </w:r>
      <w:r w:rsidRPr="00B6039E">
        <w:rPr>
          <w:rFonts w:ascii="Times New Roman" w:hAnsi="Times New Roman"/>
          <w:sz w:val="24"/>
          <w:szCs w:val="24"/>
        </w:rPr>
        <w:t>. Las reformas estructurales para sostener el crecimiento suelen tener largos períodos de gestación, y los trastornos económicos que las acompañan reducen su atractivo político. Una mayor expansión fiscal está por lo menos parcialmente limitada debido a los niveles récord de deuda pública que se alcanzaron, mismo que requerirán de muchos años para ser bajados.</w:t>
      </w:r>
    </w:p>
    <w:p w:rsidR="000711BB" w:rsidRPr="00B6039E" w:rsidRDefault="000711BB" w:rsidP="000711BB">
      <w:pPr>
        <w:spacing w:line="240" w:lineRule="auto"/>
        <w:jc w:val="both"/>
        <w:rPr>
          <w:rFonts w:ascii="Times New Roman" w:hAnsi="Times New Roman"/>
          <w:sz w:val="24"/>
          <w:szCs w:val="24"/>
        </w:rPr>
      </w:pPr>
      <w:r w:rsidRPr="00476889">
        <w:rPr>
          <w:rFonts w:ascii="Times New Roman" w:hAnsi="Times New Roman"/>
          <w:sz w:val="24"/>
          <w:szCs w:val="24"/>
          <w:u w:val="single"/>
        </w:rPr>
        <w:t>Cuando se trata de la política monetaria, sin embargo, las opciones son igualmente limitadas</w:t>
      </w:r>
      <w:r w:rsidRPr="00B6039E">
        <w:rPr>
          <w:rFonts w:ascii="Times New Roman" w:hAnsi="Times New Roman"/>
          <w:sz w:val="24"/>
          <w:szCs w:val="24"/>
        </w:rPr>
        <w:t>. Incluso las autoridades formuladoras de políticas monetarias reconocen que la QE está sujeta a rendimientos decrecientes, mientras que los efectos adversos que tienen estas políticas sobre el sistema bancario limitan las posibilidades de establecer tasas referenciales que se adentren con mayor profundidad en territorio negativo.</w:t>
      </w:r>
    </w:p>
    <w:p w:rsidR="000711BB" w:rsidRPr="00476889" w:rsidRDefault="000711BB" w:rsidP="000711BB">
      <w:pPr>
        <w:spacing w:line="240" w:lineRule="auto"/>
        <w:jc w:val="both"/>
        <w:rPr>
          <w:rFonts w:ascii="Times New Roman" w:hAnsi="Times New Roman"/>
          <w:color w:val="FF0000"/>
          <w:sz w:val="24"/>
          <w:szCs w:val="24"/>
          <w:u w:val="single"/>
        </w:rPr>
      </w:pPr>
      <w:r w:rsidRPr="00476889">
        <w:rPr>
          <w:rFonts w:ascii="Times New Roman" w:hAnsi="Times New Roman"/>
          <w:color w:val="FF0000"/>
          <w:sz w:val="24"/>
          <w:szCs w:val="24"/>
          <w:u w:val="single"/>
        </w:rPr>
        <w:t>Como resultado, un concepto antiguo, propuesto por primera vez por Milton Friedman en el año 1969, está haciendo su reaparición: “el dinero helicóptero”. Los partidarios de este concepto anticipan que los bancos centrales creen y distribuyan dinero directamente a aquellos que estaban dispuestos a gastarlo, lo que resulta en un incremento inmediato de la demanda e inflación.</w:t>
      </w:r>
    </w:p>
    <w:p w:rsidR="000711BB" w:rsidRPr="00476889" w:rsidRDefault="000711BB" w:rsidP="000711BB">
      <w:pPr>
        <w:spacing w:line="240" w:lineRule="auto"/>
        <w:jc w:val="both"/>
        <w:rPr>
          <w:rFonts w:ascii="Times New Roman" w:hAnsi="Times New Roman"/>
          <w:color w:val="FF0000"/>
          <w:sz w:val="24"/>
          <w:szCs w:val="24"/>
          <w:u w:val="single"/>
        </w:rPr>
      </w:pPr>
      <w:r w:rsidRPr="00476889">
        <w:rPr>
          <w:rFonts w:ascii="Times New Roman" w:hAnsi="Times New Roman"/>
          <w:color w:val="FF0000"/>
          <w:sz w:val="24"/>
          <w:szCs w:val="24"/>
          <w:u w:val="single"/>
        </w:rPr>
        <w:t>Considerando que los hogares pueden optar por guardar una parte del dinero, las sugerencias contemporáneas se centran en transferir el dinero helicóptero a los gobiernos, para invertir en proyectos de infraestructura o en otras iniciativas de mejora de la demanda. Variaciones de esta idea hacen un llamamiento a que los bancos centrales compren bonos perpetuos del gobierno que no paguen ningún interés o a que conviertan bonos existentes en su tenencia en un algún instrumento similar.</w:t>
      </w:r>
    </w:p>
    <w:p w:rsidR="000711BB" w:rsidRPr="00476889" w:rsidRDefault="000711BB" w:rsidP="000711BB">
      <w:pPr>
        <w:spacing w:line="240" w:lineRule="auto"/>
        <w:jc w:val="both"/>
        <w:rPr>
          <w:rFonts w:ascii="Times New Roman" w:hAnsi="Times New Roman"/>
          <w:sz w:val="24"/>
          <w:szCs w:val="24"/>
          <w:u w:val="single"/>
        </w:rPr>
      </w:pPr>
      <w:r w:rsidRPr="00476889">
        <w:rPr>
          <w:rFonts w:ascii="Times New Roman" w:hAnsi="Times New Roman"/>
          <w:sz w:val="24"/>
          <w:szCs w:val="24"/>
          <w:u w:val="single"/>
        </w:rPr>
        <w:t>Tales propuestas son preocupantes por muchas razones. La financiación directa por parte de los bancos centrales de los déficits fiscales o las compras de deuda pública darían lugar a la monetización de la política fiscal. La monetización debilita sin ambigüedades los balances de resultados de los bancos centrales mediante la adición de activos que no llevan consigo ningún valor real (activos a cobrarse del gobierno, que nunca serán reembolsados), compensados por pasivos (dinero recién creado) generado para adquirirlos.</w:t>
      </w:r>
    </w:p>
    <w:p w:rsidR="000711BB" w:rsidRPr="00476889" w:rsidRDefault="000711BB" w:rsidP="000711BB">
      <w:pPr>
        <w:spacing w:line="240" w:lineRule="auto"/>
        <w:jc w:val="both"/>
        <w:rPr>
          <w:rFonts w:ascii="Times New Roman" w:hAnsi="Times New Roman"/>
          <w:color w:val="FF0000"/>
          <w:sz w:val="24"/>
          <w:szCs w:val="24"/>
          <w:u w:val="single"/>
        </w:rPr>
      </w:pPr>
      <w:r w:rsidRPr="00476889">
        <w:rPr>
          <w:rFonts w:ascii="Times New Roman" w:hAnsi="Times New Roman"/>
          <w:color w:val="FF0000"/>
          <w:sz w:val="24"/>
          <w:szCs w:val="24"/>
          <w:u w:val="single"/>
        </w:rPr>
        <w:t>Los promotores del dinero helicóptero se basan en dos afirmaciones. Algunos creen que se puede calibrar la política para que se detenga antes de infligir un daño significativo, por lo general, porque la consiguiente mejora de las condiciones económicas hará que se elimine la necesidad de mantener el estímulo. Para otros, los balances de resultados de los bancos centrales no son una limitación, ya que su capacidad exclusiva para crear pasivos adicionales, ilimitados y sin costo garantiza la rentabilidad a largo plazo.</w:t>
      </w:r>
    </w:p>
    <w:p w:rsidR="000711BB" w:rsidRPr="00B6039E" w:rsidRDefault="000711BB" w:rsidP="000711BB">
      <w:pPr>
        <w:spacing w:line="240" w:lineRule="auto"/>
        <w:jc w:val="both"/>
        <w:rPr>
          <w:rFonts w:ascii="Times New Roman" w:hAnsi="Times New Roman"/>
          <w:sz w:val="24"/>
          <w:szCs w:val="24"/>
        </w:rPr>
      </w:pPr>
      <w:r w:rsidRPr="00476889">
        <w:rPr>
          <w:rFonts w:ascii="Times New Roman" w:hAnsi="Times New Roman"/>
          <w:color w:val="FF0000"/>
          <w:sz w:val="24"/>
          <w:szCs w:val="24"/>
          <w:u w:val="single"/>
        </w:rPr>
        <w:t>Hay problemas con ambas afirmaciones</w:t>
      </w:r>
      <w:r w:rsidRPr="00B6039E">
        <w:rPr>
          <w:rFonts w:ascii="Times New Roman" w:hAnsi="Times New Roman"/>
          <w:sz w:val="24"/>
          <w:szCs w:val="24"/>
        </w:rPr>
        <w:t>. Para fundamentarse en un abordaje calibrado se tiene que depositar la confianza en que el estímulo sea retirado antes de que aparezca cualquier evidencia de preocupación por las finanzas del banco central. Sin embargo, no hay certeza de que un gasto fiscal monetizado desencadenará una recuperación económica.</w:t>
      </w:r>
    </w:p>
    <w:p w:rsidR="000711BB" w:rsidRPr="00476889" w:rsidRDefault="000711BB" w:rsidP="000711BB">
      <w:pPr>
        <w:spacing w:line="240" w:lineRule="auto"/>
        <w:jc w:val="both"/>
        <w:rPr>
          <w:rFonts w:ascii="Times New Roman" w:hAnsi="Times New Roman"/>
          <w:sz w:val="24"/>
          <w:szCs w:val="24"/>
          <w:u w:val="single"/>
        </w:rPr>
      </w:pPr>
      <w:r w:rsidRPr="00476889">
        <w:rPr>
          <w:rFonts w:ascii="Times New Roman" w:hAnsi="Times New Roman"/>
          <w:color w:val="FF0000"/>
          <w:sz w:val="24"/>
          <w:szCs w:val="24"/>
          <w:u w:val="single"/>
        </w:rPr>
        <w:lastRenderedPageBreak/>
        <w:t>De manera similar, tampoco se puede saber de antemano si la política fiscal expansiva pueda ser restringida en caso de que las perspectivas económicas no mejoren</w:t>
      </w:r>
      <w:r w:rsidRPr="00B6039E">
        <w:rPr>
          <w:rFonts w:ascii="Times New Roman" w:hAnsi="Times New Roman"/>
          <w:sz w:val="24"/>
          <w:szCs w:val="24"/>
        </w:rPr>
        <w:t xml:space="preserve">. De hecho, en ausencia de un comentario público o del mercado negativo sobre las finanzas de los bancos centrales, </w:t>
      </w:r>
      <w:r w:rsidRPr="00476889">
        <w:rPr>
          <w:rFonts w:ascii="Times New Roman" w:hAnsi="Times New Roman"/>
          <w:sz w:val="24"/>
          <w:szCs w:val="24"/>
          <w:u w:val="single"/>
        </w:rPr>
        <w:t>las autoridades fiscales pueden verse tentadas a ampliar la financiación libre de costo en lo que aparenta ser, desde su perspectiva, algo muy similar al proverbial “almuerzo gratis”.</w:t>
      </w:r>
    </w:p>
    <w:p w:rsidR="000711BB" w:rsidRPr="00476889" w:rsidRDefault="000711BB" w:rsidP="000711BB">
      <w:pPr>
        <w:spacing w:line="240" w:lineRule="auto"/>
        <w:jc w:val="both"/>
        <w:rPr>
          <w:rFonts w:ascii="Times New Roman" w:hAnsi="Times New Roman"/>
          <w:sz w:val="24"/>
          <w:szCs w:val="24"/>
          <w:u w:val="single"/>
        </w:rPr>
      </w:pPr>
      <w:r w:rsidRPr="00476889">
        <w:rPr>
          <w:rFonts w:ascii="Times New Roman" w:hAnsi="Times New Roman"/>
          <w:sz w:val="24"/>
          <w:szCs w:val="24"/>
          <w:u w:val="single"/>
        </w:rPr>
        <w:t>También hay serias razones para dudar de la afirmación</w:t>
      </w:r>
      <w:r w:rsidR="00A25B2F">
        <w:rPr>
          <w:rFonts w:ascii="Times New Roman" w:hAnsi="Times New Roman"/>
          <w:sz w:val="24"/>
          <w:szCs w:val="24"/>
          <w:u w:val="single"/>
        </w:rPr>
        <w:t xml:space="preserve"> de que el señoreaje -</w:t>
      </w:r>
      <w:r w:rsidRPr="00476889">
        <w:rPr>
          <w:rFonts w:ascii="Times New Roman" w:hAnsi="Times New Roman"/>
          <w:sz w:val="24"/>
          <w:szCs w:val="24"/>
          <w:u w:val="single"/>
        </w:rPr>
        <w:t>la ganancia que los bancos centrales perciben sobre los pasivos con costo cero (y, por lo menos sobre algunos ac</w:t>
      </w:r>
      <w:r w:rsidR="007859BA">
        <w:rPr>
          <w:rFonts w:ascii="Times New Roman" w:hAnsi="Times New Roman"/>
          <w:sz w:val="24"/>
          <w:szCs w:val="24"/>
          <w:u w:val="single"/>
        </w:rPr>
        <w:t>tivos generadores de ingresos)</w:t>
      </w:r>
      <w:r>
        <w:rPr>
          <w:rFonts w:ascii="Times New Roman" w:hAnsi="Times New Roman"/>
          <w:sz w:val="24"/>
          <w:szCs w:val="24"/>
          <w:u w:val="single"/>
        </w:rPr>
        <w:t>-</w:t>
      </w:r>
      <w:r w:rsidRPr="00476889">
        <w:rPr>
          <w:rFonts w:ascii="Times New Roman" w:hAnsi="Times New Roman"/>
          <w:sz w:val="24"/>
          <w:szCs w:val="24"/>
          <w:u w:val="single"/>
        </w:rPr>
        <w:t xml:space="preserve"> vaya a garantizar la rentabilidad en el largo plazo</w:t>
      </w:r>
      <w:r w:rsidRPr="00B6039E">
        <w:rPr>
          <w:rFonts w:ascii="Times New Roman" w:hAnsi="Times New Roman"/>
          <w:sz w:val="24"/>
          <w:szCs w:val="24"/>
        </w:rPr>
        <w:t xml:space="preserve">. Nunca en la era posterior al patrón oro se ha centrado la atención con mayor énfasis en los límites de la política monetaria. Este enfoque podría fácilmente afectar la salud de los balances de resultados de los bancos centrales, si ellos continúan expandiéndose. </w:t>
      </w:r>
      <w:r w:rsidRPr="00476889">
        <w:rPr>
          <w:rFonts w:ascii="Times New Roman" w:hAnsi="Times New Roman"/>
          <w:sz w:val="24"/>
          <w:szCs w:val="24"/>
          <w:u w:val="single"/>
        </w:rPr>
        <w:t>El concepto de señoreaje es deficientemente entendido fuera de una comunidad relativamente pequeña; este abordaje no debería utilizarse como una primera línea de defensa.</w:t>
      </w:r>
    </w:p>
    <w:p w:rsidR="000711BB" w:rsidRPr="00476889" w:rsidRDefault="000711BB" w:rsidP="000711BB">
      <w:pPr>
        <w:spacing w:line="240" w:lineRule="auto"/>
        <w:jc w:val="both"/>
        <w:rPr>
          <w:rFonts w:ascii="Times New Roman" w:hAnsi="Times New Roman"/>
          <w:color w:val="FF0000"/>
          <w:sz w:val="24"/>
          <w:szCs w:val="24"/>
          <w:u w:val="single"/>
        </w:rPr>
      </w:pPr>
      <w:r w:rsidRPr="00476889">
        <w:rPr>
          <w:rFonts w:ascii="Times New Roman" w:hAnsi="Times New Roman"/>
          <w:color w:val="FF0000"/>
          <w:sz w:val="24"/>
          <w:szCs w:val="24"/>
          <w:u w:val="single"/>
        </w:rPr>
        <w:t>Nada de esto se presenta como novedad para los bancos centrales, que otorgan la mayor y más alta importancia a su reputación con respecto a tener finanzas sólidas, gestionar cuidadosamente los riesgos y garantizar la solidez del dinero. De hecho, la prudencia financiera que sustenta la credibilidad de la política y la confianza en los bancos centrales es, en última instancia, la que hace posible el señoreaje. Sólo las instituciones que son percibidas como económicamente viables pueden esperar que sus pasivos sean mantenidos por otros como activos; los bancos centrales no son una excepción.</w:t>
      </w:r>
    </w:p>
    <w:p w:rsidR="000711BB" w:rsidRPr="00476889" w:rsidRDefault="000711BB" w:rsidP="000711BB">
      <w:pPr>
        <w:spacing w:line="240" w:lineRule="auto"/>
        <w:jc w:val="both"/>
        <w:rPr>
          <w:rFonts w:ascii="Times New Roman" w:hAnsi="Times New Roman"/>
          <w:color w:val="FF0000"/>
          <w:sz w:val="24"/>
          <w:szCs w:val="24"/>
          <w:u w:val="single"/>
        </w:rPr>
      </w:pPr>
      <w:r w:rsidRPr="00476889">
        <w:rPr>
          <w:rFonts w:ascii="Times New Roman" w:hAnsi="Times New Roman"/>
          <w:color w:val="FF0000"/>
          <w:sz w:val="24"/>
          <w:szCs w:val="24"/>
          <w:u w:val="single"/>
        </w:rPr>
        <w:t>Lo que está en juego es el valor del dinero. El dinero helicóptero transferiría el riesgo desde los balances de resultados gubernamentales a los balances de los bancos centrales, nublando los límites entre políticas, instituciones y su autonomía relativa. Su atractivo reside en que dicho dinero helicóptero tiene la capacidad de utilizar estructuras financieras que son exclusivas de los bancos centrales. Sin embargo, existen límites que cuando se los cruza se socava la confianza en la integridad financiera de los bancos centrales – y, consecuentemente, en la solidez del dinero.</w:t>
      </w:r>
    </w:p>
    <w:p w:rsidR="000711BB" w:rsidRDefault="000711BB" w:rsidP="000711BB">
      <w:pPr>
        <w:spacing w:line="240" w:lineRule="auto"/>
        <w:jc w:val="both"/>
        <w:rPr>
          <w:rFonts w:ascii="Times New Roman" w:hAnsi="Times New Roman"/>
          <w:sz w:val="24"/>
          <w:szCs w:val="24"/>
        </w:rPr>
      </w:pPr>
      <w:r w:rsidRPr="00B6039E">
        <w:rPr>
          <w:rFonts w:ascii="Times New Roman" w:hAnsi="Times New Roman"/>
          <w:sz w:val="24"/>
          <w:szCs w:val="24"/>
        </w:rPr>
        <w:t>Por supuesto que es imposible identificar dichos límites con antelación. Sin embargo, en un momento de mayor sensibilidad en cuanto a la aplicación y la eficacia de la política monetaria, sería un error embarcarse en un camino que ponga en peligro la propia viabilidad de los bancos centrales.</w:t>
      </w:r>
    </w:p>
    <w:p w:rsidR="000711BB" w:rsidRPr="001E644C" w:rsidRDefault="000711BB" w:rsidP="000711BB">
      <w:pPr>
        <w:spacing w:line="240" w:lineRule="auto"/>
        <w:jc w:val="both"/>
        <w:rPr>
          <w:rFonts w:ascii="Times New Roman" w:hAnsi="Times New Roman"/>
          <w:sz w:val="24"/>
          <w:szCs w:val="24"/>
          <w:lang w:val="en-US"/>
        </w:rPr>
      </w:pPr>
      <w:r w:rsidRPr="001E644C">
        <w:rPr>
          <w:rFonts w:ascii="Times New Roman" w:hAnsi="Times New Roman"/>
          <w:sz w:val="24"/>
          <w:szCs w:val="24"/>
          <w:lang w:val="en-US"/>
        </w:rPr>
        <w:t>(James McCormack is Managing Director and Global Head of the Sovereign and Supranational Group at Fitch Ratings)</w:t>
      </w:r>
    </w:p>
    <w:p w:rsidR="000711BB" w:rsidRDefault="000711BB" w:rsidP="000711BB">
      <w:pPr>
        <w:pStyle w:val="NormalWeb"/>
        <w:spacing w:after="0"/>
        <w:jc w:val="both"/>
        <w:textAlignment w:val="baseline"/>
      </w:pPr>
      <w:r>
        <w:t xml:space="preserve">- </w:t>
      </w:r>
      <w:r w:rsidRPr="00B77C4F">
        <w:rPr>
          <w:u w:val="single"/>
        </w:rPr>
        <w:t>Un nuevo mandato riesgoso para la Fed</w:t>
      </w:r>
      <w:r>
        <w:t xml:space="preserve"> (Project Syndicate - </w:t>
      </w:r>
      <w:r w:rsidRPr="00B77C4F">
        <w:rPr>
          <w:b/>
        </w:rPr>
        <w:t>4/5/16</w:t>
      </w:r>
      <w:r>
        <w:t>)</w:t>
      </w:r>
    </w:p>
    <w:p w:rsidR="000711BB" w:rsidRPr="001771E6" w:rsidRDefault="000711BB" w:rsidP="000711BB">
      <w:pPr>
        <w:pStyle w:val="NormalWeb"/>
        <w:spacing w:after="0"/>
        <w:jc w:val="both"/>
        <w:textAlignment w:val="baseline"/>
        <w:rPr>
          <w:u w:val="single"/>
        </w:rPr>
      </w:pPr>
      <w:r>
        <w:t xml:space="preserve">Londres.- </w:t>
      </w:r>
      <w:r>
        <w:rPr>
          <w:color w:val="FF0000"/>
          <w:u w:val="single"/>
        </w:rPr>
        <w:t>“</w:t>
      </w:r>
      <w:r w:rsidRPr="001771E6">
        <w:rPr>
          <w:color w:val="FF0000"/>
          <w:u w:val="single"/>
        </w:rPr>
        <w:t>En este m</w:t>
      </w:r>
      <w:r>
        <w:rPr>
          <w:color w:val="FF0000"/>
          <w:u w:val="single"/>
        </w:rPr>
        <w:t>undo solo existen dos tragedias”</w:t>
      </w:r>
      <w:r w:rsidRPr="001771E6">
        <w:rPr>
          <w:color w:val="FF0000"/>
          <w:u w:val="single"/>
        </w:rPr>
        <w:t>, es</w:t>
      </w:r>
      <w:r>
        <w:rPr>
          <w:color w:val="FF0000"/>
          <w:u w:val="single"/>
        </w:rPr>
        <w:t>cribió alguna vez Oscar Wilde. “</w:t>
      </w:r>
      <w:r w:rsidRPr="001771E6">
        <w:rPr>
          <w:color w:val="FF0000"/>
          <w:u w:val="single"/>
        </w:rPr>
        <w:t>Una es no obtener lo que u</w:t>
      </w:r>
      <w:r>
        <w:rPr>
          <w:color w:val="FF0000"/>
          <w:u w:val="single"/>
        </w:rPr>
        <w:t>no quiere; la otra... obtenerlo”</w:t>
      </w:r>
      <w:r w:rsidRPr="001771E6">
        <w:rPr>
          <w:color w:val="FF0000"/>
          <w:u w:val="single"/>
        </w:rPr>
        <w:t>.</w:t>
      </w:r>
      <w:r w:rsidRPr="001771E6">
        <w:rPr>
          <w:color w:val="FF0000"/>
        </w:rPr>
        <w:t xml:space="preserve"> </w:t>
      </w:r>
      <w:r w:rsidRPr="001771E6">
        <w:rPr>
          <w:u w:val="single"/>
        </w:rPr>
        <w:t>A medida que la Reserva Federal</w:t>
      </w:r>
      <w:r>
        <w:rPr>
          <w:u w:val="single"/>
        </w:rPr>
        <w:t xml:space="preserve"> de EEUU</w:t>
      </w:r>
      <w:r w:rsidRPr="001771E6">
        <w:rPr>
          <w:u w:val="single"/>
        </w:rPr>
        <w:t xml:space="preserve"> se acerca lentamente a sus metas para la economía interna, enfrenta una creciente presión para normalizar la política monetaria. Pero la economía interna ya no es el único factor a tener en cuenta para establecer las políticas. Por el contrario, la autoridad monetaria estadounidense prácticamente ha reconocido un nuevo mandato: promover la estabilidad financiera mundial.</w:t>
      </w:r>
    </w:p>
    <w:p w:rsidR="000711BB" w:rsidRDefault="000711BB" w:rsidP="000711BB">
      <w:pPr>
        <w:pStyle w:val="NormalWeb"/>
        <w:spacing w:after="0"/>
        <w:jc w:val="both"/>
        <w:textAlignment w:val="baseline"/>
      </w:pPr>
      <w:r>
        <w:lastRenderedPageBreak/>
        <w:t>El Congreso estadounidense creó la Fed en 1913 como una agencia independiente alejada de la política partidaria, cuyo cometido es garantizar la estabilidad de los precios internos y maximizar el empleo nacional. Su papel se expandió con el tiempo y la Fed, junto con muchas de sus contrapartes en los países desarrollados, se ha involucrado en políticas monetarias cada vez menos convencionales -expansión cuantitativa, expansión del crédito, orientación prospectiva, etc.- desde la crisis financiera mundial de 2008.</w:t>
      </w:r>
    </w:p>
    <w:p w:rsidR="000711BB" w:rsidRPr="001771E6" w:rsidRDefault="000711BB" w:rsidP="000711BB">
      <w:pPr>
        <w:pStyle w:val="NormalWeb"/>
        <w:spacing w:after="0"/>
        <w:jc w:val="both"/>
        <w:textAlignment w:val="baseline"/>
        <w:rPr>
          <w:color w:val="FF0000"/>
          <w:u w:val="single"/>
        </w:rPr>
      </w:pPr>
      <w:r w:rsidRPr="001771E6">
        <w:rPr>
          <w:color w:val="FF0000"/>
          <w:u w:val="single"/>
        </w:rPr>
        <w:t>Actualmente, lo no convencional se ha convertido en convencional. Una generación de actores en los mercados mundiales solo conoce un mundo de bajas (o incluso negativas) tasas de interés y precios de activos artificialmente inflados.</w:t>
      </w:r>
    </w:p>
    <w:p w:rsidR="000711BB" w:rsidRPr="00F06FEC" w:rsidRDefault="000711BB" w:rsidP="000711BB">
      <w:pPr>
        <w:pStyle w:val="NormalWeb"/>
        <w:spacing w:after="0"/>
        <w:jc w:val="both"/>
        <w:textAlignment w:val="baseline"/>
        <w:rPr>
          <w:u w:val="single"/>
        </w:rPr>
      </w:pPr>
      <w:r>
        <w:t xml:space="preserve">Pero el doble mandato de la Fed continúa vigente. Y aunque su reciente retórica ha sido acomodaticia, </w:t>
      </w:r>
      <w:r w:rsidRPr="00F06FEC">
        <w:rPr>
          <w:u w:val="single"/>
        </w:rPr>
        <w:t>las variables fundamentales</w:t>
      </w:r>
      <w:r>
        <w:rPr>
          <w:u w:val="single"/>
        </w:rPr>
        <w:t xml:space="preserve"> de la economía estadounidense -</w:t>
      </w:r>
      <w:r w:rsidRPr="00F06FEC">
        <w:rPr>
          <w:u w:val="single"/>
        </w:rPr>
        <w:t>en especial las que supuestamente revisten mayor import</w:t>
      </w:r>
      <w:r>
        <w:rPr>
          <w:u w:val="single"/>
        </w:rPr>
        <w:t>ancia para la Fe</w:t>
      </w:r>
      <w:r w:rsidR="007859BA">
        <w:rPr>
          <w:u w:val="single"/>
        </w:rPr>
        <w:t>d</w:t>
      </w:r>
      <w:r>
        <w:rPr>
          <w:u w:val="single"/>
        </w:rPr>
        <w:t>-</w:t>
      </w:r>
      <w:r w:rsidRPr="00F06FEC">
        <w:rPr>
          <w:u w:val="single"/>
        </w:rPr>
        <w:t xml:space="preserve"> indican una clara justificación para aumentos adicionales de las tasas.</w:t>
      </w:r>
    </w:p>
    <w:p w:rsidR="000711BB" w:rsidRDefault="000711BB" w:rsidP="000711BB">
      <w:pPr>
        <w:pStyle w:val="NormalWeb"/>
        <w:spacing w:after="0"/>
        <w:jc w:val="both"/>
        <w:textAlignment w:val="baseline"/>
      </w:pPr>
      <w:r>
        <w:t xml:space="preserve">Consideremos, en primer lugar, el mandato de la Fed relacionado con el empleo. </w:t>
      </w:r>
      <w:r w:rsidRPr="00F06FEC">
        <w:rPr>
          <w:u w:val="single"/>
        </w:rPr>
        <w:t>La tasa de desempleo cayó hasta apenas el 5 %, el crecimiento del empleo es sólido y continuo,</w:t>
      </w:r>
      <w:r>
        <w:t xml:space="preserve"> y las solicitudes de beneficios por desempleo han seguido una trayectoria claramente descendente durante varios años.</w:t>
      </w:r>
    </w:p>
    <w:p w:rsidR="000711BB" w:rsidRDefault="000711BB" w:rsidP="000711BB">
      <w:pPr>
        <w:pStyle w:val="NormalWeb"/>
        <w:spacing w:after="0"/>
        <w:jc w:val="both"/>
        <w:textAlignment w:val="baseline"/>
      </w:pPr>
      <w:r>
        <w:t xml:space="preserve">En cuanto al mandato de estabilidad de precios, </w:t>
      </w:r>
      <w:r w:rsidRPr="00F06FEC">
        <w:rPr>
          <w:u w:val="single"/>
        </w:rPr>
        <w:t>el colapso de los precios del petróleo naturalmente afectó a la inflación general durante el año pasado, pero la tendencia para la inflación básica (que excluye al componente energético) sugiere que la Fed ha quedado retrasada</w:t>
      </w:r>
      <w:r>
        <w:t>. El IPC básico alcanzó un máximo poscrisis: llegó al 2,3 % interanual en febrero, y al 2,2 % en marzo.</w:t>
      </w:r>
    </w:p>
    <w:p w:rsidR="000711BB" w:rsidRDefault="000711BB" w:rsidP="000711BB">
      <w:pPr>
        <w:pStyle w:val="NormalWeb"/>
        <w:spacing w:after="0"/>
        <w:jc w:val="both"/>
        <w:textAlignment w:val="baseline"/>
      </w:pPr>
      <w:r>
        <w:t xml:space="preserve">Además, las presiones inflacionarias probablemente aumentarán a medida que avance el año. </w:t>
      </w:r>
      <w:r w:rsidRPr="00F06FEC">
        <w:rPr>
          <w:u w:val="single"/>
        </w:rPr>
        <w:t>Ahora que la relación entre deuda y activos de los hogares se acerca a niveles que no se veían desde la década de 1990, los consumidores cuentan con una gran capacidad para ampliar su endeudamiento</w:t>
      </w:r>
      <w:r>
        <w:t>. Al mismo tiempo, el arrastre de costos sobre la inflación disminuirá a medida que se estabilicen los precios del petróleo, y la reciente debilidad del dólar implica una presión inflacionaria adicional.</w:t>
      </w:r>
    </w:p>
    <w:p w:rsidR="000711BB" w:rsidRPr="00F06FEC" w:rsidRDefault="000711BB" w:rsidP="000711BB">
      <w:pPr>
        <w:pStyle w:val="NormalWeb"/>
        <w:spacing w:after="0"/>
        <w:jc w:val="both"/>
        <w:textAlignment w:val="baseline"/>
        <w:rPr>
          <w:color w:val="FF0000"/>
          <w:u w:val="single"/>
        </w:rPr>
      </w:pPr>
      <w:r w:rsidRPr="00F06FEC">
        <w:rPr>
          <w:color w:val="FF0000"/>
          <w:u w:val="single"/>
        </w:rPr>
        <w:t>Pero este avance interno deja a la Fed en una posición difícil: se encuentra verdaderamente atrapada entre una economía interna que cada vez justifica más la normalización de la política monetaria y el interés de l</w:t>
      </w:r>
      <w:r>
        <w:rPr>
          <w:color w:val="FF0000"/>
          <w:u w:val="single"/>
        </w:rPr>
        <w:t>os frágiles mercados mundiales -</w:t>
      </w:r>
      <w:r w:rsidRPr="00F06FEC">
        <w:rPr>
          <w:color w:val="FF0000"/>
          <w:u w:val="single"/>
        </w:rPr>
        <w:t>en los cuales aproximadamente el 60 % de las transaccion</w:t>
      </w:r>
      <w:r>
        <w:rPr>
          <w:color w:val="FF0000"/>
          <w:u w:val="single"/>
        </w:rPr>
        <w:t>es están denominadas en dólares-</w:t>
      </w:r>
      <w:r w:rsidRPr="00F06FEC">
        <w:rPr>
          <w:color w:val="FF0000"/>
          <w:u w:val="single"/>
        </w:rPr>
        <w:t xml:space="preserve"> por una respuesta más acomodaticia.</w:t>
      </w:r>
    </w:p>
    <w:p w:rsidR="000711BB" w:rsidRPr="00F06FEC" w:rsidRDefault="000711BB" w:rsidP="000711BB">
      <w:pPr>
        <w:pStyle w:val="NormalWeb"/>
        <w:spacing w:after="0"/>
        <w:jc w:val="both"/>
        <w:textAlignment w:val="baseline"/>
        <w:rPr>
          <w:color w:val="FF0000"/>
          <w:u w:val="single"/>
        </w:rPr>
      </w:pPr>
      <w:r w:rsidRPr="00F06FEC">
        <w:rPr>
          <w:color w:val="FF0000"/>
          <w:u w:val="single"/>
        </w:rPr>
        <w:t xml:space="preserve">Los mensajes de los mercados financieros influyen cada vez más sobre las decisiones de la Fed. Cualquier insinuación de que la Fed aumentará las tasas antes o más rápidamente de lo previsto suscita temores de condiciones financieras más restrictivas y violentos movimientos de huida del riesgo. Después de un mercado en alza durante varios años para las acciones y los valores de renta fija, estimulado por las propias políticas monetarias que la Fed está tratando de dejar atrás, no hay niveles de soporte en las valuaciones para limitar la reacción. En ausencia de un crecimiento mundial </w:t>
      </w:r>
      <w:r>
        <w:rPr>
          <w:color w:val="FF0000"/>
          <w:u w:val="single"/>
        </w:rPr>
        <w:t>genuinamente robusto -improbable en el corto plazo-</w:t>
      </w:r>
      <w:r w:rsidRPr="00F06FEC">
        <w:rPr>
          <w:color w:val="FF0000"/>
          <w:u w:val="single"/>
        </w:rPr>
        <w:t xml:space="preserve"> los mercados dependen de una política monetaria extremadamente flexible para apuntalar los precios.</w:t>
      </w:r>
    </w:p>
    <w:p w:rsidR="000711BB" w:rsidRPr="00F06FEC" w:rsidRDefault="000711BB" w:rsidP="000711BB">
      <w:pPr>
        <w:pStyle w:val="NormalWeb"/>
        <w:spacing w:after="0"/>
        <w:jc w:val="both"/>
        <w:textAlignment w:val="baseline"/>
        <w:rPr>
          <w:u w:val="single"/>
        </w:rPr>
      </w:pPr>
      <w:r>
        <w:lastRenderedPageBreak/>
        <w:t xml:space="preserve">La decisión de la Fed sobre las tasas en marzo y el comentario de su presidenta Janet Yellen constituyen un buen ejemplo. </w:t>
      </w:r>
      <w:r w:rsidRPr="00F06FEC">
        <w:rPr>
          <w:u w:val="single"/>
        </w:rPr>
        <w:t>Aparentemente, la Fed no podía tolerar la venta masiva en los mercados financieros mundiales durante enero y febrero, impulsada en gran medida por preocupaciones relacionadas con un mayor ajuste.</w:t>
      </w:r>
    </w:p>
    <w:p w:rsidR="000711BB" w:rsidRPr="00F06FEC" w:rsidRDefault="000711BB" w:rsidP="000711BB">
      <w:pPr>
        <w:pStyle w:val="NormalWeb"/>
        <w:spacing w:after="0"/>
        <w:jc w:val="both"/>
        <w:textAlignment w:val="baseline"/>
        <w:rPr>
          <w:u w:val="single"/>
        </w:rPr>
      </w:pPr>
      <w:r w:rsidRPr="00F06FEC">
        <w:rPr>
          <w:u w:val="single"/>
        </w:rPr>
        <w:t>Esto es extraño, porque los efectos sobre el consumo derivados de los cambios en la riqueza financiera (las acciones y los bonos) son pequeños. Lo que importa mucho más son los cambios en los precios de la vivienda, que no se han deteriorado. De manera similar, los cambios en el costo del capital, incluido el costo de los fondos propios, tienen un impacto menor sobre la inversión de las empresas.</w:t>
      </w:r>
    </w:p>
    <w:p w:rsidR="000711BB" w:rsidRPr="00F06FEC" w:rsidRDefault="000711BB" w:rsidP="000711BB">
      <w:pPr>
        <w:pStyle w:val="NormalWeb"/>
        <w:spacing w:after="0"/>
        <w:jc w:val="both"/>
        <w:textAlignment w:val="baseline"/>
        <w:rPr>
          <w:color w:val="FF0000"/>
          <w:u w:val="single"/>
        </w:rPr>
      </w:pPr>
      <w:r w:rsidRPr="00F06FEC">
        <w:rPr>
          <w:color w:val="FF0000"/>
          <w:u w:val="single"/>
        </w:rPr>
        <w:t>En otras palabras, el punto de vista de su mandato doble, la Fed no debe preocuparse excesivamente por la volatilidad de los mercados, incluso cuando es como la de enero y febrero. Pero todas las señales de Yellen y la Fed indican que los responsables de las políticas estaban muy preocupados exactamente por eso. Y la recuperación de los mercados posterior a la marcha atrás de la Fed en cuanto al ritmo de la suba de las tasas solo sirvió para fortalecer bucle de retroalimentación entre la probabilidad de que suban las tasas de interés estadunidenses y la volatilidad en los mercados globales.</w:t>
      </w:r>
    </w:p>
    <w:p w:rsidR="000711BB" w:rsidRPr="00F06FEC" w:rsidRDefault="000711BB" w:rsidP="000711BB">
      <w:pPr>
        <w:pStyle w:val="NormalWeb"/>
        <w:spacing w:after="0"/>
        <w:jc w:val="both"/>
        <w:textAlignment w:val="baseline"/>
        <w:rPr>
          <w:u w:val="single"/>
        </w:rPr>
      </w:pPr>
      <w:r w:rsidRPr="00F06FEC">
        <w:rPr>
          <w:color w:val="FF0000"/>
          <w:u w:val="single"/>
        </w:rPr>
        <w:t>El bucle se ha calcificado y convertido en un nuevo mandato para la Fed</w:t>
      </w:r>
      <w:r w:rsidRPr="00F06FEC">
        <w:rPr>
          <w:u w:val="single"/>
        </w:rPr>
        <w:t>, y otros responsables de las políticas mundiales se refieren a él en forma cada vez más manifiesta. El viceministro de finanzas de China recientemente alabó a Yellen por su comunicaci</w:t>
      </w:r>
      <w:r>
        <w:rPr>
          <w:u w:val="single"/>
        </w:rPr>
        <w:t>ón y su enfoque cauteloso, que “nos tiene en consideración”</w:t>
      </w:r>
      <w:r w:rsidRPr="00F06FEC">
        <w:rPr>
          <w:u w:val="single"/>
        </w:rPr>
        <w:t>.</w:t>
      </w:r>
    </w:p>
    <w:p w:rsidR="000711BB" w:rsidRPr="00F06FEC" w:rsidRDefault="000711BB" w:rsidP="000711BB">
      <w:pPr>
        <w:pStyle w:val="NormalWeb"/>
        <w:spacing w:after="0"/>
        <w:jc w:val="both"/>
        <w:textAlignment w:val="baseline"/>
        <w:rPr>
          <w:u w:val="single"/>
        </w:rPr>
      </w:pPr>
      <w:r w:rsidRPr="00F06FEC">
        <w:rPr>
          <w:u w:val="single"/>
        </w:rPr>
        <w:t>Las implicaciones de esto son preocupantes. Si Yellen y la Fed se sienten en deuda con los mercados financieros, el riesgo de subas más bru</w:t>
      </w:r>
      <w:r>
        <w:rPr>
          <w:u w:val="single"/>
        </w:rPr>
        <w:t>scas de las tasas en el futuro -</w:t>
      </w:r>
      <w:r w:rsidRPr="00F06FEC">
        <w:rPr>
          <w:u w:val="single"/>
        </w:rPr>
        <w:t xml:space="preserve">a medida que la Fed quede cada vez más atrasada </w:t>
      </w:r>
      <w:r>
        <w:rPr>
          <w:u w:val="single"/>
        </w:rPr>
        <w:t>frente a la curva inflacionaria-</w:t>
      </w:r>
      <w:r w:rsidRPr="00F06FEC">
        <w:rPr>
          <w:u w:val="single"/>
        </w:rPr>
        <w:t xml:space="preserve"> aumentará.</w:t>
      </w:r>
    </w:p>
    <w:p w:rsidR="000711BB" w:rsidRPr="00F06FEC" w:rsidRDefault="000711BB" w:rsidP="000711BB">
      <w:pPr>
        <w:pStyle w:val="NormalWeb"/>
        <w:spacing w:after="0"/>
        <w:jc w:val="both"/>
        <w:textAlignment w:val="baseline"/>
        <w:rPr>
          <w:u w:val="single"/>
        </w:rPr>
      </w:pPr>
      <w:r w:rsidRPr="00F06FEC">
        <w:rPr>
          <w:u w:val="single"/>
        </w:rPr>
        <w:t>Más allá de esto, existen importantes consideraciones para el largo plazo. Dada la baja base, y la obvia cautela de la Fed, las tasas de interés nominales probablemente no aumentarán demasiado hasta la próxima recesión estadounidense. Si se carece de la tradicional opción del recorte de tasas, la próxima baja podría ser más prolongada de lo habitual y obligaría a depender más de políticas monetarias no convencionales, incluso más allá de las tasas de interés nominales negativas que se están implementando en Europa y Japón.</w:t>
      </w:r>
    </w:p>
    <w:p w:rsidR="000711BB" w:rsidRDefault="000711BB" w:rsidP="000711BB">
      <w:pPr>
        <w:pStyle w:val="NormalWeb"/>
        <w:spacing w:after="0"/>
        <w:jc w:val="both"/>
        <w:textAlignment w:val="baseline"/>
      </w:pPr>
      <w:r>
        <w:t xml:space="preserve">De hecho, el predecesor de Yellen, Ben Bernanke, recientemente se refirió a esas posibilidades, especialmente a </w:t>
      </w:r>
      <w:r w:rsidRPr="00F06FEC">
        <w:rPr>
          <w:u w:val="single"/>
        </w:rPr>
        <w:t>un posible aumento permanente de la oferta monetaria (llamado dinero de helicóptero).</w:t>
      </w:r>
      <w:r>
        <w:t xml:space="preserve"> Esto podría asumir distintas formas: flexibilización cuantitativa combinada con expansión fiscal (por ejemplo, más gasto en infraestructura), transferencias directas de efectivo al gobierno o, de manera más radical, transferencias directas de efectivo a los hogares.</w:t>
      </w:r>
    </w:p>
    <w:p w:rsidR="000711BB" w:rsidRPr="00F06FEC" w:rsidRDefault="000711BB" w:rsidP="000711BB">
      <w:pPr>
        <w:pStyle w:val="NormalWeb"/>
        <w:spacing w:after="0"/>
        <w:jc w:val="both"/>
        <w:textAlignment w:val="baseline"/>
        <w:rPr>
          <w:u w:val="single"/>
        </w:rPr>
      </w:pPr>
      <w:r w:rsidRPr="00F06FEC">
        <w:rPr>
          <w:u w:val="single"/>
        </w:rPr>
        <w:t>Esas políticas extremas todavía solo son teóricas, e implementarlas probablemente daría como resultado un mayor escrutinio por parte del Congreso. De todas maneras, la presión para apoyar a los mercados financieros mundiales y a otras economías externas sugiere por qué se está debatiendo esta cuestión.</w:t>
      </w:r>
    </w:p>
    <w:p w:rsidR="000711BB" w:rsidRDefault="000711BB" w:rsidP="000711BB">
      <w:pPr>
        <w:pStyle w:val="NormalWeb"/>
        <w:spacing w:before="0" w:beforeAutospacing="0" w:after="0" w:afterAutospacing="0"/>
        <w:jc w:val="both"/>
        <w:textAlignment w:val="baseline"/>
      </w:pPr>
      <w:r w:rsidRPr="00F06FEC">
        <w:rPr>
          <w:color w:val="FF0000"/>
          <w:u w:val="single"/>
        </w:rPr>
        <w:lastRenderedPageBreak/>
        <w:t>Como la Fed ha d</w:t>
      </w:r>
      <w:r>
        <w:rPr>
          <w:color w:val="FF0000"/>
          <w:u w:val="single"/>
        </w:rPr>
        <w:t>ecidido en su reunión de abril -recién concluida-</w:t>
      </w:r>
      <w:r w:rsidRPr="00F06FEC">
        <w:rPr>
          <w:color w:val="FF0000"/>
          <w:u w:val="single"/>
        </w:rPr>
        <w:t xml:space="preserve"> mantener las tasas una vez más, su dilema no hará más que intensificarse este año: normalizar la política monetaria de acuerdo con las variables fundamentales internas, o ceder a las presiones de los mercados financieros mundiales</w:t>
      </w:r>
      <w:r>
        <w:t>. La primera opción garantizará el inicio de un futuro extremadamente volátil; la segunda consolidará aún más el nuevo mandato de la Fed, uno que da por tierra con cualquier asomo de independencia del banco central.</w:t>
      </w:r>
    </w:p>
    <w:p w:rsidR="000711BB" w:rsidRDefault="000711BB" w:rsidP="000711BB">
      <w:pPr>
        <w:pStyle w:val="NormalWeb"/>
        <w:spacing w:before="0" w:beforeAutospacing="0" w:after="0" w:afterAutospacing="0"/>
        <w:jc w:val="both"/>
        <w:textAlignment w:val="baseline"/>
      </w:pPr>
    </w:p>
    <w:p w:rsidR="000711BB" w:rsidRPr="001E644C" w:rsidRDefault="000711BB" w:rsidP="000711BB">
      <w:pPr>
        <w:pStyle w:val="NormalWeb"/>
        <w:spacing w:before="0" w:beforeAutospacing="0" w:after="0" w:afterAutospacing="0"/>
        <w:jc w:val="both"/>
        <w:textAlignment w:val="baseline"/>
        <w:rPr>
          <w:lang w:val="en-US"/>
        </w:rPr>
      </w:pPr>
      <w:r w:rsidRPr="001E644C">
        <w:rPr>
          <w:lang w:val="en-US"/>
        </w:rPr>
        <w:t>(Alexander Friedman, Group CEO of GAM Holding, was Global Chief Investment Officer of UBS Wealth Management, Chief Financial Officer of the Bill &amp; Melinda Gates Foundation, and a White House fellow during the Clinton Administration)</w:t>
      </w:r>
    </w:p>
    <w:p w:rsidR="000711BB" w:rsidRDefault="000711BB" w:rsidP="000711BB">
      <w:pPr>
        <w:pStyle w:val="NormalWeb"/>
        <w:spacing w:after="0"/>
        <w:jc w:val="both"/>
        <w:textAlignment w:val="baseline"/>
      </w:pPr>
      <w:r>
        <w:t xml:space="preserve">- </w:t>
      </w:r>
      <w:r w:rsidRPr="004200DA">
        <w:rPr>
          <w:u w:val="single"/>
        </w:rPr>
        <w:t>Basta de estupideces económicas</w:t>
      </w:r>
      <w:r>
        <w:t xml:space="preserve"> (El Economista - </w:t>
      </w:r>
      <w:r w:rsidRPr="004200DA">
        <w:rPr>
          <w:b/>
        </w:rPr>
        <w:t>7/5/16</w:t>
      </w:r>
      <w:r>
        <w:t>)</w:t>
      </w:r>
    </w:p>
    <w:p w:rsidR="000711BB" w:rsidRDefault="000711BB" w:rsidP="000711BB">
      <w:pPr>
        <w:pStyle w:val="NormalWeb"/>
        <w:spacing w:before="0" w:beforeAutospacing="0" w:after="0" w:afterAutospacing="0"/>
        <w:jc w:val="both"/>
        <w:textAlignment w:val="baseline"/>
      </w:pPr>
      <w:r>
        <w:t>(Por Jean Pisani-Ferry)</w:t>
      </w:r>
    </w:p>
    <w:p w:rsidR="000711BB" w:rsidRDefault="000711BB" w:rsidP="000711BB">
      <w:pPr>
        <w:pStyle w:val="NormalWeb"/>
        <w:spacing w:after="0"/>
        <w:jc w:val="both"/>
        <w:textAlignment w:val="baseline"/>
      </w:pPr>
      <w:r>
        <w:t>El 30 de agosto de 2013, Estados Unidos estaba por lanzar ataques aéreos contra Siria, donde más de mil civiles habían muerto por un ataque con gas sarín perpetrado por el ejército del presidente Bashar al-Assad. Pero unas pocas horas antes de que comenzaran los ataques, el presidente de EEUU, Barack Obama, los canceló, sorprendiendo a los aliados de su país. En lugar de ello, los diplomáticos estadounidenses diseñaron un acuerdo con el Presidente ruso Vladimir Putin, según el cual Rusia asumiría la responsabilidad de eliminar las armas químicas de Siria. La guerra civil siria continuó, sin que EEUU participara directamente en ella.</w:t>
      </w:r>
    </w:p>
    <w:p w:rsidR="000711BB" w:rsidRPr="00F27DDB" w:rsidRDefault="000711BB" w:rsidP="000711BB">
      <w:pPr>
        <w:pStyle w:val="NormalWeb"/>
        <w:spacing w:after="0"/>
        <w:jc w:val="both"/>
        <w:textAlignment w:val="baseline"/>
        <w:rPr>
          <w:u w:val="single"/>
        </w:rPr>
      </w:pPr>
      <w:r w:rsidRPr="00F27DDB">
        <w:rPr>
          <w:u w:val="single"/>
        </w:rPr>
        <w:t xml:space="preserve">Según su reciente entrevista con Jeffrey Goldberg en la revista The Atlantic, Obama está muy orgulloso del momento en que consideró, reflexionó y, oponiéndose a sus </w:t>
      </w:r>
      <w:r>
        <w:rPr>
          <w:u w:val="single"/>
        </w:rPr>
        <w:t>asesores, decidió no seguir el “</w:t>
      </w:r>
      <w:r w:rsidRPr="00F27DDB">
        <w:rPr>
          <w:u w:val="single"/>
        </w:rPr>
        <w:t>cuader</w:t>
      </w:r>
      <w:r>
        <w:rPr>
          <w:u w:val="single"/>
        </w:rPr>
        <w:t>no de estrategias de Washington”</w:t>
      </w:r>
      <w:r w:rsidRPr="00F27DDB">
        <w:rPr>
          <w:u w:val="single"/>
        </w:rPr>
        <w:t>. No todos aplaudieron. Según Goldberg, Hillary Clinton (por ese entonces secreta</w:t>
      </w:r>
      <w:r>
        <w:rPr>
          <w:u w:val="single"/>
        </w:rPr>
        <w:t>ria de Estado) se quejó porque “</w:t>
      </w:r>
      <w:r w:rsidRPr="00F27DDB">
        <w:rPr>
          <w:u w:val="single"/>
        </w:rPr>
        <w:t>si decimos que vamos a atacar, tenemos que ataca</w:t>
      </w:r>
      <w:r>
        <w:rPr>
          <w:u w:val="single"/>
        </w:rPr>
        <w:t>r”</w:t>
      </w:r>
      <w:r w:rsidRPr="00F27DDB">
        <w:rPr>
          <w:u w:val="single"/>
        </w:rPr>
        <w:t>. Pero Obama se neg</w:t>
      </w:r>
      <w:r>
        <w:rPr>
          <w:u w:val="single"/>
        </w:rPr>
        <w:t>ó a priorizar la credibilidad: “</w:t>
      </w:r>
      <w:r w:rsidRPr="00F27DDB">
        <w:rPr>
          <w:u w:val="single"/>
        </w:rPr>
        <w:t>Bombardear a alguien para demostrar q</w:t>
      </w:r>
      <w:r>
        <w:rPr>
          <w:u w:val="single"/>
        </w:rPr>
        <w:t>ue uno está dispuesto a hacerlo”, dijo, “</w:t>
      </w:r>
      <w:r w:rsidRPr="00F27DDB">
        <w:rPr>
          <w:u w:val="single"/>
        </w:rPr>
        <w:t xml:space="preserve">es casi el peor de </w:t>
      </w:r>
      <w:r>
        <w:rPr>
          <w:u w:val="single"/>
        </w:rPr>
        <w:t>los motivos para usar la fuerza”</w:t>
      </w:r>
      <w:r w:rsidRPr="00F27DDB">
        <w:rPr>
          <w:u w:val="single"/>
        </w:rPr>
        <w:t>. La postura de Obama estaba en línea con su hoy famoso mantra para la pol</w:t>
      </w:r>
      <w:r>
        <w:rPr>
          <w:u w:val="single"/>
        </w:rPr>
        <w:t>ítica exterior y de seguridad: “No hagas idioteces”</w:t>
      </w:r>
      <w:r w:rsidRPr="00F27DDB">
        <w:rPr>
          <w:u w:val="single"/>
        </w:rPr>
        <w:t>. Si bien esa máxima alude obviamente a la mala decisión de su predecesor de intervenir en Irak, pero más fundamentalmente expresa la forma en que Obama encara el equilibrio de riesgos que implican las grandes decisiones políticas. Evidentemente, no se preocupa tanto por la credibilidad como para que eso le ate las manos. Tomar la decisión final adecuada le resulta más importante que la coherencia con sus declaraciones anteriores. Mantener alternativas disponibles para solucionar un problema es más importante que enviar el mensaje adecuado, no hay que ofuscarse.</w:t>
      </w:r>
    </w:p>
    <w:p w:rsidR="000711BB" w:rsidRPr="00F27DDB" w:rsidRDefault="000711BB" w:rsidP="000711BB">
      <w:pPr>
        <w:pStyle w:val="NormalWeb"/>
        <w:spacing w:after="0"/>
        <w:jc w:val="both"/>
        <w:textAlignment w:val="baseline"/>
        <w:rPr>
          <w:color w:val="FF0000"/>
          <w:u w:val="single"/>
        </w:rPr>
      </w:pPr>
      <w:r w:rsidRPr="00F27DDB">
        <w:rPr>
          <w:color w:val="FF0000"/>
          <w:u w:val="single"/>
        </w:rPr>
        <w:t>Algo que las políticas de seguridad y económicas tienen en común es que obligan a los gobiernos a optar entre minimizar los daños inmediatos y salvaguardar la credibilidad. Los debates económicos también suelen oponer a quienes enfatizan la toma de decisiones sin limitaciones y a quienes consideran que la coherencia es el patrón oro de las buenas políticas.</w:t>
      </w:r>
    </w:p>
    <w:p w:rsidR="000711BB" w:rsidRPr="00F27DDB" w:rsidRDefault="000711BB" w:rsidP="000711BB">
      <w:pPr>
        <w:pStyle w:val="NormalWeb"/>
        <w:spacing w:after="0"/>
        <w:jc w:val="both"/>
        <w:textAlignment w:val="baseline"/>
        <w:rPr>
          <w:u w:val="single"/>
        </w:rPr>
      </w:pPr>
      <w:r w:rsidRPr="00F27DDB">
        <w:rPr>
          <w:u w:val="single"/>
        </w:rPr>
        <w:t xml:space="preserve">Esta dicotomía quedó expuesta en el verano de 2008, cuando la crisis financiera mundial alcanzó su punto álgido. Después de que el gobierno estadounidense decidiera rescatar al banco de inversión Bear Stearns y crear una red de protección para las </w:t>
      </w:r>
      <w:r w:rsidRPr="00F27DDB">
        <w:rPr>
          <w:u w:val="single"/>
        </w:rPr>
        <w:lastRenderedPageBreak/>
        <w:t>agencias hipotecarias Fannie Mae y Freddy Mac, una protesta en el Congreso llevó a la administración del presidente George W. Bush a comprometerse a no inyectar fondos públicos en Lehman Brothers, otro banco de inversión en dificultades. Para cuando quedó claro que ningún inversor privado estaba dispuesto a hacerse c</w:t>
      </w:r>
      <w:r>
        <w:rPr>
          <w:u w:val="single"/>
        </w:rPr>
        <w:t>argo de Lehman, el Tesoro de EE</w:t>
      </w:r>
      <w:r w:rsidRPr="00F27DDB">
        <w:rPr>
          <w:u w:val="single"/>
        </w:rPr>
        <w:t>UU ya no contaba con los recursos necesarios para evitar un desastre, y el desastre tuvo lugar el 15 de septiembre.</w:t>
      </w:r>
    </w:p>
    <w:p w:rsidR="000711BB" w:rsidRPr="00F27DDB" w:rsidRDefault="000711BB" w:rsidP="000711BB">
      <w:pPr>
        <w:pStyle w:val="NormalWeb"/>
        <w:spacing w:after="0"/>
        <w:jc w:val="both"/>
        <w:textAlignment w:val="baseline"/>
        <w:rPr>
          <w:color w:val="FF0000"/>
          <w:u w:val="single"/>
        </w:rPr>
      </w:pPr>
      <w:r w:rsidRPr="00F27DDB">
        <w:rPr>
          <w:color w:val="FF0000"/>
          <w:u w:val="single"/>
        </w:rPr>
        <w:t xml:space="preserve">Hubo que tomar reiteradamente este tipo de decisiones durante la crisis del euro, prácticamente todos los grandes episodios implicaron optar entre continuar con los primeros principios o encontrar la manera de solucionar una crisis que avanzaba rápidamente. Pero el mantra de la canciller alemana Angela Merkel no era exactamente igual al de Obama. Para ella, solo una amenaza existencial inminente a la estabilidad de la zona del euro podía justificar acciones poco convencionales. La llamada doctrina de la </w:t>
      </w:r>
      <w:r w:rsidR="00766445" w:rsidRPr="00F27DDB">
        <w:rPr>
          <w:color w:val="FF0000"/>
          <w:u w:val="single"/>
        </w:rPr>
        <w:t>última</w:t>
      </w:r>
      <w:r w:rsidRPr="00F27DDB">
        <w:rPr>
          <w:color w:val="FF0000"/>
          <w:u w:val="single"/>
        </w:rPr>
        <w:t xml:space="preserve"> ratio fue invocada reiteradamente para posponer decisiones o rechazar soluciones tempranas.</w:t>
      </w:r>
    </w:p>
    <w:p w:rsidR="000711BB" w:rsidRPr="00F27DDB" w:rsidRDefault="000711BB" w:rsidP="000711BB">
      <w:pPr>
        <w:pStyle w:val="NormalWeb"/>
        <w:spacing w:after="0"/>
        <w:jc w:val="both"/>
        <w:textAlignment w:val="baseline"/>
        <w:rPr>
          <w:color w:val="FF0000"/>
          <w:u w:val="single"/>
        </w:rPr>
      </w:pPr>
      <w:r w:rsidRPr="00F27DDB">
        <w:rPr>
          <w:color w:val="FF0000"/>
          <w:u w:val="single"/>
        </w:rPr>
        <w:t>Es difícil exagerar la importancia del dilema entre solucionar los problemas que se avecinan y evitar el riesgo moral. Es una cuestión omnipresente en las finanzas y aparece a menudo en las decisiones monetarias o fiscales.</w:t>
      </w:r>
    </w:p>
    <w:p w:rsidR="000711BB" w:rsidRPr="00F27DDB" w:rsidRDefault="000711BB" w:rsidP="000711BB">
      <w:pPr>
        <w:pStyle w:val="NormalWeb"/>
        <w:spacing w:after="0"/>
        <w:jc w:val="both"/>
        <w:textAlignment w:val="baseline"/>
        <w:rPr>
          <w:color w:val="FF0000"/>
          <w:u w:val="single"/>
        </w:rPr>
      </w:pPr>
      <w:r w:rsidRPr="00F27DDB">
        <w:rPr>
          <w:color w:val="FF0000"/>
          <w:u w:val="single"/>
        </w:rPr>
        <w:t>Una escuela de pensamiento, person</w:t>
      </w:r>
      <w:r>
        <w:rPr>
          <w:color w:val="FF0000"/>
          <w:u w:val="single"/>
        </w:rPr>
        <w:t>ificada por el gobierno de EE</w:t>
      </w:r>
      <w:r w:rsidRPr="00F27DDB">
        <w:rPr>
          <w:color w:val="FF0000"/>
          <w:u w:val="single"/>
        </w:rPr>
        <w:t>UU, considera que el riesgo moral es una preocupación válida, pe</w:t>
      </w:r>
      <w:r w:rsidR="007859BA">
        <w:rPr>
          <w:color w:val="FF0000"/>
          <w:u w:val="single"/>
        </w:rPr>
        <w:t>ro que no se lo debe exagerar: “</w:t>
      </w:r>
      <w:r w:rsidRPr="00F27DDB">
        <w:rPr>
          <w:color w:val="FF0000"/>
          <w:u w:val="single"/>
        </w:rPr>
        <w:t xml:space="preserve">Los cuarteles </w:t>
      </w:r>
      <w:r w:rsidR="007859BA">
        <w:rPr>
          <w:color w:val="FF0000"/>
          <w:u w:val="single"/>
        </w:rPr>
        <w:t>de bomberos no causan incendios”</w:t>
      </w:r>
      <w:r w:rsidRPr="00F27DDB">
        <w:rPr>
          <w:color w:val="FF0000"/>
          <w:u w:val="single"/>
        </w:rPr>
        <w:t>, dijo el ex secretario del Tesoro Tim Geithner (o, en palabras del vicepresidente de la</w:t>
      </w:r>
      <w:r>
        <w:rPr>
          <w:color w:val="FF0000"/>
          <w:u w:val="single"/>
        </w:rPr>
        <w:t xml:space="preserve"> Reserva Federal Stan Fischer, “</w:t>
      </w:r>
      <w:r w:rsidRPr="00F27DDB">
        <w:rPr>
          <w:color w:val="FF0000"/>
          <w:u w:val="single"/>
        </w:rPr>
        <w:t>los preserv</w:t>
      </w:r>
      <w:r>
        <w:rPr>
          <w:color w:val="FF0000"/>
          <w:u w:val="single"/>
        </w:rPr>
        <w:t>ativos no son la causa del sexo”</w:t>
      </w:r>
      <w:r w:rsidRPr="00F27DDB">
        <w:rPr>
          <w:color w:val="FF0000"/>
          <w:u w:val="single"/>
        </w:rPr>
        <w:t>). Alemania es la encarnación más prominente de la otra postura: las consecuencias de cualquier decisión deben guiar las opciones de política y la expectativa de contar con protección no debe causar imprudencias.</w:t>
      </w:r>
    </w:p>
    <w:p w:rsidR="000711BB" w:rsidRDefault="000711BB" w:rsidP="000711BB">
      <w:pPr>
        <w:pStyle w:val="NormalWeb"/>
        <w:spacing w:after="0"/>
        <w:jc w:val="both"/>
        <w:textAlignment w:val="baseline"/>
      </w:pPr>
      <w:r>
        <w:t xml:space="preserve">Esas diferencias de actitud no deben sorprendernos, la dicotomía es real y los responsables de las políticas pueden tener distintas opiniones, según su experiencia y preferencia temporal. </w:t>
      </w:r>
      <w:r w:rsidRPr="00F27DDB">
        <w:rPr>
          <w:color w:val="FF0000"/>
          <w:u w:val="single"/>
        </w:rPr>
        <w:t>La escuela de pensamiento alemán, por ejemplo, enfatiza la existencia de reglas de juego permanentes en el sistema político y tiende a descartar los costos a corto plazo de cada decisión</w:t>
      </w:r>
      <w:r>
        <w:t>. Otro motivo, tal vez más profundo, es el poder. Durante siete décadas, el gobierno estadounidense fue el último bombero del sistema mundial. Durante ese período, se ocupó de una miríada de crisis en todo el mundo y aprendió a valorar más la discrecionalidad que la coherencia en las políticas.</w:t>
      </w:r>
    </w:p>
    <w:p w:rsidR="000711BB" w:rsidRDefault="000711BB" w:rsidP="000711BB">
      <w:pPr>
        <w:pStyle w:val="NormalWeb"/>
        <w:spacing w:after="0"/>
        <w:jc w:val="both"/>
        <w:textAlignment w:val="baseline"/>
      </w:pPr>
      <w:r w:rsidRPr="00F27DDB">
        <w:rPr>
          <w:color w:val="FF0000"/>
          <w:u w:val="single"/>
        </w:rPr>
        <w:t>¿Qué se puede hacer entonces para evitar políticas económicas idiotas?</w:t>
      </w:r>
      <w:r>
        <w:t xml:space="preserve"> Lo más importante es la transparencia en el proceso de toma de decisiones y sus consecuencias. </w:t>
      </w:r>
      <w:r w:rsidRPr="00F27DDB">
        <w:rPr>
          <w:u w:val="single"/>
        </w:rPr>
        <w:t>Evitar la rigidez de las normas no debe llevar a arbitrariedades</w:t>
      </w:r>
      <w:r>
        <w:t>. Un sólido y crítico intercambio de razones y la conciencia de que toda decisión tendrá que ser explicada y justificada ex post -especialmente cuando la urgencia no da tiempo para la discusión previa- son excelentes antídotos contra el abuso de los poderes discrecionales. El debate y la responsabilidad pueden lograr grandes avances para erradicar las malas ideas.</w:t>
      </w:r>
    </w:p>
    <w:p w:rsidR="000711BB" w:rsidRDefault="000711BB" w:rsidP="000711BB">
      <w:pPr>
        <w:pStyle w:val="NormalWeb"/>
        <w:spacing w:after="0"/>
        <w:jc w:val="both"/>
        <w:textAlignment w:val="baseline"/>
      </w:pPr>
      <w:r>
        <w:t>Posiblemente esto sea más fácil de aplicar a las políticas económicas que el campo de batalla, pero incluso las decisiones económicas y financieras pueden requerir secreto y velocidad. No hay motivo por el cual las instituciones relevantes no puedan organizar un proceso interno eficaz o garantizar un escrutinio ex post adecuado. En este sentido, aún queda mucho por hacer.</w:t>
      </w:r>
    </w:p>
    <w:p w:rsidR="000711BB" w:rsidRDefault="000711BB" w:rsidP="000711BB">
      <w:pPr>
        <w:pStyle w:val="NormalWeb"/>
        <w:spacing w:after="0"/>
        <w:jc w:val="both"/>
        <w:textAlignment w:val="baseline"/>
      </w:pPr>
      <w:r>
        <w:lastRenderedPageBreak/>
        <w:t xml:space="preserve">- </w:t>
      </w:r>
      <w:r w:rsidRPr="00987E1B">
        <w:rPr>
          <w:u w:val="single"/>
        </w:rPr>
        <w:t>Helicópteros amarrados</w:t>
      </w:r>
      <w:r>
        <w:t xml:space="preserve"> (Project Syndicate - </w:t>
      </w:r>
      <w:r w:rsidRPr="00987E1B">
        <w:rPr>
          <w:b/>
        </w:rPr>
        <w:t>9/5/16</w:t>
      </w:r>
      <w:r>
        <w:t>)</w:t>
      </w:r>
    </w:p>
    <w:p w:rsidR="000711BB" w:rsidRPr="009400D9" w:rsidRDefault="000711BB" w:rsidP="000711BB">
      <w:pPr>
        <w:pStyle w:val="NormalWeb"/>
        <w:spacing w:after="0"/>
        <w:jc w:val="both"/>
        <w:textAlignment w:val="baseline"/>
        <w:rPr>
          <w:u w:val="single"/>
        </w:rPr>
      </w:pPr>
      <w:r>
        <w:t xml:space="preserve">París.- </w:t>
      </w:r>
      <w:r w:rsidRPr="009400D9">
        <w:rPr>
          <w:u w:val="single"/>
        </w:rPr>
        <w:t>Frente a la desaceleración económica mundial, varios</w:t>
      </w:r>
      <w:r>
        <w:rPr>
          <w:u w:val="single"/>
        </w:rPr>
        <w:t xml:space="preserve"> observadores -</w:t>
      </w:r>
      <w:r w:rsidRPr="009400D9">
        <w:rPr>
          <w:u w:val="single"/>
        </w:rPr>
        <w:t>entre ellos el ex presidente de la Reserva Federal de Estados Unidos Ben Bernanke y el econ</w:t>
      </w:r>
      <w:r>
        <w:rPr>
          <w:u w:val="single"/>
        </w:rPr>
        <w:t>omista de Berkeley Brad DeLong-</w:t>
      </w:r>
      <w:r w:rsidRPr="009400D9">
        <w:rPr>
          <w:u w:val="single"/>
        </w:rPr>
        <w:t xml:space="preserve"> han argumentado que la expansión fiscal financiada monetariamente no debería excluirse de la caja de herramientas de políticas. Sin embargo, la puesta en tapete de discusión de dichos “lanzamientos de dinero recién impreso desde helicópteros” hizo que surgiera un fuerte contraataque, incluyéndose entre quienes emitieron su opinión al respecto a Michael Heise, economista en jefe de Allianz, y a Koichi Hamada, asesor económico en jefe del primer ministro Shinzo Abe y uno de los arquitectos del programa de recuperación económica del Japón denominado “Abe-economía”.</w:t>
      </w:r>
    </w:p>
    <w:p w:rsidR="000711BB" w:rsidRPr="009400D9" w:rsidRDefault="000711BB" w:rsidP="000711BB">
      <w:pPr>
        <w:pStyle w:val="NormalWeb"/>
        <w:spacing w:after="0"/>
        <w:jc w:val="both"/>
        <w:textAlignment w:val="baseline"/>
        <w:rPr>
          <w:u w:val="single"/>
        </w:rPr>
      </w:pPr>
      <w:r>
        <w:t xml:space="preserve">No estoy de acuerdo con Heise y Hamada, pero ellos se enfocan correctamente en el tema central - </w:t>
      </w:r>
      <w:r w:rsidRPr="009400D9">
        <w:rPr>
          <w:u w:val="single"/>
        </w:rPr>
        <w:t>el riesgo que se corre al permitir cualquier nivel de financiación monetaria, ya que ello invitará a un uso excesivo de dicha financiación. La interrogante crucial es si podemos concebir normas y responsabilidades como protección frente a ese peligro. Creo que sí podemos y debemos, y que en algunos países la alternativa no será la ausencia de financiación monetaria, sino será la presencia de financiación monetaria implementada sin disciplina.</w:t>
      </w:r>
    </w:p>
    <w:p w:rsidR="000711BB" w:rsidRDefault="000711BB" w:rsidP="000711BB">
      <w:pPr>
        <w:pStyle w:val="NormalWeb"/>
        <w:spacing w:after="0"/>
        <w:jc w:val="both"/>
        <w:textAlignment w:val="baseline"/>
      </w:pPr>
      <w:r w:rsidRPr="009400D9">
        <w:rPr>
          <w:color w:val="FF0000"/>
          <w:u w:val="single"/>
        </w:rPr>
        <w:t>Tal como argumenté en un reciente trabajo académico que preparé para el Fondo Monetario Internacional, el caso técnico a favor de la financiación monetaria es indiscutible. Es la única política que siempre va a estimular la demanda nominal, i</w:t>
      </w:r>
      <w:r>
        <w:rPr>
          <w:color w:val="FF0000"/>
          <w:u w:val="single"/>
        </w:rPr>
        <w:t>ncluso cuando otras políticas -</w:t>
      </w:r>
      <w:r w:rsidRPr="009400D9">
        <w:rPr>
          <w:color w:val="FF0000"/>
          <w:u w:val="single"/>
        </w:rPr>
        <w:t>como ser déficits fiscales financiados con deud</w:t>
      </w:r>
      <w:r>
        <w:rPr>
          <w:color w:val="FF0000"/>
          <w:u w:val="single"/>
        </w:rPr>
        <w:t>a o tasas de interés negativas-</w:t>
      </w:r>
      <w:r w:rsidRPr="009400D9">
        <w:rPr>
          <w:color w:val="FF0000"/>
          <w:u w:val="single"/>
        </w:rPr>
        <w:t xml:space="preserve"> son ineficaces</w:t>
      </w:r>
      <w:r>
        <w:t>. Y, su impacto sobre la demanda nominal puede, según indica la teoría, ser calibrado: Una pequeña cantidad producirá un estímulo potencialmente útil ya sea para la producción o para el nivel de precios, mientras que una cantidad muy grande producirá una inflación excesiva.</w:t>
      </w:r>
    </w:p>
    <w:p w:rsidR="000711BB" w:rsidRPr="009400D9" w:rsidRDefault="000711BB" w:rsidP="000711BB">
      <w:pPr>
        <w:pStyle w:val="NormalWeb"/>
        <w:spacing w:after="0"/>
        <w:jc w:val="both"/>
        <w:textAlignment w:val="baseline"/>
        <w:rPr>
          <w:u w:val="single"/>
        </w:rPr>
      </w:pPr>
      <w:r w:rsidRPr="009400D9">
        <w:rPr>
          <w:u w:val="single"/>
        </w:rPr>
        <w:t>Esto no se dice con el propósito de negar complejidades importantes en la aplicación de lanzamientos desde helicópteros. Si la creación de dinero financia recortes de impuestos en lugar de financiar incrementos del gasto público, el impacto dependerá de la cantidad de dinero que los consumidores decidan gast</w:t>
      </w:r>
      <w:r>
        <w:rPr>
          <w:u w:val="single"/>
        </w:rPr>
        <w:t>ar en contraposición a ahorrar -</w:t>
      </w:r>
      <w:r w:rsidRPr="009400D9">
        <w:rPr>
          <w:u w:val="single"/>
        </w:rPr>
        <w:t xml:space="preserve"> un equilibrio que pudiese ser inestable en el transcurso del tiempo. Y, debido a que la creación de dinero por parte de los bancos centrales aumenta las reservas de los bancos comerciales, existe el riesgo de que los préstamos se incrementen poco al principio, pero luego lo hagan rápidamente. Sin embargo, estas complejidades simplemente abogan a favor de un enfoque cauteloso con respecto a la escala de la financiación monetaria y al </w:t>
      </w:r>
      <w:r>
        <w:rPr>
          <w:u w:val="single"/>
        </w:rPr>
        <w:t>uso cuidadoso de herramientas -</w:t>
      </w:r>
      <w:r w:rsidRPr="009400D9">
        <w:rPr>
          <w:u w:val="single"/>
        </w:rPr>
        <w:t>como por ejemplo, la aplicación de exigencias de res</w:t>
      </w:r>
      <w:r>
        <w:rPr>
          <w:u w:val="single"/>
        </w:rPr>
        <w:t>ervas obligatorias de liquidez-</w:t>
      </w:r>
      <w:r w:rsidRPr="009400D9">
        <w:rPr>
          <w:u w:val="single"/>
        </w:rPr>
        <w:t xml:space="preserve"> para limitar los efectos colaterales posteriores.</w:t>
      </w:r>
    </w:p>
    <w:p w:rsidR="000711BB" w:rsidRDefault="000711BB" w:rsidP="000711BB">
      <w:pPr>
        <w:pStyle w:val="NormalWeb"/>
        <w:spacing w:after="0"/>
        <w:jc w:val="both"/>
        <w:textAlignment w:val="baseline"/>
      </w:pPr>
      <w:r w:rsidRPr="009400D9">
        <w:rPr>
          <w:color w:val="FF0000"/>
          <w:u w:val="single"/>
        </w:rPr>
        <w:t>El único argumento poderoso contra los lanzamientos desde helicópteros es un</w:t>
      </w:r>
      <w:r>
        <w:rPr>
          <w:color w:val="FF0000"/>
          <w:u w:val="single"/>
        </w:rPr>
        <w:t>o que Heise y Hamada enfatizan -</w:t>
      </w:r>
      <w:r w:rsidRPr="009400D9">
        <w:rPr>
          <w:color w:val="FF0000"/>
          <w:u w:val="single"/>
        </w:rPr>
        <w:t xml:space="preserve"> el riesgo político que conlleva el uso excesivo. Si la financiación monetaria ya no está prohibida, los políticos podrían utilizarla para ganar el apoyo de grupos de electores o para estimular excesivamente la economía antes de las elecciones</w:t>
      </w:r>
      <w:r>
        <w:t xml:space="preserve">. Hamada curiosamente sugiere que quienes proponen la financiación monetaria ignoran este riesgo; pero, en el trabajo académico que preparé para el FMI, y </w:t>
      </w:r>
      <w:r>
        <w:lastRenderedPageBreak/>
        <w:t>en un artículo reciente publicado en el blog de Bernanke, este riesgo es una preocupación central.</w:t>
      </w:r>
    </w:p>
    <w:p w:rsidR="000711BB" w:rsidRDefault="000711BB" w:rsidP="000711BB">
      <w:pPr>
        <w:pStyle w:val="NormalWeb"/>
        <w:spacing w:after="0"/>
        <w:jc w:val="both"/>
        <w:textAlignment w:val="baseline"/>
      </w:pPr>
      <w:r w:rsidRPr="009400D9">
        <w:rPr>
          <w:u w:val="single"/>
        </w:rPr>
        <w:t>La historia proporciona muchos ejemplos de financiación monetaria excesiva, desde la Alemania de Weimar hasta lo ocurrido en muchas economías emergentes, en estos casos los gobiernos presionaron a los bancos centrales para que financien grandes déficits fiscales, lo que condujo al resultado inevitable de inflaciones muy altas</w:t>
      </w:r>
      <w:r>
        <w:t>. Por lo tanto, es válido argumentar que los peligros que traen consigo las financiaciones monetarias excesivas son tan grandes que se las debe prohibir por completo, a pesar de que bajo algunas circunstancias dichas financiaciones se constituyan en la mejor política.</w:t>
      </w:r>
    </w:p>
    <w:p w:rsidR="000711BB" w:rsidRPr="009400D9" w:rsidRDefault="000711BB" w:rsidP="000711BB">
      <w:pPr>
        <w:pStyle w:val="NormalWeb"/>
        <w:spacing w:after="0"/>
        <w:jc w:val="both"/>
        <w:textAlignment w:val="baseline"/>
        <w:rPr>
          <w:u w:val="single"/>
        </w:rPr>
      </w:pPr>
      <w:r>
        <w:t xml:space="preserve">Sin embargo, </w:t>
      </w:r>
      <w:r w:rsidRPr="009400D9">
        <w:rPr>
          <w:u w:val="single"/>
        </w:rPr>
        <w:t>un argumento válido no es necesariamente un argumento convincente. Al fin y al cabo, otras políticas para apoyar al crecimiento de la demanda, o la falta de implementación de cualquier política, puede llegar a ser igualmente peligroso. Fue la deflación, no la hiperinflación, la que destruyó la República de Weimar. El avance electoral de Hitler en el año 1932 se logró en medio de un período de rápida caída de precios.</w:t>
      </w:r>
    </w:p>
    <w:p w:rsidR="000711BB" w:rsidRPr="009400D9" w:rsidRDefault="000711BB" w:rsidP="000711BB">
      <w:pPr>
        <w:pStyle w:val="NormalWeb"/>
        <w:spacing w:after="0"/>
        <w:jc w:val="both"/>
        <w:textAlignment w:val="baseline"/>
        <w:rPr>
          <w:color w:val="FF0000"/>
          <w:u w:val="single"/>
        </w:rPr>
      </w:pPr>
      <w:r>
        <w:t xml:space="preserve">Y, en algunas circunstancias, las políticas alternativas tendrán efectos secundarios adversos. </w:t>
      </w:r>
      <w:r w:rsidRPr="009400D9">
        <w:rPr>
          <w:color w:val="FF0000"/>
          <w:u w:val="single"/>
        </w:rPr>
        <w:t>La causa raíz de los problemas de hoy en día fue el excesivo crecimiento del crédito privado antes del año 2008. Si nuestra única salida para estos problemas es implementar tasas de interés negativas que tengan efectos suficientes como para volver a estimular un rápido crecimiento, estamos condenados a repetir los errores del pasado.</w:t>
      </w:r>
    </w:p>
    <w:p w:rsidR="000711BB" w:rsidRDefault="000711BB" w:rsidP="000711BB">
      <w:pPr>
        <w:pStyle w:val="NormalWeb"/>
        <w:spacing w:after="0"/>
        <w:jc w:val="both"/>
        <w:textAlignment w:val="baseline"/>
      </w:pPr>
      <w:r>
        <w:t>Asimismo, no hay ninguna razón por la que no podamos cimentar reglas y responsabilidades con el propósito de mitigar el riesgo político de un uso excesivo. Bernanke, por ejemplo, ha propuesto otorgar a los bancos centrales independientes la autoridad necesaria para que ellos aprueben una cantidad máxima de financiación monetaria, si creen que esto es necesario para lograr su objetivo de inflación claramente definido.</w:t>
      </w:r>
    </w:p>
    <w:p w:rsidR="000711BB" w:rsidRDefault="000711BB" w:rsidP="000711BB">
      <w:pPr>
        <w:pStyle w:val="NormalWeb"/>
        <w:spacing w:after="0"/>
        <w:jc w:val="both"/>
        <w:textAlignment w:val="baseline"/>
      </w:pPr>
      <w:r>
        <w:t>Por supuesto, los opositores pueden contraatacar con un argumento denominado “pendiente resbaladiza”: sólo una prohibición total es una línea defendible frente a la presión política que pide reglas cada vez más laxas. Y, en países con una historia reciente de financiación monetaria excesiva -por ejemplo, en Brasil, país que todavía está luchando por contener la inflación en medio de presiones políticas a favor de la financiación de grandes déficits- ese argumento podría ser convincente. No obstante, si el Banco Central Europeo, el Banco de Inglaterra o la Fed podrían aprobar de forma independiente una cantidad máxima de financiación monetaria, no sobrevendría inevitablemente una erosión de su independencia.</w:t>
      </w:r>
    </w:p>
    <w:p w:rsidR="000711BB" w:rsidRDefault="000711BB" w:rsidP="000711BB">
      <w:pPr>
        <w:pStyle w:val="NormalWeb"/>
        <w:spacing w:after="0"/>
        <w:jc w:val="both"/>
        <w:textAlignment w:val="baseline"/>
      </w:pPr>
      <w:r>
        <w:t>El tema de importancia crucial es si se puede confiar en que los sistemas políticos establezcan y mantengan la disciplina apropiada. Hamada cita el ejemplo del ministro de Finanzas japonés Korekiyo Takahashi, quien utilizó  expansión fiscal financiada monetariamente para sacar a la economía de Japón de la recesión a principios de la década de 1930. Takahashi de manera correcta trató de endurecer la política una vez que había regresado el crecimiento adecuado de la producción y los precios, pero él fue asesinado por militaristas, quienes tenían mucho interés en utilizar financiación monetaria sin restricciones para sostener la expansión imperial.</w:t>
      </w:r>
    </w:p>
    <w:p w:rsidR="000711BB" w:rsidRDefault="000711BB" w:rsidP="000711BB">
      <w:pPr>
        <w:pStyle w:val="NormalWeb"/>
        <w:spacing w:after="0"/>
        <w:jc w:val="both"/>
        <w:textAlignment w:val="baseline"/>
      </w:pPr>
      <w:r>
        <w:lastRenderedPageBreak/>
        <w:t>Sin embargo, la inferencia que realiza Hamada sobre que ello ilustra los peligros inherentes a la financiación monetaria no es creíble. Una deflación continúa también habría destruido el sistema constitucional de Japón, tal como destruyó el sistema de Alemania. Y, si Takahashi hubiese estimulado la economía con tasas de interés negativas, y luego hubiese tratado de revertir dicha política, él habría corrido la misma suerte.</w:t>
      </w:r>
    </w:p>
    <w:p w:rsidR="000711BB" w:rsidRPr="009400D9" w:rsidRDefault="000711BB" w:rsidP="000711BB">
      <w:pPr>
        <w:pStyle w:val="NormalWeb"/>
        <w:spacing w:after="0"/>
        <w:jc w:val="both"/>
        <w:textAlignment w:val="baseline"/>
        <w:rPr>
          <w:u w:val="single"/>
        </w:rPr>
      </w:pPr>
      <w:r w:rsidRPr="009400D9">
        <w:rPr>
          <w:u w:val="single"/>
        </w:rPr>
        <w:t>La prohibición de la financiación monetaria no puede garantizar la democracia o el Estado de Derecho frente a fuerzas antidemocráticas poderosas. Sin embargo, la financiación monetaria disciplinada y moderada, al combatir los peligros de deflación, podría ser de ayuda algunas veces. Por lo tanto, en lugar de prohibir dicha financiación, deberíamos garantizar su uso responsable. La alternativa probable no es la ausencia de financiación monetaria, sino una financiación monetaria implementada demasiado tarde y de manera indisciplinada.</w:t>
      </w:r>
    </w:p>
    <w:p w:rsidR="000711BB" w:rsidRDefault="000711BB" w:rsidP="000711BB">
      <w:pPr>
        <w:pStyle w:val="NormalWeb"/>
        <w:spacing w:after="0"/>
        <w:jc w:val="both"/>
        <w:textAlignment w:val="baseline"/>
      </w:pPr>
      <w:r>
        <w:t>El Japón de hoy en día ilustra ese peligro. Al haber esquivado la financiación monetaria durante un período de tiempo muy prolongado, ahora tiene demasiada deuda pública (aproximadamente 250% del PIB) que si dicha deuda se monetizaría en su totalidad, el resultado probable sería una inflación excesiva. Pero, no existe ningún escenario creíble en el que se pueda “reembolsar” dicha deuda en el sentido normal de la palabra. La monetización de facto es el resultado inevitable, por lo que cada mes el Banco de Japón va a compra una mayor cantidad de bonos de los que emite el gobierno, incluso mientras dicho Banco niega que la financiación monetaria es en una opción aceptable.</w:t>
      </w:r>
    </w:p>
    <w:p w:rsidR="000711BB" w:rsidRDefault="000711BB" w:rsidP="000711BB">
      <w:pPr>
        <w:pStyle w:val="NormalWeb"/>
        <w:spacing w:after="0"/>
        <w:jc w:val="both"/>
        <w:textAlignment w:val="baseline"/>
      </w:pPr>
      <w:r>
        <w:t>Si Japón hubiese seguido el consejo de Bernanke en el año 2003 y hubiese implementado un estímulo moderado financiado monetariamente, hoy en día habría tenido un nivel de precios un poco más alto y un ratio deuda-PIB más bajo. Al no haber podido implementar lo antedicho, ahora debe definir reglas y responsabilidades claras para gobernar y gestionar de la mejor manera posible lo inevitable monetización de una porción de sus deudas acumuladas.</w:t>
      </w:r>
    </w:p>
    <w:p w:rsidR="000711BB" w:rsidRPr="00B73E6A" w:rsidRDefault="000711BB" w:rsidP="000711BB">
      <w:pPr>
        <w:pStyle w:val="NormalWeb"/>
        <w:spacing w:after="0"/>
        <w:jc w:val="both"/>
        <w:textAlignment w:val="baseline"/>
        <w:rPr>
          <w:color w:val="FF0000"/>
          <w:u w:val="single"/>
        </w:rPr>
      </w:pPr>
      <w:r>
        <w:rPr>
          <w:color w:val="FF0000"/>
          <w:u w:val="single"/>
        </w:rPr>
        <w:t>La lección que brinda Japón -pero no solo Japón-</w:t>
      </w:r>
      <w:r w:rsidRPr="00B73E6A">
        <w:rPr>
          <w:color w:val="FF0000"/>
          <w:u w:val="single"/>
        </w:rPr>
        <w:t xml:space="preserve"> es clara: es mejor reconocer la existencia de un caso técnico que justifica la financiación monetaria y mitigar los peligros políticos en vez de prohibir por completo su uso y continuar acumulando aún mayores peligros para el futuro.</w:t>
      </w:r>
    </w:p>
    <w:p w:rsidR="000711BB" w:rsidRPr="006D695E" w:rsidRDefault="000711BB" w:rsidP="000711BB">
      <w:pPr>
        <w:pStyle w:val="NormalWeb"/>
        <w:spacing w:after="0"/>
        <w:jc w:val="both"/>
        <w:textAlignment w:val="baseline"/>
        <w:rPr>
          <w:lang w:val="en-US"/>
        </w:rPr>
      </w:pPr>
      <w:r w:rsidRPr="001E644C">
        <w:rPr>
          <w:lang w:val="en-US"/>
        </w:rPr>
        <w:t>(Adair Turner, a former chairman of the United Kingdom's Financial Services Authority and former member of the UK's Financial Policy Committee, is Chairman of the Institute for New Economic Thinking. His latest book is Between Debt and the Dev</w:t>
      </w:r>
      <w:r>
        <w:rPr>
          <w:lang w:val="en-US"/>
        </w:rPr>
        <w:t>il)</w:t>
      </w:r>
    </w:p>
    <w:p w:rsidR="000711BB" w:rsidRPr="001E644C" w:rsidRDefault="000711BB" w:rsidP="000711BB">
      <w:pPr>
        <w:pStyle w:val="NormalWeb"/>
        <w:spacing w:after="0"/>
        <w:jc w:val="both"/>
        <w:textAlignment w:val="baseline"/>
        <w:rPr>
          <w:lang w:val="en-US"/>
        </w:rPr>
      </w:pPr>
      <w:r w:rsidRPr="001E644C">
        <w:rPr>
          <w:lang w:val="en-US"/>
        </w:rPr>
        <w:t xml:space="preserve">- </w:t>
      </w:r>
      <w:r w:rsidRPr="001E644C">
        <w:rPr>
          <w:u w:val="single"/>
          <w:lang w:val="en-US"/>
        </w:rPr>
        <w:t>La nueva era de monopolio</w:t>
      </w:r>
      <w:r w:rsidRPr="001E644C">
        <w:rPr>
          <w:lang w:val="en-US"/>
        </w:rPr>
        <w:t xml:space="preserve"> (Project Syndicate - </w:t>
      </w:r>
      <w:r w:rsidRPr="001E644C">
        <w:rPr>
          <w:b/>
          <w:lang w:val="en-US"/>
        </w:rPr>
        <w:t>13/5/16</w:t>
      </w:r>
      <w:r w:rsidRPr="001E644C">
        <w:rPr>
          <w:lang w:val="en-US"/>
        </w:rPr>
        <w:t>)</w:t>
      </w:r>
    </w:p>
    <w:p w:rsidR="000711BB" w:rsidRPr="00511772" w:rsidRDefault="000711BB" w:rsidP="000711BB">
      <w:pPr>
        <w:pStyle w:val="NormalWeb"/>
        <w:spacing w:after="0"/>
        <w:jc w:val="both"/>
        <w:textAlignment w:val="baseline"/>
        <w:rPr>
          <w:color w:val="FF0000"/>
          <w:u w:val="single"/>
        </w:rPr>
      </w:pPr>
      <w:r>
        <w:t xml:space="preserve">Nueva York.- </w:t>
      </w:r>
      <w:r w:rsidRPr="00511772">
        <w:rPr>
          <w:color w:val="FF0000"/>
          <w:u w:val="single"/>
        </w:rPr>
        <w:t>Durante 200 años, ha habido dos escuelas de pensamiento sobre qué es lo que determina l</w:t>
      </w:r>
      <w:r>
        <w:rPr>
          <w:color w:val="FF0000"/>
          <w:u w:val="single"/>
        </w:rPr>
        <w:t>a distribución de los ingresos -</w:t>
      </w:r>
      <w:r w:rsidRPr="00511772">
        <w:rPr>
          <w:color w:val="FF0000"/>
          <w:u w:val="single"/>
        </w:rPr>
        <w:t xml:space="preserve"> y sobre cómo funciona la economía. Una, que surge de los pensamientos de Adam Smith y los economistas liberales del siglo XIX, se centra en los mercados competitivos. La otra, consciente de la forma cómo el tipo de liberalismo de Smith conduce a una rápida concentración de la riqueza y el ingreso, toma como punto de partida la tendencia sin restricciones que tienen los mercados para dirigirse hacia el monopolio. Es importante entender ambas escuelas debido a que nuestros puntos de vista sobre las políticas gubernamentales y las </w:t>
      </w:r>
      <w:r w:rsidRPr="00511772">
        <w:rPr>
          <w:color w:val="FF0000"/>
          <w:u w:val="single"/>
        </w:rPr>
        <w:lastRenderedPageBreak/>
        <w:t>desigualdades existentes se moldean según cuál de las dos escuelas de pensamiento cada uno de nosotros cree que es la que proporciona una mejor descripción de la realidad.</w:t>
      </w:r>
    </w:p>
    <w:p w:rsidR="000711BB" w:rsidRDefault="000711BB" w:rsidP="000711BB">
      <w:pPr>
        <w:pStyle w:val="NormalWeb"/>
        <w:spacing w:after="0"/>
        <w:jc w:val="both"/>
        <w:textAlignment w:val="baseline"/>
      </w:pPr>
      <w:r w:rsidRPr="00511772">
        <w:rPr>
          <w:u w:val="single"/>
        </w:rPr>
        <w:t>Para los liberales del siglo XIX, y para sus acólitos de estos últimos días, debido a que los mercados son competitivos, los rendimientos que reciben las personas individuales se relacionan co</w:t>
      </w:r>
      <w:r>
        <w:rPr>
          <w:u w:val="single"/>
        </w:rPr>
        <w:t>n sus contribuciones sociales -</w:t>
      </w:r>
      <w:r w:rsidRPr="00511772">
        <w:rPr>
          <w:u w:val="single"/>
        </w:rPr>
        <w:t>con su “producto marginal”, en el lenguaje de los economistas. Los capitalistas son recompensados ​​po</w:t>
      </w:r>
      <w:r>
        <w:rPr>
          <w:u w:val="single"/>
        </w:rPr>
        <w:t>r ahorrar en lugar de consumir-</w:t>
      </w:r>
      <w:r w:rsidRPr="00511772">
        <w:rPr>
          <w:u w:val="single"/>
        </w:rPr>
        <w:t xml:space="preserve"> por su abstinencia, en palabras de Nassau Senior, uno de mis predecesores en la Cátedra Drummond de Economía Política en la Universidad de Oxford</w:t>
      </w:r>
      <w:r>
        <w:t>. Las diferencias en los ingresos en aquel entonces se relacionaban con la propiedad de los “activos” - capital humano y financiero. Los académicos que estudiaban la desigualdad, por lo tanto, se centraron en los factores determinantes de la distribución de los activos, incluyendo en la forma cómo los activos se transmitían de generación en generación.</w:t>
      </w:r>
    </w:p>
    <w:p w:rsidR="000711BB" w:rsidRDefault="000711BB" w:rsidP="000711BB">
      <w:pPr>
        <w:pStyle w:val="NormalWeb"/>
        <w:spacing w:after="0"/>
        <w:jc w:val="both"/>
        <w:textAlignment w:val="baseline"/>
      </w:pPr>
      <w:r w:rsidRPr="00511772">
        <w:rPr>
          <w:u w:val="single"/>
        </w:rPr>
        <w:t>La segunda escuela de pensamiento toma como punto de partida “el poder”, incluyendo la capacidad para ejercer control monopólico o, en el caso de los mercados de trabajo, para hacer valer la autoridad sobre los trabajadores.</w:t>
      </w:r>
      <w:r>
        <w:t xml:space="preserve"> Los académicos en esta área se han centrado en lo que da lugar al poder, cómo se lo mantiene y cómo se lo fortalece, y otras características que pudiesen impedir que los mercados sean competitivos. El trabajo sobre la explotación que emerge de las asimetrías de información es un ejemplo importante.</w:t>
      </w:r>
    </w:p>
    <w:p w:rsidR="000711BB" w:rsidRPr="00511772" w:rsidRDefault="000711BB" w:rsidP="000711BB">
      <w:pPr>
        <w:pStyle w:val="NormalWeb"/>
        <w:spacing w:after="0"/>
        <w:jc w:val="both"/>
        <w:textAlignment w:val="baseline"/>
        <w:rPr>
          <w:color w:val="FF0000"/>
          <w:u w:val="single"/>
        </w:rPr>
      </w:pPr>
      <w:r w:rsidRPr="00511772">
        <w:rPr>
          <w:color w:val="FF0000"/>
          <w:u w:val="single"/>
        </w:rPr>
        <w:t>En Occidente, en la época posterior a la Segunda Guerra Mundial, la escuela liberal de pensamiento fue la escuela dominante. No obstante, a medida que la desigualdad se ampliaba y las preocupaciones sobre la misma crecían, esta escuela basada en la competencia y que visualiza los rendimientos individuales en términos de producto marginal, pierde cada vez más su capacidad para explicar cómo funciona la economía. Por lo tanto, hoy en día, la segunda escuela de pensamiento se encuentra en ascenso.</w:t>
      </w:r>
    </w:p>
    <w:p w:rsidR="000711BB" w:rsidRPr="00511772" w:rsidRDefault="000711BB" w:rsidP="000711BB">
      <w:pPr>
        <w:pStyle w:val="NormalWeb"/>
        <w:spacing w:after="0"/>
        <w:jc w:val="both"/>
        <w:textAlignment w:val="baseline"/>
        <w:rPr>
          <w:u w:val="single"/>
        </w:rPr>
      </w:pPr>
      <w:r w:rsidRPr="00511772">
        <w:rPr>
          <w:u w:val="single"/>
        </w:rPr>
        <w:t xml:space="preserve">Al fin de cuentas, los grandes bonos que se pagaron a los directores ejecutivos cuando ellos conducían a sus empresas a la ruina y a la economía al borde del colapso son difíciles de conciliar con la creencia de que los pagos que reciben las personas individuales tienen algo que ver con sus contribuciones sociales. Por supuesto, históricamente, </w:t>
      </w:r>
      <w:r>
        <w:rPr>
          <w:u w:val="single"/>
        </w:rPr>
        <w:t>la opresión de grandes grupos -</w:t>
      </w:r>
      <w:r w:rsidRPr="00511772">
        <w:rPr>
          <w:u w:val="single"/>
        </w:rPr>
        <w:t>esclavos, mujere</w:t>
      </w:r>
      <w:r>
        <w:rPr>
          <w:u w:val="single"/>
        </w:rPr>
        <w:t>s y minorías de diversos tipos-</w:t>
      </w:r>
      <w:r w:rsidRPr="00511772">
        <w:rPr>
          <w:u w:val="single"/>
        </w:rPr>
        <w:t xml:space="preserve"> se presentan como casos evidentes en los que las desigualdades son el resultado de las relaciones de poder, y no de los rendimientos marginales.</w:t>
      </w:r>
    </w:p>
    <w:p w:rsidR="000711BB" w:rsidRPr="00511772" w:rsidRDefault="000711BB" w:rsidP="000711BB">
      <w:pPr>
        <w:pStyle w:val="NormalWeb"/>
        <w:spacing w:after="0"/>
        <w:jc w:val="both"/>
        <w:textAlignment w:val="baseline"/>
        <w:rPr>
          <w:color w:val="FF0000"/>
          <w:u w:val="single"/>
        </w:rPr>
      </w:pPr>
      <w:r w:rsidRPr="00511772">
        <w:rPr>
          <w:color w:val="FF0000"/>
          <w:u w:val="single"/>
        </w:rPr>
        <w:t>En la eco</w:t>
      </w:r>
      <w:r>
        <w:rPr>
          <w:color w:val="FF0000"/>
          <w:u w:val="single"/>
        </w:rPr>
        <w:t>nomía de hoy, muchos sectores -</w:t>
      </w:r>
      <w:r w:rsidRPr="00511772">
        <w:rPr>
          <w:color w:val="FF0000"/>
          <w:u w:val="single"/>
        </w:rPr>
        <w:t>telecomunicaciones, televisión por cable, ramas digitales de los medios de comunicación social para la búsqueda en Internet, seguros de salud, productos farmacéutico</w:t>
      </w:r>
      <w:r>
        <w:rPr>
          <w:color w:val="FF0000"/>
          <w:u w:val="single"/>
        </w:rPr>
        <w:t>s, agro-negocios, y muchos más-</w:t>
      </w:r>
      <w:r w:rsidRPr="00511772">
        <w:rPr>
          <w:color w:val="FF0000"/>
          <w:u w:val="single"/>
        </w:rPr>
        <w:t xml:space="preserve"> no se pueden entender mirándolos a través de la lente de la competencia. En estos sectores, la competencia que existe es oligopólica, no es la competencia “pura” que se describe en los libros de texto. Se puede definir a unos pocos sectores como sectores “tomadores de precios”; las empresas son tan pequeñas que no tienen ningún efecto sobre el precio de mercado. La agricultura es el ejemplo más claro, pero la intervención gubernamental en el sector es enorme, y los precios no se establecen, primordialmente, a través de las fuerzas del mercado.</w:t>
      </w:r>
    </w:p>
    <w:p w:rsidR="000711BB" w:rsidRPr="00511772" w:rsidRDefault="000711BB" w:rsidP="000711BB">
      <w:pPr>
        <w:pStyle w:val="NormalWeb"/>
        <w:spacing w:after="0"/>
        <w:jc w:val="both"/>
        <w:textAlignment w:val="baseline"/>
        <w:rPr>
          <w:b/>
          <w:color w:val="FF0000"/>
          <w:u w:val="single"/>
        </w:rPr>
      </w:pPr>
      <w:r>
        <w:t xml:space="preserve">El Consejo de Asesores Económicos (CEA) del presidente estadounidense Barack Obama, dirigido por Jason Furman, ha intentado calcular la magnitud del aumento en la </w:t>
      </w:r>
      <w:r>
        <w:lastRenderedPageBreak/>
        <w:t xml:space="preserve">concentración de mercado  y algunas de sus implicaciones. En la mayoría de las industrias, de acuerdo con el CEA, las métricas estándar muestran grandes -y en algunos casos, dramáticos- aumentos en la concentración de mercado. </w:t>
      </w:r>
      <w:r w:rsidRPr="00511772">
        <w:rPr>
          <w:b/>
          <w:color w:val="FF0000"/>
          <w:u w:val="single"/>
        </w:rPr>
        <w:t>El porcentaje de participación en el mercado de los depósitos de los diez primeros bancos, por ejemplo, aumentó de un nivel aproximado del 20% al 50% en tan sólo 30 años, entre el año 1980 al 2010.</w:t>
      </w:r>
    </w:p>
    <w:p w:rsidR="000711BB" w:rsidRPr="00511772" w:rsidRDefault="000711BB" w:rsidP="000711BB">
      <w:pPr>
        <w:pStyle w:val="NormalWeb"/>
        <w:spacing w:after="0"/>
        <w:jc w:val="both"/>
        <w:textAlignment w:val="baseline"/>
        <w:rPr>
          <w:u w:val="single"/>
        </w:rPr>
      </w:pPr>
      <w:r>
        <w:t xml:space="preserve">Parte del aumento en el poder de mercado viene como resultado de cambios en la tecnología y la estructura económica: considere las economías en red y el crecimiento de las industrias del sector de servicios a nivel local. </w:t>
      </w:r>
      <w:r w:rsidRPr="00511772">
        <w:rPr>
          <w:u w:val="single"/>
        </w:rPr>
        <w:t xml:space="preserve">Una parte de dicho aumento de poder se debe a que las </w:t>
      </w:r>
      <w:r>
        <w:rPr>
          <w:u w:val="single"/>
        </w:rPr>
        <w:t>empresas -</w:t>
      </w:r>
      <w:r w:rsidRPr="00511772">
        <w:rPr>
          <w:u w:val="single"/>
        </w:rPr>
        <w:t>Microsoft y las compañías far</w:t>
      </w:r>
      <w:r>
        <w:rPr>
          <w:u w:val="single"/>
        </w:rPr>
        <w:t>macéuticas son buenos ejemplos-</w:t>
      </w:r>
      <w:r w:rsidRPr="00511772">
        <w:rPr>
          <w:u w:val="single"/>
        </w:rPr>
        <w:t xml:space="preserve"> han aprendido de mejor manera la forma cómo erigir y mantener barreras de ingreso, a menudo con el apoyo de fuerzas políticas conservadoras que justifican la laxa imposición de legislación antimonopólica y el fracaso en la imposición de limitaciones al poder de mercado basándose en el razonamiento que indica que los mercados son competitivos “naturalmente”.</w:t>
      </w:r>
      <w:r>
        <w:t xml:space="preserve"> </w:t>
      </w:r>
      <w:r w:rsidRPr="00511772">
        <w:rPr>
          <w:u w:val="single"/>
        </w:rPr>
        <w:t>Y, otra parte del mencionado aumento refleja el abuso descarado y el apalancamiento de dicho poder de mercado a través de procesos políticos: los grandes bancos, por ejemplo, presionaron al Congreso de Estados Unidos mediante acciones de lobby para que modifique o derogue legislación que separa la banca comercial de otras áreas de las finanzas.</w:t>
      </w:r>
    </w:p>
    <w:p w:rsidR="000711BB" w:rsidRPr="00511772" w:rsidRDefault="000711BB" w:rsidP="000711BB">
      <w:pPr>
        <w:pStyle w:val="NormalWeb"/>
        <w:spacing w:after="0"/>
        <w:jc w:val="both"/>
        <w:textAlignment w:val="baseline"/>
        <w:rPr>
          <w:b/>
          <w:color w:val="FF0000"/>
          <w:u w:val="single"/>
        </w:rPr>
      </w:pPr>
      <w:r>
        <w:t xml:space="preserve">Las consecuencias se pueden evidenciar mediante los datos, mismos que muestran un aumento de la desigualdad en todos los niveles, no sólo a lo largo del espectro de las personas individuales, sino que también a lo largo y ancho de las empresas. </w:t>
      </w:r>
      <w:r w:rsidRPr="00511772">
        <w:rPr>
          <w:b/>
          <w:color w:val="FF0000"/>
          <w:u w:val="single"/>
        </w:rPr>
        <w:t>El informe del CEA señaló que “las empresas que están en el 90 percentil ven rendimientos sobre sus inversiones en capital que son más de cinco veces la mediana. Este ratio estaba más próximo a dos veces la mediana, sólo hace un cuarto de siglo atrás”.</w:t>
      </w:r>
    </w:p>
    <w:p w:rsidR="000711BB" w:rsidRDefault="000711BB" w:rsidP="000711BB">
      <w:pPr>
        <w:pStyle w:val="NormalWeb"/>
        <w:spacing w:after="0"/>
        <w:jc w:val="both"/>
        <w:textAlignment w:val="baseline"/>
      </w:pPr>
      <w:r>
        <w:t>Joseph Schumpeter, uno de los grandes economistas del siglo XX, argumentó que uno no debe preocuparse por el poder del monopolio: los monopolios sólo llegarían a ser temporales. Se daría una feroz competencia por el mercado y esta competencia sustituiría la competencia en el mercado y se garantizaría que los precios se mantuvieran competitivos.</w:t>
      </w:r>
    </w:p>
    <w:p w:rsidR="000711BB" w:rsidRPr="00511772" w:rsidRDefault="000711BB" w:rsidP="000711BB">
      <w:pPr>
        <w:pStyle w:val="NormalWeb"/>
        <w:spacing w:after="0"/>
        <w:jc w:val="both"/>
        <w:textAlignment w:val="baseline"/>
        <w:rPr>
          <w:color w:val="FF0000"/>
          <w:u w:val="single"/>
        </w:rPr>
      </w:pPr>
      <w:r>
        <w:t xml:space="preserve">Mi propio trabajo teórico ya tiempo atrás mostró los defectos en el análisis de Schumpeter, y ahora los resultados empíricos proporcionan una fuerte confirmación. </w:t>
      </w:r>
      <w:r w:rsidRPr="00511772">
        <w:rPr>
          <w:color w:val="FF0000"/>
          <w:u w:val="single"/>
        </w:rPr>
        <w:t>Los mercados de hoy en día se caracterizan por la persistencia de elevadas ganancias monopolistas.</w:t>
      </w:r>
    </w:p>
    <w:p w:rsidR="000711BB" w:rsidRPr="00511772" w:rsidRDefault="000711BB" w:rsidP="000711BB">
      <w:pPr>
        <w:pStyle w:val="NormalWeb"/>
        <w:spacing w:after="0"/>
        <w:jc w:val="both"/>
        <w:textAlignment w:val="baseline"/>
        <w:rPr>
          <w:color w:val="FF0000"/>
          <w:u w:val="single"/>
        </w:rPr>
      </w:pPr>
      <w:r w:rsidRPr="00511772">
        <w:rPr>
          <w:color w:val="FF0000"/>
          <w:u w:val="single"/>
        </w:rPr>
        <w:t>Las implicaciones de esto son profundas. Muchas de las suposiciones acerca de la economía de mercado se basan en la aceptación del modelo competitivo, con rendimientos marginales conmensurados a las contribuciones sociales. Este punto de vista ha dado lugar a dudas acerca de la intervención oficial: si los mercados son fundamentalmente eficientes y justos, es poco lo que incluso el mejor de los gobiernos podría hacer para mejorar la situación. Pero si los mercados se basan en la explotación, la lógica que justifica una actitud laissez-faire desaparece. En efecto, en ese caso, la batalla contra el poder atrincherado no sólo es una batalla por la democracia, sino que también es una batalla por la eficiencia y la prosperidad compartida.</w:t>
      </w:r>
    </w:p>
    <w:p w:rsidR="000711BB" w:rsidRDefault="000711BB" w:rsidP="000711BB">
      <w:pPr>
        <w:pStyle w:val="NormalWeb"/>
        <w:spacing w:after="0"/>
        <w:jc w:val="both"/>
        <w:textAlignment w:val="baseline"/>
        <w:rPr>
          <w:lang w:val="en-US"/>
        </w:rPr>
      </w:pPr>
      <w:r w:rsidRPr="001E644C">
        <w:rPr>
          <w:lang w:val="en-US"/>
        </w:rPr>
        <w:lastRenderedPageBreak/>
        <w:t>(Joseph E. Stiglitz, recipient of the Nobel Memorial Prize in Economic Sciences in 2001 and the John Bates Clark Medal in 1979, is University Professor at Columbia University, Co-Chair of the High-Level Expert Group on the Measurement of Economic Performance and Social</w:t>
      </w:r>
      <w:r>
        <w:rPr>
          <w:lang w:val="en-US"/>
        </w:rPr>
        <w:t xml:space="preserve"> Progress at the OECD</w:t>
      </w:r>
      <w:r w:rsidRPr="001E644C">
        <w:rPr>
          <w:lang w:val="en-US"/>
        </w:rPr>
        <w:t>…)</w:t>
      </w:r>
    </w:p>
    <w:p w:rsidR="000711BB" w:rsidRPr="00E00208" w:rsidRDefault="000711BB" w:rsidP="000711BB">
      <w:pPr>
        <w:pStyle w:val="Ttulo1"/>
        <w:rPr>
          <w:b w:val="0"/>
          <w:sz w:val="24"/>
          <w:szCs w:val="24"/>
        </w:rPr>
      </w:pPr>
      <w:r w:rsidRPr="00E00208">
        <w:rPr>
          <w:b w:val="0"/>
          <w:sz w:val="24"/>
          <w:szCs w:val="24"/>
        </w:rPr>
        <w:t xml:space="preserve">- </w:t>
      </w:r>
      <w:r w:rsidRPr="00E00208">
        <w:rPr>
          <w:b w:val="0"/>
          <w:sz w:val="24"/>
          <w:szCs w:val="24"/>
          <w:u w:val="single"/>
        </w:rPr>
        <w:t>La lucha contra la siguiente crisis financiera global</w:t>
      </w:r>
      <w:r w:rsidRPr="00E00208">
        <w:rPr>
          <w:b w:val="0"/>
          <w:sz w:val="24"/>
          <w:szCs w:val="24"/>
        </w:rPr>
        <w:t xml:space="preserve"> (Project Syndicate - </w:t>
      </w:r>
      <w:r w:rsidRPr="00E00208">
        <w:rPr>
          <w:sz w:val="24"/>
          <w:szCs w:val="24"/>
        </w:rPr>
        <w:t>18/5/16</w:t>
      </w:r>
      <w:r w:rsidRPr="00E00208">
        <w:rPr>
          <w:b w:val="0"/>
          <w:sz w:val="24"/>
          <w:szCs w:val="24"/>
        </w:rPr>
        <w:t>)</w:t>
      </w:r>
    </w:p>
    <w:p w:rsidR="000711BB" w:rsidRDefault="000711BB" w:rsidP="000711BB">
      <w:pPr>
        <w:pStyle w:val="NormalWeb"/>
        <w:jc w:val="both"/>
      </w:pPr>
      <w:r>
        <w:t xml:space="preserve">New Haven.- ¿Qué es lo que las personas quieren decir cuando critican a los generales por “pelear la guerra anterior y no la actual”? No se dice esto porque, alguna vez, los generales piensen que ellos van a enfrentar los mismos sistemas de armas y los mismos campos de batalla que la vez anterior. Ciertamente, sus conocimientos no permitirían un razonamiento de este tipo. El error, en la medida en la que los generales lo cometen, debe darse en un nivel más sutil. Los generales a veces son </w:t>
      </w:r>
      <w:r>
        <w:rPr>
          <w:i/>
          <w:iCs/>
        </w:rPr>
        <w:t>lentos</w:t>
      </w:r>
      <w:r>
        <w:t xml:space="preserve"> en cuanto a empezar a elaborar planes y artillería para esos nuevos sistemas de armas  y campos de batalla. Y lo que es también de igual importancia, en algunas ocasiones los generales suponen que la situación </w:t>
      </w:r>
      <w:r>
        <w:rPr>
          <w:i/>
          <w:iCs/>
        </w:rPr>
        <w:t>psicológica  </w:t>
      </w:r>
      <w:r>
        <w:t xml:space="preserve">pública, así como las </w:t>
      </w:r>
      <w:r>
        <w:rPr>
          <w:i/>
          <w:iCs/>
        </w:rPr>
        <w:t>narrativas</w:t>
      </w:r>
      <w:r>
        <w:t xml:space="preserve"> que influyen el estado de ánimo que es tan importante en el logro de la victoria, son iguales a las que se tenían durante la guerra inmediatamente previa.</w:t>
      </w:r>
    </w:p>
    <w:p w:rsidR="000711BB" w:rsidRPr="00A25B2F" w:rsidRDefault="000711BB" w:rsidP="000711BB">
      <w:pPr>
        <w:pStyle w:val="NormalWeb"/>
        <w:jc w:val="both"/>
      </w:pPr>
      <w:r>
        <w:t xml:space="preserve">Esto también es cierto para los reguladores cuyo trabajo es prevenir las crisis financieras. Por las mismas razones, puede que sean lentos cuando se trata de cambiar en respuesta a las nuevas situaciones. Ellos tienden a ser lentos para adaptarse a la evolución de la situación psicológica pública. La necesidad de una regulación depende de la percepción pública de la última crisis, y, tal como George Akerlof y mi persona sostenemos en nuestro libro </w:t>
      </w:r>
      <w:hyperlink r:id="rId155" w:tgtFrame="_blank" w:history="1">
        <w:r w:rsidRPr="00A25B2F">
          <w:rPr>
            <w:rStyle w:val="Hipervnculo"/>
            <w:i/>
            <w:iCs/>
            <w:color w:val="auto"/>
            <w:u w:val="none"/>
          </w:rPr>
          <w:t>Animal Spirits</w:t>
        </w:r>
      </w:hyperlink>
      <w:r w:rsidRPr="00A25B2F">
        <w:t>, estas percepciones dependen en gran medida de narrativas populares cambiantes.</w:t>
      </w:r>
    </w:p>
    <w:p w:rsidR="000711BB" w:rsidRPr="00A25B2F" w:rsidRDefault="000711BB" w:rsidP="000711BB">
      <w:pPr>
        <w:pStyle w:val="NormalWeb"/>
        <w:jc w:val="both"/>
      </w:pPr>
      <w:r w:rsidRPr="00A25B2F">
        <w:t>Los últimos informes de avance del Consejo de Estabilidad Financiera (FSB, siglas en inglés) en Basilea describen mejoras definitivas en los reglamentos financieros que refuerzan la estabilidad en 24 de las economías más grandes del mundo. Su “</w:t>
      </w:r>
      <w:hyperlink r:id="rId156" w:tgtFrame="_blank" w:history="1">
        <w:r w:rsidRPr="00A25B2F">
          <w:rPr>
            <w:rStyle w:val="Hipervnculo"/>
            <w:color w:val="auto"/>
            <w:u w:val="none"/>
          </w:rPr>
          <w:t>Tablero de instrumentos</w:t>
        </w:r>
      </w:hyperlink>
      <w:r w:rsidRPr="00A25B2F">
        <w:t>” tabula el progreso en 14 áreas regulatorias distintas. Por ejemplo, el FSB otorga altas puntuaciones a todos los 24 países en la implementación de los requerimientos de capital basados ​​en el riesgo de Basilea III.</w:t>
      </w:r>
    </w:p>
    <w:p w:rsidR="000711BB" w:rsidRPr="00A25B2F" w:rsidRDefault="000711BB" w:rsidP="000711BB">
      <w:pPr>
        <w:pStyle w:val="NormalWeb"/>
        <w:jc w:val="both"/>
      </w:pPr>
      <w:r w:rsidRPr="00A25B2F">
        <w:t xml:space="preserve">Pero la situación no es del todo tranquilizadora. Puede que estos requerimientos de capital basados ​​en el riesgo no sean lo suficientemente altos, tal como Anat Admati y Martin Hellwig razonan en su influyente libro </w:t>
      </w:r>
      <w:hyperlink r:id="rId157" w:tgtFrame="_blank" w:history="1">
        <w:r w:rsidRPr="00A25B2F">
          <w:rPr>
            <w:rStyle w:val="Hipervnculo"/>
            <w:i/>
            <w:iCs/>
            <w:color w:val="auto"/>
            <w:u w:val="none"/>
          </w:rPr>
          <w:t>The Bankers New Clothes</w:t>
        </w:r>
      </w:hyperlink>
      <w:r w:rsidRPr="00A25B2F">
        <w:t>. Y, se ha tenido un avance mucho menor en una docena de otras áreas regulatorias tabuladas por el FSB.</w:t>
      </w:r>
    </w:p>
    <w:p w:rsidR="000711BB" w:rsidRDefault="000711BB" w:rsidP="000711BB">
      <w:pPr>
        <w:pStyle w:val="NormalWeb"/>
        <w:jc w:val="both"/>
      </w:pPr>
      <w:r>
        <w:t>Considere, por ejemplo, las normas relativas a los fondos de mercado de dinero, fondos que, de acuerdo con el FSB, sólo unos pocos países han desarrollado desde el año 2008. Los fondos con dinero de mercado son una alternativa a los bancos para guardar el dinero propio, y ofrecen tasas de interés algo más altas, pero sin el seguro que protege los depósitos bancarios en muchos países. Al igual que con los depósitos bancarios, los inversores pueden sacar su dinero en cualquier momento. Y, al igual que en el caso de los depósitos bancarios, los fondos podrían estar sujetos a una corrida si un gran número de personas tratan de retirar su dinero al mismo tiempo.</w:t>
      </w:r>
    </w:p>
    <w:p w:rsidR="000711BB" w:rsidRPr="00A25B2F" w:rsidRDefault="000711BB" w:rsidP="000711BB">
      <w:pPr>
        <w:pStyle w:val="NormalWeb"/>
        <w:jc w:val="both"/>
      </w:pPr>
      <w:r>
        <w:lastRenderedPageBreak/>
        <w:t xml:space="preserve">El 16 de septiembre de 2008, unos días después de que comenzara la corrida del banco estadounidense Washington Mutual y el día después de que se anuncie la quiebra de Lehman Brothers, un importante fondo de mercado de dinero de Estados Unidos, </w:t>
      </w:r>
      <w:hyperlink r:id="rId158" w:tgtFrame="_blank" w:history="1">
        <w:r w:rsidRPr="00A25B2F">
          <w:rPr>
            <w:rStyle w:val="Hipervnculo"/>
            <w:color w:val="auto"/>
            <w:u w:val="none"/>
          </w:rPr>
          <w:t>Reserve Primary Fund</w:t>
        </w:r>
      </w:hyperlink>
      <w:r w:rsidRPr="00A25B2F">
        <w:t xml:space="preserve">, que había invertido en la deuda de Lehman, se encontró en serios problemas. Con activos por un total menor a aquel que debía a los inversores, el fondo parecía estar al borde de una corrida. A medida que aumentó el pánico entre el público, el gobierno federal, por temor a una gran corrida en otros fondos de mercado de dinero, </w:t>
      </w:r>
      <w:hyperlink r:id="rId159" w:tgtFrame="_blank" w:history="1">
        <w:r w:rsidRPr="00A25B2F">
          <w:rPr>
            <w:rStyle w:val="Hipervnculo"/>
            <w:color w:val="auto"/>
            <w:u w:val="none"/>
          </w:rPr>
          <w:t>garantizó todos estos fondos por el período de un año</w:t>
        </w:r>
      </w:hyperlink>
      <w:r w:rsidRPr="00A25B2F">
        <w:t>, a partir del 19 septiembre de 2008.</w:t>
      </w:r>
    </w:p>
    <w:p w:rsidR="000711BB" w:rsidRPr="00A25B2F" w:rsidRDefault="000711BB" w:rsidP="000711BB">
      <w:pPr>
        <w:pStyle w:val="NormalWeb"/>
        <w:jc w:val="both"/>
      </w:pPr>
      <w:r w:rsidRPr="00A25B2F">
        <w:t>La razón por la que esta corrida era tan alarmante como para necesitar de apoyo gubernamental sin precedentes se deriva de las narrativas subyacentes. De hecho, el Reserve Primary Fund no perdió todo. Se limitó a “fraccionar el dólar”, lo que significa que no pudo pagar un dólar por un dólar en libros; pero aún pudo pagar $ 0,97 por cada dólar. Entonces, ¿por qué una crisis? Después de todo, los depositantes bancarios regularmente pierden más cuando la inflación inesperada erosiona el poder adquisitivo real de sus ahorros '(sólo el valor nominal de los depósitos está asegurado). Pero, las narrativas no se centran en eso. La pérdida de valor real debido a la inflación no ha sido un tema importante de la narrativa pública en EEUU durante décadas, debido a que la sostenida estabilidad de precios hizo que las personas se olvidaran de dicha pérdida de valor real.</w:t>
      </w:r>
    </w:p>
    <w:p w:rsidR="000711BB" w:rsidRPr="00A25B2F" w:rsidRDefault="000711BB" w:rsidP="000711BB">
      <w:pPr>
        <w:pStyle w:val="NormalWeb"/>
        <w:jc w:val="both"/>
      </w:pPr>
      <w:r w:rsidRPr="00A25B2F">
        <w:t>Pero, las personas no se han olvidado de la Gran Depresión de la década de 1930, a pesar de que la mayoría de las personas que están vivan hoy no habían nacido aún en aquel entonces. En el año 2008, se recicló la narrativa de la Gran Depresión en todas partes, con todas sus coloridas historias de pánico financiero y multitudes enardecidas que se reunían en los alrededores de bancos cerrados. Además, autoridades que son dignas confianza parecían decir, una y otra vez, que tales hechos eran históricamente remotos y no podía volver a ocurrir. En el enojado espíritu del período 2008, la reacción del público ante un evento relativamente menor tomó proporciones impresionantes.</w:t>
      </w:r>
    </w:p>
    <w:p w:rsidR="000711BB" w:rsidRPr="00A25B2F" w:rsidRDefault="000711BB" w:rsidP="000711BB">
      <w:pPr>
        <w:pStyle w:val="NormalWeb"/>
        <w:jc w:val="both"/>
      </w:pPr>
      <w:r w:rsidRPr="00A25B2F">
        <w:t xml:space="preserve">La Comisión de Bolsa y Valores de Estados Unidos tardó casi seis años tras la crisis para </w:t>
      </w:r>
      <w:hyperlink r:id="rId160" w:tgtFrame="_blank" w:history="1">
        <w:r w:rsidRPr="00A25B2F">
          <w:rPr>
            <w:rStyle w:val="Hipervnculo"/>
            <w:color w:val="auto"/>
            <w:u w:val="none"/>
          </w:rPr>
          <w:t>reducir la vulnerabilidad de los fondos de mercado</w:t>
        </w:r>
      </w:hyperlink>
      <w:r w:rsidRPr="00A25B2F">
        <w:t>, mediante la exigencia en el año 2014 de un “</w:t>
      </w:r>
      <w:hyperlink r:id="rId161" w:tgtFrame="_blank" w:history="1">
        <w:r w:rsidRPr="00A25B2F">
          <w:rPr>
            <w:rStyle w:val="Hipervnculo"/>
            <w:color w:val="auto"/>
            <w:u w:val="none"/>
          </w:rPr>
          <w:t>NAV flotante</w:t>
        </w:r>
      </w:hyperlink>
      <w:r w:rsidRPr="00A25B2F">
        <w:t>” (valor neto de los activos) (NAV, siglas en inglés), lo que significa que los principales fondos de mercado de dinero ya no prometen pagar un dólar  por el valor nominal de un dólar. Ellos le pagan cualquiera fuese la participación del depositante en las cuentas. Esto no ofrece garantías a los inversores de fondos frente a pérdidas. Sin embargo, esta forma plausible ayudará a evitar una corrida, porque esto significa que la retirada repentina de algunos depósitos no dañará las cuentas de otras personas quienes no retiraron sus dineros.</w:t>
      </w:r>
    </w:p>
    <w:p w:rsidR="000711BB" w:rsidRPr="00A25B2F" w:rsidRDefault="000711BB" w:rsidP="000711BB">
      <w:pPr>
        <w:pStyle w:val="NormalWeb"/>
        <w:jc w:val="both"/>
      </w:pPr>
      <w:r w:rsidRPr="00A25B2F">
        <w:t>El marco normativo internacional desde el año 2008 ha cambiado y ha mejorado, pero ninguno de esos cambios puede anticipar todos los tipos de cambios en las narrativas que subyacen a los espíritus animales públicos. Los reguladores pudieron haber impuesto un NAV flotante décadas atrás; no lo hicieron porque no previeron una narrativa que iría a desestabilizar a los fondos de mercado de dinero. No se podía haber esperado que las autoridades regulatorias pronostiquen la atención pública repentina al riesgo recién descubierto de corridas en empresas financieras no bancarias.</w:t>
      </w:r>
    </w:p>
    <w:p w:rsidR="000711BB" w:rsidRPr="00A25B2F" w:rsidRDefault="000711BB" w:rsidP="000711BB">
      <w:pPr>
        <w:pStyle w:val="NormalWeb"/>
        <w:jc w:val="both"/>
      </w:pPr>
      <w:r w:rsidRPr="00A25B2F">
        <w:lastRenderedPageBreak/>
        <w:t>Mientras que tengamos un sistema económico que produce crecimiento mediante la retribución a participantes e inversores inspirados, vamos a enfrentar el riesgo de que las opiniones e historias adversas puedan abrumar repentina y temporalmente la inspiración. Los reguladores deben contrarrestar los riesgos implícitos dentro de estructuras intrínsecamente desestabilizadoras, tal como ocurrió en los fondos de mercado de dinero. Sin embargo, las regulaciones más urgentes siempre serán aquellas específicas al tiempo y contexto, debido a que cambian las narrativas. Y, la forma cómo estas narrativas resuenan con el público puede revelar, una vez más, grietas en la armadura financiera.</w:t>
      </w:r>
    </w:p>
    <w:p w:rsidR="000711BB" w:rsidRPr="006D695E" w:rsidRDefault="000711BB" w:rsidP="000711BB">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895602">
        <w:rPr>
          <w:rFonts w:ascii="Times New Roman" w:hAnsi="Times New Roman"/>
          <w:sz w:val="24"/>
          <w:szCs w:val="24"/>
          <w:lang w:val="en-US"/>
        </w:rPr>
        <w:t xml:space="preserve">Robert J. Shiller, a 2013 Nobel laureate in economics, is Professor of Economics at Yale University and the co-creator of the Case-Shiller Index of US house prices. He is the author of </w:t>
      </w:r>
      <w:hyperlink r:id="rId162" w:tgtFrame="_blank" w:history="1">
        <w:r w:rsidRPr="004D70A5">
          <w:rPr>
            <w:rFonts w:ascii="Times New Roman" w:hAnsi="Times New Roman"/>
            <w:i/>
            <w:iCs/>
            <w:sz w:val="24"/>
            <w:szCs w:val="24"/>
            <w:lang w:val="en-US"/>
          </w:rPr>
          <w:t>Irrational Exuberance</w:t>
        </w:r>
      </w:hyperlink>
      <w:r w:rsidRPr="00895602">
        <w:rPr>
          <w:rFonts w:ascii="Times New Roman" w:hAnsi="Times New Roman"/>
          <w:sz w:val="24"/>
          <w:szCs w:val="24"/>
          <w:lang w:val="en-US"/>
        </w:rPr>
        <w:t xml:space="preserve">, the third edition of which was published in </w:t>
      </w:r>
      <w:r>
        <w:rPr>
          <w:rFonts w:ascii="Times New Roman" w:hAnsi="Times New Roman"/>
          <w:sz w:val="24"/>
          <w:szCs w:val="24"/>
          <w:lang w:val="en-US"/>
        </w:rPr>
        <w:t>January 2015…)</w:t>
      </w:r>
    </w:p>
    <w:p w:rsidR="000711BB" w:rsidRPr="00332289" w:rsidRDefault="000711BB" w:rsidP="000711BB">
      <w:pPr>
        <w:pStyle w:val="Ttulo1"/>
        <w:jc w:val="both"/>
        <w:rPr>
          <w:b w:val="0"/>
          <w:sz w:val="24"/>
          <w:szCs w:val="24"/>
        </w:rPr>
      </w:pPr>
      <w:r>
        <w:rPr>
          <w:b w:val="0"/>
          <w:sz w:val="24"/>
          <w:szCs w:val="24"/>
        </w:rPr>
        <w:t xml:space="preserve">- </w:t>
      </w:r>
      <w:r w:rsidRPr="00332289">
        <w:rPr>
          <w:b w:val="0"/>
          <w:sz w:val="24"/>
          <w:szCs w:val="24"/>
          <w:u w:val="single"/>
        </w:rPr>
        <w:t xml:space="preserve">Una agenda sobre la deuda para el G7 </w:t>
      </w:r>
      <w:r>
        <w:rPr>
          <w:b w:val="0"/>
          <w:sz w:val="24"/>
          <w:szCs w:val="24"/>
        </w:rPr>
        <w:t xml:space="preserve">(Project Syndicate - </w:t>
      </w:r>
      <w:r w:rsidRPr="00332289">
        <w:rPr>
          <w:sz w:val="24"/>
          <w:szCs w:val="24"/>
        </w:rPr>
        <w:t>23/5/16</w:t>
      </w:r>
      <w:r>
        <w:rPr>
          <w:b w:val="0"/>
          <w:sz w:val="24"/>
          <w:szCs w:val="24"/>
        </w:rPr>
        <w:t>)</w:t>
      </w:r>
    </w:p>
    <w:p w:rsidR="000711BB" w:rsidRPr="00AC7E65" w:rsidRDefault="000711BB" w:rsidP="000711BB">
      <w:pPr>
        <w:pStyle w:val="NormalWeb"/>
        <w:jc w:val="both"/>
        <w:rPr>
          <w:u w:val="single"/>
        </w:rPr>
      </w:pPr>
      <w:r>
        <w:t xml:space="preserve">Cambridge.- </w:t>
      </w:r>
      <w:r w:rsidRPr="00AC7E65">
        <w:rPr>
          <w:u w:val="single"/>
        </w:rPr>
        <w:t>El 26 y 27 de mayo los Jefes de Estado del Grupo de los Siete principales países industriales se reunirán en Japón para conversar sobre problemas económicos y de seguridad comunes. Un importante problema común que merece su atención es el aumento insostenible de la deuda nacional de los principales países desarrollados. No abordar la explosión del endeudamiento gubernamental tendrá efectos adversos que afecten a la economía mundial y a los propios países agobiados por la deuda.</w:t>
      </w:r>
    </w:p>
    <w:p w:rsidR="000711BB" w:rsidRPr="00AC7E65" w:rsidRDefault="000711BB" w:rsidP="000711BB">
      <w:pPr>
        <w:pStyle w:val="NormalWeb"/>
        <w:jc w:val="both"/>
        <w:rPr>
          <w:color w:val="FF0000"/>
          <w:u w:val="single"/>
        </w:rPr>
      </w:pPr>
      <w:r w:rsidRPr="00AC7E65">
        <w:rPr>
          <w:color w:val="FF0000"/>
          <w:u w:val="single"/>
        </w:rPr>
        <w:t xml:space="preserve">El problema es grave y cada vez empeora más, casi en todas partes. En Estados Unidos, la Oficina de Presupuesto del Congreso de la Nación </w:t>
      </w:r>
      <w:hyperlink r:id="rId163" w:tgtFrame="_blank" w:history="1">
        <w:r w:rsidRPr="00AC7E65">
          <w:rPr>
            <w:rStyle w:val="Hipervnculo"/>
            <w:color w:val="FF0000"/>
          </w:rPr>
          <w:t>estima</w:t>
        </w:r>
      </w:hyperlink>
      <w:r w:rsidRPr="00AC7E65">
        <w:rPr>
          <w:color w:val="FF0000"/>
          <w:u w:val="single"/>
        </w:rPr>
        <w:t xml:space="preserve"> que la deuda del gobierno federal se duplicó durante la última década, ya que aumentó desde el 36% del PIB al 74% del PIB</w:t>
      </w:r>
      <w:r>
        <w:t xml:space="preserve">. </w:t>
      </w:r>
      <w:r w:rsidRPr="00AC7E65">
        <w:rPr>
          <w:u w:val="single"/>
        </w:rPr>
        <w:t>También predice que, en un escenario con supuestos económicos favorables y sin nuevos programas para aumentar el gasto o reducir los ingresos, el ratio de deuda a diez años a partir de ahora se situará en un nivel del 86% del PIB</w:t>
      </w:r>
      <w:r>
        <w:t xml:space="preserve">. </w:t>
      </w:r>
      <w:r w:rsidRPr="00AC7E65">
        <w:rPr>
          <w:color w:val="FF0000"/>
          <w:u w:val="single"/>
        </w:rPr>
        <w:t>Los que es aún más preocupante: el ratio de déficit anual se duplicará en la próxima década alcanzando un 4,9% del PIB, lo que pondrá a la deuda en camino de superar el 100% del PIB.</w:t>
      </w:r>
    </w:p>
    <w:p w:rsidR="000711BB" w:rsidRPr="00AC7E65" w:rsidRDefault="000711BB" w:rsidP="000711BB">
      <w:pPr>
        <w:pStyle w:val="NormalWeb"/>
        <w:jc w:val="both"/>
        <w:rPr>
          <w:color w:val="FF0000"/>
          <w:u w:val="single"/>
        </w:rPr>
      </w:pPr>
      <w:r w:rsidRPr="00AC7E65">
        <w:rPr>
          <w:color w:val="FF0000"/>
          <w:u w:val="single"/>
        </w:rPr>
        <w:t xml:space="preserve">La situación en Japón es aún peor, ya que la </w:t>
      </w:r>
      <w:hyperlink r:id="rId164" w:tgtFrame="_blank" w:history="1">
        <w:r w:rsidRPr="00AC7E65">
          <w:rPr>
            <w:rStyle w:val="Hipervnculo"/>
            <w:color w:val="FF0000"/>
          </w:rPr>
          <w:t>deuda bruta</w:t>
        </w:r>
      </w:hyperlink>
      <w:r w:rsidRPr="00AC7E65">
        <w:rPr>
          <w:color w:val="FF0000"/>
          <w:u w:val="single"/>
        </w:rPr>
        <w:t xml:space="preserve"> de este país supera el 200% del PIB. El actual déficit anual de Japón del 6% del PIB implica que el ratio de deuda seguirá aumentando rápidamente, a menos que se tomen medidas.</w:t>
      </w:r>
    </w:p>
    <w:p w:rsidR="000711BB" w:rsidRPr="00AC7E65" w:rsidRDefault="000711BB" w:rsidP="000711BB">
      <w:pPr>
        <w:pStyle w:val="NormalWeb"/>
        <w:jc w:val="both"/>
        <w:rPr>
          <w:color w:val="FF0000"/>
          <w:u w:val="single"/>
        </w:rPr>
      </w:pPr>
      <w:r w:rsidRPr="00AC7E65">
        <w:rPr>
          <w:color w:val="FF0000"/>
          <w:u w:val="single"/>
        </w:rPr>
        <w:t>Las condiciones difieren entre los países de la eurozona. Sin embargo, tres de las cuatro mayores economías de la Unión Europea</w:t>
      </w:r>
      <w:r>
        <w:rPr>
          <w:color w:val="FF0000"/>
          <w:u w:val="single"/>
        </w:rPr>
        <w:t xml:space="preserve"> -</w:t>
      </w:r>
      <w:r w:rsidRPr="00AC7E65">
        <w:rPr>
          <w:color w:val="FF0000"/>
          <w:u w:val="single"/>
        </w:rPr>
        <w:t>Fr</w:t>
      </w:r>
      <w:r>
        <w:rPr>
          <w:color w:val="FF0000"/>
          <w:u w:val="single"/>
        </w:rPr>
        <w:t>ancia, Italia y el Reino Unido-</w:t>
      </w:r>
      <w:r w:rsidRPr="00AC7E65">
        <w:rPr>
          <w:color w:val="FF0000"/>
          <w:u w:val="single"/>
        </w:rPr>
        <w:t xml:space="preserve"> tienen grandes deudas y déficit anuales que van en dirección de alcanzar ratios de deuda aún mayores en el futuro.</w:t>
      </w:r>
    </w:p>
    <w:p w:rsidR="000711BB" w:rsidRPr="00AC7E65" w:rsidRDefault="000711BB" w:rsidP="000711BB">
      <w:pPr>
        <w:pStyle w:val="NormalWeb"/>
        <w:jc w:val="both"/>
        <w:rPr>
          <w:u w:val="single"/>
        </w:rPr>
      </w:pPr>
      <w:r w:rsidRPr="00AC7E65">
        <w:rPr>
          <w:u w:val="single"/>
        </w:rPr>
        <w:t>Un nivel en aumento de deuda nacional absorbe fondos que, de otro modo, estarían disponibles para financiar inversiones empresariales que mejoren la productividad. Las empresas ahora temen que los crecientes déficits conduzcan hacia niveles más altos de impuestos, desalentando aún más las inversiones adicionales.</w:t>
      </w:r>
    </w:p>
    <w:p w:rsidR="000711BB" w:rsidRPr="00AC7E65" w:rsidRDefault="000711BB" w:rsidP="000711BB">
      <w:pPr>
        <w:pStyle w:val="NormalWeb"/>
        <w:jc w:val="both"/>
        <w:rPr>
          <w:u w:val="single"/>
        </w:rPr>
      </w:pPr>
      <w:r w:rsidRPr="00AC7E65">
        <w:rPr>
          <w:u w:val="single"/>
        </w:rPr>
        <w:t>Esa es una perspectiva preocupante para todos</w:t>
      </w:r>
      <w:r>
        <w:t xml:space="preserve">. Cuando las tasas de interés suben, como seguramente lo tienen que hacer, el costo del servicio de la deuda requerirá de mayores </w:t>
      </w:r>
      <w:r>
        <w:lastRenderedPageBreak/>
        <w:t xml:space="preserve">impuestos, mismos que perjudicarán a los incentivos económicos y debilitarán la actividad económica. Además, </w:t>
      </w:r>
      <w:r w:rsidRPr="00AC7E65">
        <w:rPr>
          <w:u w:val="single"/>
        </w:rPr>
        <w:t>la persistencia de grandes déficits reduce el margen que tienen los gobiernos para aumentar el gasto cuando se enfrenta una crisis económica o una amenaza a la seguridad nacional.</w:t>
      </w:r>
    </w:p>
    <w:p w:rsidR="000711BB" w:rsidRPr="00AC7E65" w:rsidRDefault="000711BB" w:rsidP="000711BB">
      <w:pPr>
        <w:pStyle w:val="NormalWeb"/>
        <w:jc w:val="both"/>
        <w:rPr>
          <w:color w:val="FF0000"/>
          <w:u w:val="single"/>
        </w:rPr>
      </w:pPr>
      <w:r>
        <w:t xml:space="preserve">La reducción del déficit es, obviamente, una tarea para los responsables de los ingresos fiscales y el gasto público: los gobiernos y las asambleas legislativas. Sin embargo, </w:t>
      </w:r>
      <w:r w:rsidRPr="00AC7E65">
        <w:rPr>
          <w:u w:val="single"/>
        </w:rPr>
        <w:t>los bancos centrales también juegan un papel,</w:t>
      </w:r>
      <w:r>
        <w:t xml:space="preserve"> influyendo en el problema de dos maneras. </w:t>
      </w:r>
      <w:r w:rsidRPr="00AC7E65">
        <w:rPr>
          <w:color w:val="FF0000"/>
          <w:u w:val="single"/>
        </w:rPr>
        <w:t>Las políticas relativas a tasas de interés bajas en los países avanzados están abatiendo el tamaño actual de los déficits presupuestarios, pero el costo de ello es la reducción de la presión que se ejerce sobre los líderes políticos para que aborden futuros déficits, así como el incentivo que reciben los votantes para ponerse a favor de más programas de gasto y mayores recortes fiscales. Los bancos centrales pueden coadyuvar al anunciar claramente que las tasas de interés subirán sustancialmente en el futuro, lo que hará que para los gobiernos sea más caro prestarse y renovar la deuda existente.</w:t>
      </w:r>
    </w:p>
    <w:p w:rsidR="000711BB" w:rsidRDefault="000711BB" w:rsidP="000711BB">
      <w:pPr>
        <w:pStyle w:val="NormalWeb"/>
        <w:jc w:val="both"/>
      </w:pPr>
      <w:r w:rsidRPr="00AC7E65">
        <w:rPr>
          <w:u w:val="single"/>
        </w:rPr>
        <w:t>La reducción de los déficits anuales requerirá ya sea de un aumento de los ingresos de impuestos o de una disminución de los desembolsos de gastos. El aumento de las tasas de impuestos marginales es por un lado políticamente impopular y por otro económicamente perjudicial</w:t>
      </w:r>
      <w:r>
        <w:t>. En EEUU, se tiene margen para aumentar los ingresos sin aumentar las tasas de impuestos, mediante la limitación de los llamados gastos fiscales – es decir, las formas de gasto que se incluyen dentro de las normas fiscales, en lugar de que se las asigne anualmente en el Congreso.</w:t>
      </w:r>
    </w:p>
    <w:p w:rsidR="000711BB" w:rsidRDefault="000711BB" w:rsidP="000711BB">
      <w:pPr>
        <w:pStyle w:val="NormalWeb"/>
        <w:jc w:val="both"/>
      </w:pPr>
      <w:r>
        <w:t>Por ejemplo, un estadounidense que compra un automóvil eléctrico recibe una reducción de impuestos de $ 7.000. Los gastos fiscales de mayor tamaño en EEUU incluyen la deducción de intereses hipotecarios y la exclusión de la base imponible de las primas del seguro de salud que son pagadas por el empleador.</w:t>
      </w:r>
    </w:p>
    <w:p w:rsidR="000711BB" w:rsidRPr="00AC7E65" w:rsidRDefault="000711BB" w:rsidP="000711BB">
      <w:pPr>
        <w:pStyle w:val="NormalWeb"/>
        <w:jc w:val="both"/>
        <w:rPr>
          <w:color w:val="FF0000"/>
          <w:u w:val="single"/>
        </w:rPr>
      </w:pPr>
      <w:r w:rsidRPr="00AC7E65">
        <w:rPr>
          <w:color w:val="FF0000"/>
          <w:u w:val="single"/>
        </w:rPr>
        <w:t>A pesar de que la eliminación de cualquiera de estos grandes gastos fiscales podría ser políticamente imposible, limitar la cantidad en la que un contribuyente podría reducir su deuda tributaria mediante el uso de estas disposiciones podría llevar a recaudar ingresos sustanciales. Por lo tanto, yo hago todo lo posible por convencer a mis amigos republicanos en el Congreso de que la reducción de la pérdida de ingresos provenientes de los gastos fiscales es realmente una manera de reducir el gasto público, a pesar de que la reducción del déficit aparece en la columna de los ingresos del presupuesto.</w:t>
      </w:r>
    </w:p>
    <w:p w:rsidR="000711BB" w:rsidRPr="00AC7E65" w:rsidRDefault="000711BB" w:rsidP="000711BB">
      <w:pPr>
        <w:pStyle w:val="NormalWeb"/>
        <w:jc w:val="both"/>
        <w:rPr>
          <w:color w:val="FF0000"/>
          <w:u w:val="single"/>
        </w:rPr>
      </w:pPr>
      <w:r w:rsidRPr="00AC7E65">
        <w:rPr>
          <w:u w:val="single"/>
        </w:rPr>
        <w:t xml:space="preserve">La buena noticia es que una reducción relativamente pequeña de los déficits anuales puede poner una economía en camino hacia un ratio deuda-PIB mucho menor. </w:t>
      </w:r>
      <w:r>
        <w:rPr>
          <w:color w:val="FF0000"/>
          <w:u w:val="single"/>
        </w:rPr>
        <w:t>En el caso de EEUU</w:t>
      </w:r>
      <w:r w:rsidRPr="00AC7E65">
        <w:rPr>
          <w:color w:val="FF0000"/>
          <w:u w:val="single"/>
        </w:rPr>
        <w:t>, la reducción del déficit desde el nivel proyectado del 4,9% del PIB al 3% del PIB haría que el ratio de deuda descienda con dirección hacia un 60%.</w:t>
      </w:r>
    </w:p>
    <w:p w:rsidR="000711BB" w:rsidRPr="00AC7E65" w:rsidRDefault="000711BB" w:rsidP="000711BB">
      <w:pPr>
        <w:pStyle w:val="NormalWeb"/>
        <w:jc w:val="both"/>
        <w:rPr>
          <w:color w:val="FF0000"/>
          <w:u w:val="single"/>
        </w:rPr>
      </w:pPr>
      <w:r>
        <w:t xml:space="preserve">Lo mismo es cierto en otros lugares. El ratio deuda-PIB a largo plazo es igual al ratio del déficit de presupuesto anual con relación a la tasa anual de crecimiento del PIB nominal. </w:t>
      </w:r>
      <w:r w:rsidRPr="00AC7E65">
        <w:rPr>
          <w:color w:val="FF0000"/>
          <w:u w:val="single"/>
        </w:rPr>
        <w:t>Si se tiene un crecimiento del PIB nominal del 4%, un déficit presupuestario del 2%  haría que el ratio de deuda a largo plazo descienda al 50%. Ese debe ser el objetivo que aspiren alcanza todos los países del G7.</w:t>
      </w:r>
    </w:p>
    <w:p w:rsidR="000711BB" w:rsidRDefault="000711BB" w:rsidP="000711BB">
      <w:pPr>
        <w:pStyle w:val="NormalWeb"/>
        <w:jc w:val="both"/>
        <w:rPr>
          <w:lang w:val="en-US"/>
        </w:rPr>
      </w:pPr>
      <w:r>
        <w:rPr>
          <w:lang w:val="en-US"/>
        </w:rPr>
        <w:t>(</w:t>
      </w:r>
      <w:r w:rsidRPr="00332289">
        <w:rPr>
          <w:lang w:val="en-US"/>
        </w:rPr>
        <w:t xml:space="preserve">Martin Feldstein, Professor of Economics at Harvard University and President Emeritus of the National Bureau of Economic Research, chaired President Ronald </w:t>
      </w:r>
      <w:r w:rsidRPr="00332289">
        <w:rPr>
          <w:lang w:val="en-US"/>
        </w:rPr>
        <w:lastRenderedPageBreak/>
        <w:t>Reagan’s Council of Economic Advisers from 1982 to 1984. In 2006, he was appointed to President Bush's Foreign Intelligence</w:t>
      </w:r>
      <w:r>
        <w:rPr>
          <w:lang w:val="en-US"/>
        </w:rPr>
        <w:t xml:space="preserve"> Advisory Board</w:t>
      </w:r>
      <w:r w:rsidRPr="00332289">
        <w:rPr>
          <w:lang w:val="en-US"/>
        </w:rPr>
        <w:t>…</w:t>
      </w:r>
      <w:r>
        <w:rPr>
          <w:lang w:val="en-US"/>
        </w:rPr>
        <w:t>)</w:t>
      </w:r>
    </w:p>
    <w:p w:rsidR="000711BB" w:rsidRPr="009F5394" w:rsidRDefault="000711BB" w:rsidP="000711BB">
      <w:pPr>
        <w:pStyle w:val="Ttulo1"/>
        <w:rPr>
          <w:b w:val="0"/>
          <w:sz w:val="24"/>
          <w:szCs w:val="24"/>
        </w:rPr>
      </w:pPr>
      <w:r w:rsidRPr="009F5394">
        <w:rPr>
          <w:b w:val="0"/>
          <w:sz w:val="24"/>
          <w:szCs w:val="24"/>
        </w:rPr>
        <w:t xml:space="preserve">- </w:t>
      </w:r>
      <w:r w:rsidRPr="009F5394">
        <w:rPr>
          <w:b w:val="0"/>
          <w:sz w:val="24"/>
          <w:szCs w:val="24"/>
          <w:u w:val="single"/>
        </w:rPr>
        <w:t>Los riesgos del ahorro de Estados Unidos</w:t>
      </w:r>
      <w:r w:rsidRPr="009F5394">
        <w:rPr>
          <w:b w:val="0"/>
          <w:sz w:val="24"/>
          <w:szCs w:val="24"/>
        </w:rPr>
        <w:t xml:space="preserve"> (Project Syndicate - </w:t>
      </w:r>
      <w:r w:rsidRPr="009F5394">
        <w:rPr>
          <w:sz w:val="24"/>
          <w:szCs w:val="24"/>
        </w:rPr>
        <w:t>23/5/16</w:t>
      </w:r>
      <w:r w:rsidRPr="009F5394">
        <w:rPr>
          <w:b w:val="0"/>
          <w:sz w:val="24"/>
          <w:szCs w:val="24"/>
        </w:rPr>
        <w:t>)</w:t>
      </w:r>
    </w:p>
    <w:p w:rsidR="000711BB" w:rsidRPr="001606D3" w:rsidRDefault="000711BB" w:rsidP="000711BB">
      <w:pPr>
        <w:pStyle w:val="NormalWeb"/>
        <w:jc w:val="both"/>
        <w:rPr>
          <w:color w:val="FF0000"/>
          <w:u w:val="single"/>
        </w:rPr>
      </w:pPr>
      <w:r>
        <w:t xml:space="preserve">New Haven.- </w:t>
      </w:r>
      <w:r w:rsidRPr="001606D3">
        <w:rPr>
          <w:color w:val="FF0000"/>
          <w:u w:val="single"/>
        </w:rPr>
        <w:t>Invariablemente, los políticos estadounidenses culpan al comercio de ser enemigo de la clase media y generar la mayor presión sobre el empleo y los salarios. La actual campaña presidencial no es la excepción: tanto los republicanos como los demócratas apuntan a China y al Acuerdo Transpacífico, llamándolos el azote de los atribulados trabajadores estadounidenses. Si bien puede que sea una explicación conveniente en términos políticos, la verdad es muy diferente.</w:t>
      </w:r>
    </w:p>
    <w:p w:rsidR="000711BB" w:rsidRPr="008A34A5" w:rsidRDefault="000711BB" w:rsidP="000711BB">
      <w:pPr>
        <w:pStyle w:val="NormalWeb"/>
        <w:jc w:val="both"/>
        <w:rPr>
          <w:color w:val="FF0000"/>
          <w:u w:val="single"/>
        </w:rPr>
      </w:pPr>
      <w:r w:rsidRPr="008A34A5">
        <w:rPr>
          <w:color w:val="FF0000"/>
          <w:u w:val="single"/>
        </w:rPr>
        <w:t xml:space="preserve">Como </w:t>
      </w:r>
      <w:hyperlink r:id="rId165" w:history="1">
        <w:r w:rsidRPr="008A34A5">
          <w:rPr>
            <w:rStyle w:val="Hipervnculo"/>
            <w:color w:val="FF0000"/>
          </w:rPr>
          <w:t>argumenté</w:t>
        </w:r>
      </w:hyperlink>
      <w:r w:rsidRPr="008A34A5">
        <w:rPr>
          <w:color w:val="FF0000"/>
          <w:u w:val="single"/>
        </w:rPr>
        <w:t xml:space="preserve"> hace poco, Estados Unidos se ha cavado su propia tumba en lo referente al comercio. El culpable es el gran déficit del ahorro: por décadas, el país ha vivido por encima de sus posibilidades, recurriendo indiscriminadamente a un superávit de ahorro de otros países para financiar el mayor desenfreno de consumo de la historia. Por supuesto, los políticos no quieren culpar a los votantes por su despilfarro: es mucho más fácil dirigir a otros el dedo acusador.</w:t>
      </w:r>
    </w:p>
    <w:p w:rsidR="000711BB" w:rsidRPr="008A34A5" w:rsidRDefault="000711BB" w:rsidP="000711BB">
      <w:pPr>
        <w:pStyle w:val="NormalWeb"/>
        <w:jc w:val="both"/>
        <w:rPr>
          <w:u w:val="single"/>
        </w:rPr>
      </w:pPr>
      <w:r w:rsidRPr="008A34A5">
        <w:rPr>
          <w:u w:val="single"/>
        </w:rPr>
        <w:t xml:space="preserve">La crítica en torno al ahorro merece un análisis más profundo. Los datos indican que los países con déficits de ahorro tienden a tener déficits comerciales, mientras que lo contrario ocurre con los que poseen superávits. Estados Unidos es el ejemplo más evidente: muestra </w:t>
      </w:r>
      <w:r w:rsidRPr="00A25B2F">
        <w:rPr>
          <w:u w:val="single"/>
        </w:rPr>
        <w:t xml:space="preserve">una </w:t>
      </w:r>
      <w:hyperlink r:id="rId166" w:tgtFrame="_blank" w:history="1">
        <w:r w:rsidRPr="00A25B2F">
          <w:rPr>
            <w:rStyle w:val="Hipervnculo"/>
            <w:color w:val="auto"/>
          </w:rPr>
          <w:t>tasa de ahorro nacional neta</w:t>
        </w:r>
      </w:hyperlink>
      <w:r w:rsidRPr="008A34A5">
        <w:rPr>
          <w:u w:val="single"/>
        </w:rPr>
        <w:t xml:space="preserve"> de un 2,6% a fines de 2015 (menos de la mitad del promedio de 6,3% de las últimas tres décadas del siglo veinte) y déficits comerciales con 101 naciones.</w:t>
      </w:r>
    </w:p>
    <w:p w:rsidR="000711BB" w:rsidRPr="008A34A5" w:rsidRDefault="000711BB" w:rsidP="000711BB">
      <w:pPr>
        <w:pStyle w:val="NormalWeb"/>
        <w:jc w:val="both"/>
        <w:rPr>
          <w:color w:val="FF0000"/>
          <w:u w:val="single"/>
        </w:rPr>
      </w:pPr>
      <w:r w:rsidRPr="008A34A5">
        <w:rPr>
          <w:color w:val="FF0000"/>
          <w:u w:val="single"/>
        </w:rPr>
        <w:t>El patrón se confirma en otros países. El Reino Unido, Canadá, Finlandia, Grecia y Portugal (todos con grandes déficits comerciales) ahorran mucho menos que otros países desarrollados. A la inversa, países con alto ahorro, como Alemania, Japón, Holanda, Noruega, Dinamarca, Corea del Sur, Suecia y Suiza tienen superávits comerciales.</w:t>
      </w:r>
    </w:p>
    <w:p w:rsidR="000711BB" w:rsidRPr="008A34A5" w:rsidRDefault="000711BB" w:rsidP="000711BB">
      <w:pPr>
        <w:pStyle w:val="NormalWeb"/>
        <w:jc w:val="both"/>
        <w:rPr>
          <w:b/>
          <w:color w:val="FF0000"/>
          <w:u w:val="single"/>
        </w:rPr>
      </w:pPr>
      <w:r w:rsidRPr="008A34A5">
        <w:rPr>
          <w:b/>
          <w:color w:val="FF0000"/>
          <w:u w:val="single"/>
        </w:rPr>
        <w:t xml:space="preserve">Los desequilibrios en el ahorro también pueden llevar a flujos de capital internacionales desestabilizadores, burbujas de activos y crisis financieras. Ese fue el caso antes de la crisis financiera de 2008-2009, cuando los desequilibrios de ahorros globales, según lo medido por las disparidades entre países con déficits y superávits de cuenta corriente, alcanzaron un </w:t>
      </w:r>
      <w:hyperlink r:id="rId167" w:tgtFrame="_blank" w:history="1">
        <w:r w:rsidRPr="008A34A5">
          <w:rPr>
            <w:rStyle w:val="Hipervnculo"/>
            <w:b/>
            <w:color w:val="FF0000"/>
          </w:rPr>
          <w:t>récord de los tiempos modernos</w:t>
        </w:r>
      </w:hyperlink>
      <w:r w:rsidRPr="008A34A5">
        <w:rPr>
          <w:b/>
          <w:color w:val="FF0000"/>
          <w:u w:val="single"/>
        </w:rPr>
        <w:t>. Las burbujas de activos y crédito avivadas por esos desequilibrios llevaron al mundo al borde de un abismo que no se había visto desde la década de 1930.</w:t>
      </w:r>
    </w:p>
    <w:p w:rsidR="000711BB" w:rsidRPr="00A25B2F" w:rsidRDefault="000711BB" w:rsidP="000711BB">
      <w:pPr>
        <w:pStyle w:val="NormalWeb"/>
        <w:jc w:val="both"/>
      </w:pPr>
      <w:r>
        <w:t xml:space="preserve">En esto también hay mucho intercambio de acusaciones. Los países deficitarios tienden a responsabilizar el “exceso de ahorro”, ávido de rendimientos, que plaga los mercados financieros globales. </w:t>
      </w:r>
      <w:r w:rsidRPr="00A25B2F">
        <w:t xml:space="preserve">Como </w:t>
      </w:r>
      <w:hyperlink r:id="rId168" w:tgtFrame="_blank" w:history="1">
        <w:r w:rsidRPr="00A25B2F">
          <w:rPr>
            <w:rStyle w:val="Hipervnculo"/>
            <w:color w:val="auto"/>
            <w:u w:val="none"/>
          </w:rPr>
          <w:t>lo expresara</w:t>
        </w:r>
      </w:hyperlink>
      <w:r w:rsidRPr="00A25B2F">
        <w:t xml:space="preserve"> Ben Bernanke, ex Presidente de la Reserva Federal, si sólo países como China hubieran gastado más, no se hubieran originado las burbujas que casi causaron la bancarrota de Estados Unidos. Otros se han apresurado a </w:t>
      </w:r>
      <w:hyperlink r:id="rId169" w:tgtFrame="_blank" w:history="1">
        <w:r w:rsidRPr="00A25B2F">
          <w:rPr>
            <w:rStyle w:val="Hipervnculo"/>
            <w:color w:val="auto"/>
            <w:u w:val="none"/>
          </w:rPr>
          <w:t>señalar</w:t>
        </w:r>
      </w:hyperlink>
      <w:r w:rsidRPr="00A25B2F">
        <w:t xml:space="preserve"> que el supuesto milagro económico estadounidense probablemente no hubiera ocurrido sin el capital de los países con superávits.</w:t>
      </w:r>
    </w:p>
    <w:p w:rsidR="000711BB" w:rsidRPr="008A34A5" w:rsidRDefault="000711BB" w:rsidP="000711BB">
      <w:pPr>
        <w:pStyle w:val="NormalWeb"/>
        <w:jc w:val="both"/>
        <w:rPr>
          <w:color w:val="FF0000"/>
          <w:u w:val="single"/>
        </w:rPr>
      </w:pPr>
      <w:r w:rsidRPr="008A34A5">
        <w:rPr>
          <w:color w:val="FF0000"/>
          <w:u w:val="single"/>
        </w:rPr>
        <w:t>La manera más prudente de abordar el asunto sería llegar a un punto medio entre ahorro y gasto, lo que es par</w:t>
      </w:r>
      <w:r>
        <w:rPr>
          <w:color w:val="FF0000"/>
          <w:u w:val="single"/>
        </w:rPr>
        <w:t>ticularmente importante para EEUU</w:t>
      </w:r>
      <w:r w:rsidRPr="008A34A5">
        <w:rPr>
          <w:color w:val="FF0000"/>
          <w:u w:val="single"/>
        </w:rPr>
        <w:t xml:space="preserve"> y China, que en conjunto </w:t>
      </w:r>
      <w:r w:rsidRPr="008A34A5">
        <w:rPr>
          <w:color w:val="FF0000"/>
          <w:u w:val="single"/>
        </w:rPr>
        <w:lastRenderedPageBreak/>
        <w:t>representan una parte desproporcionada de las disparidades del ahorro mundial. En pocas palabras, Estados Unidos tiene que ahorrar más y gastar menos y China debe ahorrar menos y gastar más. Para lograrlo, ambos países tendrán que superar mentalidades muy arraigadas.</w:t>
      </w:r>
    </w:p>
    <w:p w:rsidR="000711BB" w:rsidRDefault="000711BB" w:rsidP="000711BB">
      <w:pPr>
        <w:pStyle w:val="NormalWeb"/>
        <w:jc w:val="both"/>
      </w:pPr>
      <w:r w:rsidRPr="008A34A5">
        <w:rPr>
          <w:u w:val="single"/>
        </w:rPr>
        <w:t>En este frente, China ha llevado la delantera con la estrategia de reequilibrio centrado en el consumo que introdujera hace cinco años</w:t>
      </w:r>
      <w:r>
        <w:t xml:space="preserve">. Hasta ahora, los resultados han sido mixtos, ya que la inadecuada financiación de la red de seguridad social sigue atemperando el apoyo a los ingresos de los hogares logrado mediante la creación de empleos en el sector servicios y los aumentos de los salarios reales creados por la mayor urbanización. Sin embargo, últimamente ha mostrado el compromiso con la superación de estas limitaciones. Su Decimotercer Plan Quinquenal, presentado recientemente, apunta a una liberalización de las tasas de interés, la flexibilización del sistema </w:t>
      </w:r>
      <w:r>
        <w:rPr>
          <w:i/>
          <w:iCs/>
        </w:rPr>
        <w:t>hukou</w:t>
      </w:r>
      <w:r>
        <w:t xml:space="preserve"> de permisos residenciales (lo que mejoraría la portabilidad de los beneficios) y la relajación de la política de planificación familiar de un solo hijo, todo lo cual ayudaría a relajar el ahorro preventivo de los ciudadanos por temor a las condiciones futuras.</w:t>
      </w:r>
    </w:p>
    <w:p w:rsidR="000711BB" w:rsidRPr="008A34A5" w:rsidRDefault="000711BB" w:rsidP="000711BB">
      <w:pPr>
        <w:pStyle w:val="NormalWeb"/>
        <w:jc w:val="both"/>
        <w:rPr>
          <w:u w:val="single"/>
        </w:rPr>
      </w:pPr>
      <w:r w:rsidRPr="008A34A5">
        <w:rPr>
          <w:u w:val="single"/>
        </w:rPr>
        <w:t>Pero Estados Unidos ha apuntado en la dirección opuesta. No hay interés en debatir el problema del ahorro, por no hablar de políticas que lo puedan afrontar</w:t>
      </w:r>
      <w:r>
        <w:t xml:space="preserve">. La hipotética agenda estadounidense de estímulo al ahorro debería abordar los temas de la consolidación fiscal de largo plazo, la ampliación de las cuentas de jubilación individuales y los planes 401K, una reforma tributaria al consumo (como impuestos a las ventas o al valor añadido) y la normalización de las tasas de interés. </w:t>
      </w:r>
      <w:r w:rsidRPr="008A34A5">
        <w:rPr>
          <w:u w:val="single"/>
        </w:rPr>
        <w:t>En lugar de ello, los políticos estadounidenses siguen centrándose en cómo dar continuidad al desenfreno consumista, sin pensar en sus implicaciones para la necesidad de mejorar los índices de ahorro del país.</w:t>
      </w:r>
    </w:p>
    <w:p w:rsidR="000711BB" w:rsidRPr="008A34A5" w:rsidRDefault="000711BB" w:rsidP="000711BB">
      <w:pPr>
        <w:pStyle w:val="NormalWeb"/>
        <w:jc w:val="both"/>
        <w:rPr>
          <w:color w:val="FF0000"/>
          <w:u w:val="single"/>
        </w:rPr>
      </w:pPr>
      <w:r w:rsidRPr="008A34A5">
        <w:rPr>
          <w:color w:val="FF0000"/>
          <w:u w:val="single"/>
        </w:rPr>
        <w:t xml:space="preserve">La respuesta asimétrica de las dos mayores economías del mundo a sus respectivos dilemas de ahorro tiene consecuencias de largo alcance. En la medida que China avance en el camino del reequilibrio con más énfasis en el consumo, irá pasando del superávit a la absorción del ahorro. La tasa de ahorro bruta nacional de China ya ha </w:t>
      </w:r>
      <w:hyperlink r:id="rId170" w:tgtFrame="_blank" w:history="1">
        <w:r w:rsidRPr="008A34A5">
          <w:rPr>
            <w:rStyle w:val="Hipervnculo"/>
            <w:color w:val="FF0000"/>
          </w:rPr>
          <w:t>descendido</w:t>
        </w:r>
      </w:hyperlink>
      <w:r w:rsidRPr="008A34A5">
        <w:rPr>
          <w:color w:val="FF0000"/>
          <w:u w:val="single"/>
        </w:rPr>
        <w:t xml:space="preserve"> desde su máximo del 52% del PGB en 2008 a cerca de 44% este año, y debería bajar más aún en los años venideros.</w:t>
      </w:r>
    </w:p>
    <w:p w:rsidR="000711BB" w:rsidRDefault="000711BB" w:rsidP="000711BB">
      <w:pPr>
        <w:pStyle w:val="NormalWeb"/>
        <w:jc w:val="both"/>
      </w:pPr>
      <w:r>
        <w:t xml:space="preserve">Estados Unidos, que por largo tiempo ha estado trabado en una relación económica </w:t>
      </w:r>
      <w:hyperlink r:id="rId171" w:tgtFrame="_blank" w:history="1">
        <w:r w:rsidRPr="00A25B2F">
          <w:rPr>
            <w:rStyle w:val="Hipervnculo"/>
            <w:color w:val="auto"/>
            <w:u w:val="none"/>
          </w:rPr>
          <w:t>codependiente</w:t>
        </w:r>
      </w:hyperlink>
      <w:r w:rsidRPr="00A25B2F">
        <w:t xml:space="preserve"> </w:t>
      </w:r>
      <w:r w:rsidRPr="0084580E">
        <w:t xml:space="preserve">con </w:t>
      </w:r>
      <w:r>
        <w:t>China, no se puede permitir pasar por alto este cambio. Después de todo, además de reducir sus superávits de comercio y cuenta corriente, el paso de China a una absorción del ahorro gracias al énfasis en el consumo probablemente implique una menor acumulación de reservas en moneda extranjera y menos conversión de estas reservas en activos denominados en dólares, como los bonos del Tesoro de EEUU.</w:t>
      </w:r>
    </w:p>
    <w:p w:rsidR="000711BB" w:rsidRPr="008A34A5" w:rsidRDefault="000711BB" w:rsidP="000711BB">
      <w:pPr>
        <w:pStyle w:val="NormalWeb"/>
        <w:jc w:val="both"/>
        <w:rPr>
          <w:color w:val="FF0000"/>
          <w:u w:val="single"/>
        </w:rPr>
      </w:pPr>
      <w:r w:rsidRPr="008A34A5">
        <w:rPr>
          <w:color w:val="FF0000"/>
          <w:u w:val="single"/>
        </w:rPr>
        <w:t>Si Estados Unidos no logra elevar su ahorro interno, bien podría ocurrir que la falta de capital chino le obligue a pagar un mayor coste del financiamiento externo, expresado en un dólar más débil, mayores tasas de interés reales, o ambos. Esas son las trampas clásicas de la codependencia: cuando un socio altera la relación, el otro sufre consecuencias.</w:t>
      </w:r>
    </w:p>
    <w:p w:rsidR="000711BB" w:rsidRPr="008A34A5" w:rsidRDefault="000711BB" w:rsidP="000711BB">
      <w:pPr>
        <w:pStyle w:val="NormalWeb"/>
        <w:jc w:val="both"/>
        <w:rPr>
          <w:color w:val="FF0000"/>
          <w:u w:val="single"/>
        </w:rPr>
      </w:pPr>
      <w:r w:rsidRPr="008A34A5">
        <w:rPr>
          <w:color w:val="FF0000"/>
          <w:u w:val="single"/>
        </w:rPr>
        <w:t xml:space="preserve">Ningún país puede prosperar indefinidamente sin ahorrar. Puesto que su moneda es la divisa de reserva global, Estados Unidos ha podido escapar al problema, principalmente porque el resto de los países lo han consentido. Después de todo, quienes lo permitieron </w:t>
      </w:r>
      <w:r w:rsidRPr="008A34A5">
        <w:rPr>
          <w:color w:val="FF0000"/>
          <w:u w:val="single"/>
        </w:rPr>
        <w:lastRenderedPageBreak/>
        <w:t>(especialmente economías orientadas a las exportaciones, como China y su cadena de suministro dependiente de los recursos) se han beneficiado del desenfreno consumista estadounidense, ya que ha impulsado una enorme expansión del comercio global.</w:t>
      </w:r>
    </w:p>
    <w:p w:rsidR="000711BB" w:rsidRPr="008A34A5" w:rsidRDefault="000711BB" w:rsidP="000711BB">
      <w:pPr>
        <w:pStyle w:val="NormalWeb"/>
        <w:jc w:val="both"/>
        <w:rPr>
          <w:color w:val="FF0000"/>
          <w:u w:val="single"/>
        </w:rPr>
      </w:pPr>
      <w:r w:rsidRPr="008A34A5">
        <w:rPr>
          <w:u w:val="single"/>
        </w:rPr>
        <w:t>Pero es un fenómeno que tiene los días contados. Cada vez más, los votantes estadounidenses (en especial, trabajadores de clase media enfadados y desfavorecidos) reconocen que hay algo que no cuadra</w:t>
      </w:r>
      <w:r>
        <w:t xml:space="preserve">. Y, no obstante, sus políticos siguen dirigiendo esa rabia hacia actores externos, sin ver el subsidio al crecimiento que ha venido de la mano de la “amabilidad de los desconocidos”. </w:t>
      </w:r>
      <w:r w:rsidRPr="008A34A5">
        <w:rPr>
          <w:color w:val="FF0000"/>
          <w:u w:val="single"/>
        </w:rPr>
        <w:t>Ya es hora de que reconozcan esta incómoda verdad: el déficit de ahorro es la gran amenaza para el Sueño Americano.</w:t>
      </w:r>
    </w:p>
    <w:p w:rsidR="000711BB" w:rsidRDefault="000711BB" w:rsidP="000711BB">
      <w:pPr>
        <w:spacing w:after="0" w:line="240" w:lineRule="auto"/>
        <w:jc w:val="both"/>
        <w:rPr>
          <w:rFonts w:ascii="Times New Roman" w:hAnsi="Times New Roman"/>
          <w:sz w:val="24"/>
          <w:szCs w:val="24"/>
          <w:lang w:val="en-US"/>
        </w:rPr>
      </w:pPr>
      <w:r>
        <w:rPr>
          <w:rFonts w:ascii="Times New Roman" w:hAnsi="Times New Roman"/>
          <w:sz w:val="24"/>
          <w:szCs w:val="24"/>
          <w:lang w:val="en-US"/>
        </w:rPr>
        <w:t>(</w:t>
      </w:r>
      <w:r w:rsidRPr="009F5394">
        <w:rPr>
          <w:rFonts w:ascii="Times New Roman" w:hAnsi="Times New Roman"/>
          <w:sz w:val="24"/>
          <w:szCs w:val="24"/>
          <w:lang w:val="en-US"/>
        </w:rPr>
        <w:t>Stephen S. Roach, former Chairman of Morgan Stanley Asia and the firm's chief economist, is a senior fellow at Yale University's Jackson Institute of Global Affairs and a senior lecturer at Yale's School of Management</w:t>
      </w:r>
      <w:r>
        <w:rPr>
          <w:rFonts w:ascii="Times New Roman" w:hAnsi="Times New Roman"/>
          <w:sz w:val="24"/>
          <w:szCs w:val="24"/>
          <w:lang w:val="en-US"/>
        </w:rPr>
        <w:t>…)</w:t>
      </w:r>
    </w:p>
    <w:p w:rsidR="000711BB" w:rsidRPr="007859BA" w:rsidRDefault="000711BB" w:rsidP="000711BB">
      <w:pPr>
        <w:pStyle w:val="Ttulo1"/>
        <w:rPr>
          <w:b w:val="0"/>
          <w:sz w:val="24"/>
          <w:szCs w:val="24"/>
        </w:rPr>
      </w:pPr>
      <w:r w:rsidRPr="007859BA">
        <w:rPr>
          <w:b w:val="0"/>
          <w:sz w:val="24"/>
          <w:szCs w:val="24"/>
        </w:rPr>
        <w:t xml:space="preserve">- </w:t>
      </w:r>
      <w:r w:rsidRPr="007859BA">
        <w:rPr>
          <w:b w:val="0"/>
          <w:sz w:val="24"/>
          <w:szCs w:val="24"/>
          <w:u w:val="single"/>
        </w:rPr>
        <w:t>La falsa promesa de las tasas de interés negativas</w:t>
      </w:r>
      <w:r w:rsidRPr="007859BA">
        <w:rPr>
          <w:b w:val="0"/>
          <w:sz w:val="24"/>
          <w:szCs w:val="24"/>
        </w:rPr>
        <w:t xml:space="preserve"> (Project Syndicate - </w:t>
      </w:r>
      <w:r w:rsidRPr="007859BA">
        <w:rPr>
          <w:sz w:val="24"/>
          <w:szCs w:val="24"/>
        </w:rPr>
        <w:t>24/5/16</w:t>
      </w:r>
      <w:r w:rsidRPr="007859BA">
        <w:rPr>
          <w:b w:val="0"/>
          <w:sz w:val="24"/>
          <w:szCs w:val="24"/>
        </w:rPr>
        <w:t>)</w:t>
      </w:r>
    </w:p>
    <w:p w:rsidR="000711BB" w:rsidRPr="006038C9" w:rsidRDefault="000711BB" w:rsidP="000711BB">
      <w:pPr>
        <w:pStyle w:val="NormalWeb"/>
        <w:jc w:val="both"/>
        <w:rPr>
          <w:u w:val="single"/>
        </w:rPr>
      </w:pPr>
      <w:r>
        <w:t xml:space="preserve">Londres.- </w:t>
      </w:r>
      <w:r w:rsidRPr="006038C9">
        <w:rPr>
          <w:u w:val="single"/>
        </w:rPr>
        <w:t>Como biógrafo y estudioso de John Maynard Keynes, a veces me preguntan: “¿Qué pensaría Keynes sobre las tasas de interés negativas?”</w:t>
      </w:r>
    </w:p>
    <w:p w:rsidR="000711BB" w:rsidRPr="006038C9" w:rsidRDefault="000711BB" w:rsidP="000711BB">
      <w:pPr>
        <w:pStyle w:val="NormalWeb"/>
        <w:jc w:val="both"/>
        <w:rPr>
          <w:u w:val="single"/>
        </w:rPr>
      </w:pPr>
      <w:r>
        <w:t xml:space="preserve">Es una buena pregunta, una que recuerda un acápite del libro de Keynes </w:t>
      </w:r>
      <w:r>
        <w:rPr>
          <w:i/>
          <w:iCs/>
        </w:rPr>
        <w:t>La teoría general</w:t>
      </w:r>
      <w:r>
        <w:t xml:space="preserve"> en el cual señala que si el gobierno para solucionar el problema del desempleo no puede pensar en algo que sea más sensato (por ejemplo, digamos, construir viviendas), se podría considerar como hacer algo enterrar botellas llenas de papel moneda y desenterrarlas nuevamente, en vez de no hacer nada. </w:t>
      </w:r>
      <w:r w:rsidRPr="006038C9">
        <w:rPr>
          <w:u w:val="single"/>
        </w:rPr>
        <w:t>Probablemente, Keynes hubiese dicho lo mismo acerca de las tasas de interés negativas: son una medida desesperada que toman los gobiernos que no pueden pensar en ninguna otra medida.</w:t>
      </w:r>
    </w:p>
    <w:p w:rsidR="000711BB" w:rsidRPr="006038C9" w:rsidRDefault="000711BB" w:rsidP="000711BB">
      <w:pPr>
        <w:spacing w:line="240" w:lineRule="auto"/>
        <w:jc w:val="both"/>
        <w:rPr>
          <w:rFonts w:ascii="Times New Roman" w:hAnsi="Times New Roman"/>
          <w:b/>
          <w:color w:val="FF0000"/>
          <w:sz w:val="24"/>
          <w:szCs w:val="24"/>
          <w:u w:val="single"/>
          <w:lang w:val="en-US"/>
        </w:rPr>
      </w:pPr>
      <w:r w:rsidRPr="006038C9">
        <w:rPr>
          <w:rFonts w:ascii="Times New Roman" w:hAnsi="Times New Roman"/>
          <w:color w:val="FF0000"/>
          <w:sz w:val="24"/>
          <w:szCs w:val="24"/>
          <w:u w:val="single"/>
        </w:rPr>
        <w:t>Las tasas de interés negativas son simplemente el más reciente esfuerzo infructuoso desde que sobrevino la crisis financiera mundial del año 2008 para reactivar las economías a través de medidas monetarias</w:t>
      </w:r>
      <w:r w:rsidRPr="004D2D71">
        <w:rPr>
          <w:rFonts w:ascii="Times New Roman" w:hAnsi="Times New Roman"/>
          <w:sz w:val="24"/>
          <w:szCs w:val="24"/>
        </w:rPr>
        <w:t xml:space="preserve">. </w:t>
      </w:r>
      <w:r w:rsidRPr="006038C9">
        <w:rPr>
          <w:rFonts w:ascii="Times New Roman" w:hAnsi="Times New Roman"/>
          <w:b/>
          <w:color w:val="FF0000"/>
          <w:sz w:val="24"/>
          <w:szCs w:val="24"/>
          <w:u w:val="single"/>
        </w:rPr>
        <w:t xml:space="preserve">Cuando mediante el recorte de las tasas de interés a niveles históricamente bajos no se logró reactivar el crecimiento, los bancos centrales adoptaron la llamada </w:t>
      </w:r>
      <w:hyperlink r:id="rId172" w:tgtFrame="_blank" w:history="1">
        <w:r w:rsidRPr="006038C9">
          <w:rPr>
            <w:rStyle w:val="Hipervnculo"/>
            <w:rFonts w:ascii="Times New Roman" w:hAnsi="Times New Roman"/>
            <w:b/>
            <w:color w:val="FF0000"/>
            <w:sz w:val="24"/>
            <w:szCs w:val="24"/>
          </w:rPr>
          <w:t>flexibilización cuantitativa</w:t>
        </w:r>
      </w:hyperlink>
      <w:r w:rsidRPr="006038C9">
        <w:rPr>
          <w:rFonts w:ascii="Times New Roman" w:hAnsi="Times New Roman"/>
          <w:b/>
          <w:color w:val="FF0000"/>
          <w:sz w:val="24"/>
          <w:szCs w:val="24"/>
          <w:u w:val="single"/>
        </w:rPr>
        <w:t>: la inyección de liquidez en las economías mediante la compra de bonos gubernamentales y otros bonos de largo plazo. Esta medida fue parcialmente beneficiosa; sin embargo, los vendedores en su mayoría se quedaron con el dinero en efectivo, en lugar de gastar o invertir dicho dinero.</w:t>
      </w:r>
    </w:p>
    <w:p w:rsidR="000711BB" w:rsidRPr="006038C9" w:rsidRDefault="000711BB" w:rsidP="000711BB">
      <w:pPr>
        <w:pStyle w:val="NormalWeb"/>
        <w:jc w:val="both"/>
        <w:rPr>
          <w:color w:val="FF0000"/>
          <w:u w:val="single"/>
        </w:rPr>
      </w:pPr>
      <w:r w:rsidRPr="006038C9">
        <w:rPr>
          <w:color w:val="FF0000"/>
          <w:u w:val="single"/>
        </w:rPr>
        <w:t>Tengamos en consideración el ingreso a las políticas de tasas de interés negativas. Los bancos centrales de Dinamarca, Suecia, Suiza, Japón y de la eurozona, en su totalidad, se han dado el gusto de aplicarlas. La Reserva Federal de Estados Unidos y el Banco de Inglaterra están siendo tentados a hacerlo.</w:t>
      </w:r>
    </w:p>
    <w:p w:rsidR="000711BB" w:rsidRPr="00A25B2F" w:rsidRDefault="000711BB" w:rsidP="000711BB">
      <w:pPr>
        <w:pStyle w:val="NormalWeb"/>
        <w:jc w:val="both"/>
        <w:rPr>
          <w:u w:val="single"/>
        </w:rPr>
      </w:pPr>
      <w:r w:rsidRPr="006038C9">
        <w:rPr>
          <w:u w:val="single"/>
        </w:rPr>
        <w:t xml:space="preserve">“Tasas de interés negativas” es una frase aparentemente diseñada para confundir a todas las personas, menos a los expertos. En lugar de pagar intereses sobre las reservas en “exceso” que depositan los bancos comerciales en el banco central, el banco central grava estos depósitos. La idea es impulsar a que los bancos reduzcan sus saldos no utilizados e incrementen sus préstamos o inversiones. </w:t>
      </w:r>
      <w:r w:rsidRPr="00A25B2F">
        <w:rPr>
          <w:u w:val="single"/>
        </w:rPr>
        <w:t xml:space="preserve">En el caso del </w:t>
      </w:r>
      <w:hyperlink r:id="rId173" w:tgtFrame="_blank" w:history="1">
        <w:r w:rsidRPr="00A25B2F">
          <w:rPr>
            <w:rStyle w:val="Hipervnculo"/>
            <w:color w:val="auto"/>
          </w:rPr>
          <w:t>Banco Central Europeo</w:t>
        </w:r>
      </w:hyperlink>
      <w:r w:rsidRPr="00A25B2F">
        <w:rPr>
          <w:u w:val="single"/>
        </w:rPr>
        <w:t xml:space="preserve">, hay una razón técnica: se desea incrementar la oferta de bonos de alta calidad </w:t>
      </w:r>
      <w:r w:rsidRPr="00A25B2F">
        <w:rPr>
          <w:u w:val="single"/>
        </w:rPr>
        <w:lastRenderedPageBreak/>
        <w:t xml:space="preserve">para el </w:t>
      </w:r>
      <w:hyperlink r:id="rId174" w:history="1">
        <w:r w:rsidRPr="00A25B2F">
          <w:rPr>
            <w:rStyle w:val="Hipervnculo"/>
            <w:color w:val="auto"/>
          </w:rPr>
          <w:t>programa de flexibilización cuantitativa</w:t>
        </w:r>
      </w:hyperlink>
      <w:r w:rsidRPr="00A25B2F">
        <w:rPr>
          <w:u w:val="single"/>
        </w:rPr>
        <w:t xml:space="preserve"> que está en curso y es propugnado por su presidente Mario Draghi.</w:t>
      </w:r>
    </w:p>
    <w:p w:rsidR="000711BB" w:rsidRPr="00A25B2F" w:rsidRDefault="000711BB" w:rsidP="000711BB">
      <w:pPr>
        <w:pStyle w:val="NormalWeb"/>
        <w:jc w:val="both"/>
      </w:pPr>
      <w:r w:rsidRPr="00A25B2F">
        <w:t xml:space="preserve">Esta política se supone que funciona mediante la alineación de la tasa de interés de mercado con la tasa de ganancia esperada, una idea derivada del pensamiento del economista sueco </w:t>
      </w:r>
      <w:hyperlink r:id="rId175" w:tgtFrame="_blank" w:history="1">
        <w:r w:rsidRPr="00A25B2F">
          <w:rPr>
            <w:rStyle w:val="Hipervnculo"/>
            <w:color w:val="auto"/>
            <w:u w:val="none"/>
          </w:rPr>
          <w:t>Knut Wicksell</w:t>
        </w:r>
      </w:hyperlink>
      <w:r w:rsidRPr="00A25B2F">
        <w:t>.  El problema es que, teniendo en cuenta que hasta ahora se había creído que las tasas de interés nominales no podían caer por debajo de cero, la tasa de retorno esperada de un inversor por una nueva inversión puede caer fácilmente a cero o más abajo cuando se deprime la demanda agregada.</w:t>
      </w:r>
    </w:p>
    <w:p w:rsidR="000711BB" w:rsidRDefault="000711BB" w:rsidP="000711BB">
      <w:pPr>
        <w:pStyle w:val="NormalWeb"/>
        <w:jc w:val="both"/>
      </w:pPr>
      <w:r w:rsidRPr="006038C9">
        <w:rPr>
          <w:color w:val="FF0000"/>
          <w:u w:val="single"/>
        </w:rPr>
        <w:t>Las tasas de interés negativas son el último intento por eliminar las disparidades de incentivos para prestamistas y prestatarios. Hacer  que sea más costoso para los bancos comerciales estacionar su dinero en el banco central debería reducir el costo de los créditos comerciales</w:t>
      </w:r>
      <w:r>
        <w:t>. El cálculo que se hace indica que será más sensato para un banco comercial poner su dinero en circulación, ya sea a través de colocación de préstamos o de compras de títulos-valores públicos y otros, en vez de pagar al banco central para que mantenga en sus arcas dicho dinero.</w:t>
      </w:r>
    </w:p>
    <w:p w:rsidR="000711BB" w:rsidRPr="006038C9" w:rsidRDefault="000711BB" w:rsidP="000711BB">
      <w:pPr>
        <w:pStyle w:val="NormalWeb"/>
        <w:jc w:val="both"/>
        <w:rPr>
          <w:color w:val="FF0000"/>
          <w:u w:val="single"/>
        </w:rPr>
      </w:pPr>
      <w:r w:rsidRPr="006038C9">
        <w:rPr>
          <w:color w:val="FF0000"/>
          <w:u w:val="single"/>
        </w:rPr>
        <w:t xml:space="preserve">Sin embargo, tal como el Banco Mundial </w:t>
      </w:r>
      <w:hyperlink r:id="rId176" w:tgtFrame="_blank" w:history="1">
        <w:r w:rsidRPr="006038C9">
          <w:rPr>
            <w:rStyle w:val="Hipervnculo"/>
            <w:color w:val="FF0000"/>
          </w:rPr>
          <w:t>ha señalado</w:t>
        </w:r>
      </w:hyperlink>
      <w:r w:rsidRPr="006038C9">
        <w:rPr>
          <w:color w:val="FF0000"/>
          <w:u w:val="single"/>
        </w:rPr>
        <w:t>, las tasas negativas pueden tener efectos indeseables. Ellas pueden erosionar la rentabilidad bancaria por el estrechamiento de los márgenes de tasas de interés. También pueden alentar a que los bancos asuman riesgos excesivos, dando lugar a la creación de burbujas de activos. Las tasas de interés sobre depósitos más bajas pueden causar que grandes sectores de la economía se conviertan en sectores que funcionan fundamentalmente con dinero en efectivo, mientras que al mismo tiempo las compañías de seguros y pensiones pueden tener dificultades para cumplir con sus obligaciones a largo plazo debido a una tasa nominal fija.</w:t>
      </w:r>
    </w:p>
    <w:p w:rsidR="000711BB" w:rsidRPr="006038C9" w:rsidRDefault="000711BB" w:rsidP="000711BB">
      <w:pPr>
        <w:pStyle w:val="NormalWeb"/>
        <w:jc w:val="both"/>
        <w:rPr>
          <w:color w:val="FF0000"/>
          <w:u w:val="single"/>
        </w:rPr>
      </w:pPr>
      <w:r w:rsidRPr="006038C9">
        <w:rPr>
          <w:color w:val="FF0000"/>
          <w:u w:val="single"/>
        </w:rPr>
        <w:t xml:space="preserve">Pero, aparte de estos problemas, el verdadero argumento en contra de las tasas de interés negativas es la locura de depender de la política monetaria por sí sola para rescatar y sacar a las economías de sus condiciones deprimidas. Keynes lo expresó </w:t>
      </w:r>
      <w:hyperlink r:id="rId177" w:anchor="v=onepage&amp;q&amp;f=false" w:tgtFrame="_blank" w:history="1">
        <w:r w:rsidRPr="006038C9">
          <w:rPr>
            <w:rStyle w:val="Hipervnculo"/>
            <w:color w:val="FF0000"/>
          </w:rPr>
          <w:t>en pocas palabras</w:t>
        </w:r>
      </w:hyperlink>
      <w:r w:rsidRPr="006038C9">
        <w:rPr>
          <w:color w:val="FF0000"/>
          <w:u w:val="single"/>
        </w:rPr>
        <w:t xml:space="preserve">: “Si nos tienta afirmar que el dinero es la bebida que estimula al sistema hacia la actividad, debemos recordar que hay muchos deslices entre la copa y el labio”. Vale la pena recordar su lista de “deslices” </w:t>
      </w:r>
    </w:p>
    <w:p w:rsidR="000711BB" w:rsidRPr="006038C9" w:rsidRDefault="000711BB" w:rsidP="000711BB">
      <w:pPr>
        <w:pStyle w:val="NormalWeb"/>
        <w:jc w:val="both"/>
        <w:rPr>
          <w:b/>
          <w:color w:val="FF0000"/>
          <w:u w:val="single"/>
        </w:rPr>
      </w:pPr>
      <w:r w:rsidRPr="006038C9">
        <w:rPr>
          <w:b/>
          <w:color w:val="FF0000"/>
          <w:u w:val="single"/>
        </w:rPr>
        <w:t> “Pese a que se puede esperar un aumento en la cantidad de dinero ... para reducir la tasa de interés, esto no sucederá si las preferencias de liquidez del público están aumentando más que la cantidad de dinero; y pese a que se puede esperar una disminución en la tasa de interés ... para aumentar el volumen de inversión, eso no sucederá si [las expectativas de ganancias] están cayendo más rápido que la tasa de interés; y pese a que se puede esperar un aumento en el volumen de inversión ... para aumentar el empleo, puede que esto no llegue a suceder si la propensión al consumo está en caída”.</w:t>
      </w:r>
    </w:p>
    <w:p w:rsidR="000711BB" w:rsidRPr="00A25B2F" w:rsidRDefault="000711BB" w:rsidP="000711BB">
      <w:pPr>
        <w:pStyle w:val="NormalWeb"/>
        <w:jc w:val="both"/>
        <w:rPr>
          <w:u w:val="single"/>
        </w:rPr>
      </w:pPr>
      <w:r>
        <w:t xml:space="preserve">Efectivamente. </w:t>
      </w:r>
      <w:r w:rsidRPr="006038C9">
        <w:rPr>
          <w:u w:val="single"/>
        </w:rPr>
        <w:t xml:space="preserve">Los economistas están ahora ocupados inventando nuevas formas ingeniosas de magia monetaria para cuando falle la más reciente política: gravar las tenencias de efectivo, o incluso abolir por completo el dinero en efectivo; o, en el otro extremo, proporcionar a la población con dinero recién impreso a través de </w:t>
      </w:r>
      <w:r w:rsidRPr="00A25B2F">
        <w:rPr>
          <w:u w:val="single"/>
        </w:rPr>
        <w:t>“</w:t>
      </w:r>
      <w:hyperlink r:id="rId178" w:history="1">
        <w:r w:rsidRPr="00A25B2F">
          <w:rPr>
            <w:rStyle w:val="Hipervnculo"/>
            <w:color w:val="auto"/>
          </w:rPr>
          <w:t>caídas desde helicópteros</w:t>
        </w:r>
      </w:hyperlink>
      <w:r w:rsidRPr="00A25B2F">
        <w:rPr>
          <w:u w:val="single"/>
        </w:rPr>
        <w:t>”.</w:t>
      </w:r>
    </w:p>
    <w:p w:rsidR="000711BB" w:rsidRPr="006038C9" w:rsidRDefault="000711BB" w:rsidP="000711BB">
      <w:pPr>
        <w:pStyle w:val="NormalWeb"/>
        <w:jc w:val="both"/>
        <w:rPr>
          <w:color w:val="FF0000"/>
          <w:u w:val="single"/>
        </w:rPr>
      </w:pPr>
      <w:r w:rsidRPr="006038C9">
        <w:rPr>
          <w:color w:val="FF0000"/>
          <w:u w:val="single"/>
        </w:rPr>
        <w:lastRenderedPageBreak/>
        <w:t>La verdad, sin embargo, es que la única manera de garantizar que el “dinero nuevo” se ponga en circulación es hacer que el gobierno lo gaste. El gobierno podría pedir prestado el dinero directamente al banco central y utilizarlo para construir casas, renovar los sistemas de transporte, invertir en tecnologías de ahorro de energía, y así sucesivamente.</w:t>
      </w:r>
    </w:p>
    <w:p w:rsidR="000711BB" w:rsidRPr="006038C9" w:rsidRDefault="000711BB" w:rsidP="000711BB">
      <w:pPr>
        <w:pStyle w:val="NormalWeb"/>
        <w:jc w:val="both"/>
        <w:rPr>
          <w:color w:val="FF0000"/>
          <w:u w:val="single"/>
        </w:rPr>
      </w:pPr>
      <w:r w:rsidRPr="006038C9">
        <w:rPr>
          <w:color w:val="FF0000"/>
          <w:u w:val="single"/>
        </w:rPr>
        <w:t>Lamentablemente, este tipo de financiación monetaria de los déficits públicos es por el momento un tabú. Es contrario a las normativas de la Unión Europea</w:t>
      </w:r>
      <w:r>
        <w:rPr>
          <w:color w:val="FF0000"/>
          <w:u w:val="single"/>
        </w:rPr>
        <w:t xml:space="preserve"> -</w:t>
      </w:r>
      <w:r w:rsidRPr="006038C9">
        <w:rPr>
          <w:color w:val="FF0000"/>
          <w:u w:val="single"/>
        </w:rPr>
        <w:t xml:space="preserve"> y se oponen al mismo todos los que consideran que las dificultades fiscales posteriores a la crisis que atraviesan los gobiernos son “una oportunidad para reducir el tamaño del papel del Estado”.</w:t>
      </w:r>
    </w:p>
    <w:p w:rsidR="000711BB" w:rsidRPr="0084580E" w:rsidRDefault="000711BB" w:rsidP="000711BB">
      <w:pPr>
        <w:pStyle w:val="NormalWeb"/>
        <w:jc w:val="both"/>
        <w:rPr>
          <w:u w:val="single"/>
          <w:lang w:val="en-US"/>
        </w:rPr>
      </w:pPr>
      <w:r w:rsidRPr="006038C9">
        <w:rPr>
          <w:u w:val="single"/>
        </w:rPr>
        <w:t xml:space="preserve">Pero si es del todo cierto que al estar </w:t>
      </w:r>
      <w:r w:rsidRPr="00A25B2F">
        <w:rPr>
          <w:u w:val="single"/>
        </w:rPr>
        <w:t>entrando en un período de “</w:t>
      </w:r>
      <w:hyperlink r:id="rId179" w:tgtFrame="_blank" w:history="1">
        <w:r w:rsidRPr="00A25B2F">
          <w:rPr>
            <w:rStyle w:val="Hipervnculo"/>
            <w:color w:val="auto"/>
          </w:rPr>
          <w:t>estancamiento secular</w:t>
        </w:r>
      </w:hyperlink>
      <w:r w:rsidRPr="00A25B2F">
        <w:rPr>
          <w:u w:val="single"/>
        </w:rPr>
        <w:t xml:space="preserve">” y de creciente falta de trabajo, tal como </w:t>
      </w:r>
      <w:hyperlink r:id="rId180" w:history="1">
        <w:r w:rsidRPr="00A25B2F">
          <w:rPr>
            <w:rStyle w:val="Hipervnculo"/>
            <w:color w:val="auto"/>
          </w:rPr>
          <w:t>Larry Summers</w:t>
        </w:r>
      </w:hyperlink>
      <w:r w:rsidRPr="00A25B2F">
        <w:t xml:space="preserve">  y otros han argumentado, es ineludible para el Estado desempeñar un papel de mayor inversión. </w:t>
      </w:r>
      <w:r w:rsidRPr="00A25B2F">
        <w:rPr>
          <w:u w:val="single"/>
        </w:rPr>
        <w:t xml:space="preserve">Acontecimientos posteriores a la crisis del año 2008 muestran claramente que la política monetaria por sí sola no puede lograr un nivel de actividad económica </w:t>
      </w:r>
      <w:r w:rsidRPr="0084580E">
        <w:rPr>
          <w:u w:val="single"/>
        </w:rPr>
        <w:t xml:space="preserve">que se acerque a su potencial. </w:t>
      </w:r>
      <w:r w:rsidRPr="0084580E">
        <w:rPr>
          <w:u w:val="single"/>
          <w:lang w:val="en-US"/>
        </w:rPr>
        <w:t>El Estado tiene que estar involucrado.</w:t>
      </w:r>
    </w:p>
    <w:p w:rsidR="000711BB" w:rsidRPr="006038C9" w:rsidRDefault="000711BB" w:rsidP="000711BB">
      <w:pPr>
        <w:pStyle w:val="NormalWeb"/>
        <w:jc w:val="both"/>
        <w:rPr>
          <w:color w:val="FF0000"/>
          <w:u w:val="single"/>
        </w:rPr>
      </w:pPr>
      <w:r w:rsidRPr="006038C9">
        <w:rPr>
          <w:color w:val="FF0000"/>
          <w:u w:val="single"/>
        </w:rPr>
        <w:t>Es secundario que el gasto de capital aparezca ya sea en los libros del gobierno central o en el balance general de un banco de inversión independiente (como yo preferiría). Las tasas de interés negativas son simplemente una distracción que nos aleja de un análisis má</w:t>
      </w:r>
      <w:r w:rsidR="00A25B2F">
        <w:rPr>
          <w:color w:val="FF0000"/>
          <w:u w:val="single"/>
        </w:rPr>
        <w:t>s profundo de lo que salió mal -</w:t>
      </w:r>
      <w:r w:rsidRPr="006038C9">
        <w:rPr>
          <w:color w:val="FF0000"/>
          <w:u w:val="single"/>
        </w:rPr>
        <w:t xml:space="preserve"> y de lo continúa saliendo mal.</w:t>
      </w:r>
    </w:p>
    <w:p w:rsidR="000711BB" w:rsidRDefault="000711BB" w:rsidP="000711BB">
      <w:pPr>
        <w:pStyle w:val="NormalWeb"/>
        <w:spacing w:after="0"/>
        <w:jc w:val="both"/>
        <w:textAlignment w:val="baseline"/>
        <w:rPr>
          <w:lang w:val="en-US"/>
        </w:rPr>
      </w:pPr>
      <w:r>
        <w:rPr>
          <w:lang w:val="en-US"/>
        </w:rPr>
        <w:t>(</w:t>
      </w:r>
      <w:r w:rsidRPr="004D2D71">
        <w:rPr>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political</w:t>
      </w:r>
      <w:r>
        <w:rPr>
          <w:lang w:val="en-US"/>
        </w:rPr>
        <w:t xml:space="preserve"> career in the Labour party…)</w:t>
      </w:r>
    </w:p>
    <w:p w:rsidR="000711BB" w:rsidRDefault="000711BB" w:rsidP="000711BB">
      <w:pPr>
        <w:pStyle w:val="NormalWeb"/>
        <w:shd w:val="clear" w:color="auto" w:fill="FFFFFF"/>
        <w:spacing w:after="300"/>
        <w:jc w:val="both"/>
        <w:textAlignment w:val="baseline"/>
      </w:pPr>
      <w:r>
        <w:t xml:space="preserve">- </w:t>
      </w:r>
      <w:r w:rsidRPr="005901B9">
        <w:rPr>
          <w:u w:val="single"/>
        </w:rPr>
        <w:t>Generation Jobless</w:t>
      </w:r>
      <w:r>
        <w:t xml:space="preserve"> (Project Syndicate - </w:t>
      </w:r>
      <w:r w:rsidRPr="005901B9">
        <w:rPr>
          <w:b/>
        </w:rPr>
        <w:t>3/6/16</w:t>
      </w:r>
      <w:r>
        <w:t>)</w:t>
      </w:r>
    </w:p>
    <w:p w:rsidR="000711BB" w:rsidRDefault="000711BB" w:rsidP="000711BB">
      <w:pPr>
        <w:pStyle w:val="NormalWeb"/>
        <w:shd w:val="clear" w:color="auto" w:fill="FFFFFF"/>
        <w:spacing w:after="300"/>
        <w:jc w:val="both"/>
        <w:textAlignment w:val="baseline"/>
      </w:pPr>
      <w:r>
        <w:t>Too many young people in both the developed and developing world are without work. The Biblical warning that idle hands are the devil’s workshop captures an important truth: Youth unemployment is a political as well as an economic challenge.</w:t>
      </w:r>
    </w:p>
    <w:p w:rsidR="000711BB" w:rsidRDefault="000711BB" w:rsidP="000711BB">
      <w:pPr>
        <w:pStyle w:val="NormalWeb"/>
        <w:shd w:val="clear" w:color="auto" w:fill="FFFFFF"/>
        <w:spacing w:after="300"/>
        <w:jc w:val="both"/>
        <w:textAlignment w:val="baseline"/>
      </w:pPr>
      <w:r>
        <w:t>Milan.- Nobody is immune to the consequences of an economic crisis. But some are much more vulnerable -and suffer far worse- than others.</w:t>
      </w:r>
    </w:p>
    <w:p w:rsidR="000711BB" w:rsidRDefault="000711BB" w:rsidP="000711BB">
      <w:pPr>
        <w:pStyle w:val="NormalWeb"/>
        <w:shd w:val="clear" w:color="auto" w:fill="FFFFFF"/>
        <w:spacing w:after="300"/>
        <w:jc w:val="both"/>
        <w:textAlignment w:val="baseline"/>
      </w:pPr>
      <w:r>
        <w:t>Young people have been the main losers of the Great Recession brought on by the 2008 global financial crisis – and not just in the advanced world. Millions have been pushed into highly unstable jobs, condemned to indefinite unemployment, or forced to move abroad in search of better opportunities. As Jean Pisani-Ferry of France Stratégie, a French government advisory body, points out, it is “much worse to be young today than it was a quarter-century ago”.</w:t>
      </w:r>
    </w:p>
    <w:p w:rsidR="000711BB" w:rsidRDefault="000711BB" w:rsidP="000711BB">
      <w:pPr>
        <w:pStyle w:val="NormalWeb"/>
        <w:shd w:val="clear" w:color="auto" w:fill="FFFFFF"/>
        <w:spacing w:after="300"/>
        <w:jc w:val="both"/>
        <w:textAlignment w:val="baseline"/>
      </w:pPr>
      <w:r>
        <w:t xml:space="preserve">Indeed so. The International Labor Organization estimates that, worldwide, 73 million people aged 16-24 were unemployed in 2014. That number has fallen from 76.6 million in 2009, when the impact of the 2008 crisis was still fresh; but the pace of improvement is not exactly encouraging. Simply put, around 45% of the world’s economically active young people are either unemployed or are living in poverty, despite having a job. And, </w:t>
      </w:r>
      <w:r>
        <w:lastRenderedPageBreak/>
        <w:t>given inadequate statistical reporting in many poor countries, where populations tend to be younger, these figures almost certainly underestimate the severity of the problem.</w:t>
      </w:r>
    </w:p>
    <w:p w:rsidR="000711BB" w:rsidRDefault="000711BB" w:rsidP="000711BB">
      <w:pPr>
        <w:pStyle w:val="NormalWeb"/>
        <w:shd w:val="clear" w:color="auto" w:fill="FFFFFF"/>
        <w:spacing w:after="300"/>
        <w:jc w:val="both"/>
        <w:textAlignment w:val="baseline"/>
      </w:pPr>
      <w:r>
        <w:t>The economic plight of young people is a global phenomenon - and one that Project Syndicate commentators have addressed repeatedly in recent years. But not all regions of the world are equally affected. In the advanced economies, the youth-unemployment rate ranges from 7.3% in Germany and 11.6% in the United States to a horrendous 48.4% in Spain and almost 50% in Greece. East Asia has an average rate of 12%, while in North Africa and the Middle East it hovers at around 30%.</w:t>
      </w:r>
    </w:p>
    <w:p w:rsidR="000711BB" w:rsidRDefault="000711BB" w:rsidP="000711BB">
      <w:pPr>
        <w:pStyle w:val="NormalWeb"/>
        <w:shd w:val="clear" w:color="auto" w:fill="FFFFFF"/>
        <w:spacing w:after="300"/>
        <w:jc w:val="both"/>
        <w:textAlignment w:val="baseline"/>
      </w:pPr>
      <w:r>
        <w:t>Scary Numbers</w:t>
      </w:r>
    </w:p>
    <w:p w:rsidR="000711BB" w:rsidRDefault="000711BB" w:rsidP="000711BB">
      <w:pPr>
        <w:pStyle w:val="NormalWeb"/>
        <w:shd w:val="clear" w:color="auto" w:fill="FFFFFF"/>
        <w:spacing w:after="300"/>
        <w:jc w:val="both"/>
        <w:textAlignment w:val="baseline"/>
      </w:pPr>
      <w:r>
        <w:t>Data on youth unemployment require careful scrutiny. Daniel Gros, the head of the Center for European Policy Studies in Brussels, and Steven Hill of the New America Foundation point out that many people aged 16-24 are in school, with little contact with the labor market. As Gros notes: “Only 9% of Greek teenagers are labor-market participants; two-thirds of that number cannot find a job.” The resulting figure for unemployment among Greek teenagers -below 6%- “is not reported widely because it is much less alarming.” Or, as Hill puts it: “The perverse result of this way of counting the unemployed is that the more young people who pursue additional education or training, the higher the youth-unemployment rate rises”.</w:t>
      </w:r>
    </w:p>
    <w:p w:rsidR="000711BB" w:rsidRDefault="000711BB" w:rsidP="000711BB">
      <w:pPr>
        <w:pStyle w:val="NormalWeb"/>
        <w:shd w:val="clear" w:color="auto" w:fill="FFFFFF"/>
        <w:spacing w:after="300"/>
        <w:jc w:val="both"/>
        <w:textAlignment w:val="baseline"/>
      </w:pPr>
      <w:r>
        <w:t>This is no mere technical detail. Assume, for example, that a country has 20 young people: two have a job, two are seeking one, and the rest are in school. The unemployed would represent only 10% of the cohort - the so-called youth-unemployment ratio; but the unemployment rate would be 50%. In 2015, the youth-unemployment rate in Greece was 50%, while the unemployment ratio among teenagers was a mere 7.5%. From this perspective, the eurozone has no youth-unemployment problem at all.</w:t>
      </w:r>
    </w:p>
    <w:p w:rsidR="000711BB" w:rsidRDefault="000711BB" w:rsidP="000711BB">
      <w:pPr>
        <w:pStyle w:val="NormalWeb"/>
        <w:shd w:val="clear" w:color="auto" w:fill="FFFFFF"/>
        <w:spacing w:after="300"/>
        <w:jc w:val="both"/>
        <w:textAlignment w:val="baseline"/>
      </w:pPr>
      <w:r>
        <w:t>But this is an incomplete picture. In 2013, around 300 million young people globally were “NEETs” - not in employment, education, or training. When we focus on advanced economies only, the NEETs total 10.2 million in the US and 14 million in the European Union. And, according to a recent Eurobarometer survey, more than half of Europeans aged 16-30 feel marginalized.</w:t>
      </w:r>
    </w:p>
    <w:p w:rsidR="000711BB" w:rsidRDefault="000711BB" w:rsidP="000711BB">
      <w:pPr>
        <w:pStyle w:val="NormalWeb"/>
        <w:shd w:val="clear" w:color="auto" w:fill="FFFFFF"/>
        <w:spacing w:after="300"/>
        <w:jc w:val="both"/>
        <w:textAlignment w:val="baseline"/>
      </w:pPr>
      <w:r>
        <w:t>A Global Drag on Global Growth</w:t>
      </w:r>
    </w:p>
    <w:p w:rsidR="000711BB" w:rsidRDefault="000711BB" w:rsidP="000711BB">
      <w:pPr>
        <w:pStyle w:val="NormalWeb"/>
        <w:shd w:val="clear" w:color="auto" w:fill="FFFFFF"/>
        <w:spacing w:after="300"/>
        <w:jc w:val="both"/>
        <w:textAlignment w:val="baseline"/>
      </w:pPr>
      <w:r>
        <w:t>Arguably the most worrying aspect of the economic environment for young people today is how little it has improved since the crisis, even by the standards of a discouragingly timid global recovery. A high degree of youth marginalization is depriving the world economy of its most powerful growth engine.</w:t>
      </w:r>
    </w:p>
    <w:p w:rsidR="000711BB" w:rsidRDefault="000711BB" w:rsidP="000711BB">
      <w:pPr>
        <w:pStyle w:val="NormalWeb"/>
        <w:shd w:val="clear" w:color="auto" w:fill="FFFFFF"/>
        <w:spacing w:after="300"/>
        <w:jc w:val="both"/>
        <w:textAlignment w:val="baseline"/>
      </w:pPr>
      <w:r>
        <w:t>In continental Europe, labor markets are skewed in favor of older workers. In contrast to their American counterparts, Europe’s youngsters find their attempts to be more entrepreneurial frustrated by stifling regulation. Add to that an obsession with fiscal austerity and the result is what Nobel Laureate Joseph Stiglitz, in a withering critique of eurozone policymakers, calls Europe’s “economic madness”.</w:t>
      </w:r>
    </w:p>
    <w:p w:rsidR="000711BB" w:rsidRDefault="000711BB" w:rsidP="000711BB">
      <w:pPr>
        <w:pStyle w:val="NormalWeb"/>
        <w:shd w:val="clear" w:color="auto" w:fill="FFFFFF"/>
        <w:spacing w:after="300"/>
        <w:jc w:val="both"/>
        <w:textAlignment w:val="baseline"/>
      </w:pPr>
      <w:r>
        <w:t xml:space="preserve">In the Middle East, NYU’s Nouriel Roubini correctly notes that political and economic chaos, by “fueling extremism, resentment of the West, and in some cases outright </w:t>
      </w:r>
      <w:r>
        <w:lastRenderedPageBreak/>
        <w:t>terrorism”, is preventing young people from fulfilling their potential. In Africa, youth unemployment is more a consequence of sluggish labor demand.</w:t>
      </w:r>
    </w:p>
    <w:p w:rsidR="000711BB" w:rsidRDefault="000711BB" w:rsidP="000711BB">
      <w:pPr>
        <w:pStyle w:val="NormalWeb"/>
        <w:shd w:val="clear" w:color="auto" w:fill="FFFFFF"/>
        <w:spacing w:after="300"/>
        <w:jc w:val="both"/>
        <w:textAlignment w:val="baseline"/>
      </w:pPr>
      <w:r>
        <w:t>The problem is made worse by globalization and the “Fourth Industrial Revolution” - the term Klaus Schwab, founder of the World Economic Forum, uses to describe how “(n)ew technologies and approaches are merging the physical, digital, and biological worlds in ways that will fundamentally transform humankind”.</w:t>
      </w:r>
    </w:p>
    <w:p w:rsidR="000711BB" w:rsidRDefault="000711BB" w:rsidP="000711BB">
      <w:pPr>
        <w:pStyle w:val="NormalWeb"/>
        <w:shd w:val="clear" w:color="auto" w:fill="FFFFFF"/>
        <w:spacing w:after="300"/>
        <w:jc w:val="both"/>
        <w:textAlignment w:val="baseline"/>
      </w:pPr>
      <w:r>
        <w:t>Globalization rewards specialized skills - and so marginalizes those who do not possess them. And Schwab argues that new technologies change “the nature of work itself, rendering entire sectors and occupations obsolete, while creating completely new industries and job categories”. This explains why in 2015 some 38% of employers worldwide faced trouble finding the right kind of talent - especially among young people, who are supposed to possess more updated skills than older workers.</w:t>
      </w:r>
    </w:p>
    <w:p w:rsidR="000711BB" w:rsidRDefault="000711BB" w:rsidP="000711BB">
      <w:pPr>
        <w:pStyle w:val="NormalWeb"/>
        <w:shd w:val="clear" w:color="auto" w:fill="FFFFFF"/>
        <w:spacing w:after="300"/>
        <w:jc w:val="both"/>
        <w:textAlignment w:val="baseline"/>
      </w:pPr>
      <w:r>
        <w:t>But skills mismatches materialize in various ways. By 2020, for example, Germanywill lack one million workers skilled in science and technology. And Dennis Nally, Chairman of PricewaterhouseCoopers, points out that the rise of emerging markets creates jobs in places where it is hard to find the right people.</w:t>
      </w:r>
    </w:p>
    <w:p w:rsidR="000711BB" w:rsidRDefault="000711BB" w:rsidP="000711BB">
      <w:pPr>
        <w:pStyle w:val="NormalWeb"/>
        <w:shd w:val="clear" w:color="auto" w:fill="FFFFFF"/>
        <w:spacing w:after="300"/>
        <w:jc w:val="both"/>
        <w:textAlignment w:val="baseline"/>
      </w:pPr>
      <w:r>
        <w:t>In other cases, though, the problem is overabundance. Mark Esposito and Terence Tse note that China’s youth unemployment is rooted in the dominance of the manufacturing sector, which employs more high-school graduates than university-educated workers. Similarly, in India, one in three university graduates up to the age of 29 is unemployed.</w:t>
      </w:r>
    </w:p>
    <w:p w:rsidR="000711BB" w:rsidRDefault="000711BB" w:rsidP="000711BB">
      <w:pPr>
        <w:pStyle w:val="NormalWeb"/>
        <w:shd w:val="clear" w:color="auto" w:fill="FFFFFF"/>
        <w:spacing w:after="300"/>
        <w:jc w:val="both"/>
        <w:textAlignment w:val="baseline"/>
      </w:pPr>
      <w:r>
        <w:t>Exit, Voice, and Idle Youth</w:t>
      </w:r>
    </w:p>
    <w:p w:rsidR="000711BB" w:rsidRDefault="000711BB" w:rsidP="000711BB">
      <w:pPr>
        <w:pStyle w:val="NormalWeb"/>
        <w:shd w:val="clear" w:color="auto" w:fill="FFFFFF"/>
        <w:spacing w:after="300"/>
        <w:jc w:val="both"/>
        <w:textAlignment w:val="baseline"/>
      </w:pPr>
      <w:r>
        <w:t>When the young are idle, economies lose dynamism, innovation falters, and valuable human capital is wasted. But the political consequences can be even more alarming. Albert O. Hirschman’s seminal book Exit, Voice, and Loyalty provides a useful framework to understand how the marginalization of young people leads to mild or extreme political disasters. When the quality of a political system declines, its members can withdraw (“exit”), improve the situation through direct action (“voice”), or passively accept decay (“loyalty”).</w:t>
      </w:r>
    </w:p>
    <w:p w:rsidR="000711BB" w:rsidRDefault="000711BB" w:rsidP="000711BB">
      <w:pPr>
        <w:pStyle w:val="NormalWeb"/>
        <w:shd w:val="clear" w:color="auto" w:fill="FFFFFF"/>
        <w:spacing w:after="300"/>
        <w:jc w:val="both"/>
        <w:textAlignment w:val="baseline"/>
      </w:pPr>
      <w:r>
        <w:t>Exit is the least traumatic way out of the problem - especially for top professionals. In Africa, for example, the legal outflow of skilled people to developed countries has intensified. Columbia University’s Jagdish Bhagwati argues that this is the inevitable consequence of economic backwardness. The “brain drain” (especially in the health sector) reflects developing countries’ inability to absorb the skills they actually need. According to Serufusa Sekidde, a consultant with Oxford Policy Management, 80% of countries where there are fewer than 22.8 skilled health workers for every 10,000 people are in Africa.</w:t>
      </w:r>
    </w:p>
    <w:p w:rsidR="000711BB" w:rsidRDefault="000711BB" w:rsidP="000711BB">
      <w:pPr>
        <w:pStyle w:val="NormalWeb"/>
        <w:shd w:val="clear" w:color="auto" w:fill="FFFFFF"/>
        <w:spacing w:after="300"/>
        <w:jc w:val="both"/>
        <w:textAlignment w:val="baseline"/>
      </w:pPr>
      <w:r>
        <w:t>Interestingly, both Bhagwati and Sekidde (himself part of the brain drain from Uganda) think one remedy would be to tax the earnings of this skilled diaspora to help develop their home countries’ healthcare systems. This, and foreign aid, writes Sekidde, “would benefit Africa both immediately and in the long run”, as opposed to “foolish attempts at restricting people’s mobility”.</w:t>
      </w:r>
    </w:p>
    <w:p w:rsidR="000711BB" w:rsidRDefault="000711BB" w:rsidP="000711BB">
      <w:pPr>
        <w:pStyle w:val="NormalWeb"/>
        <w:shd w:val="clear" w:color="auto" w:fill="FFFFFF"/>
        <w:spacing w:after="300"/>
        <w:jc w:val="both"/>
        <w:textAlignment w:val="baseline"/>
      </w:pPr>
      <w:r>
        <w:lastRenderedPageBreak/>
        <w:t>Yet the brain drain is not just an African challenge; it affects emerging economies like China and India and even developed regions like the eurozone. Since the “euro crisis” struck the economies of southern Europe in 2009, an army of highly qualified, mostly young professionals -doctors, engineers, academics, and others- have either moved to more robust EU economies such as Germany and Britain or have emigrated to the US. Meanwhile, there are plenty of jobless young people in Portugal and Spain who have left to seek work in the Portuguese- and Spanish-speaking countries of South America and Africa.</w:t>
      </w:r>
    </w:p>
    <w:p w:rsidR="000711BB" w:rsidRDefault="000711BB" w:rsidP="000711BB">
      <w:pPr>
        <w:pStyle w:val="NormalWeb"/>
        <w:shd w:val="clear" w:color="auto" w:fill="FFFFFF"/>
        <w:spacing w:after="300"/>
        <w:jc w:val="both"/>
        <w:textAlignment w:val="baseline"/>
      </w:pPr>
      <w:r>
        <w:t>And what of my own homeland, Italy? No country in the advanced world has been as vulnerable to the brain drain. In 2010, I claimed that adverse demographic trends in Italy were creating a sort of benign gerontocracy, encouraging the young to leave in droves. The Silicon Valley entrepreneur Adriano Farano is more scathing:</w:t>
      </w:r>
    </w:p>
    <w:p w:rsidR="000711BB" w:rsidRDefault="000711BB" w:rsidP="000711BB">
      <w:pPr>
        <w:pStyle w:val="NormalWeb"/>
        <w:shd w:val="clear" w:color="auto" w:fill="FFFFFF"/>
        <w:spacing w:after="300"/>
        <w:jc w:val="both"/>
        <w:textAlignment w:val="baseline"/>
      </w:pPr>
      <w:r>
        <w:t>My life as an entrepreneur would have been a nightmare had I stayed in Italy. The World Bank ranks my country 87th in the world for ease of doing business, far behind the US (fourth), France (29th), and even Botswana (54th). This reflects a Kafka-esque bureaucracy, a high level of organized crime and corruption, and Italy’s generally conservative business culture.</w:t>
      </w:r>
    </w:p>
    <w:p w:rsidR="000711BB" w:rsidRDefault="000711BB" w:rsidP="000711BB">
      <w:pPr>
        <w:pStyle w:val="NormalWeb"/>
        <w:shd w:val="clear" w:color="auto" w:fill="FFFFFF"/>
        <w:spacing w:after="300"/>
        <w:jc w:val="both"/>
        <w:textAlignment w:val="baseline"/>
      </w:pPr>
      <w:r>
        <w:t>Pulling up stakes is likely to remain a popular alternative for young Italians. Noting their dissatisfaction with the state of their country, Paola Subacchi of London’s Chatham House ruefully concludes that “not even a young, buoyant prime minister like Renzi can persuade them to stay”.</w:t>
      </w:r>
    </w:p>
    <w:p w:rsidR="000711BB" w:rsidRDefault="000711BB" w:rsidP="000711BB">
      <w:pPr>
        <w:pStyle w:val="NormalWeb"/>
        <w:shd w:val="clear" w:color="auto" w:fill="FFFFFF"/>
        <w:spacing w:after="300"/>
        <w:jc w:val="both"/>
        <w:textAlignment w:val="baseline"/>
      </w:pPr>
      <w:r>
        <w:t>Voice, to continue the Hirschman analogy, has certainly been heard in recent years. In 2011, the greatest global mobilization since 1968 led to the emergence of peaceful movements like Occupy Wall Street and Los Indignados in the West and the initially peaceful Arab Spring in the Middle East. And now China’s leaders fear that its graduate unemployment rate could fuel Tiananmen-style unrest.</w:t>
      </w:r>
    </w:p>
    <w:p w:rsidR="000711BB" w:rsidRDefault="000711BB" w:rsidP="000711BB">
      <w:pPr>
        <w:pStyle w:val="NormalWeb"/>
        <w:shd w:val="clear" w:color="auto" w:fill="FFFFFF"/>
        <w:spacing w:after="300"/>
        <w:jc w:val="both"/>
        <w:textAlignment w:val="baseline"/>
      </w:pPr>
      <w:r>
        <w:t>While the protests of 2011 had no unified theme, Roubini points out that youth marginalization was a common factor. Five years on, these movements have done little to improve conditions for young people, but -for better or worse- they have permanently transformed politics. As for the aftermath of the Arab Spring, Marwan Muasher, a former foreign minister of Jordan, finds some solace in Tunisia - but laments the “authoritarianism, corruption, outdated education systems, and unemployment” that characterize the Arab world.</w:t>
      </w:r>
    </w:p>
    <w:p w:rsidR="000711BB" w:rsidRDefault="000711BB" w:rsidP="000711BB">
      <w:pPr>
        <w:pStyle w:val="NormalWeb"/>
        <w:shd w:val="clear" w:color="auto" w:fill="FFFFFF"/>
        <w:spacing w:after="300"/>
        <w:jc w:val="both"/>
        <w:textAlignment w:val="baseline"/>
      </w:pPr>
      <w:r>
        <w:t>In Europe, Occupy-style movements have questioned the austerity orthodoxy, fueling support for populist movements such as Syriza in Greece or Podemos in Spain. And in the US, Occupy Wall Street was a direct precursor to Senator Bernie Sanders’s remarkable, youth-driven campaign for the Democratic Party’s presidential nomination. Throughout the West, Stiglitz notes, young people “perceive the absence of intergenerational justice, and they are right to be angry”.</w:t>
      </w:r>
    </w:p>
    <w:p w:rsidR="000711BB" w:rsidRDefault="000711BB" w:rsidP="000711BB">
      <w:pPr>
        <w:pStyle w:val="NormalWeb"/>
        <w:shd w:val="clear" w:color="auto" w:fill="FFFFFF"/>
        <w:spacing w:after="300"/>
        <w:jc w:val="both"/>
        <w:textAlignment w:val="baseline"/>
      </w:pPr>
      <w:r>
        <w:t xml:space="preserve">Finally, there is loyalty to the system, the stance that Hirschman defines as embodying resignation. For the least skilled, quiescence is often the only choice. But it leads to social disaffection, political paralysis, and economic stagnation, especially in fast-aging </w:t>
      </w:r>
      <w:r>
        <w:lastRenderedPageBreak/>
        <w:t>countries, where, as Princeton University’s Harold James emphasizes, the young have little influence.</w:t>
      </w:r>
    </w:p>
    <w:p w:rsidR="000711BB" w:rsidRDefault="000711BB" w:rsidP="000711BB">
      <w:pPr>
        <w:pStyle w:val="NormalWeb"/>
        <w:shd w:val="clear" w:color="auto" w:fill="FFFFFF"/>
        <w:spacing w:after="300"/>
        <w:jc w:val="both"/>
        <w:textAlignment w:val="baseline"/>
      </w:pPr>
      <w:r>
        <w:t>The Search for Solutions</w:t>
      </w:r>
    </w:p>
    <w:p w:rsidR="000711BB" w:rsidRDefault="000711BB" w:rsidP="000711BB">
      <w:pPr>
        <w:pStyle w:val="NormalWeb"/>
        <w:shd w:val="clear" w:color="auto" w:fill="FFFFFF"/>
        <w:spacing w:after="300"/>
        <w:jc w:val="both"/>
        <w:textAlignment w:val="baseline"/>
      </w:pPr>
      <w:r>
        <w:t>Not surprisingly, youth unemployment tops the global policy agenda. In 2012, the ILO adopted a Call for Action on Youth Employment, and the EU launched its Youth Employment Initiative. The United Nations has placed the issue in the 2030 Agenda for Sustainable Development. But, too often, bold-sounding plans lack the substance (and resources) to be effective, and other pressing matters -for example, the refugee crisis, the Brexit referendum, and pandemics- divert attention from the problem.</w:t>
      </w:r>
    </w:p>
    <w:p w:rsidR="000711BB" w:rsidRDefault="000711BB" w:rsidP="000711BB">
      <w:pPr>
        <w:pStyle w:val="NormalWeb"/>
        <w:shd w:val="clear" w:color="auto" w:fill="FFFFFF"/>
        <w:spacing w:after="300"/>
        <w:jc w:val="both"/>
        <w:textAlignment w:val="baseline"/>
      </w:pPr>
      <w:r>
        <w:t>Project Syndicate commentators identify a number of remedies, not least to mitigate the skills mismatch in both rich and poor countries. All blame obsolete education systems. The OECD’s Andreas Schleischer argues that “in the past, education was about imparting knowledge. Today, it is about providing students with the tools to navigate an increasingly uncertain world”.</w:t>
      </w:r>
    </w:p>
    <w:p w:rsidR="000711BB" w:rsidRDefault="000711BB" w:rsidP="000711BB">
      <w:pPr>
        <w:pStyle w:val="NormalWeb"/>
        <w:shd w:val="clear" w:color="auto" w:fill="FFFFFF"/>
        <w:spacing w:after="300"/>
        <w:jc w:val="both"/>
        <w:textAlignment w:val="baseline"/>
      </w:pPr>
      <w:r>
        <w:t>Mary McAleese, a former president of Ireland, emphasizes the need to develop differentiated education systems, ranging from Germany’s vocational schools and apprenticeships to programs that give students access to international experience. McKinsey’s Mona Mourshed urges private companies to cooperate more with educators to ensure that curricula keep pace with employers’ needs.</w:t>
      </w:r>
    </w:p>
    <w:p w:rsidR="000711BB" w:rsidRDefault="000711BB" w:rsidP="000711BB">
      <w:pPr>
        <w:pStyle w:val="NormalWeb"/>
        <w:shd w:val="clear" w:color="auto" w:fill="FFFFFF"/>
        <w:spacing w:after="300"/>
        <w:jc w:val="both"/>
        <w:textAlignment w:val="baseline"/>
      </w:pPr>
      <w:r>
        <w:t>From a labor market perspective, Rolf Dorig, Chairman of Adecco Group, and the Brookings Institution’s Kemal Derviş agree on the importance of guarantee schemes to ensure that young people obtain a job or a traineeship soon after graduation. To this end, the Bertelsmann Stiftung’s Justine Doody and Daniel Schraad-Tischler argue that governments should end the labor-market dualism that limits young people’s ability to move from temporary work to permanent employment.</w:t>
      </w:r>
    </w:p>
    <w:p w:rsidR="000711BB" w:rsidRDefault="000711BB" w:rsidP="000711BB">
      <w:pPr>
        <w:pStyle w:val="NormalWeb"/>
        <w:shd w:val="clear" w:color="auto" w:fill="FFFFFF"/>
        <w:spacing w:after="300"/>
        <w:jc w:val="both"/>
        <w:textAlignment w:val="baseline"/>
      </w:pPr>
      <w:r>
        <w:t>Perhaps most important, young people need to be empowered. To avoid a repeat of the Arab Spring, Mohammed bin Rashid Al Maktoum, prime minister of the United Arab Emirates, has symbolically nominated a 22-year old as his country’s minister of youth. In graying societies, lowering the minimum voting age to 16 or capping the age of parliamentarians at 65 might be acceptably “soft” ways to dilute the power of older generations.</w:t>
      </w:r>
    </w:p>
    <w:p w:rsidR="000711BB" w:rsidRDefault="000711BB" w:rsidP="000711BB">
      <w:pPr>
        <w:pStyle w:val="NormalWeb"/>
        <w:shd w:val="clear" w:color="auto" w:fill="FFFFFF"/>
        <w:spacing w:after="300"/>
        <w:jc w:val="both"/>
        <w:textAlignment w:val="baseline"/>
      </w:pPr>
      <w:r>
        <w:t>If one thing is clear, it is that a new social contract between generations is needed to rejuvenate economic dynamism and growth. Equally important, if the marginalization of young people becomes irreversible, they will exercise exit, voice, and loyalty in ways that are more likely to be destabilizing than inspiring.</w:t>
      </w:r>
    </w:p>
    <w:p w:rsidR="000711BB" w:rsidRDefault="000711BB" w:rsidP="000711BB">
      <w:pPr>
        <w:pStyle w:val="NormalWeb"/>
        <w:shd w:val="clear" w:color="auto" w:fill="FFFFFF"/>
        <w:spacing w:after="300"/>
        <w:jc w:val="both"/>
        <w:textAlignment w:val="baseline"/>
      </w:pPr>
      <w:r>
        <w:t>(</w:t>
      </w:r>
      <w:r w:rsidRPr="005901B9">
        <w:t>Edoardo Campanella is a eurozone economist at UniCredit and Junio</w:t>
      </w:r>
      <w:r>
        <w:t>r Fellow at the Aspen Institute)</w:t>
      </w:r>
    </w:p>
    <w:p w:rsidR="000711BB" w:rsidRPr="00830146" w:rsidRDefault="000711BB" w:rsidP="000711BB">
      <w:pPr>
        <w:pStyle w:val="NormalWeb"/>
        <w:spacing w:before="300" w:after="0"/>
        <w:jc w:val="both"/>
        <w:rPr>
          <w:color w:val="000000"/>
        </w:rPr>
      </w:pPr>
      <w:r>
        <w:rPr>
          <w:color w:val="000000"/>
        </w:rPr>
        <w:t xml:space="preserve">- </w:t>
      </w:r>
      <w:r w:rsidRPr="00830146">
        <w:rPr>
          <w:color w:val="000000"/>
          <w:u w:val="single"/>
        </w:rPr>
        <w:t>La innovación no es suficiente</w:t>
      </w:r>
      <w:r>
        <w:rPr>
          <w:color w:val="000000"/>
        </w:rPr>
        <w:t xml:space="preserve"> (Project Syndicate - </w:t>
      </w:r>
      <w:r w:rsidRPr="00830146">
        <w:rPr>
          <w:b/>
          <w:color w:val="000000"/>
        </w:rPr>
        <w:t>9/6/16</w:t>
      </w:r>
      <w:r>
        <w:rPr>
          <w:color w:val="000000"/>
        </w:rPr>
        <w:t>)</w:t>
      </w:r>
    </w:p>
    <w:p w:rsidR="000711BB" w:rsidRPr="00830146" w:rsidRDefault="000711BB" w:rsidP="000711BB">
      <w:pPr>
        <w:pStyle w:val="NormalWeb"/>
        <w:spacing w:before="300" w:after="0"/>
        <w:jc w:val="both"/>
        <w:rPr>
          <w:color w:val="000000"/>
        </w:rPr>
      </w:pPr>
      <w:r>
        <w:rPr>
          <w:color w:val="000000"/>
        </w:rPr>
        <w:t>Cambridge.-</w:t>
      </w:r>
      <w:r w:rsidRPr="00830146">
        <w:rPr>
          <w:color w:val="000000"/>
        </w:rPr>
        <w:t xml:space="preserve"> </w:t>
      </w:r>
      <w:r w:rsidRPr="00BE0106">
        <w:rPr>
          <w:color w:val="000000"/>
          <w:u w:val="single"/>
        </w:rPr>
        <w:t xml:space="preserve">Parece que vivimos una era acelerada de avances tecnológicos revolucionarios. Casi no pasa un día sin el anuncio de alguna novedad importante en </w:t>
      </w:r>
      <w:r w:rsidRPr="00BE0106">
        <w:rPr>
          <w:color w:val="000000"/>
          <w:u w:val="single"/>
        </w:rPr>
        <w:lastRenderedPageBreak/>
        <w:t>inteligencia artificial, biotecnología, digitalización o automatización. Pero quienes supuestamente deberían saber a dónde nos lleva todo esto no logran ponerse de acuerdo.</w:t>
      </w:r>
    </w:p>
    <w:p w:rsidR="000711BB" w:rsidRPr="00BE0106" w:rsidRDefault="000711BB" w:rsidP="000711BB">
      <w:pPr>
        <w:pStyle w:val="NormalWeb"/>
        <w:spacing w:before="300" w:after="0"/>
        <w:jc w:val="both"/>
        <w:rPr>
          <w:color w:val="FF0000"/>
          <w:u w:val="single"/>
        </w:rPr>
      </w:pPr>
      <w:r w:rsidRPr="00BE0106">
        <w:rPr>
          <w:color w:val="FF0000"/>
          <w:u w:val="single"/>
        </w:rPr>
        <w:t>En un extremo del espectro están los tecnooptimistas, para quienes estamos en los albores de una nueva era que traerá mejoras espectaculares de los niveles de vida en todo el mundo. En el otro extremo están los tecnopesimistas, que viendo las decepcionantes estadísticas de productividad aseguran que el beneficio económico a gran escala de las nuevas tecnologías será limitado. Y hay otros (¿tecnopreocupados?) que coinciden con los optimistas respecto de la escala y el alcance de la innovación, pero se inquietan por las consecuencias adversas en materia de empleo o equidad.</w:t>
      </w:r>
    </w:p>
    <w:p w:rsidR="000711BB" w:rsidRPr="00BE0106" w:rsidRDefault="000711BB" w:rsidP="000711BB">
      <w:pPr>
        <w:pStyle w:val="NormalWeb"/>
        <w:spacing w:before="300" w:after="0"/>
        <w:jc w:val="both"/>
        <w:rPr>
          <w:color w:val="FF0000"/>
          <w:u w:val="single"/>
        </w:rPr>
      </w:pPr>
      <w:r w:rsidRPr="00BE0106">
        <w:rPr>
          <w:color w:val="FF0000"/>
          <w:u w:val="single"/>
        </w:rPr>
        <w:t>La discrepancia no es tanto sobre el ritmo de innovación tecnológica. ¿Quién puede dudar seriamente de la velocidad con que avanzan las innovaciones? Lo que está en debate es la difusión que tendrán: ¿quedarán confinadas a unos pocos sectores tecnointensivos que emplean a los profesionales más capacitados y suponen una cuota relativamente pequeña del PIB, o se extenderán al grueso de la economía? Las consecuencias de cualquier innovación respecto de la productividad, el empleo y la equidad dependen en última instancia de la rapidez con que se difunda a los mercados laborales y de productos.</w:t>
      </w:r>
    </w:p>
    <w:p w:rsidR="000711BB" w:rsidRPr="00830146" w:rsidRDefault="000711BB" w:rsidP="000711BB">
      <w:pPr>
        <w:pStyle w:val="NormalWeb"/>
        <w:spacing w:before="300" w:after="0"/>
        <w:jc w:val="both"/>
        <w:rPr>
          <w:color w:val="000000"/>
        </w:rPr>
      </w:pPr>
      <w:r w:rsidRPr="00830146">
        <w:rPr>
          <w:color w:val="000000"/>
        </w:rPr>
        <w:t>La difusión tecnológica puede enfrentarse a restricciones, tanto en el lado de la demanda como en el de la oferta. Comencemos por la demanda. En las economías ricas, los consumidores gastan la mayor parte de sus ingresos en áreas como atención médica, educación, transporte, vivienda y bienes de consumo. Hasta ahora, la innovación tecnológica tuvo un impacto relativamente menor en muchos de esos sectores.</w:t>
      </w:r>
    </w:p>
    <w:p w:rsidR="000711BB" w:rsidRPr="00BE0106" w:rsidRDefault="000711BB" w:rsidP="000711BB">
      <w:pPr>
        <w:pStyle w:val="NormalWeb"/>
        <w:spacing w:before="300" w:after="0"/>
        <w:jc w:val="both"/>
        <w:rPr>
          <w:color w:val="000000"/>
          <w:u w:val="single"/>
        </w:rPr>
      </w:pPr>
      <w:r w:rsidRPr="00BE0106">
        <w:rPr>
          <w:color w:val="000000"/>
          <w:u w:val="single"/>
        </w:rPr>
        <w:t>Veamos algunas cifras incluidas en el reciente informe Digital America del McKinsey Global Institute. Los dos sectores que en Estados Unidos experimentaron el más rápido crecimiento de la productividad desde 2005 son el de las TIC (tecnologías de la información y las comunicaciones) y los medios, cuya cuota combinada del PIB es inferior al 10%. En cambio, los servicios públicos y la atención de la salud, que en conjunto producen más de la cuarta parte del PIB, casi no tuvieron un aumento de productividad.</w:t>
      </w:r>
    </w:p>
    <w:p w:rsidR="000711BB" w:rsidRPr="00BE0106" w:rsidRDefault="000711BB" w:rsidP="000711BB">
      <w:pPr>
        <w:pStyle w:val="NormalWeb"/>
        <w:spacing w:before="300" w:after="0"/>
        <w:jc w:val="both"/>
        <w:rPr>
          <w:color w:val="FF0000"/>
          <w:u w:val="single"/>
        </w:rPr>
      </w:pPr>
      <w:r w:rsidRPr="00BE0106">
        <w:rPr>
          <w:color w:val="FF0000"/>
          <w:u w:val="single"/>
        </w:rPr>
        <w:t>Los tecnooptimistas (como los autores del McKinsey) ven esas cifras como una oportunidad: todavía quedan enormes mejoras de productividad por concretar mediante la adopción de nuevas tecnologías en los sectores retrasados. Los pesimistas, por su parte, piensan que esas divergencias pueden ser un rasgo estructural y duradero de la economía actual.</w:t>
      </w:r>
    </w:p>
    <w:p w:rsidR="000711BB" w:rsidRPr="00830146" w:rsidRDefault="000711BB" w:rsidP="000711BB">
      <w:pPr>
        <w:pStyle w:val="NormalWeb"/>
        <w:spacing w:before="300" w:after="0"/>
        <w:jc w:val="both"/>
        <w:rPr>
          <w:color w:val="000000"/>
        </w:rPr>
      </w:pPr>
      <w:r w:rsidRPr="00BE0106">
        <w:rPr>
          <w:color w:val="000000"/>
          <w:u w:val="single"/>
        </w:rPr>
        <w:t>Por ejemplo, el historiador de la economía Robert Gordon sostiene que el impacto económico a gran escala que puede esperarse de las innovaciones actuales no es comparable al de las revoluciones tecnológicas del pasado</w:t>
      </w:r>
      <w:r w:rsidRPr="00830146">
        <w:rPr>
          <w:color w:val="000000"/>
        </w:rPr>
        <w:t>. La electricidad, el automóvil, el avión, el acondicionamiento del aire y los electrodomésticos cambiaron radicalmente las vidas del común de la gente; esas tecnologías incursionaron en cada sector de la economía. Tal vez la revolución digital, por más impresionante que ha sido, no llegue a tanto.</w:t>
      </w:r>
    </w:p>
    <w:p w:rsidR="000711BB" w:rsidRPr="00BE0106" w:rsidRDefault="000711BB" w:rsidP="000711BB">
      <w:pPr>
        <w:pStyle w:val="NormalWeb"/>
        <w:spacing w:before="300" w:after="0"/>
        <w:jc w:val="both"/>
        <w:rPr>
          <w:color w:val="000000"/>
          <w:u w:val="single"/>
        </w:rPr>
      </w:pPr>
      <w:r w:rsidRPr="00BE0106">
        <w:rPr>
          <w:color w:val="000000"/>
          <w:u w:val="single"/>
        </w:rPr>
        <w:t>En el lado de la oferta, la cuestión clave es la disponibilidad de capital y habilidades suficientes para que el sector innovador se expanda en forma rápida y continua</w:t>
      </w:r>
      <w:r w:rsidRPr="00830146">
        <w:rPr>
          <w:color w:val="000000"/>
        </w:rPr>
        <w:t xml:space="preserve">. En los </w:t>
      </w:r>
      <w:r w:rsidRPr="00830146">
        <w:rPr>
          <w:color w:val="000000"/>
        </w:rPr>
        <w:lastRenderedPageBreak/>
        <w:t xml:space="preserve">países avanzados, ninguna de las dos restricciones es muy vinculante. Pero </w:t>
      </w:r>
      <w:r w:rsidRPr="00BE0106">
        <w:rPr>
          <w:color w:val="000000"/>
          <w:u w:val="single"/>
        </w:rPr>
        <w:t>cuando la tecnología demanda un alto nivel de habilidades (en la jerga de los economistas, el cambio tecnológico tiene un “sesgo de habilidades”), su adopción y difusión tenderá a ampliar la divergencia de ingresos entre los trabajadores más y menos capacitados: el crecimiento económico irá acompañado de un aumento de la desigualdad, como ocurrió en los noventa.</w:t>
      </w:r>
    </w:p>
    <w:p w:rsidR="000711BB" w:rsidRPr="00830146" w:rsidRDefault="000711BB" w:rsidP="000711BB">
      <w:pPr>
        <w:pStyle w:val="NormalWeb"/>
        <w:spacing w:before="300" w:after="0"/>
        <w:jc w:val="both"/>
        <w:rPr>
          <w:color w:val="000000"/>
        </w:rPr>
      </w:pPr>
      <w:r w:rsidRPr="00830146">
        <w:rPr>
          <w:color w:val="000000"/>
        </w:rPr>
        <w:t>El problema de oferta es particularmente debilitante para los países en desarrollo, cuya fuerza laboral es predominantemente poco capacitada. Históricamente, esto no suponía una desventaja para los países que se industrializaron tarde, mientras la producción fabril consistiera en operaciones de ensamblaje con gran uso de mano de obra (como en los sectores automotriz y de indumentaria). Era posible convertir a un campesino en obrero fabril casi de un día para el otro (con un importante aumento de la productividad de la economía). La industrialización ha sido tradicionalmente un modo de alcanzar niveles de ingreso superiores en poco tiempo.</w:t>
      </w:r>
    </w:p>
    <w:p w:rsidR="000711BB" w:rsidRPr="00BE0106" w:rsidRDefault="000711BB" w:rsidP="000711BB">
      <w:pPr>
        <w:pStyle w:val="NormalWeb"/>
        <w:spacing w:before="300" w:after="0"/>
        <w:jc w:val="both"/>
        <w:rPr>
          <w:color w:val="000000"/>
          <w:u w:val="single"/>
        </w:rPr>
      </w:pPr>
      <w:r w:rsidRPr="00BE0106">
        <w:rPr>
          <w:color w:val="000000"/>
          <w:u w:val="single"/>
        </w:rPr>
        <w:t>Pero en cuanto las operaciones fabriles se robotizan y demandan trabajadores muy capacitados, entra en juego la escasez de oferta. En la práctica, los países en desarrollo pierden sus ventajas comparativas respecto de los países ricos. Hoy vemos las consecuencias en la “desindustrialización prematura” de los países en desarrollo.</w:t>
      </w:r>
    </w:p>
    <w:p w:rsidR="000711BB" w:rsidRPr="00830146" w:rsidRDefault="000711BB" w:rsidP="000711BB">
      <w:pPr>
        <w:pStyle w:val="NormalWeb"/>
        <w:spacing w:before="300" w:after="0"/>
        <w:jc w:val="both"/>
        <w:rPr>
          <w:color w:val="000000"/>
        </w:rPr>
      </w:pPr>
      <w:r w:rsidRPr="00BE0106">
        <w:rPr>
          <w:color w:val="000000"/>
          <w:u w:val="single"/>
        </w:rPr>
        <w:t>En un contexto de desindustrialización prematura, a los países de bajos ingresos se les hace mucho más difícil lograr un aumento de productividad que alcance a toda la economía, y no está claro que haya sustitutos eficaces para la industrialización</w:t>
      </w:r>
      <w:r w:rsidRPr="00830146">
        <w:rPr>
          <w:color w:val="000000"/>
        </w:rPr>
        <w:t>.</w:t>
      </w:r>
    </w:p>
    <w:p w:rsidR="000711BB" w:rsidRPr="00BE0106" w:rsidRDefault="000711BB" w:rsidP="000711BB">
      <w:pPr>
        <w:pStyle w:val="NormalWeb"/>
        <w:spacing w:before="300" w:after="0"/>
        <w:jc w:val="both"/>
        <w:rPr>
          <w:color w:val="000000"/>
          <w:u w:val="single"/>
        </w:rPr>
      </w:pPr>
      <w:r w:rsidRPr="00BE0106">
        <w:rPr>
          <w:color w:val="000000"/>
          <w:u w:val="single"/>
        </w:rPr>
        <w:t>El economista Tyler Cowen sugirió que a esos países podría beneficiarlos el derrame de innovaciones desde las economías avanzadas, al habilitar un flujo de nuevos productos baratos para consumir. Cowen denomina a este modelo “celulares en vez de fábricas de automóviles”. Pero queda en pie la pregunta: ¿qué producirán y exportarán estos países (además de productos primarios) para poder comprar los celulares importados?</w:t>
      </w:r>
    </w:p>
    <w:p w:rsidR="000711BB" w:rsidRPr="00BE0106" w:rsidRDefault="000711BB" w:rsidP="000711BB">
      <w:pPr>
        <w:pStyle w:val="NormalWeb"/>
        <w:spacing w:before="300" w:after="0"/>
        <w:jc w:val="both"/>
        <w:rPr>
          <w:color w:val="000000"/>
          <w:u w:val="single"/>
        </w:rPr>
      </w:pPr>
      <w:r w:rsidRPr="00830146">
        <w:rPr>
          <w:color w:val="000000"/>
        </w:rPr>
        <w:t xml:space="preserve">En América latina, a pesar de un importante nivel de innovación en las empresas mejor administradas y en los sectores de vanguardia, la productividad de la economía como un todo se estancó. Esta aparente paradoja se resuelve señalando que al veloz crecimiento de la productividad en los bolsones de innovación se le contrapuso el traspaso de trabajadores de las partes más productivas de la economía a las menos productivas, un fenómeno que </w:t>
      </w:r>
      <w:r w:rsidRPr="00BE0106">
        <w:rPr>
          <w:color w:val="000000"/>
          <w:u w:val="single"/>
        </w:rPr>
        <w:t>mis coautores y yo hemos denominado “cambio estructural reductor del crecimiento”.</w:t>
      </w:r>
    </w:p>
    <w:p w:rsidR="000711BB" w:rsidRPr="00BE0106" w:rsidRDefault="000711BB" w:rsidP="000711BB">
      <w:pPr>
        <w:pStyle w:val="NormalWeb"/>
        <w:spacing w:before="300" w:after="0"/>
        <w:jc w:val="both"/>
        <w:rPr>
          <w:color w:val="000000"/>
          <w:u w:val="single"/>
        </w:rPr>
      </w:pPr>
      <w:r w:rsidRPr="00BE0106">
        <w:rPr>
          <w:color w:val="000000"/>
          <w:u w:val="single"/>
        </w:rPr>
        <w:t>Este perverso fenómeno es posible cuando en la economía hay un serio dualismo en materia de tecnología y las actividades más productivas no se expanden suficientemente rápido (hay pruebas preocupantes de que se está dando también en Estados Unidos).</w:t>
      </w:r>
    </w:p>
    <w:p w:rsidR="000711BB" w:rsidRDefault="000711BB" w:rsidP="000711BB">
      <w:pPr>
        <w:pStyle w:val="NormalWeb"/>
        <w:spacing w:before="300" w:beforeAutospacing="0" w:after="0" w:afterAutospacing="0"/>
        <w:jc w:val="both"/>
        <w:rPr>
          <w:color w:val="000000"/>
        </w:rPr>
      </w:pPr>
      <w:r w:rsidRPr="00BE0106">
        <w:rPr>
          <w:color w:val="FF0000"/>
          <w:u w:val="single"/>
        </w:rPr>
        <w:t xml:space="preserve">En última instancia, lo que mejora los niveles de vida es el efecto de la innovación tecnológica sobre la productividad de toda la economía, no la innovación en sí. </w:t>
      </w:r>
      <w:r w:rsidRPr="00830146">
        <w:rPr>
          <w:color w:val="000000"/>
        </w:rPr>
        <w:t>Esta puede coexistir con baja productividad (y a la inversa, a veces es posible un aumento de productividad sin innovación, cuando hay un traslado de recursos a sectores más productivos). Los tecnopesimistas son conscientes de esto; en cuanto a los optimistas, tal vez no estén errados, pero para demostrarlo, tendrán que prestar atención a cómo se difunden los efectos de la tecnología al conjunto de la economía.</w:t>
      </w:r>
    </w:p>
    <w:p w:rsidR="000711BB" w:rsidRDefault="000711BB" w:rsidP="000711BB">
      <w:pPr>
        <w:pStyle w:val="NormalWeb"/>
        <w:spacing w:before="300" w:beforeAutospacing="0" w:after="0" w:afterAutospacing="0"/>
        <w:jc w:val="both"/>
        <w:rPr>
          <w:color w:val="000000"/>
        </w:rPr>
      </w:pPr>
      <w:r>
        <w:rPr>
          <w:color w:val="000000"/>
        </w:rPr>
        <w:lastRenderedPageBreak/>
        <w:t>(</w:t>
      </w:r>
      <w:r w:rsidRPr="00830146">
        <w:rPr>
          <w:color w:val="000000"/>
        </w:rPr>
        <w:t>Dani Rodrik is Professor of International Political Economy at Harvard University’s John F. Kennedy School of Government. He is the author of The Globalization Paradox: Democracy and the Future of the World Economy and, most recently, Economics Rules: The Rights a</w:t>
      </w:r>
      <w:r>
        <w:rPr>
          <w:color w:val="000000"/>
        </w:rPr>
        <w:t>nd Wrongs of the Dismal Science)</w:t>
      </w:r>
    </w:p>
    <w:p w:rsidR="000711BB" w:rsidRDefault="000711BB" w:rsidP="000711BB">
      <w:pPr>
        <w:pStyle w:val="NormalWeb"/>
        <w:spacing w:after="0"/>
        <w:jc w:val="both"/>
        <w:textAlignment w:val="baseline"/>
      </w:pPr>
      <w:r>
        <w:t xml:space="preserve">- </w:t>
      </w:r>
      <w:r w:rsidRPr="001B6050">
        <w:rPr>
          <w:u w:val="single"/>
        </w:rPr>
        <w:t>Haciendo arrancar la economía de Europa</w:t>
      </w:r>
      <w:r>
        <w:t xml:space="preserve"> (Project Syndicate - </w:t>
      </w:r>
      <w:r w:rsidRPr="001B6050">
        <w:rPr>
          <w:b/>
        </w:rPr>
        <w:t>26/6/16</w:t>
      </w:r>
      <w:r>
        <w:t>)</w:t>
      </w:r>
    </w:p>
    <w:p w:rsidR="000711BB" w:rsidRDefault="000711BB" w:rsidP="000711BB">
      <w:pPr>
        <w:pStyle w:val="NormalWeb"/>
        <w:spacing w:after="0"/>
        <w:jc w:val="both"/>
        <w:textAlignment w:val="baseline"/>
      </w:pPr>
      <w:r>
        <w:t xml:space="preserve">París.- </w:t>
      </w:r>
      <w:r w:rsidRPr="00D73B8D">
        <w:rPr>
          <w:color w:val="FF0000"/>
          <w:u w:val="single"/>
        </w:rPr>
        <w:t>No hace mucho, la noción de que el Banco Central Europeo otorgue dinero a los gobiernos o directamente a los ciudadanos -la</w:t>
      </w:r>
      <w:r>
        <w:rPr>
          <w:color w:val="FF0000"/>
          <w:u w:val="single"/>
        </w:rPr>
        <w:t>s llamadas entregas de “dinero helicóptero”</w:t>
      </w:r>
      <w:r w:rsidRPr="00D73B8D">
        <w:rPr>
          <w:color w:val="FF0000"/>
          <w:u w:val="single"/>
        </w:rPr>
        <w:t>- habría parecido estrafalaria. Pero hoy una cantidad sorprendente de economistas convencionales y políticos de centro respaldan la idea de un financiamiento monetario de medidas de estímulo en diferentes formas.</w:t>
      </w:r>
    </w:p>
    <w:p w:rsidR="000711BB" w:rsidRPr="00D73B8D" w:rsidRDefault="000711BB" w:rsidP="000711BB">
      <w:pPr>
        <w:pStyle w:val="NormalWeb"/>
        <w:spacing w:after="0"/>
        <w:jc w:val="both"/>
        <w:textAlignment w:val="baseline"/>
        <w:rPr>
          <w:u w:val="single"/>
        </w:rPr>
      </w:pPr>
      <w:r w:rsidRPr="00D73B8D">
        <w:rPr>
          <w:u w:val="single"/>
        </w:rPr>
        <w:t>Esto representa un cambio muy necesario en la conversación -un cambio que, por fin, coloca el foco directamente en el estímulo del lado de la demanda de la economía europea-. Después de años de crecimiento estancado y de desempleo debilitante, todas las opciones, no importa lo poco convencionales que sean, deberían estar sobre la mesa.</w:t>
      </w:r>
    </w:p>
    <w:p w:rsidR="000711BB" w:rsidRPr="00D73B8D" w:rsidRDefault="000711BB" w:rsidP="000711BB">
      <w:pPr>
        <w:pStyle w:val="NormalWeb"/>
        <w:spacing w:after="0"/>
        <w:jc w:val="both"/>
        <w:textAlignment w:val="baseline"/>
        <w:rPr>
          <w:color w:val="FF0000"/>
          <w:u w:val="single"/>
        </w:rPr>
      </w:pPr>
      <w:r w:rsidRPr="00D73B8D">
        <w:rPr>
          <w:color w:val="FF0000"/>
          <w:u w:val="single"/>
        </w:rPr>
        <w:t>La decisión del referendo del Reino Unido de abandonar la Unión Europea no hace más que fortalecer el argumento a favor de más medidas poco convencionales y de estímulo en Europa. Si una mayoría importante de ciudadanos de la UE ha de respaldar una continua integración política, un crecimiento económico sólido es vital.</w:t>
      </w:r>
    </w:p>
    <w:p w:rsidR="000711BB" w:rsidRPr="00D73B8D" w:rsidRDefault="000711BB" w:rsidP="000711BB">
      <w:pPr>
        <w:pStyle w:val="NormalWeb"/>
        <w:spacing w:after="0"/>
        <w:jc w:val="both"/>
        <w:textAlignment w:val="baseline"/>
        <w:rPr>
          <w:color w:val="FF0000"/>
          <w:u w:val="single"/>
        </w:rPr>
      </w:pPr>
      <w:r>
        <w:t>Como demuestra la investigación del McKinsey Global Institute (MG</w:t>
      </w:r>
      <w:r w:rsidRPr="0084580E">
        <w:t xml:space="preserve">I), </w:t>
      </w:r>
      <w:r w:rsidRPr="00D73B8D">
        <w:rPr>
          <w:color w:val="FF0000"/>
          <w:u w:val="single"/>
        </w:rPr>
        <w:t>a pesar de la flexibilización cuantitativa agresiva y de las tasas de interés en niveles bajos sin precedentes -el BCE fue el primer banco central importante en introducir tasas de interés negativas en 2014-, la demanda anémica sigue coartando el crecimiento del PIB en toda Europa. En varios países de la UE, más de una cuarta parte de la población hace cerca de diez años que está desempleada, mientras que el descontento político se está transformando en extremismo. La incertidumbre y la volatilidad en los mercados financieros luego del voto del Brexit deteriorarán aún más la demanda.</w:t>
      </w:r>
    </w:p>
    <w:p w:rsidR="000711BB" w:rsidRPr="00D73B8D" w:rsidRDefault="000711BB" w:rsidP="000711BB">
      <w:pPr>
        <w:pStyle w:val="NormalWeb"/>
        <w:spacing w:after="0"/>
        <w:jc w:val="both"/>
        <w:textAlignment w:val="baseline"/>
        <w:rPr>
          <w:u w:val="single"/>
        </w:rPr>
      </w:pPr>
      <w:r w:rsidRPr="00D73B8D">
        <w:rPr>
          <w:u w:val="single"/>
        </w:rPr>
        <w:t>La ola de inversión corporativa que supuestamente iba a liberarse gracias a una combinación de restricción fiscal (para frenar la deuda gubernamental) y alivio monetario (para generar tasas de interés ultra bajas) nunca se ha materializado. Por el contrario, las empresas europeas cercenaron la inversión anual en más de 100.000 millones de euros (113.000 millones de dólares) al año entre 2008 y 2015, y han acumulado unos 700.000 millones de euros de efectivo en sus balances.</w:t>
      </w:r>
    </w:p>
    <w:p w:rsidR="000711BB" w:rsidRDefault="000711BB" w:rsidP="000711BB">
      <w:pPr>
        <w:pStyle w:val="NormalWeb"/>
        <w:spacing w:after="0"/>
        <w:jc w:val="both"/>
        <w:textAlignment w:val="baseline"/>
      </w:pPr>
      <w:r w:rsidRPr="00D73B8D">
        <w:rPr>
          <w:u w:val="single"/>
        </w:rPr>
        <w:t>Esto no sorprende: las empresas invierten cuando tienen confianza en la demanda futura y en el crecimiento de la producción</w:t>
      </w:r>
      <w:r>
        <w:t>. Inclusive antes del voto del Brexit, las empresas europeas y otras compañías globales no tenían confianza en las perspectivas de Europa. Ahora enfrentan riesgos elevados de una recesión europea y la posibilidad real de que tanto el Reino Unido como la UE puedan fragmentarse si prospera el contagio populista. Los inversores corporativos odian la incertidumbre y la votación del Brexit ha creado un mundo dramáticamente más incierto en Europa y otras partes.</w:t>
      </w:r>
    </w:p>
    <w:p w:rsidR="000711BB" w:rsidRDefault="000711BB" w:rsidP="000711BB">
      <w:pPr>
        <w:pStyle w:val="NormalWeb"/>
        <w:spacing w:after="0"/>
        <w:jc w:val="both"/>
        <w:textAlignment w:val="baseline"/>
      </w:pPr>
      <w:r w:rsidRPr="00D73B8D">
        <w:rPr>
          <w:u w:val="single"/>
        </w:rPr>
        <w:t>La austeridad fiscal y las tasas de interés ultra bajas han demostrado ser ineficientes a la hora de estimular la  demanda de los hogares -y pueden ser contraproducentes</w:t>
      </w:r>
      <w:r>
        <w:t xml:space="preserve">-. </w:t>
      </w:r>
      <w:r w:rsidRPr="00D73B8D">
        <w:rPr>
          <w:color w:val="FF0000"/>
          <w:u w:val="single"/>
        </w:rPr>
        <w:t xml:space="preserve">Cuando los individuos no encuentran rendimientos decentes, en verdad pueden aumentar sus </w:t>
      </w:r>
      <w:r w:rsidRPr="00D73B8D">
        <w:rPr>
          <w:color w:val="FF0000"/>
          <w:u w:val="single"/>
        </w:rPr>
        <w:lastRenderedPageBreak/>
        <w:t>ahorros para alcanzar sus objetivos de retiro.</w:t>
      </w:r>
      <w:r>
        <w:t xml:space="preserve"> Y en la típica ciudad europea, donde la tierra y las viviendas asequibles escasean, las tasas de interés más bajas han venido impulsando los precios de la propiedad hacia arriba en lugar de estimular la construcción.</w:t>
      </w:r>
    </w:p>
    <w:p w:rsidR="000711BB" w:rsidRDefault="000711BB" w:rsidP="000711BB">
      <w:pPr>
        <w:pStyle w:val="NormalWeb"/>
        <w:spacing w:after="0"/>
        <w:jc w:val="both"/>
        <w:textAlignment w:val="baseline"/>
      </w:pPr>
      <w:r w:rsidRPr="00D73B8D">
        <w:rPr>
          <w:color w:val="FF0000"/>
          <w:u w:val="single"/>
        </w:rPr>
        <w:t>Llegó la hora de reconocer los límites de la política actual. En las condiciones precarias de hoy, la demanda en verdad podría estar mejor respaldada si se implementaran estrategias diferentes a la flexibilización cuantitativa y las tasas de interés ultra bajas. Es más, las estrategias alternativas para estimular la demanda privada podrían tener menos consecuencias distributivas indeseables</w:t>
      </w:r>
      <w:r>
        <w:t>, según el análisis del MGI.</w:t>
      </w:r>
    </w:p>
    <w:p w:rsidR="000711BB" w:rsidRPr="00D73B8D" w:rsidRDefault="000711BB" w:rsidP="000711BB">
      <w:pPr>
        <w:pStyle w:val="NormalWeb"/>
        <w:spacing w:after="0"/>
        <w:jc w:val="both"/>
        <w:textAlignment w:val="baseline"/>
        <w:rPr>
          <w:u w:val="single"/>
        </w:rPr>
      </w:pPr>
      <w:r w:rsidRPr="00D73B8D">
        <w:rPr>
          <w:u w:val="single"/>
        </w:rPr>
        <w:t>Quienes proponen el dinero helicóptero -otorgándoles créditos directamente a los ciudadanos con fondos del banco central, o dándoles dinero a los tesoros nacionales para financiar infraestructura y otras actividades generadoras de demanda- sostienen, con razón, que tiene la ventaja de poner el dinero directamente en manos de quienes lo van a gastar. Un programa de dinero helicóptero de dimensiones apropiadas también podría hacer subir la inflación de una manera controlada, evitando así la posibilidad de una trampa deflacionaria al estilo japonés.</w:t>
      </w:r>
    </w:p>
    <w:p w:rsidR="000711BB" w:rsidRPr="00D73B8D" w:rsidRDefault="000711BB" w:rsidP="000711BB">
      <w:pPr>
        <w:pStyle w:val="NormalWeb"/>
        <w:spacing w:after="0"/>
        <w:jc w:val="both"/>
        <w:textAlignment w:val="baseline"/>
        <w:rPr>
          <w:u w:val="single"/>
        </w:rPr>
      </w:pPr>
      <w:r w:rsidRPr="00D73B8D">
        <w:rPr>
          <w:u w:val="single"/>
        </w:rPr>
        <w:t>Por cierto, el impulso de la demanda podría darles a los bancos centrales la oportunidad que necesitan para retrotraer las tasas de interés a las normas históricas. Esto podría desinflar las incipientes burbujas de activos que pudieran estar formándose y aliviar las presiones sobre los inversores institucionales que se esfuerzan por encontrar el rendimiento que necesitan para cumplir con sus compromisos de seguros y pensiones.</w:t>
      </w:r>
    </w:p>
    <w:p w:rsidR="000711BB" w:rsidRPr="00D73B8D" w:rsidRDefault="000711BB" w:rsidP="000711BB">
      <w:pPr>
        <w:pStyle w:val="NormalWeb"/>
        <w:spacing w:after="0"/>
        <w:jc w:val="both"/>
        <w:textAlignment w:val="baseline"/>
        <w:rPr>
          <w:color w:val="FF0000"/>
          <w:u w:val="single"/>
        </w:rPr>
      </w:pPr>
      <w:r w:rsidRPr="00D73B8D">
        <w:rPr>
          <w:color w:val="FF0000"/>
          <w:u w:val="single"/>
        </w:rPr>
        <w:t>Pero un programa de dinero helicóptero -una idea inverosímil cuando Milton Friedman la propuso en 1969- también sería una desviación radical para los responsables de las políticas, que requeriría muchísima cautela respecto de la percepción y la confianza de los ciudadanos y los inversores, y las estructuras sólidas de gobernancia. Y una estrategia semejante consolidaría la noción de que la</w:t>
      </w:r>
      <w:r>
        <w:rPr>
          <w:color w:val="FF0000"/>
          <w:u w:val="single"/>
        </w:rPr>
        <w:t xml:space="preserve"> política del banco central es “la única alternativa”</w:t>
      </w:r>
      <w:r w:rsidRPr="00D73B8D">
        <w:rPr>
          <w:color w:val="FF0000"/>
          <w:u w:val="single"/>
        </w:rPr>
        <w:t>, desligando a los líderes gubernamentales electos de su responsabilidad de implementar políticas pro-crecimiento y las decisiones fiscales que controlan.</w:t>
      </w:r>
    </w:p>
    <w:p w:rsidR="000711BB" w:rsidRDefault="000711BB" w:rsidP="000711BB">
      <w:pPr>
        <w:pStyle w:val="NormalWeb"/>
        <w:spacing w:after="0"/>
        <w:jc w:val="both"/>
        <w:textAlignment w:val="baseline"/>
      </w:pPr>
      <w:r w:rsidRPr="00D73B8D">
        <w:rPr>
          <w:color w:val="FF0000"/>
          <w:u w:val="single"/>
        </w:rPr>
        <w:t>Un camino menos riesgoso y probado en el tiempo para estimular la demanda sería un incremento significativo de la inversión pública en infraestructura financiada con deuda del gobierno. Está bien documentado que Europa y Estados Unidos han invertido de manera ineficiente en infraestructura</w:t>
      </w:r>
      <w:r>
        <w:t>. Desde una perspectiva macroeconómica, la inversión en infraestructura es un “dos por uno” -fortalece la productividad y la competitividad en el largo plazo y, donde hay capacidad inutilizada, fomenta la demanda, la producción y el empleo con efectos multiplicadores significativos en el corto plazo.</w:t>
      </w:r>
    </w:p>
    <w:p w:rsidR="000711BB" w:rsidRPr="006F20CB" w:rsidRDefault="000711BB" w:rsidP="000711BB">
      <w:pPr>
        <w:pStyle w:val="NormalWeb"/>
        <w:spacing w:after="0"/>
        <w:jc w:val="both"/>
        <w:textAlignment w:val="baseline"/>
        <w:rPr>
          <w:color w:val="FF0000"/>
          <w:u w:val="single"/>
        </w:rPr>
      </w:pPr>
      <w:r w:rsidRPr="006F20CB">
        <w:rPr>
          <w:color w:val="FF0000"/>
          <w:u w:val="single"/>
        </w:rPr>
        <w:t>Sin embargo, los gobiernos en toda Europa han restringido la inversión en infraestructura durante años, dándole prioridad a la austeridad fiscal y a la reducción de deuda con la idea equivocada de que el endeudamiento del gobierno desplaza a la inversión privada y reduce el crecimiento. Pero la lógica del desplazamiento se aplica solamente a condiciones de pleno empleo -condiciones que claramente hoy no existen en la mayor parte de Europa.</w:t>
      </w:r>
    </w:p>
    <w:p w:rsidR="000711BB" w:rsidRPr="006F20CB" w:rsidRDefault="000711BB" w:rsidP="000711BB">
      <w:pPr>
        <w:pStyle w:val="NormalWeb"/>
        <w:spacing w:after="0"/>
        <w:jc w:val="both"/>
        <w:textAlignment w:val="baseline"/>
        <w:rPr>
          <w:u w:val="single"/>
        </w:rPr>
      </w:pPr>
      <w:r w:rsidRPr="006F20CB">
        <w:rPr>
          <w:u w:val="single"/>
        </w:rPr>
        <w:lastRenderedPageBreak/>
        <w:t>Por otra parte, la inversión en infraestructura no se puede posponer para siempre. Es necesario realizar una nueva evaluación de la situación, que tenga en cuenta los costos plenos de la desinversión en términos de empleo y crecimiento perdidos.</w:t>
      </w:r>
    </w:p>
    <w:p w:rsidR="000711BB" w:rsidRDefault="000711BB" w:rsidP="000711BB">
      <w:pPr>
        <w:pStyle w:val="NormalWeb"/>
        <w:spacing w:after="0"/>
        <w:jc w:val="both"/>
        <w:textAlignment w:val="baseline"/>
      </w:pPr>
      <w:r w:rsidRPr="006F20CB">
        <w:rPr>
          <w:color w:val="FF0000"/>
          <w:u w:val="single"/>
        </w:rPr>
        <w:t>Una manera de romper el impasse es un cambio en los estándares de la contabilidad pública. Específicamente, si los gobiernos pudieran tratar la inversión en infraestructura como las empresas tratan el gasto de capital -como activos de los balances que se deprecian a lo largo de su ciclo vital y no como gastos excepcionales-, esa inversión entonces podría estar eximida de las reglas de déficit de Europa sin abrir la puerta a un derroche de gasto o aliviando la presión para planes creíbles para una consolidación fiscal a largo plazo. Por supuesto, sería crucial que se mejorara simultáneamente la planificación y la supervisión de los proyectos de infraestructura</w:t>
      </w:r>
      <w:r>
        <w:t>, según el MGI.</w:t>
      </w:r>
    </w:p>
    <w:p w:rsidR="000711BB" w:rsidRPr="006F20CB" w:rsidRDefault="000711BB" w:rsidP="000711BB">
      <w:pPr>
        <w:pStyle w:val="NormalWeb"/>
        <w:spacing w:after="0"/>
        <w:jc w:val="both"/>
        <w:textAlignment w:val="baseline"/>
        <w:rPr>
          <w:color w:val="FF0000"/>
          <w:u w:val="single"/>
        </w:rPr>
      </w:pPr>
      <w:r w:rsidRPr="006F20CB">
        <w:rPr>
          <w:color w:val="FF0000"/>
          <w:u w:val="single"/>
        </w:rPr>
        <w:t>También se necesitan nuevas ideas sobre la reforma estructural. Durante décadas, las discusiones sobre la reforma en la UE se han centrado en reducir la regulación del mercado laboral, recortar la burocracia en los mercados de productos, privatizar empresas estatales y reducir las tasas de interés. Pero la reforma ahora debería seguir el hilo de los esfuerzos por impulsar la demanda -por ejemplo, estimulando la economía plateada, impulsado la educación y la innovación digital y destrabando los mercados de tierra urbanos para allanar el camino para la inversión tan necesaria en vivienda.</w:t>
      </w:r>
    </w:p>
    <w:p w:rsidR="000711BB" w:rsidRDefault="000711BB" w:rsidP="000711BB">
      <w:pPr>
        <w:pStyle w:val="NormalWeb"/>
        <w:spacing w:after="0"/>
        <w:jc w:val="both"/>
        <w:textAlignment w:val="baseline"/>
      </w:pPr>
      <w:r w:rsidRPr="006F20CB">
        <w:rPr>
          <w:u w:val="single"/>
        </w:rPr>
        <w:t>Cada una de estas opciones exigiría un debate sólido y una investigación más profunda. Pero resulta evidente que Europa necesita un conjunto más amplio de opciones de políticas. La flexibilización cuantitativa y las tasas de interés ultra bajas deberían dejar de ser las únicas flechas en la aljaba de políticas macroeconómicas</w:t>
      </w:r>
      <w:r>
        <w:t>. Esas herramientas, junto con una austeridad fiscal excesiva, pueden tener costos más elevados en términos de empleo y crecimiento perdidos -y de un creciente descontento polít</w:t>
      </w:r>
      <w:r w:rsidR="007859BA">
        <w:t>ico- que opciones alternativas “riesgosas”</w:t>
      </w:r>
      <w:r>
        <w:t xml:space="preserve">. </w:t>
      </w:r>
      <w:r w:rsidRPr="006F20CB">
        <w:rPr>
          <w:color w:val="FF0000"/>
          <w:u w:val="single"/>
        </w:rPr>
        <w:t>El voto del Brexit funciona como cabeza de turco para los responsables de las políticas económicas de Europa. Los tiempos no convencionales requieren la consideración de estrategias políticas audaces no convencionales</w:t>
      </w:r>
      <w:r>
        <w:t>.</w:t>
      </w:r>
    </w:p>
    <w:p w:rsidR="000711BB" w:rsidRDefault="000711BB" w:rsidP="000711BB">
      <w:pPr>
        <w:pStyle w:val="NormalWeb"/>
        <w:spacing w:after="0"/>
        <w:jc w:val="both"/>
        <w:textAlignment w:val="baseline"/>
      </w:pPr>
      <w:r>
        <w:t>(Laura Tyson, a former chair of the US President's Council of Economic Advisers, is a professor at the Haas School of Business at the University of California, Berkeley, a senior adviser at the Rock Creek Group, and a member of the World Economic Forum Global Agenda Council on Gender Parity. Eric Labaye is Chairman of the McKinsey Global Institute)</w:t>
      </w:r>
    </w:p>
    <w:p w:rsidR="000711BB" w:rsidRPr="007F5223" w:rsidRDefault="000711BB" w:rsidP="000711BB">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7F5223">
        <w:rPr>
          <w:rFonts w:ascii="Times New Roman" w:eastAsia="Times New Roman" w:hAnsi="Times New Roman"/>
          <w:sz w:val="24"/>
          <w:szCs w:val="24"/>
        </w:rPr>
        <w:t>¿</w:t>
      </w:r>
      <w:r w:rsidRPr="007F5223">
        <w:rPr>
          <w:rFonts w:ascii="Times New Roman" w:eastAsia="Times New Roman" w:hAnsi="Times New Roman"/>
          <w:sz w:val="24"/>
          <w:szCs w:val="24"/>
          <w:u w:val="single"/>
        </w:rPr>
        <w:t>Una falsa alarma del Fondo</w:t>
      </w:r>
      <w:r w:rsidRPr="007F5223">
        <w:rPr>
          <w:rFonts w:ascii="Times New Roman" w:eastAsia="Times New Roman" w:hAnsi="Times New Roman"/>
          <w:sz w:val="24"/>
          <w:szCs w:val="24"/>
        </w:rPr>
        <w:t>?</w:t>
      </w:r>
      <w:r>
        <w:rPr>
          <w:rFonts w:ascii="Times New Roman" w:eastAsia="Times New Roman" w:hAnsi="Times New Roman"/>
          <w:sz w:val="24"/>
          <w:szCs w:val="24"/>
        </w:rPr>
        <w:t xml:space="preserve"> (Project Syndicate - </w:t>
      </w:r>
      <w:r w:rsidRPr="007F5223">
        <w:rPr>
          <w:rFonts w:ascii="Times New Roman" w:eastAsia="Times New Roman" w:hAnsi="Times New Roman"/>
          <w:b/>
          <w:sz w:val="24"/>
          <w:szCs w:val="24"/>
        </w:rPr>
        <w:t>22/6/16</w:t>
      </w:r>
      <w:r>
        <w:rPr>
          <w:rFonts w:ascii="Times New Roman" w:eastAsia="Times New Roman" w:hAnsi="Times New Roman"/>
          <w:sz w:val="24"/>
          <w:szCs w:val="24"/>
        </w:rPr>
        <w:t>)</w:t>
      </w:r>
    </w:p>
    <w:p w:rsidR="000711BB" w:rsidRPr="00C54FA3" w:rsidRDefault="000711BB" w:rsidP="000711BB">
      <w:pPr>
        <w:shd w:val="clear" w:color="auto" w:fill="FFFFFF"/>
        <w:spacing w:after="270"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sz w:val="24"/>
          <w:szCs w:val="24"/>
        </w:rPr>
        <w:t>Londres.-</w:t>
      </w:r>
      <w:r w:rsidRPr="007F5223">
        <w:rPr>
          <w:rFonts w:ascii="Times New Roman" w:eastAsia="Times New Roman" w:hAnsi="Times New Roman"/>
          <w:sz w:val="24"/>
          <w:szCs w:val="24"/>
        </w:rPr>
        <w:t xml:space="preserve"> Si uno le pide a Google que encuentre el texto del Informe sobre la Estabilidad Financiera Mundial del Fondo Monetario Internacional para abril de 2006, el buscador convenientemente pregunta si uno, en realidad, no está buscando la versión de abril de 2016. Estoy seguro de que el FMI nunca intentaría manipular un motor de búsqueda, pero </w:t>
      </w:r>
      <w:r w:rsidRPr="00C54FA3">
        <w:rPr>
          <w:rFonts w:ascii="Times New Roman" w:eastAsia="Times New Roman" w:hAnsi="Times New Roman"/>
          <w:sz w:val="24"/>
          <w:szCs w:val="24"/>
          <w:u w:val="single"/>
        </w:rPr>
        <w:t xml:space="preserve">imagino que los responsables de los asuntos públicos del Fondo están felices si la menor cantidad de gente posible puede acceder a </w:t>
      </w:r>
      <w:r w:rsidRPr="00C54FA3">
        <w:rPr>
          <w:rFonts w:ascii="Times New Roman" w:eastAsia="Times New Roman" w:hAnsi="Times New Roman"/>
          <w:b/>
          <w:sz w:val="24"/>
          <w:szCs w:val="24"/>
          <w:u w:val="single"/>
        </w:rPr>
        <w:t>la versión de 2006</w:t>
      </w:r>
      <w:r w:rsidRPr="00C54FA3">
        <w:rPr>
          <w:rFonts w:ascii="Times New Roman" w:eastAsia="Times New Roman" w:hAnsi="Times New Roman"/>
          <w:sz w:val="24"/>
          <w:szCs w:val="24"/>
          <w:u w:val="single"/>
        </w:rPr>
        <w:t>. No fue una de las publicaciones más clarividentes del FMI.</w:t>
      </w:r>
    </w:p>
    <w:p w:rsidR="000711BB" w:rsidRPr="00C54FA3" w:rsidRDefault="000711BB" w:rsidP="000711BB">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C54FA3">
        <w:rPr>
          <w:rFonts w:ascii="Times New Roman" w:eastAsia="Times New Roman" w:hAnsi="Times New Roman"/>
          <w:color w:val="FF0000"/>
          <w:sz w:val="24"/>
          <w:szCs w:val="24"/>
          <w:u w:val="single"/>
        </w:rPr>
        <w:t xml:space="preserve">El informe, publicado justo cuando empezaban a surgir las primeras dudas sobre el mercado de hipotecas de alto riesgo en Estados Unidos, presentaba una visión alentadora del presente y del futuro. Los autores en efecto se referían a si los </w:t>
      </w:r>
      <w:r w:rsidRPr="00C54FA3">
        <w:rPr>
          <w:rFonts w:ascii="Times New Roman" w:eastAsia="Times New Roman" w:hAnsi="Times New Roman"/>
          <w:color w:val="FF0000"/>
          <w:sz w:val="24"/>
          <w:szCs w:val="24"/>
          <w:u w:val="single"/>
        </w:rPr>
        <w:lastRenderedPageBreak/>
        <w:t>desequilibrios globales, los derivados y las hipotecas de alto riesgo planteaban una amenaza para la estabilidad financiera. Pero les gustaba lo que veían.</w:t>
      </w:r>
    </w:p>
    <w:p w:rsidR="000711BB" w:rsidRPr="00C54FA3" w:rsidRDefault="000711BB" w:rsidP="000711BB">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C54FA3">
        <w:rPr>
          <w:rFonts w:ascii="Times New Roman" w:eastAsia="Times New Roman" w:hAnsi="Times New Roman"/>
          <w:color w:val="FF0000"/>
          <w:sz w:val="24"/>
          <w:szCs w:val="24"/>
          <w:u w:val="single"/>
        </w:rPr>
        <w:t>En el mercado hipotecario, el FMI veía perspectivas de un aterrizaje suave. Creía que los desequilibrios globales se irían resolviendo gradualmente. Y elogiaba la capacidad de los mercados y compañías financieras de Estados Unidos a la hora de crear</w:t>
      </w:r>
      <w:r>
        <w:rPr>
          <w:rFonts w:ascii="Times New Roman" w:eastAsia="Times New Roman" w:hAnsi="Times New Roman"/>
          <w:color w:val="FF0000"/>
          <w:sz w:val="24"/>
          <w:szCs w:val="24"/>
          <w:u w:val="single"/>
        </w:rPr>
        <w:t xml:space="preserve"> instrumentos innovadores para “</w:t>
      </w:r>
      <w:r w:rsidRPr="00C54FA3">
        <w:rPr>
          <w:rFonts w:ascii="Times New Roman" w:eastAsia="Times New Roman" w:hAnsi="Times New Roman"/>
          <w:color w:val="FF0000"/>
          <w:sz w:val="24"/>
          <w:szCs w:val="24"/>
          <w:u w:val="single"/>
        </w:rPr>
        <w:t>atraer y sustentar altos</w:t>
      </w:r>
      <w:r>
        <w:rPr>
          <w:rFonts w:ascii="Times New Roman" w:eastAsia="Times New Roman" w:hAnsi="Times New Roman"/>
          <w:color w:val="FF0000"/>
          <w:sz w:val="24"/>
          <w:szCs w:val="24"/>
          <w:u w:val="single"/>
        </w:rPr>
        <w:t xml:space="preserve"> niveles de ingresos de capital”</w:t>
      </w:r>
      <w:r w:rsidRPr="00C54FA3">
        <w:rPr>
          <w:rFonts w:ascii="Times New Roman" w:eastAsia="Times New Roman" w:hAnsi="Times New Roman"/>
          <w:color w:val="FF0000"/>
          <w:sz w:val="24"/>
          <w:szCs w:val="24"/>
          <w:u w:val="single"/>
        </w:rPr>
        <w:t>. Por cierto, se describía a los mercado</w:t>
      </w:r>
      <w:r>
        <w:rPr>
          <w:rFonts w:ascii="Times New Roman" w:eastAsia="Times New Roman" w:hAnsi="Times New Roman"/>
          <w:color w:val="FF0000"/>
          <w:sz w:val="24"/>
          <w:szCs w:val="24"/>
          <w:u w:val="single"/>
        </w:rPr>
        <w:t>s estadounidenses como “</w:t>
      </w:r>
      <w:r w:rsidRPr="00C54FA3">
        <w:rPr>
          <w:rFonts w:ascii="Times New Roman" w:eastAsia="Times New Roman" w:hAnsi="Times New Roman"/>
          <w:color w:val="FF0000"/>
          <w:sz w:val="24"/>
          <w:szCs w:val="24"/>
          <w:u w:val="single"/>
        </w:rPr>
        <w:t>profundos, flexibles, sofisticados y, en l</w:t>
      </w:r>
      <w:r>
        <w:rPr>
          <w:rFonts w:ascii="Times New Roman" w:eastAsia="Times New Roman" w:hAnsi="Times New Roman"/>
          <w:color w:val="FF0000"/>
          <w:sz w:val="24"/>
          <w:szCs w:val="24"/>
          <w:u w:val="single"/>
        </w:rPr>
        <w:t>íneas generales, bien regulados”</w:t>
      </w:r>
      <w:r w:rsidRPr="00C54FA3">
        <w:rPr>
          <w:rFonts w:ascii="Times New Roman" w:eastAsia="Times New Roman" w:hAnsi="Times New Roman"/>
          <w:color w:val="FF0000"/>
          <w:sz w:val="24"/>
          <w:szCs w:val="24"/>
          <w:u w:val="single"/>
        </w:rPr>
        <w:t>.</w:t>
      </w:r>
    </w:p>
    <w:p w:rsidR="000711BB" w:rsidRPr="00C54FA3" w:rsidRDefault="000711BB" w:rsidP="000711BB">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C54FA3">
        <w:rPr>
          <w:rFonts w:ascii="Times New Roman" w:eastAsia="Times New Roman" w:hAnsi="Times New Roman"/>
          <w:color w:val="FF0000"/>
          <w:sz w:val="24"/>
          <w:szCs w:val="24"/>
          <w:u w:val="single"/>
        </w:rPr>
        <w:t>Pero el error de apreciación más notable aparece en la discusión de la transferencia del riesgo c</w:t>
      </w:r>
      <w:r>
        <w:rPr>
          <w:rFonts w:ascii="Times New Roman" w:eastAsia="Times New Roman" w:hAnsi="Times New Roman"/>
          <w:color w:val="FF0000"/>
          <w:sz w:val="24"/>
          <w:szCs w:val="24"/>
          <w:u w:val="single"/>
        </w:rPr>
        <w:t>rediticio. El FMI concluía que “</w:t>
      </w:r>
      <w:r w:rsidRPr="00C54FA3">
        <w:rPr>
          <w:rFonts w:ascii="Times New Roman" w:eastAsia="Times New Roman" w:hAnsi="Times New Roman"/>
          <w:color w:val="FF0000"/>
          <w:sz w:val="24"/>
          <w:szCs w:val="24"/>
          <w:u w:val="single"/>
        </w:rPr>
        <w:t>una dispersión más amplia del riesgo crediticio ha permitido que el sector finan</w:t>
      </w:r>
      <w:r>
        <w:rPr>
          <w:rFonts w:ascii="Times New Roman" w:eastAsia="Times New Roman" w:hAnsi="Times New Roman"/>
          <w:color w:val="FF0000"/>
          <w:sz w:val="24"/>
          <w:szCs w:val="24"/>
          <w:u w:val="single"/>
        </w:rPr>
        <w:t>ciero se tornara menos riesgoso”. En consecuencia, “</w:t>
      </w:r>
      <w:r w:rsidRPr="00C54FA3">
        <w:rPr>
          <w:rFonts w:ascii="Times New Roman" w:eastAsia="Times New Roman" w:hAnsi="Times New Roman"/>
          <w:color w:val="FF0000"/>
          <w:sz w:val="24"/>
          <w:szCs w:val="24"/>
          <w:u w:val="single"/>
        </w:rPr>
        <w:t>los bancos deberían volverse más resilie</w:t>
      </w:r>
      <w:r>
        <w:rPr>
          <w:rFonts w:ascii="Times New Roman" w:eastAsia="Times New Roman" w:hAnsi="Times New Roman"/>
          <w:color w:val="FF0000"/>
          <w:sz w:val="24"/>
          <w:szCs w:val="24"/>
          <w:u w:val="single"/>
        </w:rPr>
        <w:t>ntes y financieramente estables” y las consecuencias de esto “</w:t>
      </w:r>
      <w:r w:rsidRPr="00C54FA3">
        <w:rPr>
          <w:rFonts w:ascii="Times New Roman" w:eastAsia="Times New Roman" w:hAnsi="Times New Roman"/>
          <w:color w:val="FF0000"/>
          <w:sz w:val="24"/>
          <w:szCs w:val="24"/>
          <w:u w:val="single"/>
        </w:rPr>
        <w:t>deberían traducirse en menos quebrantos bancarios  y una provi</w:t>
      </w:r>
      <w:r>
        <w:rPr>
          <w:rFonts w:ascii="Times New Roman" w:eastAsia="Times New Roman" w:hAnsi="Times New Roman"/>
          <w:color w:val="FF0000"/>
          <w:sz w:val="24"/>
          <w:szCs w:val="24"/>
          <w:u w:val="single"/>
        </w:rPr>
        <w:t>sión de crédito más consistente”</w:t>
      </w:r>
      <w:r w:rsidRPr="00C54FA3">
        <w:rPr>
          <w:rFonts w:ascii="Times New Roman" w:eastAsia="Times New Roman" w:hAnsi="Times New Roman"/>
          <w:color w:val="FF0000"/>
          <w:sz w:val="24"/>
          <w:szCs w:val="24"/>
          <w:u w:val="single"/>
        </w:rPr>
        <w:t>. Hemo</w:t>
      </w:r>
      <w:r>
        <w:rPr>
          <w:rFonts w:ascii="Times New Roman" w:eastAsia="Times New Roman" w:hAnsi="Times New Roman"/>
          <w:color w:val="FF0000"/>
          <w:sz w:val="24"/>
          <w:szCs w:val="24"/>
          <w:u w:val="single"/>
        </w:rPr>
        <w:t>s entrado en una era en la que “</w:t>
      </w:r>
      <w:r w:rsidRPr="00C54FA3">
        <w:rPr>
          <w:rFonts w:ascii="Times New Roman" w:eastAsia="Times New Roman" w:hAnsi="Times New Roman"/>
          <w:color w:val="FF0000"/>
          <w:sz w:val="24"/>
          <w:szCs w:val="24"/>
          <w:u w:val="single"/>
        </w:rPr>
        <w:t>los bancos comerciales pueden ser menos vulnerables a los</w:t>
      </w:r>
      <w:r>
        <w:rPr>
          <w:rFonts w:ascii="Times New Roman" w:eastAsia="Times New Roman" w:hAnsi="Times New Roman"/>
          <w:color w:val="FF0000"/>
          <w:sz w:val="24"/>
          <w:szCs w:val="24"/>
          <w:u w:val="single"/>
        </w:rPr>
        <w:t xml:space="preserve"> stocks de crédito o económicos”</w:t>
      </w:r>
      <w:r w:rsidRPr="00C54FA3">
        <w:rPr>
          <w:rFonts w:ascii="Times New Roman" w:eastAsia="Times New Roman" w:hAnsi="Times New Roman"/>
          <w:color w:val="FF0000"/>
          <w:sz w:val="24"/>
          <w:szCs w:val="24"/>
          <w:u w:val="single"/>
        </w:rPr>
        <w:t>.</w:t>
      </w:r>
    </w:p>
    <w:p w:rsidR="000711BB" w:rsidRPr="00C54FA3" w:rsidRDefault="000711BB" w:rsidP="000711BB">
      <w:pPr>
        <w:shd w:val="clear" w:color="auto" w:fill="FFFFFF"/>
        <w:spacing w:after="270" w:line="240" w:lineRule="auto"/>
        <w:jc w:val="both"/>
        <w:textAlignment w:val="baseline"/>
        <w:rPr>
          <w:rFonts w:ascii="Times New Roman" w:eastAsia="Times New Roman" w:hAnsi="Times New Roman"/>
          <w:sz w:val="24"/>
          <w:szCs w:val="24"/>
          <w:u w:val="single"/>
        </w:rPr>
      </w:pPr>
      <w:r w:rsidRPr="00C54FA3">
        <w:rPr>
          <w:rFonts w:ascii="Times New Roman" w:eastAsia="Times New Roman" w:hAnsi="Times New Roman"/>
          <w:sz w:val="24"/>
          <w:szCs w:val="24"/>
          <w:u w:val="single"/>
        </w:rPr>
        <w:t>No fue, digamos, el momento más feliz del FMI. Nos recuerda la famosa observación de John Kenneth Galbraith de que los pronosticadores económicos fueron puestos en la Tierra para que los astrólogos parecieran buenos</w:t>
      </w:r>
      <w:r w:rsidRPr="007F5223">
        <w:rPr>
          <w:rFonts w:ascii="Times New Roman" w:eastAsia="Times New Roman" w:hAnsi="Times New Roman"/>
          <w:sz w:val="24"/>
          <w:szCs w:val="24"/>
        </w:rPr>
        <w:t xml:space="preserve">. </w:t>
      </w:r>
      <w:r w:rsidRPr="00C54FA3">
        <w:rPr>
          <w:rFonts w:ascii="Times New Roman" w:eastAsia="Times New Roman" w:hAnsi="Times New Roman"/>
          <w:color w:val="FF0000"/>
          <w:sz w:val="24"/>
          <w:szCs w:val="24"/>
          <w:u w:val="single"/>
        </w:rPr>
        <w:t>De modo que tal vez deberíamos tomar con pinzas los informes más recientes del FMI, que están llenos de advertencias oscuras.</w:t>
      </w:r>
      <w:r w:rsidRPr="007F5223">
        <w:rPr>
          <w:rFonts w:ascii="Times New Roman" w:eastAsia="Times New Roman" w:hAnsi="Times New Roman"/>
          <w:sz w:val="24"/>
          <w:szCs w:val="24"/>
        </w:rPr>
        <w:t xml:space="preserve"> </w:t>
      </w:r>
      <w:r w:rsidRPr="00C54FA3">
        <w:rPr>
          <w:rFonts w:ascii="Times New Roman" w:eastAsia="Times New Roman" w:hAnsi="Times New Roman"/>
          <w:sz w:val="24"/>
          <w:szCs w:val="24"/>
          <w:u w:val="single"/>
        </w:rPr>
        <w:t>No debería sorprender que, inclusive una década después, el FMI siga estando influenciado por el hecho de no haber podido advertir con tiempo que una crisis financiera global -la peor en casi 80 años- era un riesgo material.</w:t>
      </w:r>
    </w:p>
    <w:p w:rsidR="000711BB" w:rsidRPr="007F5223" w:rsidRDefault="000711BB" w:rsidP="000711BB">
      <w:pPr>
        <w:shd w:val="clear" w:color="auto" w:fill="FFFFFF"/>
        <w:spacing w:after="270" w:line="240" w:lineRule="auto"/>
        <w:jc w:val="both"/>
        <w:textAlignment w:val="baseline"/>
        <w:rPr>
          <w:rFonts w:ascii="Times New Roman" w:eastAsia="Times New Roman" w:hAnsi="Times New Roman"/>
          <w:sz w:val="24"/>
          <w:szCs w:val="24"/>
        </w:rPr>
      </w:pPr>
      <w:r w:rsidRPr="00C54FA3">
        <w:rPr>
          <w:rFonts w:ascii="Times New Roman" w:eastAsia="Times New Roman" w:hAnsi="Times New Roman"/>
          <w:color w:val="FF0000"/>
          <w:sz w:val="24"/>
          <w:szCs w:val="24"/>
          <w:u w:val="single"/>
        </w:rPr>
        <w:t>Y, de hecho, hay indicios de que el FMI ahora ve problemas por donde mire</w:t>
      </w:r>
      <w:r w:rsidRPr="007F5223">
        <w:rPr>
          <w:rFonts w:ascii="Times New Roman" w:eastAsia="Times New Roman" w:hAnsi="Times New Roman"/>
          <w:sz w:val="24"/>
          <w:szCs w:val="24"/>
        </w:rPr>
        <w:t xml:space="preserve">. </w:t>
      </w:r>
      <w:r w:rsidRPr="00C54FA3">
        <w:rPr>
          <w:rFonts w:ascii="Times New Roman" w:eastAsia="Times New Roman" w:hAnsi="Times New Roman"/>
          <w:sz w:val="24"/>
          <w:szCs w:val="24"/>
          <w:u w:val="single"/>
        </w:rPr>
        <w:t xml:space="preserve">Pero, si bien </w:t>
      </w:r>
      <w:r w:rsidRPr="00C54FA3">
        <w:rPr>
          <w:rFonts w:ascii="Times New Roman" w:eastAsia="Times New Roman" w:hAnsi="Times New Roman"/>
          <w:b/>
          <w:color w:val="FF0000"/>
          <w:sz w:val="24"/>
          <w:szCs w:val="24"/>
          <w:u w:val="single"/>
        </w:rPr>
        <w:t>los economistas del Fondo pueden correr el riesgo de pronosticar diez de las próximas tres crisis</w:t>
      </w:r>
      <w:r w:rsidRPr="00C54FA3">
        <w:rPr>
          <w:rFonts w:ascii="Times New Roman" w:eastAsia="Times New Roman" w:hAnsi="Times New Roman"/>
          <w:sz w:val="24"/>
          <w:szCs w:val="24"/>
          <w:u w:val="single"/>
        </w:rPr>
        <w:t>, no sería sensato desestimar por completo sus temores sobre la base de los errores pasados.</w:t>
      </w:r>
      <w:r w:rsidRPr="007F5223">
        <w:rPr>
          <w:rFonts w:ascii="Times New Roman" w:eastAsia="Times New Roman" w:hAnsi="Times New Roman"/>
          <w:sz w:val="24"/>
          <w:szCs w:val="24"/>
        </w:rPr>
        <w:t xml:space="preserve"> (Esa ha sido la respuesta</w:t>
      </w:r>
      <w:r>
        <w:rPr>
          <w:rFonts w:ascii="Times New Roman" w:eastAsia="Times New Roman" w:hAnsi="Times New Roman"/>
          <w:sz w:val="24"/>
          <w:szCs w:val="24"/>
        </w:rPr>
        <w:t xml:space="preserve"> absurda de los defensores del “Brexit”</w:t>
      </w:r>
      <w:r w:rsidRPr="007F5223">
        <w:rPr>
          <w:rFonts w:ascii="Times New Roman" w:eastAsia="Times New Roman" w:hAnsi="Times New Roman"/>
          <w:sz w:val="24"/>
          <w:szCs w:val="24"/>
        </w:rPr>
        <w:t xml:space="preserve"> a las advertencias de la Unión Europea, el FMI, la OCDE y a que un retiro de la UE causaría un daño importante a la economía británica). El Fondo hace valer algunos puntos fuertes, pero otros no parecen estar tan bien fundamentados.</w:t>
      </w:r>
    </w:p>
    <w:p w:rsidR="000711BB" w:rsidRPr="00C54FA3" w:rsidRDefault="000711BB" w:rsidP="000711BB">
      <w:pPr>
        <w:shd w:val="clear" w:color="auto" w:fill="FFFFFF"/>
        <w:spacing w:after="270" w:line="240" w:lineRule="auto"/>
        <w:jc w:val="both"/>
        <w:textAlignment w:val="baseline"/>
        <w:rPr>
          <w:rFonts w:ascii="Times New Roman" w:eastAsia="Times New Roman" w:hAnsi="Times New Roman"/>
          <w:sz w:val="24"/>
          <w:szCs w:val="24"/>
          <w:u w:val="single"/>
        </w:rPr>
      </w:pPr>
      <w:r w:rsidRPr="00C54FA3">
        <w:rPr>
          <w:rFonts w:ascii="Times New Roman" w:eastAsia="Times New Roman" w:hAnsi="Times New Roman"/>
          <w:sz w:val="24"/>
          <w:szCs w:val="24"/>
          <w:u w:val="single"/>
        </w:rPr>
        <w:t>Los argumentos más fuertes del FMI tienen que ver con China y con los bancos europeos. Sin duda es verdad que la acumulación de deuda en China exige un monitoreo de cerca, y que el desapalancamiento corporativo, que s</w:t>
      </w:r>
      <w:r>
        <w:rPr>
          <w:rFonts w:ascii="Times New Roman" w:eastAsia="Times New Roman" w:hAnsi="Times New Roman"/>
          <w:sz w:val="24"/>
          <w:szCs w:val="24"/>
          <w:u w:val="single"/>
        </w:rPr>
        <w:t>e necesita con urgencia, “</w:t>
      </w:r>
      <w:r w:rsidRPr="00C54FA3">
        <w:rPr>
          <w:rFonts w:ascii="Times New Roman" w:eastAsia="Times New Roman" w:hAnsi="Times New Roman"/>
          <w:sz w:val="24"/>
          <w:szCs w:val="24"/>
          <w:u w:val="single"/>
        </w:rPr>
        <w:t>debería estar acompañado de un fortalecimiento de los bancos y las redes de seguridad social, especialmente para los trabajadores desplazados en sect</w:t>
      </w:r>
      <w:r>
        <w:rPr>
          <w:rFonts w:ascii="Times New Roman" w:eastAsia="Times New Roman" w:hAnsi="Times New Roman"/>
          <w:sz w:val="24"/>
          <w:szCs w:val="24"/>
          <w:u w:val="single"/>
        </w:rPr>
        <w:t>ores con un exceso de capacidad”</w:t>
      </w:r>
      <w:r w:rsidRPr="00C54FA3">
        <w:rPr>
          <w:rFonts w:ascii="Times New Roman" w:eastAsia="Times New Roman" w:hAnsi="Times New Roman"/>
          <w:sz w:val="24"/>
          <w:szCs w:val="24"/>
          <w:u w:val="single"/>
        </w:rPr>
        <w:t>. No hay ninguna razón por la que esto no pueda lograrse -el balance general de la China corporativa sigue siendo sólido-, pero las consecuencias distributivas internas exigirán una gestión muy cuidadosa.</w:t>
      </w:r>
    </w:p>
    <w:p w:rsidR="000711BB" w:rsidRPr="00C54FA3" w:rsidRDefault="000711BB" w:rsidP="000711BB">
      <w:pPr>
        <w:shd w:val="clear" w:color="auto" w:fill="FFFFFF"/>
        <w:spacing w:after="270" w:line="240" w:lineRule="auto"/>
        <w:jc w:val="both"/>
        <w:textAlignment w:val="baseline"/>
        <w:rPr>
          <w:rFonts w:ascii="Times New Roman" w:eastAsia="Times New Roman" w:hAnsi="Times New Roman"/>
          <w:sz w:val="24"/>
          <w:szCs w:val="24"/>
          <w:u w:val="single"/>
        </w:rPr>
      </w:pPr>
      <w:r w:rsidRPr="00C54FA3">
        <w:rPr>
          <w:rFonts w:ascii="Times New Roman" w:eastAsia="Times New Roman" w:hAnsi="Times New Roman"/>
          <w:sz w:val="24"/>
          <w:szCs w:val="24"/>
          <w:u w:val="single"/>
        </w:rPr>
        <w:t>El segundo gran desafío que identifica el FMI -el exceso de capacidad en el sistema bancario de la eurozona, y el problema relacionado de los créditos en riesgo de ser recuperados- en principio también tiene solución. El Banco Central Europeo es bien consciente del riesgo de los bancos más débiles; pero, en un momento en que la economía de la eurozona depende marcadamente del crédito bancario, ocuparse de él no es una tarea sencilla. Y una continua intervención masiva del BCE en los mercados de bonos no haría más que posponer el día del juicio final, no evitarlo.</w:t>
      </w:r>
    </w:p>
    <w:p w:rsidR="000711BB" w:rsidRPr="00C54FA3" w:rsidRDefault="000711BB" w:rsidP="000711BB">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C54FA3">
        <w:rPr>
          <w:rFonts w:ascii="Times New Roman" w:eastAsia="Times New Roman" w:hAnsi="Times New Roman"/>
          <w:color w:val="FF0000"/>
          <w:sz w:val="24"/>
          <w:szCs w:val="24"/>
          <w:u w:val="single"/>
        </w:rPr>
        <w:lastRenderedPageBreak/>
        <w:t>Pero el tercer problema detectado por el FMI tal vez no sea un problema en absoluto. El Fondo sostiene que la industria de los seguros de vida podría ser una fuente futura de riesgo sistémico, y por lo tanto debería ser objeto de una prueba de estrés macroprudencial, o colchones de capital contracíclicos, según el modelo utilizado para los bancos.</w:t>
      </w:r>
    </w:p>
    <w:p w:rsidR="000711BB" w:rsidRPr="00C54FA3" w:rsidRDefault="000711BB" w:rsidP="000711BB">
      <w:pPr>
        <w:shd w:val="clear" w:color="auto" w:fill="FFFFFF"/>
        <w:spacing w:after="270" w:line="240" w:lineRule="auto"/>
        <w:jc w:val="both"/>
        <w:textAlignment w:val="baseline"/>
        <w:rPr>
          <w:rFonts w:ascii="Times New Roman" w:eastAsia="Times New Roman" w:hAnsi="Times New Roman"/>
          <w:sz w:val="24"/>
          <w:szCs w:val="24"/>
          <w:u w:val="single"/>
        </w:rPr>
      </w:pPr>
      <w:r w:rsidRPr="007F5223">
        <w:rPr>
          <w:rFonts w:ascii="Times New Roman" w:eastAsia="Times New Roman" w:hAnsi="Times New Roman"/>
          <w:sz w:val="24"/>
          <w:szCs w:val="24"/>
        </w:rPr>
        <w:t xml:space="preserve">La primera recomendación es curiosa: el personal del FMI no parece consciente de que ya se ha implementado un régimen de pruebas de estrés para las aseguradoras en algunas jurisdicciones, particularmente el Reino Unido. </w:t>
      </w:r>
      <w:r w:rsidRPr="00C54FA3">
        <w:rPr>
          <w:rFonts w:ascii="Times New Roman" w:eastAsia="Times New Roman" w:hAnsi="Times New Roman"/>
          <w:sz w:val="24"/>
          <w:szCs w:val="24"/>
          <w:u w:val="single"/>
        </w:rPr>
        <w:t>De hecho, existen pruebas de estrés, y las llamadas pruebas de estrés inversas, mediante las cuales se les exige a las aseguradoras que describan qué tendría que suceder para que quebraran.</w:t>
      </w:r>
      <w:r w:rsidRPr="007F5223">
        <w:rPr>
          <w:rFonts w:ascii="Times New Roman" w:eastAsia="Times New Roman" w:hAnsi="Times New Roman"/>
          <w:sz w:val="24"/>
          <w:szCs w:val="24"/>
        </w:rPr>
        <w:t xml:space="preserve"> Y, por supuesto, las aseguradoras -de manera casi universal- estuvieron sometidas a una prueba de estrés en el mundo real cuando se produjo la crisis financiera. </w:t>
      </w:r>
      <w:r w:rsidRPr="00C54FA3">
        <w:rPr>
          <w:rFonts w:ascii="Times New Roman" w:eastAsia="Times New Roman" w:hAnsi="Times New Roman"/>
          <w:sz w:val="24"/>
          <w:szCs w:val="24"/>
          <w:u w:val="single"/>
        </w:rPr>
        <w:t>La única quiebra importante, AIG, ocurrió como consecuencia de problemas en su actividad no vinculada con los seguros.</w:t>
      </w:r>
    </w:p>
    <w:p w:rsidR="000711BB" w:rsidRPr="007F5223" w:rsidRDefault="000711BB" w:rsidP="000711BB">
      <w:pPr>
        <w:shd w:val="clear" w:color="auto" w:fill="FFFFFF"/>
        <w:spacing w:after="270" w:line="240" w:lineRule="auto"/>
        <w:jc w:val="both"/>
        <w:textAlignment w:val="baseline"/>
        <w:rPr>
          <w:rFonts w:ascii="Times New Roman" w:eastAsia="Times New Roman" w:hAnsi="Times New Roman"/>
          <w:sz w:val="24"/>
          <w:szCs w:val="24"/>
        </w:rPr>
      </w:pPr>
      <w:r w:rsidRPr="007F5223">
        <w:rPr>
          <w:rFonts w:ascii="Times New Roman" w:eastAsia="Times New Roman" w:hAnsi="Times New Roman"/>
          <w:sz w:val="24"/>
          <w:szCs w:val="24"/>
        </w:rPr>
        <w:t>De la misma manera, el FMI no hace una defensa concluyente de una estrategia contracíclica macroprudencial para el capital de garantía. El propio análisis del Fondo no demuestra que las aseguradoras se hayan comportado de manera procíclica. Por el contrario, hay evidencia de que actuaron de manera contracíclica en la cri</w:t>
      </w:r>
      <w:r>
        <w:rPr>
          <w:rFonts w:ascii="Times New Roman" w:eastAsia="Times New Roman" w:hAnsi="Times New Roman"/>
          <w:sz w:val="24"/>
          <w:szCs w:val="24"/>
        </w:rPr>
        <w:t>sis. Hasta el FMI concluye que “la evidencia no es indiscutible”</w:t>
      </w:r>
      <w:r w:rsidRPr="007F5223">
        <w:rPr>
          <w:rFonts w:ascii="Times New Roman" w:eastAsia="Times New Roman" w:hAnsi="Times New Roman"/>
          <w:sz w:val="24"/>
          <w:szCs w:val="24"/>
        </w:rPr>
        <w:t>.</w:t>
      </w:r>
    </w:p>
    <w:p w:rsidR="000711BB" w:rsidRPr="00C54FA3" w:rsidRDefault="000711BB" w:rsidP="000711BB">
      <w:pPr>
        <w:shd w:val="clear" w:color="auto" w:fill="FFFFFF"/>
        <w:spacing w:after="270" w:line="240" w:lineRule="auto"/>
        <w:jc w:val="both"/>
        <w:textAlignment w:val="baseline"/>
        <w:rPr>
          <w:rFonts w:ascii="Times New Roman" w:eastAsia="Times New Roman" w:hAnsi="Times New Roman"/>
          <w:sz w:val="24"/>
          <w:szCs w:val="24"/>
          <w:u w:val="single"/>
        </w:rPr>
      </w:pPr>
      <w:r w:rsidRPr="00C54FA3">
        <w:rPr>
          <w:rFonts w:ascii="Times New Roman" w:eastAsia="Times New Roman" w:hAnsi="Times New Roman"/>
          <w:sz w:val="24"/>
          <w:szCs w:val="24"/>
          <w:u w:val="single"/>
        </w:rPr>
        <w:t xml:space="preserve">Esa es una base delgada sobre la cual proponer un nuevo conjunto de </w:t>
      </w:r>
      <w:r>
        <w:rPr>
          <w:rFonts w:ascii="Times New Roman" w:eastAsia="Times New Roman" w:hAnsi="Times New Roman"/>
          <w:sz w:val="24"/>
          <w:szCs w:val="24"/>
          <w:u w:val="single"/>
        </w:rPr>
        <w:t>requerimientos de capital, que “</w:t>
      </w:r>
      <w:r w:rsidRPr="00C54FA3">
        <w:rPr>
          <w:rFonts w:ascii="Times New Roman" w:eastAsia="Times New Roman" w:hAnsi="Times New Roman"/>
          <w:sz w:val="24"/>
          <w:szCs w:val="24"/>
          <w:u w:val="single"/>
        </w:rPr>
        <w:t>se acumularía durante los períodos de bonanza del ciclo financiero y se recortaría durante lo</w:t>
      </w:r>
      <w:r>
        <w:rPr>
          <w:rFonts w:ascii="Times New Roman" w:eastAsia="Times New Roman" w:hAnsi="Times New Roman"/>
          <w:sz w:val="24"/>
          <w:szCs w:val="24"/>
          <w:u w:val="single"/>
        </w:rPr>
        <w:t>s períodos de estrés financiero”</w:t>
      </w:r>
      <w:r w:rsidRPr="00C54FA3">
        <w:rPr>
          <w:rFonts w:ascii="Times New Roman" w:eastAsia="Times New Roman" w:hAnsi="Times New Roman"/>
          <w:sz w:val="24"/>
          <w:szCs w:val="24"/>
          <w:u w:val="single"/>
        </w:rPr>
        <w:t>. No se explica por qué esos ajustes son apropiados en el lado de los activos del balance, mientras que los pasivos siguen sin variaciones.</w:t>
      </w:r>
    </w:p>
    <w:p w:rsidR="000711BB" w:rsidRPr="00C54FA3" w:rsidRDefault="000711BB" w:rsidP="000711BB">
      <w:pPr>
        <w:shd w:val="clear" w:color="auto" w:fill="FFFFFF"/>
        <w:spacing w:after="270" w:line="240" w:lineRule="auto"/>
        <w:jc w:val="both"/>
        <w:textAlignment w:val="baseline"/>
        <w:rPr>
          <w:rFonts w:ascii="Times New Roman" w:eastAsia="Times New Roman" w:hAnsi="Times New Roman"/>
          <w:color w:val="FF0000"/>
          <w:sz w:val="24"/>
          <w:szCs w:val="24"/>
          <w:u w:val="single"/>
        </w:rPr>
      </w:pPr>
      <w:r w:rsidRPr="00C54FA3">
        <w:rPr>
          <w:rFonts w:ascii="Times New Roman" w:eastAsia="Times New Roman" w:hAnsi="Times New Roman"/>
          <w:color w:val="FF0000"/>
          <w:sz w:val="24"/>
          <w:szCs w:val="24"/>
          <w:u w:val="single"/>
        </w:rPr>
        <w:t>Tal vez sería mejor si el informe del 2006 del FMI pudiera esconderse lejos de todo alcance, detrás de un programa de seguridad o en alguna parte en la oscuridad de la web, en un museo no catalogado de pronósticos desastrosos. Así el FMI podría volver a tener una visión equilibrada, en lugar de pronunciar tantas falsas alarmas que harán que un día nadie las tenga en cuenta cuando estalle un incendio de verdad.</w:t>
      </w:r>
    </w:p>
    <w:p w:rsidR="000711BB" w:rsidRDefault="000711BB" w:rsidP="000711BB">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w:t>
      </w:r>
      <w:r w:rsidRPr="007F5223">
        <w:rPr>
          <w:rFonts w:ascii="Times New Roman" w:eastAsia="Times New Roman" w:hAnsi="Times New Roman"/>
          <w:sz w:val="24"/>
          <w:szCs w:val="24"/>
        </w:rPr>
        <w:t xml:space="preserve">Howard Davies, the first chairman of the United Kingdom’s Financial Services Authority (1997-2003), is Chairman of the Royal Bank of Scotland. He was Director of the London School of Economics (2003-11) and served as Deputy Governor of </w:t>
      </w:r>
      <w:r>
        <w:rPr>
          <w:rFonts w:ascii="Times New Roman" w:eastAsia="Times New Roman" w:hAnsi="Times New Roman"/>
          <w:sz w:val="24"/>
          <w:szCs w:val="24"/>
        </w:rPr>
        <w:t>the Bank of England</w:t>
      </w:r>
      <w:r w:rsidRPr="007F5223">
        <w:rPr>
          <w:rFonts w:ascii="Times New Roman" w:eastAsia="Times New Roman" w:hAnsi="Times New Roman"/>
          <w:sz w:val="24"/>
          <w:szCs w:val="24"/>
        </w:rPr>
        <w:t>…</w:t>
      </w:r>
      <w:r>
        <w:rPr>
          <w:rFonts w:ascii="Times New Roman" w:eastAsia="Times New Roman" w:hAnsi="Times New Roman"/>
          <w:sz w:val="24"/>
          <w:szCs w:val="24"/>
        </w:rPr>
        <w:t>)</w:t>
      </w:r>
    </w:p>
    <w:p w:rsidR="000711BB" w:rsidRDefault="000711BB" w:rsidP="000711BB">
      <w:pPr>
        <w:pStyle w:val="NormalWeb"/>
        <w:spacing w:after="0"/>
        <w:jc w:val="both"/>
        <w:textAlignment w:val="baseline"/>
      </w:pPr>
      <w:r>
        <w:t xml:space="preserve">- </w:t>
      </w:r>
      <w:r w:rsidRPr="0007274A">
        <w:rPr>
          <w:u w:val="single"/>
        </w:rPr>
        <w:t>Globalización y digitalización, mezcla problemática</w:t>
      </w:r>
      <w:r>
        <w:t xml:space="preserve"> (Project Syndicate - </w:t>
      </w:r>
      <w:r w:rsidRPr="0007274A">
        <w:rPr>
          <w:b/>
        </w:rPr>
        <w:t>24/6/16</w:t>
      </w:r>
      <w:r>
        <w:t>)</w:t>
      </w:r>
    </w:p>
    <w:p w:rsidR="000711BB" w:rsidRDefault="000711BB" w:rsidP="000711BB">
      <w:pPr>
        <w:pStyle w:val="NormalWeb"/>
        <w:spacing w:after="0"/>
        <w:jc w:val="both"/>
        <w:textAlignment w:val="baseline"/>
      </w:pPr>
      <w:r>
        <w:t xml:space="preserve">Washington. DC.- </w:t>
      </w:r>
      <w:r w:rsidRPr="00646B6C">
        <w:rPr>
          <w:u w:val="single"/>
        </w:rPr>
        <w:t>Los votantes estadounidenses están enojados. Pero aunque la lista de sus quejas la encabezan los efectos negativos de la globalización, reducir cuestiones económicas complejas a eslóganes simplistas (como se ha hecho en la campaña presidencial hasta ahora) no beneficia a nadie.</w:t>
      </w:r>
    </w:p>
    <w:p w:rsidR="000711BB" w:rsidRPr="00646B6C" w:rsidRDefault="000711BB" w:rsidP="000711BB">
      <w:pPr>
        <w:pStyle w:val="NormalWeb"/>
        <w:spacing w:after="0"/>
        <w:jc w:val="both"/>
        <w:textAlignment w:val="baseline"/>
        <w:rPr>
          <w:u w:val="single"/>
        </w:rPr>
      </w:pPr>
      <w:r w:rsidRPr="00646B6C">
        <w:rPr>
          <w:u w:val="single"/>
        </w:rPr>
        <w:t>No es justo desestimar como infundado el malestar con la globalización; Estados Unidos se merece un debate honesto sobre sus efectos. Pero para producir soluciones constructivas, todas las partes tendrán que admitir algunas verdades incómodas y reconocer que la globalización no es el mismo fenómeno de hace 20 años.</w:t>
      </w:r>
    </w:p>
    <w:p w:rsidR="000711BB" w:rsidRPr="00646B6C" w:rsidRDefault="000711BB" w:rsidP="000711BB">
      <w:pPr>
        <w:pStyle w:val="NormalWeb"/>
        <w:spacing w:after="0"/>
        <w:jc w:val="both"/>
        <w:textAlignment w:val="baseline"/>
        <w:rPr>
          <w:color w:val="FF0000"/>
          <w:u w:val="single"/>
        </w:rPr>
      </w:pPr>
      <w:r w:rsidRPr="00646B6C">
        <w:rPr>
          <w:color w:val="FF0000"/>
          <w:u w:val="single"/>
        </w:rPr>
        <w:lastRenderedPageBreak/>
        <w:t>Los proteccionistas no aceptan que el debilitamiento de la base industrial de Estados Unidos sea compatible con el principio de que la globalización estimula el crecimiento. Pero la evidencia favorable a ese principio es demasiado sustancial para ignorarla.</w:t>
      </w:r>
    </w:p>
    <w:p w:rsidR="000711BB" w:rsidRPr="00646B6C" w:rsidRDefault="000711BB" w:rsidP="000711BB">
      <w:pPr>
        <w:pStyle w:val="NormalWeb"/>
        <w:spacing w:after="0"/>
        <w:jc w:val="both"/>
        <w:textAlignment w:val="baseline"/>
        <w:rPr>
          <w:u w:val="single"/>
        </w:rPr>
      </w:pPr>
      <w:r w:rsidRPr="00646B6C">
        <w:rPr>
          <w:u w:val="single"/>
        </w:rPr>
        <w:t>Una investigación reciente del McKinsey Global Institute (MGI) corrobora los hallazgos de otros estudiosos: los flujos globales de bienes, inversión extranjera directa y datos aumentaron el PIB global aproximadamente un 10% en comparación con lo que hubiera sido sin esos flujos. Solo en 2014, el valor adicional provisto por la globalización ascendió a 7,8 billones de dólares.</w:t>
      </w:r>
    </w:p>
    <w:p w:rsidR="000711BB" w:rsidRPr="00646B6C" w:rsidRDefault="000711BB" w:rsidP="000711BB">
      <w:pPr>
        <w:pStyle w:val="NormalWeb"/>
        <w:spacing w:after="0"/>
        <w:jc w:val="both"/>
        <w:textAlignment w:val="baseline"/>
        <w:rPr>
          <w:u w:val="single"/>
        </w:rPr>
      </w:pPr>
      <w:r w:rsidRPr="00646B6C">
        <w:rPr>
          <w:u w:val="single"/>
        </w:rPr>
        <w:t>Y sin embargo, las fábricas cerradas que tachonan el declinante cinturón industrial del Medio Oeste estadounidense son reales. Aunque la globalización genera crecimiento agregado, también produce ganadores y perdedores. Exponer las industrias locales a la competencia internacional estimula la eficiencia y la innovación, pero la destrucción creativa resultante se cobra un precio sustancial en las familias y las comunidades.</w:t>
      </w:r>
    </w:p>
    <w:p w:rsidR="000711BB" w:rsidRPr="00646B6C" w:rsidRDefault="000711BB" w:rsidP="000711BB">
      <w:pPr>
        <w:pStyle w:val="NormalWeb"/>
        <w:spacing w:after="0"/>
        <w:jc w:val="both"/>
        <w:textAlignment w:val="baseline"/>
        <w:rPr>
          <w:color w:val="FF0000"/>
          <w:u w:val="single"/>
        </w:rPr>
      </w:pPr>
      <w:r w:rsidRPr="00646B6C">
        <w:rPr>
          <w:color w:val="FF0000"/>
          <w:u w:val="single"/>
        </w:rPr>
        <w:t>Economistas y políticos son igualmente culpables de restar importancia a esas consecuencias distributivas. La teoría dice que los países que se abren al libre comercio encontrarán nuevos canales para el crecimiento a largo plazo, y que los trabajadores que pierdan sus empleos en una industria lo hallarán en otra.</w:t>
      </w:r>
    </w:p>
    <w:p w:rsidR="000711BB" w:rsidRPr="00646B6C" w:rsidRDefault="000711BB" w:rsidP="000711BB">
      <w:pPr>
        <w:pStyle w:val="NormalWeb"/>
        <w:spacing w:after="0"/>
        <w:jc w:val="both"/>
        <w:textAlignment w:val="baseline"/>
        <w:rPr>
          <w:u w:val="single"/>
        </w:rPr>
      </w:pPr>
      <w:r w:rsidRPr="00646B6C">
        <w:rPr>
          <w:u w:val="single"/>
        </w:rPr>
        <w:t>Pero en el mundo real, este proceso es complicado y prolongado. Puede ocurrir que los trabajadores de una industria en retroceso necesiten habilidades totalmente nuevas para hallar empleo en otros sectores, y para acceder a esas oportunidades tal vez deban subir a sus familias al auto y cortar con sus raíces. Fue necesaria una reacción popular contra el libre comercio para que los políticos y los medios reconozcan la magnitud de este trastorno.</w:t>
      </w:r>
    </w:p>
    <w:p w:rsidR="000711BB" w:rsidRPr="00646B6C" w:rsidRDefault="000711BB" w:rsidP="000711BB">
      <w:pPr>
        <w:pStyle w:val="NormalWeb"/>
        <w:spacing w:after="0"/>
        <w:jc w:val="both"/>
        <w:textAlignment w:val="baseline"/>
        <w:rPr>
          <w:color w:val="FF0000"/>
          <w:u w:val="single"/>
        </w:rPr>
      </w:pPr>
      <w:r w:rsidRPr="00646B6C">
        <w:rPr>
          <w:u w:val="single"/>
        </w:rPr>
        <w:t>Reacción que a nadie debió tomar por sorpresa.</w:t>
      </w:r>
      <w:r>
        <w:t xml:space="preserve"> </w:t>
      </w:r>
      <w:r w:rsidRPr="00646B6C">
        <w:rPr>
          <w:color w:val="FF0000"/>
          <w:u w:val="single"/>
        </w:rPr>
        <w:t>Las políticas laborales y sistemas de capacitación tradicionales no estuvieron a la altura de la tarea de hacer frente a los grandes cambios provocados por las fuerzas gemelas de la globalización y la automatización. Estados Unidos necesita propuestas concretas para ayudar a los trabajadores atrapados en transiciones estructurales, y voluntad para considerar estrategias nuevas, como el seguro de salario complementario.</w:t>
      </w:r>
    </w:p>
    <w:p w:rsidR="000711BB" w:rsidRPr="00646B6C" w:rsidRDefault="000711BB" w:rsidP="000711BB">
      <w:pPr>
        <w:pStyle w:val="NormalWeb"/>
        <w:spacing w:after="0"/>
        <w:jc w:val="both"/>
        <w:textAlignment w:val="baseline"/>
        <w:rPr>
          <w:color w:val="FF0000"/>
          <w:u w:val="single"/>
        </w:rPr>
      </w:pPr>
      <w:r w:rsidRPr="00646B6C">
        <w:rPr>
          <w:color w:val="FF0000"/>
          <w:u w:val="single"/>
        </w:rPr>
        <w:t>Pero contra lo que dice la retórica de campaña, un proteccionismo simplista perjudicaría a los consumidores. Un estudio reciente del Consejo de Asesores Económicos de la presidencia de los Estados Unidos determinó que los estadounidenses de clase media obtienen del comercio internacional más de la cuarta parte de su poder adquisitivo. En cualquier caso, imponer aranceles a los bienes importados no traerá de regreso los empleos fabriles perdidos.</w:t>
      </w:r>
    </w:p>
    <w:p w:rsidR="000711BB" w:rsidRPr="00646B6C" w:rsidRDefault="000711BB" w:rsidP="000711BB">
      <w:pPr>
        <w:pStyle w:val="NormalWeb"/>
        <w:spacing w:after="0"/>
        <w:jc w:val="both"/>
        <w:textAlignment w:val="baseline"/>
        <w:rPr>
          <w:color w:val="FF0000"/>
          <w:u w:val="single"/>
        </w:rPr>
      </w:pPr>
      <w:r w:rsidRPr="00646B6C">
        <w:rPr>
          <w:u w:val="single"/>
        </w:rPr>
        <w:t xml:space="preserve">Es hora de cambiar los parámetros del debate y reconocer que la globalización se convirtió en algo totalmente diferente: </w:t>
      </w:r>
      <w:r w:rsidRPr="00646B6C">
        <w:rPr>
          <w:color w:val="FF0000"/>
          <w:u w:val="single"/>
        </w:rPr>
        <w:t>el comercio internacional de bienes dejó de crecer</w:t>
      </w:r>
      <w:r w:rsidRPr="00646B6C">
        <w:rPr>
          <w:u w:val="single"/>
        </w:rPr>
        <w:t xml:space="preserve">, por una variedad de razones que incluyen el derrumbe de precios de las materias primas, la desaceleración de muchas grandes economías y una tendencia a producir los bienes más cerca del lugar de consumo. </w:t>
      </w:r>
      <w:r w:rsidRPr="00646B6C">
        <w:rPr>
          <w:color w:val="FF0000"/>
          <w:u w:val="single"/>
        </w:rPr>
        <w:t>En cambio, durante la última década el flujo transfronterizo de datos se multiplicó por 45, y ahora genera más impacto económico que los flujos de bienes manufacturados tradicionales.</w:t>
      </w:r>
    </w:p>
    <w:p w:rsidR="000711BB" w:rsidRPr="00646B6C" w:rsidRDefault="000711BB" w:rsidP="000711BB">
      <w:pPr>
        <w:pStyle w:val="NormalWeb"/>
        <w:spacing w:after="0"/>
        <w:jc w:val="both"/>
        <w:textAlignment w:val="baseline"/>
        <w:rPr>
          <w:u w:val="single"/>
        </w:rPr>
      </w:pPr>
      <w:r w:rsidRPr="00646B6C">
        <w:rPr>
          <w:u w:val="single"/>
        </w:rPr>
        <w:lastRenderedPageBreak/>
        <w:t>La digitalización lo cambia todo: la naturaleza de los bienes comerciados, el universo de posibles proveedores y clientes, el método de entrega y los requisitos de capital y escala para operar en el nivel global. También implica que la globalización ya no es ámbito exclusivo de las empresas listadas en el Fortune 500.</w:t>
      </w:r>
    </w:p>
    <w:p w:rsidR="000711BB" w:rsidRPr="00646B6C" w:rsidRDefault="000711BB" w:rsidP="000711BB">
      <w:pPr>
        <w:pStyle w:val="NormalWeb"/>
        <w:spacing w:after="0"/>
        <w:jc w:val="both"/>
        <w:textAlignment w:val="baseline"/>
        <w:rPr>
          <w:u w:val="single"/>
        </w:rPr>
      </w:pPr>
      <w:r>
        <w:t xml:space="preserve">Una parte importante y cada vez mayor del tráfico global en Internet surge de la interacción de empresas con sus filiales, proveedores y clientes en el extranjero. </w:t>
      </w:r>
      <w:r w:rsidRPr="00646B6C">
        <w:rPr>
          <w:color w:val="FF0000"/>
          <w:u w:val="single"/>
        </w:rPr>
        <w:t>La mitad de los servicios que se comercian en el mundo están digitalizados, y 12% del intercambio global de bienes se realiza a través del comercio electrónico internacional.</w:t>
      </w:r>
      <w:r w:rsidRPr="00646B6C">
        <w:rPr>
          <w:color w:val="FF0000"/>
        </w:rPr>
        <w:t xml:space="preserve"> </w:t>
      </w:r>
      <w:r w:rsidRPr="00646B6C">
        <w:rPr>
          <w:u w:val="single"/>
        </w:rPr>
        <w:t>Mercados virtuales como Alibaba, eBay y Amazon convierten a millones de pequeñas empresas en exportadoras. Es una enorme oportunidad desaprovechada para Estados Unidos, donde menos del 1% de las empresas exportan, mucho menos que en cualquier otra economía avanzada.</w:t>
      </w:r>
    </w:p>
    <w:p w:rsidR="000711BB" w:rsidRPr="00646B6C" w:rsidRDefault="000711BB" w:rsidP="000711BB">
      <w:pPr>
        <w:pStyle w:val="NormalWeb"/>
        <w:spacing w:after="0"/>
        <w:jc w:val="both"/>
        <w:textAlignment w:val="baseline"/>
        <w:rPr>
          <w:u w:val="single"/>
        </w:rPr>
      </w:pPr>
      <w:r w:rsidRPr="00646B6C">
        <w:rPr>
          <w:u w:val="single"/>
        </w:rPr>
        <w:t>A pesar de toda la retórica anticomercio, es crucial que los estadounidenses tengan presente que la mayoría de los clientes del mundo están fuera de Estados Unidos. Las economías emergentes de rápido crecimiento serán las principales fuentes de aumento del consumo en los años venideros.</w:t>
      </w:r>
    </w:p>
    <w:p w:rsidR="000711BB" w:rsidRPr="00646B6C" w:rsidRDefault="000711BB" w:rsidP="000711BB">
      <w:pPr>
        <w:pStyle w:val="NormalWeb"/>
        <w:spacing w:after="0"/>
        <w:jc w:val="both"/>
        <w:textAlignment w:val="baseline"/>
        <w:rPr>
          <w:color w:val="FF0000"/>
          <w:u w:val="single"/>
        </w:rPr>
      </w:pPr>
      <w:r w:rsidRPr="00646B6C">
        <w:rPr>
          <w:color w:val="FF0000"/>
          <w:u w:val="single"/>
        </w:rPr>
        <w:t>Es el peor momento posible para ponerse a erigir barreras. El nuevo paisaje digital todavía no terminó de tomar forma, y los países tienen ante sí una oportunidad de redefinir sus ventajas comparativas. Aunque Estados Unidos haya perdido en la competencia mundial por la mano de obra barata, su posición en un mundo definido por la globalización digital es fuerte.</w:t>
      </w:r>
    </w:p>
    <w:p w:rsidR="000711BB" w:rsidRPr="00646B6C" w:rsidRDefault="000711BB" w:rsidP="000711BB">
      <w:pPr>
        <w:pStyle w:val="NormalWeb"/>
        <w:spacing w:after="0"/>
        <w:jc w:val="both"/>
        <w:textAlignment w:val="baseline"/>
        <w:rPr>
          <w:u w:val="single"/>
        </w:rPr>
      </w:pPr>
      <w:r w:rsidRPr="00646B6C">
        <w:rPr>
          <w:u w:val="single"/>
        </w:rPr>
        <w:t>El movimiento fluido de innovaciones, información, bienes, servicios y (también) de personas genera valor real. En momentos en que Estados Unidos se esfuerza por reactivar su economía, no puede darse el lujo de cerrarse a una fuente importante de crecimiento.</w:t>
      </w:r>
    </w:p>
    <w:p w:rsidR="000711BB" w:rsidRPr="00646B6C" w:rsidRDefault="000711BB" w:rsidP="000711BB">
      <w:pPr>
        <w:pStyle w:val="NormalWeb"/>
        <w:spacing w:before="0" w:beforeAutospacing="0" w:after="0" w:afterAutospacing="0"/>
        <w:jc w:val="both"/>
        <w:textAlignment w:val="baseline"/>
        <w:rPr>
          <w:color w:val="FF0000"/>
          <w:u w:val="single"/>
        </w:rPr>
      </w:pPr>
      <w:r w:rsidRPr="00646B6C">
        <w:rPr>
          <w:color w:val="FF0000"/>
          <w:u w:val="single"/>
        </w:rPr>
        <w:t>Los políticos estadounidenses deben adoptar una visión más clara y matizada de la globalización, que permita responder mejor a sus efectos negativos (no solo en relación con la pérdida de empleos en casa, sino también con la laxitud de las normas laborales y ambientales de los socios comerciales de Estados Unidos). Y sobre todo, Estados Unidos debe abandonar la idea de volver al pasado, y empezar a concentrarse en cómo competir en la próxima era de globalización.</w:t>
      </w:r>
    </w:p>
    <w:p w:rsidR="000711BB" w:rsidRDefault="000711BB" w:rsidP="000711BB">
      <w:pPr>
        <w:pStyle w:val="NormalWeb"/>
        <w:spacing w:after="0"/>
        <w:jc w:val="both"/>
        <w:textAlignment w:val="baseline"/>
      </w:pPr>
      <w:r>
        <w:t>(Martin Neil Baily is Chair in Economic Policy Development and Senior Fellow and Director of the Business and Public Policy Initiative at the Brookings Institution. James Manyika is the San Francisco-based director of the McKinsey Global Institute and a non-resident senior fellow at the Brookings Institution)</w:t>
      </w:r>
    </w:p>
    <w:p w:rsidR="000711BB" w:rsidRDefault="000711BB" w:rsidP="000711BB">
      <w:pPr>
        <w:pStyle w:val="NormalWeb"/>
        <w:spacing w:after="0"/>
        <w:jc w:val="both"/>
        <w:textAlignment w:val="baseline"/>
      </w:pPr>
      <w:r>
        <w:t>- ¿</w:t>
      </w:r>
      <w:r w:rsidRPr="001B6050">
        <w:rPr>
          <w:u w:val="single"/>
        </w:rPr>
        <w:t>Es China el próximo Japón</w:t>
      </w:r>
      <w:r>
        <w:t xml:space="preserve">? (Project Syndicate - </w:t>
      </w:r>
      <w:r w:rsidRPr="001B6050">
        <w:rPr>
          <w:b/>
        </w:rPr>
        <w:t>28/6/16</w:t>
      </w:r>
      <w:r>
        <w:t>)</w:t>
      </w:r>
    </w:p>
    <w:p w:rsidR="000711BB" w:rsidRPr="003A68DB" w:rsidRDefault="000711BB" w:rsidP="000711BB">
      <w:pPr>
        <w:pStyle w:val="NormalWeb"/>
        <w:spacing w:after="0"/>
        <w:jc w:val="both"/>
        <w:textAlignment w:val="baseline"/>
        <w:rPr>
          <w:color w:val="FF0000"/>
          <w:u w:val="single"/>
        </w:rPr>
      </w:pPr>
      <w:r>
        <w:t xml:space="preserve">New Haven.- </w:t>
      </w:r>
      <w:r w:rsidRPr="003A68DB">
        <w:rPr>
          <w:color w:val="FF0000"/>
          <w:u w:val="single"/>
        </w:rPr>
        <w:t xml:space="preserve">A pesar de que se profundizan las preocupaciones sobre la economía de China, el país no se encamina hacia “décadas perdidas” de estancamiento al estilo japonés. Y, sin embargo, una ambigüedad preocupante nubla este veredicto. El destino de Japón fue sellado por su renuencia a abandonar un modelo de crecimiento disfuncional. Si bien China se distingue de Japón por haber adoptado el reequilibrio </w:t>
      </w:r>
      <w:r w:rsidRPr="003A68DB">
        <w:rPr>
          <w:color w:val="FF0000"/>
          <w:u w:val="single"/>
        </w:rPr>
        <w:lastRenderedPageBreak/>
        <w:t>estructural, este país está esforzándose por poner en práctica dicha estrategia. A menos que los esfuerzos de China tengan éxito, los resultados podrían ser similares.</w:t>
      </w:r>
    </w:p>
    <w:p w:rsidR="000711BB" w:rsidRDefault="000711BB" w:rsidP="000711BB">
      <w:pPr>
        <w:pStyle w:val="NormalWeb"/>
        <w:spacing w:after="0"/>
        <w:jc w:val="both"/>
        <w:textAlignment w:val="baseline"/>
      </w:pPr>
      <w:r w:rsidRPr="003A68DB">
        <w:rPr>
          <w:u w:val="single"/>
        </w:rPr>
        <w:t>La misma conclusión se desprende de un seminario sobre “Las lecciones de Japón” que he enseñado en Yale durante los últimos seis años</w:t>
      </w:r>
      <w:r>
        <w:t xml:space="preserve">. El curso es principalmente </w:t>
      </w:r>
      <w:r w:rsidRPr="003A68DB">
        <w:rPr>
          <w:color w:val="FF0000"/>
          <w:u w:val="single"/>
        </w:rPr>
        <w:t xml:space="preserve">un curso sobre macroeconomía forense </w:t>
      </w:r>
      <w:r>
        <w:t>- en el curso se destilan lecciones clave sobre la subida y la caída de la economía japonesa moderna y luego se averigua la relevancia de dichas lecciones para otras economías importantes.</w:t>
      </w:r>
    </w:p>
    <w:p w:rsidR="000711BB" w:rsidRPr="003A68DB" w:rsidRDefault="000711BB" w:rsidP="000711BB">
      <w:pPr>
        <w:pStyle w:val="NormalWeb"/>
        <w:spacing w:after="0"/>
        <w:jc w:val="both"/>
        <w:textAlignment w:val="baseline"/>
        <w:rPr>
          <w:color w:val="FF0000"/>
          <w:u w:val="single"/>
        </w:rPr>
      </w:pPr>
      <w:r w:rsidRPr="003A68DB">
        <w:rPr>
          <w:u w:val="single"/>
        </w:rPr>
        <w:t>El seminario culmina con trabajos de investigación realizados por los estudiantes, trabajos que están dirigidos a determinar qué países serían candidatos a ser el próximo Japón</w:t>
      </w:r>
      <w:r>
        <w:t xml:space="preserve">. </w:t>
      </w:r>
      <w:r w:rsidRPr="003A68DB">
        <w:rPr>
          <w:color w:val="FF0000"/>
          <w:u w:val="single"/>
        </w:rPr>
        <w:t>Tan recientemente como el año 2012, Estados Unidos se presentaba como la opción favorita, ya que este país luchaba por recuperar su posición tras la gran Crisis Financiera del año 2008. No es sorprendente que, al llegar el año 2013, el enfoque se desplazara a la Europa maltratada por la crisis. Pero este año, más de la mitad de los estudiantes en el seminario (13 de 23) eligieron examinar si China podría ser el próximo Japón.</w:t>
      </w:r>
    </w:p>
    <w:p w:rsidR="000711BB" w:rsidRDefault="000711BB" w:rsidP="000711BB">
      <w:pPr>
        <w:pStyle w:val="NormalWeb"/>
        <w:spacing w:after="0"/>
        <w:jc w:val="both"/>
        <w:textAlignment w:val="baseline"/>
      </w:pPr>
      <w:r w:rsidRPr="003A68DB">
        <w:rPr>
          <w:u w:val="single"/>
        </w:rPr>
        <w:t>Un entorno académico ofrece un laboratorio intelectual maravilloso</w:t>
      </w:r>
      <w:r>
        <w:t>. Sin embargo, un par de viajes rápidos a China después del final del período de primavera me dieron una perspectiva diferente. En extensas conversaciones con funcionarios, líderes empresariales, académicos e inversores de la China, encontré un gran interés en las lecciones de Japón y cómo dichas lecciones podrían influir en el enigma de China.</w:t>
      </w:r>
    </w:p>
    <w:p w:rsidR="000711BB" w:rsidRPr="003A68DB" w:rsidRDefault="000711BB" w:rsidP="000711BB">
      <w:pPr>
        <w:pStyle w:val="NormalWeb"/>
        <w:spacing w:after="0"/>
        <w:jc w:val="both"/>
        <w:textAlignment w:val="baseline"/>
        <w:rPr>
          <w:color w:val="FF0000"/>
          <w:u w:val="single"/>
        </w:rPr>
      </w:pPr>
      <w:r w:rsidRPr="003A68DB">
        <w:rPr>
          <w:u w:val="single"/>
        </w:rPr>
        <w:t>El siempre presente tema favorito de discusión fue la deuda</w:t>
      </w:r>
      <w:r>
        <w:t xml:space="preserve">. </w:t>
      </w:r>
      <w:r w:rsidRPr="003A68DB">
        <w:rPr>
          <w:u w:val="single"/>
        </w:rPr>
        <w:t>La deuda no financiera de China ha aumentado de 150% del PIB en el año 2008 al 255% hoy en día, concentrándose dos tercios de dicho aumento en el sector empresarial, en su mayoría empresas de propiedad estatal (EPE).</w:t>
      </w:r>
      <w:r>
        <w:t xml:space="preserve"> </w:t>
      </w:r>
      <w:r w:rsidRPr="003A68DB">
        <w:rPr>
          <w:color w:val="FF0000"/>
          <w:u w:val="single"/>
        </w:rPr>
        <w:t>La deuda rápidamente creciente de China, que es</w:t>
      </w:r>
      <w:r>
        <w:rPr>
          <w:color w:val="FF0000"/>
          <w:u w:val="single"/>
        </w:rPr>
        <w:t xml:space="preserve"> el mayor ahorrista del mundo -</w:t>
      </w:r>
      <w:r w:rsidRPr="003A68DB">
        <w:rPr>
          <w:color w:val="FF0000"/>
          <w:u w:val="single"/>
        </w:rPr>
        <w:t>con un nivel de ahorro interno bruto promedio de</w:t>
      </w:r>
      <w:r>
        <w:rPr>
          <w:color w:val="FF0000"/>
          <w:u w:val="single"/>
        </w:rPr>
        <w:t xml:space="preserve"> 49% del PIB desde el año 2007-</w:t>
      </w:r>
      <w:r w:rsidRPr="003A68DB">
        <w:rPr>
          <w:color w:val="FF0000"/>
          <w:u w:val="single"/>
        </w:rPr>
        <w:t xml:space="preserve"> no es sorprendente para nada, ni para nadie. Las economías con altos niveles de ahorro son propensas a la alta inversión, y la falta de reforma de los m</w:t>
      </w:r>
      <w:r>
        <w:rPr>
          <w:color w:val="FF0000"/>
          <w:u w:val="single"/>
        </w:rPr>
        <w:t>ercados de capitales en China -</w:t>
      </w:r>
      <w:r w:rsidRPr="003A68DB">
        <w:rPr>
          <w:color w:val="FF0000"/>
          <w:u w:val="single"/>
        </w:rPr>
        <w:t>exacerbada por el estallido de la burbuja de lo</w:t>
      </w:r>
      <w:r>
        <w:rPr>
          <w:color w:val="FF0000"/>
          <w:u w:val="single"/>
        </w:rPr>
        <w:t>s bienes raíces en el año 2015-</w:t>
      </w:r>
      <w:r w:rsidRPr="003A68DB">
        <w:rPr>
          <w:color w:val="FF0000"/>
          <w:u w:val="single"/>
        </w:rPr>
        <w:t xml:space="preserve"> refuerza el papel desproporcionado que el crédito bancario ha desempeñado en la financiación del auge de la inversión de China.</w:t>
      </w:r>
    </w:p>
    <w:p w:rsidR="000711BB" w:rsidRPr="003A68DB" w:rsidRDefault="000711BB" w:rsidP="000711BB">
      <w:pPr>
        <w:pStyle w:val="NormalWeb"/>
        <w:spacing w:after="0"/>
        <w:jc w:val="both"/>
        <w:textAlignment w:val="baseline"/>
        <w:rPr>
          <w:u w:val="single"/>
        </w:rPr>
      </w:pPr>
      <w:r w:rsidRPr="003A68DB">
        <w:rPr>
          <w:u w:val="single"/>
        </w:rPr>
        <w:t>La comparación de Japón es especialmente instructiva en la evaluación de los riesgos de crecimiento intensivo de la deuda. Situándose en casi el 390% del PIB a finales del año 2015, el ratio total de deuda de Japón es mayor en unos 140 puntos porcentuales en comparación con el de China. Pero, debido a que Japón</w:t>
      </w:r>
      <w:r w:rsidR="007859BA">
        <w:rPr>
          <w:u w:val="single"/>
        </w:rPr>
        <w:t xml:space="preserve"> tiene una alta tasa de ahorro </w:t>
      </w:r>
      <w:r w:rsidRPr="003A68DB">
        <w:rPr>
          <w:u w:val="single"/>
        </w:rPr>
        <w:t xml:space="preserve"> </w:t>
      </w:r>
      <w:r w:rsidR="007859BA">
        <w:rPr>
          <w:u w:val="single"/>
        </w:rPr>
        <w:t>-</w:t>
      </w:r>
      <w:r w:rsidRPr="003A68DB">
        <w:rPr>
          <w:u w:val="single"/>
        </w:rPr>
        <w:t>un promedio de</w:t>
      </w:r>
      <w:r w:rsidR="007859BA">
        <w:rPr>
          <w:u w:val="single"/>
        </w:rPr>
        <w:t xml:space="preserve"> 24% del PIB desde el año 2007</w:t>
      </w:r>
      <w:r>
        <w:rPr>
          <w:u w:val="single"/>
        </w:rPr>
        <w:t>-</w:t>
      </w:r>
      <w:r w:rsidRPr="003A68DB">
        <w:rPr>
          <w:u w:val="single"/>
        </w:rPr>
        <w:t xml:space="preserve"> básicamente debe pagar esa deuda a sí mismo. Esto significa que no es vulnerable a la fuga de capitales de los inversores extranjeros que a menudo es el factor que desencadena las crisis.</w:t>
      </w:r>
    </w:p>
    <w:p w:rsidR="000711BB" w:rsidRPr="00D73B8D" w:rsidRDefault="000711BB" w:rsidP="000711BB">
      <w:pPr>
        <w:pStyle w:val="NormalWeb"/>
        <w:spacing w:after="0"/>
        <w:jc w:val="both"/>
        <w:textAlignment w:val="baseline"/>
        <w:rPr>
          <w:color w:val="FF0000"/>
          <w:u w:val="single"/>
        </w:rPr>
      </w:pPr>
      <w:r w:rsidRPr="003A68DB">
        <w:rPr>
          <w:u w:val="single"/>
        </w:rPr>
        <w:t>Ya que desde el año 2007 la tasa de ahorro de China dobla la de Japón, esta conclusión es aún más pertinente para su economía intensiva en deuda</w:t>
      </w:r>
      <w:r>
        <w:t xml:space="preserve">. El susto que pasó China a principios del año 2016 -avivado por nerviosismos sobre fuga de capitales y riesgos relativos al tipo de cambio- no consideró por completo este punto. </w:t>
      </w:r>
      <w:r w:rsidRPr="00D73B8D">
        <w:rPr>
          <w:color w:val="FF0000"/>
          <w:u w:val="single"/>
        </w:rPr>
        <w:t>Los temores de un aterrizaje forzoso derivado de una crisis de la deuda china son ampliamente exagerados.</w:t>
      </w:r>
    </w:p>
    <w:p w:rsidR="000711BB" w:rsidRPr="00D73B8D" w:rsidRDefault="000711BB" w:rsidP="000711BB">
      <w:pPr>
        <w:pStyle w:val="NormalWeb"/>
        <w:spacing w:after="0"/>
        <w:jc w:val="both"/>
        <w:textAlignment w:val="baseline"/>
        <w:rPr>
          <w:color w:val="FF0000"/>
          <w:u w:val="single"/>
        </w:rPr>
      </w:pPr>
      <w:r>
        <w:rPr>
          <w:u w:val="single"/>
        </w:rPr>
        <w:lastRenderedPageBreak/>
        <w:t>Las empresas zombis -las “muertas vivientes”-</w:t>
      </w:r>
      <w:r w:rsidRPr="00D73B8D">
        <w:rPr>
          <w:u w:val="single"/>
        </w:rPr>
        <w:t xml:space="preserve"> son también un tema de intensa discusión en China</w:t>
      </w:r>
      <w:r>
        <w:t xml:space="preserve">. </w:t>
      </w:r>
      <w:r w:rsidRPr="00D73B8D">
        <w:rPr>
          <w:color w:val="FF0000"/>
          <w:u w:val="single"/>
        </w:rPr>
        <w:t>En su calidad de actores clave en la primera década perdida de Japón durante los años 1990, se mantuvieron con vida a las empresas zombis mediante “renovaciones perpetuas” de prés</w:t>
      </w:r>
      <w:r w:rsidR="002F4D48">
        <w:rPr>
          <w:color w:val="FF0000"/>
          <w:u w:val="single"/>
        </w:rPr>
        <w:t>tamos bancarios subvencionados -</w:t>
      </w:r>
      <w:r w:rsidRPr="00D73B8D">
        <w:rPr>
          <w:color w:val="FF0000"/>
          <w:u w:val="single"/>
        </w:rPr>
        <w:t xml:space="preserve"> enmascarando así una enorme acumulación de cartera vencida (cartera en mora) que finalmente provocó la caída del sistema bancario japonés. De manera significativa, la interacción insidiosa entre corporaciones zombis y bancos zombis obstruyó la</w:t>
      </w:r>
      <w:r w:rsidR="002F4D48">
        <w:rPr>
          <w:color w:val="FF0000"/>
          <w:u w:val="single"/>
        </w:rPr>
        <w:t>s arterias de la economía real -</w:t>
      </w:r>
      <w:r w:rsidRPr="00D73B8D">
        <w:rPr>
          <w:color w:val="FF0000"/>
          <w:u w:val="single"/>
        </w:rPr>
        <w:t xml:space="preserve"> provocando una fuerte desaceleración en el crecimiento de la productividad que Japón aún tiene la tarea de revertir.</w:t>
      </w:r>
    </w:p>
    <w:p w:rsidR="000711BB" w:rsidRPr="00D73B8D" w:rsidRDefault="000711BB" w:rsidP="000711BB">
      <w:pPr>
        <w:pStyle w:val="NormalWeb"/>
        <w:spacing w:after="0"/>
        <w:jc w:val="both"/>
        <w:textAlignment w:val="baseline"/>
        <w:rPr>
          <w:color w:val="FF0000"/>
          <w:u w:val="single"/>
        </w:rPr>
      </w:pPr>
      <w:r w:rsidRPr="00D73B8D">
        <w:rPr>
          <w:color w:val="FF0000"/>
          <w:u w:val="single"/>
        </w:rPr>
        <w:t>En recientes declaraciones públicas, los líderes chinos han hecho referencia explícita a las EPE zombis. Pero, a diferencia de Japón, que se mantuvo en negación del problema por casi una década, las autoridades chinas se han movilizado con relativa rapidez para frenar los ex</w:t>
      </w:r>
      <w:r>
        <w:rPr>
          <w:color w:val="FF0000"/>
          <w:u w:val="single"/>
        </w:rPr>
        <w:t>cesos en dos industrias clave -</w:t>
      </w:r>
      <w:r w:rsidRPr="00D73B8D">
        <w:rPr>
          <w:color w:val="FF0000"/>
          <w:u w:val="single"/>
        </w:rPr>
        <w:t>las in</w:t>
      </w:r>
      <w:r>
        <w:rPr>
          <w:color w:val="FF0000"/>
          <w:u w:val="single"/>
        </w:rPr>
        <w:t>dustrias del acero y el carbón-</w:t>
      </w:r>
      <w:r w:rsidRPr="00D73B8D">
        <w:rPr>
          <w:color w:val="FF0000"/>
          <w:u w:val="single"/>
        </w:rPr>
        <w:t xml:space="preserve"> y simultáneamente muestran señales sobre que también se movilizarán en las industrias del cemento, vidrio y construcción naval.</w:t>
      </w:r>
    </w:p>
    <w:p w:rsidR="000711BB" w:rsidRPr="00D73B8D" w:rsidRDefault="000711BB" w:rsidP="000711BB">
      <w:pPr>
        <w:pStyle w:val="NormalWeb"/>
        <w:spacing w:after="0"/>
        <w:jc w:val="both"/>
        <w:textAlignment w:val="baseline"/>
        <w:rPr>
          <w:u w:val="single"/>
        </w:rPr>
      </w:pPr>
      <w:r w:rsidRPr="00D73B8D">
        <w:rPr>
          <w:u w:val="single"/>
        </w:rPr>
        <w:t>El deterioro de la calidad crediticia de China también es una reminiscencia de la experiencia de Japón</w:t>
      </w:r>
      <w:r>
        <w:t xml:space="preserve">. La tasa de morosidad oficial del 1,7% para el grupo de bancos cuyas acciones se transan en la bolsa es sólo la punta del iceberg. Debajo de la superficie se encuentran los “préstamos con mención especial” -que son prestamos en los que los prestatarios están en las primeras etapas de dificultades de pago- mismos que junto con los créditos morosos en el sector bancario en la sombra, podrían, al sumarse ambos, aumentar </w:t>
      </w:r>
      <w:r w:rsidRPr="00D73B8D">
        <w:rPr>
          <w:u w:val="single"/>
        </w:rPr>
        <w:t>la tasa de morosidad de China a una carga total de alrededor del 8%. En tal caso y con el transcurso del tiempo, las autoridades enfrentarían la necesidad de inyectar capital en el sistema bancario chino.</w:t>
      </w:r>
    </w:p>
    <w:p w:rsidR="000711BB" w:rsidRPr="00D73B8D" w:rsidRDefault="000711BB" w:rsidP="000711BB">
      <w:pPr>
        <w:pStyle w:val="NormalWeb"/>
        <w:spacing w:after="0"/>
        <w:jc w:val="both"/>
        <w:textAlignment w:val="baseline"/>
        <w:rPr>
          <w:u w:val="single"/>
        </w:rPr>
      </w:pPr>
      <w:r w:rsidRPr="00D73B8D">
        <w:rPr>
          <w:u w:val="single"/>
        </w:rPr>
        <w:t>Nada de esto es un oscuro secreto en Pekín</w:t>
      </w:r>
      <w:r>
        <w:t xml:space="preserve">. Por el contrario, se publicó una entrevista a principios de mayo con una “persona de altas esferas del gobierno que contaba con información privilegiada” en el diario oficial de China, People’s Daily, en la cual esta persona subrayó el debate cada vez más abierto e intenso entre los altos funcionarios sobre cómo evitar terminar como Japón. Esta persona, supuestamente cercana al presidente Xi Jinping, destacó </w:t>
      </w:r>
      <w:r w:rsidRPr="00D73B8D">
        <w:rPr>
          <w:u w:val="single"/>
        </w:rPr>
        <w:t>la conexión insidiosa entre los problemas chinos con la deuda y con las empresas zombi, problemas que bien podría culminar en curvas que muestren resultados en forma de “L”, parecidos a los de Japón, es decir que muestren una caída seguida por un largo período sin crecimiento o curva plana.</w:t>
      </w:r>
    </w:p>
    <w:p w:rsidR="000711BB" w:rsidRPr="00D73B8D" w:rsidRDefault="000711BB" w:rsidP="000711BB">
      <w:pPr>
        <w:pStyle w:val="NormalWeb"/>
        <w:spacing w:after="0"/>
        <w:jc w:val="both"/>
        <w:textAlignment w:val="baseline"/>
        <w:rPr>
          <w:color w:val="FF0000"/>
          <w:u w:val="single"/>
        </w:rPr>
      </w:pPr>
      <w:r w:rsidRPr="00D73B8D">
        <w:rPr>
          <w:color w:val="FF0000"/>
          <w:u w:val="single"/>
        </w:rPr>
        <w:t>Todo esto nos lleva al corazón de la comparación entre China y Japón. Dos décadas y media perdidas (y aún no finaliza el computo) es simplemente un resultado inaceptable para China. Pero, saber lo que China no quiere no es suficiente para garantizar que este país no vaya a quedar atrapado en una trampa propia de estilo japonés.</w:t>
      </w:r>
    </w:p>
    <w:p w:rsidR="000711BB" w:rsidRPr="00D73B8D" w:rsidRDefault="000711BB" w:rsidP="000711BB">
      <w:pPr>
        <w:pStyle w:val="NormalWeb"/>
        <w:spacing w:after="0"/>
        <w:jc w:val="both"/>
        <w:textAlignment w:val="baseline"/>
        <w:rPr>
          <w:color w:val="FF0000"/>
          <w:u w:val="single"/>
        </w:rPr>
      </w:pPr>
      <w:r w:rsidRPr="00D73B8D">
        <w:rPr>
          <w:color w:val="FF0000"/>
          <w:u w:val="single"/>
        </w:rPr>
        <w:t>Las reformas son el factor diferenciador decisivo. La incapacidad de Japón para adoptar reformas estructurales fue una característica que marcó la década de 1990, y es un impedimento igualmente grave para el actual programa de recuperación llamado “Abe-economía”. Por el contrario, la estrategia de China hace hincapié en el trabajo arduo de cambio estructural y de reequilibrio. Al final, el éxito o el fracaso dependerán de la voluntad de las autoridades de China para hacer frente a los poderosos intereses que se oponen a la reforma.</w:t>
      </w:r>
    </w:p>
    <w:p w:rsidR="000711BB" w:rsidRDefault="000711BB" w:rsidP="000711BB">
      <w:pPr>
        <w:pStyle w:val="NormalWeb"/>
        <w:spacing w:after="0"/>
        <w:jc w:val="both"/>
        <w:textAlignment w:val="baseline"/>
      </w:pPr>
      <w:r>
        <w:lastRenderedPageBreak/>
        <w:t>Curiosamente, de los 13 estudiantes en mi seminario que eligieron considerar a China como el próximo Japón, dos tercios en última instancia rechazaron la comparación. Ellos argumentaron que las lecciones de la China moderna -especialmente las reformas y la apertura liderada por Deng Xiaoping- son más importantes que las lecciones de Japón. Y, ellos obtuvieron buenas calificaciones.</w:t>
      </w:r>
    </w:p>
    <w:p w:rsidR="000711BB" w:rsidRDefault="000711BB" w:rsidP="000711BB">
      <w:pPr>
        <w:pStyle w:val="NormalWeb"/>
        <w:spacing w:after="0"/>
        <w:jc w:val="both"/>
        <w:textAlignment w:val="baseline"/>
      </w:pPr>
      <w:r>
        <w:t>(</w:t>
      </w:r>
      <w:r w:rsidRPr="001B6050">
        <w:t>Stephen S. Roach, former Chairman of Morgan Stanley Asia and the firm's chief economist, is a senior fellow at Yale University's Jackson Institute of Global Affairs and a senior lecturer at Yale's School of Management. He is the author of Unbalanced: The Co</w:t>
      </w:r>
      <w:r>
        <w:t>dependency of America and China)</w:t>
      </w:r>
    </w:p>
    <w:p w:rsidR="000711BB" w:rsidRDefault="000711BB" w:rsidP="000711BB">
      <w:pPr>
        <w:pStyle w:val="NormalWeb"/>
        <w:spacing w:after="0"/>
        <w:jc w:val="both"/>
        <w:textAlignment w:val="baseline"/>
      </w:pPr>
      <w:r>
        <w:t xml:space="preserve">- </w:t>
      </w:r>
      <w:r w:rsidRPr="00D61E41">
        <w:rPr>
          <w:u w:val="single"/>
        </w:rPr>
        <w:t>El futuro de la computación</w:t>
      </w:r>
      <w:r>
        <w:t xml:space="preserve"> (Project Syndicate - </w:t>
      </w:r>
      <w:r w:rsidRPr="00D61E41">
        <w:rPr>
          <w:b/>
        </w:rPr>
        <w:t>30/6/16</w:t>
      </w:r>
      <w:r>
        <w:t>)</w:t>
      </w:r>
    </w:p>
    <w:p w:rsidR="000711BB" w:rsidRPr="00A44554" w:rsidRDefault="000711BB" w:rsidP="000711BB">
      <w:pPr>
        <w:pStyle w:val="NormalWeb"/>
        <w:spacing w:after="0"/>
        <w:jc w:val="both"/>
        <w:textAlignment w:val="baseline"/>
        <w:rPr>
          <w:u w:val="single"/>
        </w:rPr>
      </w:pPr>
      <w:r>
        <w:t xml:space="preserve">Zúrich.- </w:t>
      </w:r>
      <w:r w:rsidRPr="00A44554">
        <w:rPr>
          <w:u w:val="single"/>
        </w:rPr>
        <w:t>Desde que en 1955 el científico estadounidense John McCarthy acuñó el término “inteligencia artificial”, la gente imagina un futuro de computadoras y robots conscientes capaces de pensar y actuar como los seres humanos. Pero aunque tal vez llegue ese día, por ahora es una posibilidad remota.</w:t>
      </w:r>
    </w:p>
    <w:p w:rsidR="000711BB" w:rsidRPr="00A44554" w:rsidRDefault="000711BB" w:rsidP="000711BB">
      <w:pPr>
        <w:pStyle w:val="NormalWeb"/>
        <w:spacing w:after="0"/>
        <w:jc w:val="both"/>
        <w:textAlignment w:val="baseline"/>
        <w:rPr>
          <w:color w:val="FF0000"/>
          <w:u w:val="single"/>
        </w:rPr>
      </w:pPr>
      <w:r w:rsidRPr="00A44554">
        <w:rPr>
          <w:color w:val="FF0000"/>
          <w:u w:val="single"/>
        </w:rPr>
        <w:t xml:space="preserve">Y sin embargo, la frontera cercana de la computación no es menos fabulosa. Hemos entrado en lo que IBM denomina Era Cognitiva. Los avances en computación están mejorando nuestra capacidad de interpretar grandes volúmenes de datos, algo que puede ayudar a tomar algunas de las decisiones más importantes del mundo y acaso revolucione industrias enteras. </w:t>
      </w:r>
    </w:p>
    <w:p w:rsidR="000711BB" w:rsidRPr="00A44554" w:rsidRDefault="000711BB" w:rsidP="000711BB">
      <w:pPr>
        <w:pStyle w:val="NormalWeb"/>
        <w:spacing w:after="0"/>
        <w:jc w:val="both"/>
        <w:textAlignment w:val="baseline"/>
        <w:rPr>
          <w:color w:val="FF0000"/>
          <w:u w:val="single"/>
        </w:rPr>
      </w:pPr>
      <w:r w:rsidRPr="00A44554">
        <w:rPr>
          <w:color w:val="FF0000"/>
          <w:u w:val="single"/>
        </w:rPr>
        <w:t>El término “computación cognitiva” se refiere a sistemas que en vez de estar programados explícitamente, han sido diseñados para aprender de sus propias experiencias. Esos sistemas aceleran la era de la información; mediante la extracción de información útil a partir de datos no estructurados, ayudan a sus usuarios en una amplia gama de tareas, como identificar oportunidades comerciales únicas, descubrir nuevos tratamientos para enfermedades o idear soluciones creativas para los problemas de ciudades, empresas y comunidades.</w:t>
      </w:r>
    </w:p>
    <w:p w:rsidR="000711BB" w:rsidRDefault="000711BB" w:rsidP="000711BB">
      <w:pPr>
        <w:pStyle w:val="NormalWeb"/>
        <w:spacing w:after="0"/>
        <w:jc w:val="both"/>
        <w:textAlignment w:val="baseline"/>
      </w:pPr>
      <w:r w:rsidRPr="00A44554">
        <w:rPr>
          <w:u w:val="single"/>
        </w:rPr>
        <w:t>La Era Cognitiva marca la siguiente etapa de la aplicación de la ciencia para comprender la naturaleza y promover la prosperidad de la humanidad.</w:t>
      </w:r>
      <w:r>
        <w:t xml:space="preserve"> Comenzó a principios de 2011, cuando el sistema de computación cognitiva Watson venció a dos campeones humanos en el programa de entretenimientos “Jeopardy!”. Desde entonces, Watson hizo muchas otras cosas y demostró de qué manera la computación cognitiva puede usar el análisis de macrodatos para encarar algunas de las cuestiones sistémicas más difíciles a las que se enfrenta la humanidad.</w:t>
      </w:r>
    </w:p>
    <w:p w:rsidR="000711BB" w:rsidRPr="00A44554" w:rsidRDefault="000711BB" w:rsidP="000711BB">
      <w:pPr>
        <w:pStyle w:val="NormalWeb"/>
        <w:spacing w:after="0"/>
        <w:jc w:val="both"/>
        <w:textAlignment w:val="baseline"/>
        <w:rPr>
          <w:b/>
          <w:color w:val="FF0000"/>
          <w:u w:val="single"/>
        </w:rPr>
      </w:pPr>
      <w:r w:rsidRPr="00A44554">
        <w:rPr>
          <w:b/>
          <w:color w:val="FF0000"/>
          <w:u w:val="single"/>
        </w:rPr>
        <w:t>A grandes rasgos, los sistemas cognitivos tienen cinco capacidades básicas. La primera es utilizar datos de las personas para crear interacciones más plenamente humanas y de ese modo aumentar el interés del usuario. La segunda es aprender de expertos en diversos campos y poner sus conocimientos a disposición de poblaciones amplias, lo que aumenta la escala y el nivel de esa experiencia. La tercera es ofrecer productos, como los conectados a la Internet de las Cosas, capaces de percibir el mundo que los rodea y aprender de sus usuarios.</w:t>
      </w:r>
    </w:p>
    <w:p w:rsidR="000711BB" w:rsidRPr="00A44554" w:rsidRDefault="000711BB" w:rsidP="000711BB">
      <w:pPr>
        <w:pStyle w:val="NormalWeb"/>
        <w:spacing w:after="0"/>
        <w:jc w:val="both"/>
        <w:textAlignment w:val="baseline"/>
        <w:rPr>
          <w:b/>
          <w:color w:val="FF0000"/>
          <w:u w:val="single"/>
        </w:rPr>
      </w:pPr>
      <w:r w:rsidRPr="00A44554">
        <w:rPr>
          <w:b/>
          <w:color w:val="FF0000"/>
          <w:u w:val="single"/>
        </w:rPr>
        <w:t xml:space="preserve">La cuarta es permitir a sus operadores interpretar grandes volúmenes de datos, con lo que ayudan a gestionar flujos de trabajo, brindan contexto y permiten el </w:t>
      </w:r>
      <w:r w:rsidRPr="00A44554">
        <w:rPr>
          <w:b/>
          <w:color w:val="FF0000"/>
          <w:u w:val="single"/>
        </w:rPr>
        <w:lastRenderedPageBreak/>
        <w:t>aprendizaje continuo, una mejor previsión del futuro y una mayor eficacia operativa. Y la última (y tal vez la más importante) es ayudar a sus usuarios a percibir patrones y oportunidades que sería imposible descubrir por medios tradicionales.</w:t>
      </w:r>
    </w:p>
    <w:p w:rsidR="000711BB" w:rsidRPr="00A44554" w:rsidRDefault="000711BB" w:rsidP="000711BB">
      <w:pPr>
        <w:pStyle w:val="NormalWeb"/>
        <w:spacing w:after="0"/>
        <w:jc w:val="both"/>
        <w:textAlignment w:val="baseline"/>
        <w:rPr>
          <w:u w:val="single"/>
        </w:rPr>
      </w:pPr>
      <w:r>
        <w:t xml:space="preserve">Los sistemas cognitivos se inspiran en el cerebro humano, un órgano que todavía tiene mucho que enseñarnos. </w:t>
      </w:r>
      <w:r w:rsidRPr="00A44554">
        <w:rPr>
          <w:u w:val="single"/>
        </w:rPr>
        <w:t>Con el aumento de tamaño y complejidad de los sistemas informáticos, la arquitectura de computadoras tradicional parece estar llegando a un límite, conforme el consumo de energía se dispara y la demora en la transmisión de información entre componentes se vuelve un obstáculo cada vez mayor</w:t>
      </w:r>
      <w:r>
        <w:t xml:space="preserve">. </w:t>
      </w:r>
      <w:r w:rsidRPr="00A44554">
        <w:rPr>
          <w:u w:val="single"/>
        </w:rPr>
        <w:t>De hecho, en lo referido a la eficiencia energética (medida como la cantidad de cálculos sobre datos “no estructurados” por unidad de energía) el cerebro humano es aproximadamente 10 000 veces más eficiente que las mejores máquinas que haya creado el hombre.</w:t>
      </w:r>
    </w:p>
    <w:p w:rsidR="000711BB" w:rsidRPr="00A44554" w:rsidRDefault="000711BB" w:rsidP="000711BB">
      <w:pPr>
        <w:pStyle w:val="NormalWeb"/>
        <w:spacing w:after="0"/>
        <w:jc w:val="both"/>
        <w:textAlignment w:val="baseline"/>
        <w:rPr>
          <w:color w:val="FF0000"/>
          <w:u w:val="single"/>
        </w:rPr>
      </w:pPr>
      <w:r w:rsidRPr="00A44554">
        <w:rPr>
          <w:color w:val="FF0000"/>
          <w:u w:val="single"/>
        </w:rPr>
        <w:t>Hoy, según señala Mark Mills (director ejecutivo de Digital Power Group), las computadoras consumen alrededor del 10% de la producción mundial de electricidad. Para aprovechar plenamente la Era Cognitiva, tendremos que trabajar con volúmenes de información enormes; se prevé que en los próximos 15 años, la cantidad de datos “digitalmente accesibles” se multiplique por más de mil. El procesamiento de semejante volumen de datos no será posible sin grandes avances en eficiencia energética.</w:t>
      </w:r>
    </w:p>
    <w:p w:rsidR="000711BB" w:rsidRDefault="000711BB" w:rsidP="000711BB">
      <w:pPr>
        <w:pStyle w:val="NormalWeb"/>
        <w:spacing w:after="0"/>
        <w:jc w:val="both"/>
        <w:textAlignment w:val="baseline"/>
      </w:pPr>
      <w:r>
        <w:t>Para igualar la capacidad de cálculo y la eficiencia del cerebro humano es probable que tengamos que imitar algunas de sus estructuras. En vez de tratar de maximizar la capacidad de cálculo creando chips cada vez más grandes que consumen cada vez más energía, podemos organizar los componentes electrónicos en una matriz tridimensional densa similar al cerebro humano para maximizar la eficiencia energética.</w:t>
      </w:r>
    </w:p>
    <w:p w:rsidR="000711BB" w:rsidRDefault="000711BB" w:rsidP="000711BB">
      <w:pPr>
        <w:pStyle w:val="NormalWeb"/>
        <w:spacing w:after="0"/>
        <w:jc w:val="both"/>
        <w:textAlignment w:val="baseline"/>
      </w:pPr>
      <w:r>
        <w:t>Al organizar los chips en forma tridimensional, los componentes de la computadora quedan más cerca entre sí. Esto no solo reduce el tiempo que les lleva comunicarse, sino que también mejora la eficiencia energética hasta 5000 veces, lo que la acerca a la del cerebro biológico. Ya hay sistemas de computación mucho más densos basados en tecnología móvil actual y refrigeración con agua caliente que alcanzan una eficiencia diez veces superior a la de un sistema convencional.</w:t>
      </w:r>
    </w:p>
    <w:p w:rsidR="000711BB" w:rsidRDefault="000711BB" w:rsidP="000711BB">
      <w:pPr>
        <w:pStyle w:val="NormalWeb"/>
        <w:spacing w:after="0"/>
        <w:jc w:val="both"/>
        <w:textAlignment w:val="baseline"/>
      </w:pPr>
      <w:r>
        <w:t>Pero las computadoras son energéticamente ineficientes porque además de energía para los chips, necesitan energía para hacer funcionar los sistemas de refrigeración que eliminan el calor generado por los procesadores. Aquí también el cerebro humano puede enseñarnos algo. Así como el cerebro usa sangre cargada de azúcar para suministrar energía a sus diversas regiones y a la vez refrigerarlas, en una arquitectura tridimensional se podría usar el líquido refrigerante para suministrar energía a los chips. Además de disipar el calor, el fluido podría impulsar un sistema electroquímico que provea de energía a los procesadores, lo que a su vez permitiría un mayor incremento de la densidad de empaquetado y, con ella, de la eficiencia.</w:t>
      </w:r>
    </w:p>
    <w:p w:rsidR="000711BB" w:rsidRPr="00A44554" w:rsidRDefault="000711BB" w:rsidP="000711BB">
      <w:pPr>
        <w:pStyle w:val="NormalWeb"/>
        <w:spacing w:after="0"/>
        <w:jc w:val="both"/>
        <w:textAlignment w:val="baseline"/>
        <w:rPr>
          <w:u w:val="single"/>
        </w:rPr>
      </w:pPr>
      <w:r w:rsidRPr="00A44554">
        <w:rPr>
          <w:u w:val="single"/>
        </w:rPr>
        <w:t>La adopción de algunas características del cerebro humano puede hacer a las computadoras mucho más compactas, eficientes y potentes, lo que nos permitirá aprovechar plenamente la computación cognitiva y dará a nuestros cerebros reales nuevas fuentes de ayuda, estímulo e inspiración.</w:t>
      </w:r>
    </w:p>
    <w:p w:rsidR="000711BB" w:rsidRDefault="000711BB" w:rsidP="000711BB">
      <w:pPr>
        <w:pStyle w:val="NormalWeb"/>
        <w:spacing w:after="0"/>
        <w:jc w:val="both"/>
        <w:textAlignment w:val="baseline"/>
      </w:pPr>
      <w:r>
        <w:t>(</w:t>
      </w:r>
      <w:r w:rsidRPr="00D61E41">
        <w:t>Bruno Michel is a sci</w:t>
      </w:r>
      <w:r>
        <w:t>entist at IBM Research - Zurich)</w:t>
      </w:r>
    </w:p>
    <w:p w:rsidR="000711BB" w:rsidRPr="00D84644" w:rsidRDefault="000711BB" w:rsidP="000711BB">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D84644">
        <w:rPr>
          <w:rFonts w:ascii="Times New Roman" w:hAnsi="Times New Roman"/>
          <w:sz w:val="24"/>
          <w:szCs w:val="24"/>
          <w:u w:val="single"/>
        </w:rPr>
        <w:t>La innovación y sus descontentos</w:t>
      </w:r>
      <w:r>
        <w:rPr>
          <w:rFonts w:ascii="Times New Roman" w:hAnsi="Times New Roman"/>
          <w:sz w:val="24"/>
          <w:szCs w:val="24"/>
        </w:rPr>
        <w:t xml:space="preserve"> (Project Syndicate - </w:t>
      </w:r>
      <w:r w:rsidRPr="00D84644">
        <w:rPr>
          <w:rFonts w:ascii="Times New Roman" w:hAnsi="Times New Roman"/>
          <w:b/>
          <w:sz w:val="24"/>
          <w:szCs w:val="24"/>
        </w:rPr>
        <w:t>1/7/16</w:t>
      </w:r>
      <w:r>
        <w:rPr>
          <w:rFonts w:ascii="Times New Roman" w:hAnsi="Times New Roman"/>
          <w:sz w:val="24"/>
          <w:szCs w:val="24"/>
        </w:rPr>
        <w:t>)</w:t>
      </w:r>
    </w:p>
    <w:p w:rsidR="000711BB" w:rsidRPr="00FA12AF" w:rsidRDefault="000711BB" w:rsidP="000711BB">
      <w:pPr>
        <w:spacing w:line="240" w:lineRule="auto"/>
        <w:jc w:val="both"/>
        <w:rPr>
          <w:rFonts w:ascii="Times New Roman" w:hAnsi="Times New Roman"/>
          <w:sz w:val="24"/>
          <w:szCs w:val="24"/>
          <w:u w:val="single"/>
        </w:rPr>
      </w:pPr>
      <w:r>
        <w:rPr>
          <w:rFonts w:ascii="Times New Roman" w:hAnsi="Times New Roman"/>
          <w:sz w:val="24"/>
          <w:szCs w:val="24"/>
        </w:rPr>
        <w:t>Cambridge.-</w:t>
      </w:r>
      <w:r w:rsidRPr="00D84644">
        <w:rPr>
          <w:rFonts w:ascii="Times New Roman" w:hAnsi="Times New Roman"/>
          <w:sz w:val="24"/>
          <w:szCs w:val="24"/>
        </w:rPr>
        <w:t xml:space="preserve"> </w:t>
      </w:r>
      <w:r w:rsidRPr="00FA12AF">
        <w:rPr>
          <w:rFonts w:ascii="Times New Roman" w:hAnsi="Times New Roman"/>
          <w:sz w:val="24"/>
          <w:szCs w:val="24"/>
          <w:u w:val="single"/>
        </w:rPr>
        <w:t>La innovación tecnológica es a menudo ensalzada por su poder para superar los principales desafíos del desarrollo, estimular el crecimiento económico e impulsar a las sociedades para que avancen. Sin embargo, las innovaciones con frecuencia se enfrentan a grandes obstáculos en su implementación, ya que los gobiernos, a veces, prohí</w:t>
      </w:r>
      <w:r>
        <w:rPr>
          <w:rFonts w:ascii="Times New Roman" w:hAnsi="Times New Roman"/>
          <w:sz w:val="24"/>
          <w:szCs w:val="24"/>
          <w:u w:val="single"/>
        </w:rPr>
        <w:t>ben rotundamente su aplicación -</w:t>
      </w:r>
      <w:r w:rsidRPr="00FA12AF">
        <w:rPr>
          <w:rFonts w:ascii="Times New Roman" w:hAnsi="Times New Roman"/>
          <w:sz w:val="24"/>
          <w:szCs w:val="24"/>
          <w:u w:val="single"/>
        </w:rPr>
        <w:t xml:space="preserve"> incluso la de aquellas que podrían traer beneficios de largo alcance.</w:t>
      </w:r>
    </w:p>
    <w:p w:rsidR="000711BB" w:rsidRPr="00D84644" w:rsidRDefault="000711BB" w:rsidP="000711BB">
      <w:pPr>
        <w:spacing w:line="240" w:lineRule="auto"/>
        <w:jc w:val="both"/>
        <w:rPr>
          <w:rFonts w:ascii="Times New Roman" w:hAnsi="Times New Roman"/>
          <w:sz w:val="24"/>
          <w:szCs w:val="24"/>
        </w:rPr>
      </w:pPr>
      <w:r w:rsidRPr="00FA12AF">
        <w:rPr>
          <w:rFonts w:ascii="Times New Roman" w:hAnsi="Times New Roman"/>
          <w:sz w:val="24"/>
          <w:szCs w:val="24"/>
          <w:u w:val="single"/>
        </w:rPr>
        <w:t>Considere la imprenta</w:t>
      </w:r>
      <w:r w:rsidRPr="00D84644">
        <w:rPr>
          <w:rFonts w:ascii="Times New Roman" w:hAnsi="Times New Roman"/>
          <w:sz w:val="24"/>
          <w:szCs w:val="24"/>
        </w:rPr>
        <w:t>. Entre otros aspectos, esta nueva tecnología fue una bendición para las religiones del mundo, que de un momento al otro obtuvieron un medio eficiente de reproducción y difusión de sus textos sagrados. Sin embargo, el Imperio otomano prohibió la impresión del Corán durante casi 400 años. En el año 1515, se dice que el sultán Selim I decretó qué “dedicarse a la ciencia de la impresión era castigable con la muerte”.</w:t>
      </w:r>
    </w:p>
    <w:p w:rsidR="000711BB" w:rsidRPr="00FA12AF" w:rsidRDefault="000711BB" w:rsidP="000711BB">
      <w:pPr>
        <w:spacing w:line="240" w:lineRule="auto"/>
        <w:jc w:val="both"/>
        <w:rPr>
          <w:rFonts w:ascii="Times New Roman" w:hAnsi="Times New Roman"/>
          <w:color w:val="FF0000"/>
          <w:sz w:val="24"/>
          <w:szCs w:val="24"/>
          <w:u w:val="single"/>
        </w:rPr>
      </w:pPr>
      <w:r w:rsidRPr="00FA12AF">
        <w:rPr>
          <w:rFonts w:ascii="Times New Roman" w:hAnsi="Times New Roman"/>
          <w:color w:val="FF0000"/>
          <w:sz w:val="24"/>
          <w:szCs w:val="24"/>
          <w:u w:val="single"/>
        </w:rPr>
        <w:t>¿Por qué oponerse a una tecnología tan beneficiosa? Como sostengo en mi libro La innovación y sus enemigos: por qué la gente se resiste a las nuevas tecnologías, la respuesta no es, simplemente, que las personas tienen miedo a lo desconocido. Por el contrario, la resistencia a los avances tecnológicos, por lo general, se arraiga en el temor de que la interrupción del statu quo podría causar pérdida de empleos, ingresos, poder e identidad. Los gobiernos a menudo terminan decidiendo que es más fácil prohibir las nuevas tecnologías que adaptarse a las mismas.</w:t>
      </w:r>
    </w:p>
    <w:p w:rsidR="000711BB" w:rsidRPr="00D84644" w:rsidRDefault="000711BB" w:rsidP="000711BB">
      <w:pPr>
        <w:spacing w:line="240" w:lineRule="auto"/>
        <w:jc w:val="both"/>
        <w:rPr>
          <w:rFonts w:ascii="Times New Roman" w:hAnsi="Times New Roman"/>
          <w:sz w:val="24"/>
          <w:szCs w:val="24"/>
        </w:rPr>
      </w:pPr>
      <w:r w:rsidRPr="00D84644">
        <w:rPr>
          <w:rFonts w:ascii="Times New Roman" w:hAnsi="Times New Roman"/>
          <w:sz w:val="24"/>
          <w:szCs w:val="24"/>
        </w:rPr>
        <w:t>Al prohibir la impresión del Corán, los líderes otomanos retrasaron la pérdida de empleo de los escribas y calígrafos (muchos de ellos mujeres, quienes fueron glorificadas por su dominio de este arte). Sin embargo, proteger el empleo no fue su principal motivación; después de todo, a partir del año 1727, sí permitieron que se imprimieran textos no religiosos, a pesar de las protestas de los calígrafos, quienes respondieron al edicto poniendo sus tinteros y lápices en ataúdes y marchando a la Sublime Puerta en Estambul.</w:t>
      </w:r>
    </w:p>
    <w:p w:rsidR="000711BB" w:rsidRPr="00D84644" w:rsidRDefault="000711BB" w:rsidP="000711BB">
      <w:pPr>
        <w:spacing w:line="240" w:lineRule="auto"/>
        <w:jc w:val="both"/>
        <w:rPr>
          <w:rFonts w:ascii="Times New Roman" w:hAnsi="Times New Roman"/>
          <w:sz w:val="24"/>
          <w:szCs w:val="24"/>
        </w:rPr>
      </w:pPr>
      <w:r w:rsidRPr="00D84644">
        <w:rPr>
          <w:rFonts w:ascii="Times New Roman" w:hAnsi="Times New Roman"/>
          <w:sz w:val="24"/>
          <w:szCs w:val="24"/>
        </w:rPr>
        <w:t>El conocimiento religioso fue un asunto muy distinto. Se constituyó tanto en el pegamento que mantuvo unida a la sociedad como en un pilar del poder político, por lo que mantener el monopolio sobre la difusión de dicho conocimiento se tornó en fundamental para mantener la autoridad de los líderes otomanos. Ellos temían que les ocurriera lo mismo que al Papa católico, quien perdió una considerable cantidad de autoridad durante la reforma protestante, momento en el que la imprenta jugó un papel clave para la difusión de nuevas ideas a los fieles.</w:t>
      </w:r>
    </w:p>
    <w:p w:rsidR="000711BB" w:rsidRPr="00D84644" w:rsidRDefault="000711BB" w:rsidP="000711BB">
      <w:pPr>
        <w:spacing w:line="240" w:lineRule="auto"/>
        <w:jc w:val="both"/>
        <w:rPr>
          <w:rFonts w:ascii="Times New Roman" w:hAnsi="Times New Roman"/>
          <w:sz w:val="24"/>
          <w:szCs w:val="24"/>
        </w:rPr>
      </w:pPr>
      <w:r w:rsidRPr="00FA12AF">
        <w:rPr>
          <w:rFonts w:ascii="Times New Roman" w:hAnsi="Times New Roman"/>
          <w:sz w:val="24"/>
          <w:szCs w:val="24"/>
          <w:u w:val="single"/>
        </w:rPr>
        <w:t>Por supuesto, la erección de barreras a la innovación tecnológica no siempre se inicia con el gobierno. Los que tienen un interés personal en el statu quo pueden empujar a sus gobiernos a imponer prohibiciones</w:t>
      </w:r>
      <w:r w:rsidRPr="00D84644">
        <w:rPr>
          <w:rFonts w:ascii="Times New Roman" w:hAnsi="Times New Roman"/>
          <w:sz w:val="24"/>
          <w:szCs w:val="24"/>
        </w:rPr>
        <w:t>. Pueden hacerlo a través de protestas, tal como ocurrió con los calígrafos otomanos, y como los opositores irlandeses a las patatas modificadas genéticamente en el año 2002, quienes marcharon en Dublín para expresar su oposición a la “muerte de la buena comida”.</w:t>
      </w:r>
    </w:p>
    <w:p w:rsidR="000711BB" w:rsidRPr="00D84644" w:rsidRDefault="000711BB" w:rsidP="000711BB">
      <w:pPr>
        <w:spacing w:line="240" w:lineRule="auto"/>
        <w:jc w:val="both"/>
        <w:rPr>
          <w:rFonts w:ascii="Times New Roman" w:hAnsi="Times New Roman"/>
          <w:sz w:val="24"/>
          <w:szCs w:val="24"/>
        </w:rPr>
      </w:pPr>
      <w:r w:rsidRPr="00FA12AF">
        <w:rPr>
          <w:rFonts w:ascii="Times New Roman" w:hAnsi="Times New Roman"/>
          <w:sz w:val="24"/>
          <w:szCs w:val="24"/>
          <w:u w:val="single"/>
        </w:rPr>
        <w:t>Aquellos que se oponen a las nuevas tecnologías también pueden emplear la difamación, la desinformac</w:t>
      </w:r>
      <w:r>
        <w:rPr>
          <w:rFonts w:ascii="Times New Roman" w:hAnsi="Times New Roman"/>
          <w:sz w:val="24"/>
          <w:szCs w:val="24"/>
          <w:u w:val="single"/>
        </w:rPr>
        <w:t>ión, e incluso la demonización -</w:t>
      </w:r>
      <w:r w:rsidRPr="00FA12AF">
        <w:rPr>
          <w:rFonts w:ascii="Times New Roman" w:hAnsi="Times New Roman"/>
          <w:sz w:val="24"/>
          <w:szCs w:val="24"/>
          <w:u w:val="single"/>
        </w:rPr>
        <w:t xml:space="preserve"> un enfoque que sin duda ha tenido éxito en el pasado</w:t>
      </w:r>
      <w:r w:rsidRPr="00D84644">
        <w:rPr>
          <w:rFonts w:ascii="Times New Roman" w:hAnsi="Times New Roman"/>
          <w:sz w:val="24"/>
          <w:szCs w:val="24"/>
        </w:rPr>
        <w:t xml:space="preserve">. </w:t>
      </w:r>
      <w:r w:rsidRPr="00FA12AF">
        <w:rPr>
          <w:rFonts w:ascii="Times New Roman" w:hAnsi="Times New Roman"/>
          <w:sz w:val="24"/>
          <w:szCs w:val="24"/>
          <w:u w:val="single"/>
        </w:rPr>
        <w:t>En el año 1674, las mujeres inglesas emitieron una petición en contra de café, alegando que causaba esterilidad</w:t>
      </w:r>
      <w:r w:rsidRPr="00D84644">
        <w:rPr>
          <w:rFonts w:ascii="Times New Roman" w:hAnsi="Times New Roman"/>
          <w:sz w:val="24"/>
          <w:szCs w:val="24"/>
        </w:rPr>
        <w:t xml:space="preserve"> </w:t>
      </w:r>
      <w:r w:rsidRPr="00FA12AF">
        <w:rPr>
          <w:rFonts w:ascii="Times New Roman" w:hAnsi="Times New Roman"/>
          <w:sz w:val="24"/>
          <w:szCs w:val="24"/>
          <w:u w:val="single"/>
        </w:rPr>
        <w:t>y por lo tanto debía ser consumido solamente por personas mayores de 60 años</w:t>
      </w:r>
      <w:r>
        <w:rPr>
          <w:rFonts w:ascii="Times New Roman" w:hAnsi="Times New Roman"/>
          <w:sz w:val="24"/>
          <w:szCs w:val="24"/>
        </w:rPr>
        <w:t xml:space="preserve"> -</w:t>
      </w:r>
      <w:r w:rsidRPr="00D84644">
        <w:rPr>
          <w:rFonts w:ascii="Times New Roman" w:hAnsi="Times New Roman"/>
          <w:sz w:val="24"/>
          <w:szCs w:val="24"/>
        </w:rPr>
        <w:t xml:space="preserve"> un mercado muy pequeño en aquel </w:t>
      </w:r>
      <w:r w:rsidRPr="00D84644">
        <w:rPr>
          <w:rFonts w:ascii="Times New Roman" w:hAnsi="Times New Roman"/>
          <w:sz w:val="24"/>
          <w:szCs w:val="24"/>
        </w:rPr>
        <w:lastRenderedPageBreak/>
        <w:t>momento. Al año siguiente, el rey Carlos II ordenó la supresión de las cafeterías, a pesar de que probablemente él estaba más motivado por el deseo de proteger la cuota de mercado de las bebidas locales, tales como las bebidas alcohólicas y en aquel entonces el recién introducido té, que por los rumores de infertilidad.</w:t>
      </w:r>
    </w:p>
    <w:p w:rsidR="000711BB" w:rsidRPr="00D84644" w:rsidRDefault="000711BB" w:rsidP="000711BB">
      <w:pPr>
        <w:spacing w:line="240" w:lineRule="auto"/>
        <w:jc w:val="both"/>
        <w:rPr>
          <w:rFonts w:ascii="Times New Roman" w:hAnsi="Times New Roman"/>
          <w:sz w:val="24"/>
          <w:szCs w:val="24"/>
        </w:rPr>
      </w:pPr>
      <w:r w:rsidRPr="00FA12AF">
        <w:rPr>
          <w:rFonts w:ascii="Times New Roman" w:hAnsi="Times New Roman"/>
          <w:sz w:val="24"/>
          <w:szCs w:val="24"/>
          <w:u w:val="single"/>
        </w:rPr>
        <w:t>En la década de 1800, la industria lechera estadounidense encabezó una campaña de desinformación similar sobre la margarina, alegando que causaba esterilidad, retraso del crecimiento, y calvicie masculina</w:t>
      </w:r>
      <w:r w:rsidRPr="00D84644">
        <w:rPr>
          <w:rFonts w:ascii="Times New Roman" w:hAnsi="Times New Roman"/>
          <w:sz w:val="24"/>
          <w:szCs w:val="24"/>
        </w:rPr>
        <w:t>. Fue ridiculizada con el denominativo de “mantequilla de toro”, y sus opositores afirmaban que la margarina contenía “carne de vaca enferma y podrida, caballos muertos, cerdos muertos, perros muertos, perros rabiosos, y ovejas demacradas”.</w:t>
      </w:r>
    </w:p>
    <w:p w:rsidR="000711BB" w:rsidRPr="00D84644" w:rsidRDefault="000711BB" w:rsidP="000711BB">
      <w:pPr>
        <w:spacing w:line="240" w:lineRule="auto"/>
        <w:jc w:val="both"/>
        <w:rPr>
          <w:rFonts w:ascii="Times New Roman" w:hAnsi="Times New Roman"/>
          <w:sz w:val="24"/>
          <w:szCs w:val="24"/>
        </w:rPr>
      </w:pPr>
      <w:r w:rsidRPr="00D84644">
        <w:rPr>
          <w:rFonts w:ascii="Times New Roman" w:hAnsi="Times New Roman"/>
          <w:sz w:val="24"/>
          <w:szCs w:val="24"/>
        </w:rPr>
        <w:t>En respuesta, el gobierno federal introdujo nuevas restricciones a la margarina, que abarcaban todos los ámbitos, desde el etiquetado (como ocurre con los alimentos modificados genéticamente en la actualidad), al uso de colorantes artificiales y el desplazamiento del producto de un Estado a otro. Nuevos impuestos reforzaron aún más la preeminencia de la mantequilla. En el año 1886, un congresista de Wisconsin declaró abiertamente que su “intención era destruir la fabricación de ese compuesto nocivo gravándolo hasta dar fin con su existencia”.</w:t>
      </w:r>
    </w:p>
    <w:p w:rsidR="000711BB" w:rsidRPr="00D84644" w:rsidRDefault="000711BB" w:rsidP="000711BB">
      <w:pPr>
        <w:spacing w:line="240" w:lineRule="auto"/>
        <w:jc w:val="both"/>
        <w:rPr>
          <w:rFonts w:ascii="Times New Roman" w:hAnsi="Times New Roman"/>
          <w:sz w:val="24"/>
          <w:szCs w:val="24"/>
        </w:rPr>
      </w:pPr>
      <w:r w:rsidRPr="00FA12AF">
        <w:rPr>
          <w:rFonts w:ascii="Times New Roman" w:hAnsi="Times New Roman"/>
          <w:sz w:val="24"/>
          <w:szCs w:val="24"/>
          <w:u w:val="single"/>
        </w:rPr>
        <w:t>La resistencia a los tractores a principios de los 1900 tomó una forma ligeramente diferente. Los productores y los comerciantes de animales de tiro temían a la mecanización, que amenazaba su modo de vida. Pero sabían que no podían mejorar sus productos con mayor rapidez de la que los ingenieros podían mejorar los suyos; por lo tanto, el bloqueo de la propagación de los tractores sería imposible</w:t>
      </w:r>
      <w:r w:rsidRPr="00D84644">
        <w:rPr>
          <w:rFonts w:ascii="Times New Roman" w:hAnsi="Times New Roman"/>
          <w:sz w:val="24"/>
          <w:szCs w:val="24"/>
        </w:rPr>
        <w:t>. En vez de ello, trataron de impedir el desplazamiento de los animales de granja realizando una campaña que promocionaba sus virtudes. La Asociación Americana de Caballos emitió panfletos declarando que, “una mula es el único tractor a toda prueba que se haya construido”. El grupo también señaló que los caballos podían reproducirse a sí mismos, mientras que los tractores se depreciaban.</w:t>
      </w:r>
    </w:p>
    <w:p w:rsidR="000711BB" w:rsidRPr="00FA12AF" w:rsidRDefault="000711BB" w:rsidP="000711BB">
      <w:pPr>
        <w:spacing w:line="240" w:lineRule="auto"/>
        <w:jc w:val="both"/>
        <w:rPr>
          <w:rFonts w:ascii="Times New Roman" w:hAnsi="Times New Roman"/>
          <w:color w:val="FF0000"/>
          <w:sz w:val="24"/>
          <w:szCs w:val="24"/>
          <w:u w:val="single"/>
        </w:rPr>
      </w:pPr>
      <w:r w:rsidRPr="00FA12AF">
        <w:rPr>
          <w:rFonts w:ascii="Times New Roman" w:hAnsi="Times New Roman"/>
          <w:color w:val="FF0000"/>
          <w:sz w:val="24"/>
          <w:szCs w:val="24"/>
          <w:u w:val="single"/>
        </w:rPr>
        <w:t>Las personas casi nunca rechazan el progreso tecnológico por pura ignorancia. En lugar de ello,  luchan por proteger sus propios intereses y medios de vida, ya sea que estén operando una granja lechera o administrando un gobierno. Ya que las personas realizan continuamente intentos por aplicar nuevas tecnologías para mejorar el bienestar humano y del medio ambiente, esta distinción es de vital importancia.</w:t>
      </w:r>
    </w:p>
    <w:p w:rsidR="000711BB" w:rsidRPr="00FA12AF" w:rsidRDefault="000711BB" w:rsidP="000711BB">
      <w:pPr>
        <w:spacing w:line="240" w:lineRule="auto"/>
        <w:jc w:val="both"/>
        <w:rPr>
          <w:rFonts w:ascii="Times New Roman" w:hAnsi="Times New Roman"/>
          <w:sz w:val="24"/>
          <w:szCs w:val="24"/>
          <w:u w:val="single"/>
        </w:rPr>
      </w:pPr>
      <w:r w:rsidRPr="00FA12AF">
        <w:rPr>
          <w:rFonts w:ascii="Times New Roman" w:hAnsi="Times New Roman"/>
          <w:sz w:val="24"/>
          <w:szCs w:val="24"/>
          <w:u w:val="single"/>
        </w:rPr>
        <w:t>Evitar las barreras al progreso tecnológico requiere comprender y abordar sus desventajas. Por ejemplo, a medida que las máquinas se hacen cada vez más capaces, los robots están reemplazando un número cada vez mayor de trabajadores. No pasará mucho tiempo hasta que esos robots sean capaces no sólo de realizar tareas más complejas, sino también de aprender más rápido de lo que los trabajadores puedan ser entrenados. Es irracional pensar que algunos trabajadores no serán desplazados tal como ocurrió con los animales de tiro.</w:t>
      </w:r>
    </w:p>
    <w:p w:rsidR="000711BB" w:rsidRPr="00FA12AF" w:rsidRDefault="000711BB" w:rsidP="000711BB">
      <w:pPr>
        <w:spacing w:line="240" w:lineRule="auto"/>
        <w:jc w:val="both"/>
        <w:rPr>
          <w:rFonts w:ascii="Times New Roman" w:hAnsi="Times New Roman"/>
          <w:color w:val="FF0000"/>
          <w:sz w:val="24"/>
          <w:szCs w:val="24"/>
          <w:u w:val="single"/>
        </w:rPr>
      </w:pPr>
      <w:r w:rsidRPr="00FA12AF">
        <w:rPr>
          <w:rFonts w:ascii="Times New Roman" w:hAnsi="Times New Roman"/>
          <w:color w:val="FF0000"/>
          <w:sz w:val="24"/>
          <w:szCs w:val="24"/>
          <w:u w:val="single"/>
        </w:rPr>
        <w:t xml:space="preserve">Pero si reconocemos estas pérdidas y las abordamos de frente, podremos evitar una reacción en contra de innovaciones tecnológicas que son potencialmente beneficiosas, incluyendo en contra de los avances en la robótica. </w:t>
      </w:r>
      <w:r w:rsidRPr="00FA12AF">
        <w:rPr>
          <w:rFonts w:ascii="Times New Roman" w:hAnsi="Times New Roman"/>
          <w:b/>
          <w:color w:val="FF0000"/>
          <w:sz w:val="24"/>
          <w:szCs w:val="24"/>
          <w:u w:val="single"/>
        </w:rPr>
        <w:t>La clave será centrarse en la “innovación inclusiva”, cerciorándose de que a aquellos que son propensos a perder por el desplazamiento de las tecnologías antiguas se les brinden amplias oportunidades para beneficiarse de las nuevas tecnologías.</w:t>
      </w:r>
      <w:r w:rsidRPr="00FA12AF">
        <w:rPr>
          <w:rFonts w:ascii="Times New Roman" w:hAnsi="Times New Roman"/>
          <w:color w:val="FF0000"/>
          <w:sz w:val="24"/>
          <w:szCs w:val="24"/>
          <w:u w:val="single"/>
        </w:rPr>
        <w:t xml:space="preserve"> Sólo cuando esto ocurra podremos obtener el mayor provecho de la creatividad humana.</w:t>
      </w:r>
    </w:p>
    <w:p w:rsidR="000711BB" w:rsidRDefault="000711BB" w:rsidP="000711BB">
      <w:pPr>
        <w:spacing w:line="240" w:lineRule="auto"/>
        <w:jc w:val="both"/>
        <w:rPr>
          <w:rFonts w:ascii="Times New Roman" w:hAnsi="Times New Roman"/>
          <w:sz w:val="24"/>
          <w:szCs w:val="24"/>
        </w:rPr>
      </w:pPr>
      <w:r>
        <w:rPr>
          <w:rFonts w:ascii="Times New Roman" w:hAnsi="Times New Roman"/>
          <w:sz w:val="24"/>
          <w:szCs w:val="24"/>
        </w:rPr>
        <w:lastRenderedPageBreak/>
        <w:t>(</w:t>
      </w:r>
      <w:r w:rsidRPr="00D84644">
        <w:rPr>
          <w:rFonts w:ascii="Times New Roman" w:hAnsi="Times New Roman"/>
          <w:sz w:val="24"/>
          <w:szCs w:val="24"/>
        </w:rPr>
        <w:t>Calestous Juma is Professor of the Practice of International Development at Harvard’s Kennedy School of Government. He is the author of the forthcoming book Innovation and Its Enemies: Why</w:t>
      </w:r>
      <w:r>
        <w:rPr>
          <w:rFonts w:ascii="Times New Roman" w:hAnsi="Times New Roman"/>
          <w:sz w:val="24"/>
          <w:szCs w:val="24"/>
        </w:rPr>
        <w:t xml:space="preserve"> People Resist New Technologies)</w:t>
      </w:r>
    </w:p>
    <w:p w:rsidR="000711BB" w:rsidRPr="00A93C9B" w:rsidRDefault="000711BB" w:rsidP="000711BB">
      <w:pPr>
        <w:spacing w:line="240" w:lineRule="auto"/>
        <w:jc w:val="both"/>
        <w:rPr>
          <w:rFonts w:ascii="Times New Roman" w:hAnsi="Times New Roman"/>
          <w:sz w:val="24"/>
          <w:szCs w:val="24"/>
        </w:rPr>
      </w:pPr>
      <w:r>
        <w:rPr>
          <w:rFonts w:ascii="Times New Roman" w:hAnsi="Times New Roman"/>
          <w:sz w:val="24"/>
          <w:szCs w:val="24"/>
        </w:rPr>
        <w:t xml:space="preserve">- </w:t>
      </w:r>
      <w:r w:rsidRPr="00A93C9B">
        <w:rPr>
          <w:rFonts w:ascii="Times New Roman" w:hAnsi="Times New Roman"/>
          <w:sz w:val="24"/>
          <w:szCs w:val="24"/>
          <w:u w:val="single"/>
        </w:rPr>
        <w:t>Las líneas políticas divisorias de la globalización</w:t>
      </w:r>
      <w:r>
        <w:rPr>
          <w:rFonts w:ascii="Times New Roman" w:hAnsi="Times New Roman"/>
          <w:sz w:val="24"/>
          <w:szCs w:val="24"/>
        </w:rPr>
        <w:t xml:space="preserve"> (Project Syndicate - </w:t>
      </w:r>
      <w:r w:rsidRPr="00A93C9B">
        <w:rPr>
          <w:rFonts w:ascii="Times New Roman" w:hAnsi="Times New Roman"/>
          <w:b/>
          <w:sz w:val="24"/>
          <w:szCs w:val="24"/>
        </w:rPr>
        <w:t>4/7/16</w:t>
      </w:r>
      <w:r>
        <w:rPr>
          <w:rFonts w:ascii="Times New Roman" w:hAnsi="Times New Roman"/>
          <w:sz w:val="24"/>
          <w:szCs w:val="24"/>
        </w:rPr>
        <w:t>)</w:t>
      </w:r>
    </w:p>
    <w:p w:rsidR="000711BB" w:rsidRPr="007F36F4" w:rsidRDefault="000711BB" w:rsidP="000711BB">
      <w:pPr>
        <w:spacing w:line="240" w:lineRule="auto"/>
        <w:jc w:val="both"/>
        <w:rPr>
          <w:rFonts w:ascii="Times New Roman" w:hAnsi="Times New Roman"/>
          <w:color w:val="FF0000"/>
          <w:sz w:val="24"/>
          <w:szCs w:val="24"/>
          <w:u w:val="single"/>
        </w:rPr>
      </w:pPr>
      <w:r>
        <w:rPr>
          <w:rFonts w:ascii="Times New Roman" w:hAnsi="Times New Roman"/>
          <w:sz w:val="24"/>
          <w:szCs w:val="24"/>
        </w:rPr>
        <w:t>Nueva York.-</w:t>
      </w:r>
      <w:r w:rsidRPr="00A93C9B">
        <w:rPr>
          <w:rFonts w:ascii="Times New Roman" w:hAnsi="Times New Roman"/>
          <w:sz w:val="24"/>
          <w:szCs w:val="24"/>
        </w:rPr>
        <w:t xml:space="preserve"> </w:t>
      </w:r>
      <w:r w:rsidRPr="007F36F4">
        <w:rPr>
          <w:rFonts w:ascii="Times New Roman" w:hAnsi="Times New Roman"/>
          <w:sz w:val="24"/>
          <w:szCs w:val="24"/>
          <w:u w:val="single"/>
        </w:rPr>
        <w:t>La votación del Reino Unido a favor de salir, aunque por un margen muy estrecho, de la Unión Europea aconteció debido a razones específicamente británicas.</w:t>
      </w:r>
      <w:r w:rsidRPr="00A93C9B">
        <w:rPr>
          <w:rFonts w:ascii="Times New Roman" w:hAnsi="Times New Roman"/>
          <w:sz w:val="24"/>
          <w:szCs w:val="24"/>
        </w:rPr>
        <w:t xml:space="preserve"> </w:t>
      </w:r>
      <w:r w:rsidRPr="007F36F4">
        <w:rPr>
          <w:rFonts w:ascii="Times New Roman" w:hAnsi="Times New Roman"/>
          <w:color w:val="FF0000"/>
          <w:sz w:val="24"/>
          <w:szCs w:val="24"/>
          <w:u w:val="single"/>
        </w:rPr>
        <w:t>Y, no obstante, también es como el proverbial canario en la mina de carbón, envía señales sobre una amplia re</w:t>
      </w:r>
      <w:r>
        <w:rPr>
          <w:rFonts w:ascii="Times New Roman" w:hAnsi="Times New Roman"/>
          <w:color w:val="FF0000"/>
          <w:sz w:val="24"/>
          <w:szCs w:val="24"/>
          <w:u w:val="single"/>
        </w:rPr>
        <w:t>acción populista/nacionalista -</w:t>
      </w:r>
      <w:r w:rsidRPr="007F36F4">
        <w:rPr>
          <w:rFonts w:ascii="Times New Roman" w:hAnsi="Times New Roman"/>
          <w:color w:val="FF0000"/>
          <w:sz w:val="24"/>
          <w:szCs w:val="24"/>
          <w:u w:val="single"/>
        </w:rPr>
        <w:t>al menos en</w:t>
      </w:r>
      <w:r>
        <w:rPr>
          <w:rFonts w:ascii="Times New Roman" w:hAnsi="Times New Roman"/>
          <w:color w:val="FF0000"/>
          <w:sz w:val="24"/>
          <w:szCs w:val="24"/>
          <w:u w:val="single"/>
        </w:rPr>
        <w:t xml:space="preserve"> las economías avanzadas-</w:t>
      </w:r>
      <w:r w:rsidRPr="007F36F4">
        <w:rPr>
          <w:rFonts w:ascii="Times New Roman" w:hAnsi="Times New Roman"/>
          <w:color w:val="FF0000"/>
          <w:sz w:val="24"/>
          <w:szCs w:val="24"/>
          <w:u w:val="single"/>
        </w:rPr>
        <w:t xml:space="preserve"> en contra de la globalización, el libre comercio, la deslocalización, la migración laboral, las políticas orientadas al mercado, las autoridades supranacionales, e incluso en contra del cambio tecnológico.</w:t>
      </w:r>
    </w:p>
    <w:p w:rsidR="000711BB" w:rsidRPr="007F36F4" w:rsidRDefault="000711BB" w:rsidP="000711BB">
      <w:pPr>
        <w:spacing w:line="240" w:lineRule="auto"/>
        <w:jc w:val="both"/>
        <w:rPr>
          <w:rFonts w:ascii="Times New Roman" w:hAnsi="Times New Roman"/>
          <w:color w:val="FF0000"/>
          <w:sz w:val="24"/>
          <w:szCs w:val="24"/>
          <w:u w:val="single"/>
        </w:rPr>
      </w:pPr>
      <w:r w:rsidRPr="007F36F4">
        <w:rPr>
          <w:rFonts w:ascii="Times New Roman" w:hAnsi="Times New Roman"/>
          <w:color w:val="FF0000"/>
          <w:sz w:val="24"/>
          <w:szCs w:val="24"/>
          <w:u w:val="single"/>
        </w:rPr>
        <w:t>Todas estas tendencias reducen los salarios y el empleo de los trabajadores con bajas cualificaciones en las economías avanzadas, que son economías que tienen escasez de mano de obra y son ricas en capital, y los incrementan en las economías emergentes que tienen abundancia de mano de obra. Los consumidores en las economías avanzadas se benefician de la reducción de los precios de los productos objeto de comercio; pero, los trabajadores con bajas e incluso medianas cualificaciones pierden ingresos ya que sus salarios de equilibrio caen y sus puestos de trabajo se ven amenazados.</w:t>
      </w:r>
    </w:p>
    <w:p w:rsidR="000711BB" w:rsidRPr="007F36F4" w:rsidRDefault="000711BB" w:rsidP="000711BB">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En la votación “</w:t>
      </w:r>
      <w:r w:rsidRPr="007F36F4">
        <w:rPr>
          <w:rFonts w:ascii="Times New Roman" w:hAnsi="Times New Roman"/>
          <w:b/>
          <w:color w:val="FF0000"/>
          <w:sz w:val="24"/>
          <w:szCs w:val="24"/>
          <w:u w:val="single"/>
        </w:rPr>
        <w:t>Brexit”, las líneas divisorias estuvieron claras: ricos frente a pobres, ganadores frente a perdedores del comercio y la globalización, cualificados frente a no cualificados, personas con un alto nivel de educación formal frente a personas con un menor nivel de educación formal, jóvenes frente a personas maduras, lo urbano frente a lo rural, y comunidades diversas frente a comunidades más homogéneas. Las mismas líneas divisorias están apareciendo en otras economías avanzadas, incluyendo en las de Estados Unidos y la Europa continental.</w:t>
      </w:r>
    </w:p>
    <w:p w:rsidR="000711BB" w:rsidRPr="00A93C9B" w:rsidRDefault="000711BB" w:rsidP="000711BB">
      <w:pPr>
        <w:spacing w:line="240" w:lineRule="auto"/>
        <w:jc w:val="both"/>
        <w:rPr>
          <w:rFonts w:ascii="Times New Roman" w:hAnsi="Times New Roman"/>
          <w:sz w:val="24"/>
          <w:szCs w:val="24"/>
        </w:rPr>
      </w:pPr>
      <w:r w:rsidRPr="00A93C9B">
        <w:rPr>
          <w:rFonts w:ascii="Times New Roman" w:hAnsi="Times New Roman"/>
          <w:sz w:val="24"/>
          <w:szCs w:val="24"/>
        </w:rPr>
        <w:t>Ya que sus economías y mercados d</w:t>
      </w:r>
      <w:r>
        <w:rPr>
          <w:rFonts w:ascii="Times New Roman" w:hAnsi="Times New Roman"/>
          <w:sz w:val="24"/>
          <w:szCs w:val="24"/>
        </w:rPr>
        <w:t>e trabajo son más flexibles, EEUU</w:t>
      </w:r>
      <w:r w:rsidRPr="00A93C9B">
        <w:rPr>
          <w:rFonts w:ascii="Times New Roman" w:hAnsi="Times New Roman"/>
          <w:sz w:val="24"/>
          <w:szCs w:val="24"/>
        </w:rPr>
        <w:t xml:space="preserve"> y el Reino Unido se han recuperado con más fuerza que la Europa continental en términos de PIB y empleo desde la crisis financiera mundial del año 2008. La creación de empleo ha sido robusta, situándose la tasa de desempleo por debajo del 5%, aunque los salarios reales no están creciendo mucho.</w:t>
      </w:r>
    </w:p>
    <w:p w:rsidR="000711BB" w:rsidRPr="007F36F4" w:rsidRDefault="000711BB" w:rsidP="000711BB">
      <w:pPr>
        <w:spacing w:line="240" w:lineRule="auto"/>
        <w:jc w:val="both"/>
        <w:rPr>
          <w:rFonts w:ascii="Times New Roman" w:hAnsi="Times New Roman"/>
          <w:sz w:val="24"/>
          <w:szCs w:val="24"/>
          <w:u w:val="single"/>
        </w:rPr>
      </w:pPr>
      <w:r w:rsidRPr="00A93C9B">
        <w:rPr>
          <w:rFonts w:ascii="Times New Roman" w:hAnsi="Times New Roman"/>
          <w:sz w:val="24"/>
          <w:szCs w:val="24"/>
        </w:rPr>
        <w:t xml:space="preserve">No obstante, </w:t>
      </w:r>
      <w:r>
        <w:rPr>
          <w:rFonts w:ascii="Times New Roman" w:hAnsi="Times New Roman"/>
          <w:sz w:val="24"/>
          <w:szCs w:val="24"/>
          <w:u w:val="single"/>
        </w:rPr>
        <w:t>en EEUU</w:t>
      </w:r>
      <w:r w:rsidRPr="007F36F4">
        <w:rPr>
          <w:rFonts w:ascii="Times New Roman" w:hAnsi="Times New Roman"/>
          <w:sz w:val="24"/>
          <w:szCs w:val="24"/>
          <w:u w:val="single"/>
        </w:rPr>
        <w:t>, Donald Trump se ha convertido en el héroe de los trabajadores enojados y amenazados por el comercio, la migración y el cambio tecnológico. En el Reino Unido, el voto Brexit fue fuertemente influido por el temor a que los inmigrantes provenientes de países de la UE con bajos salarios (el proverbial “fontanero polaco”) se apoderen de los puestos de trabajo y de los servicios públicos de los ciudadanos.</w:t>
      </w:r>
    </w:p>
    <w:p w:rsidR="000711BB" w:rsidRPr="007F36F4" w:rsidRDefault="000711BB" w:rsidP="000711BB">
      <w:pPr>
        <w:spacing w:line="240" w:lineRule="auto"/>
        <w:jc w:val="both"/>
        <w:rPr>
          <w:rFonts w:ascii="Times New Roman" w:hAnsi="Times New Roman"/>
          <w:sz w:val="24"/>
          <w:szCs w:val="24"/>
          <w:u w:val="single"/>
        </w:rPr>
      </w:pPr>
      <w:r w:rsidRPr="007F36F4">
        <w:rPr>
          <w:rFonts w:ascii="Times New Roman" w:hAnsi="Times New Roman"/>
          <w:sz w:val="24"/>
          <w:szCs w:val="24"/>
          <w:u w:val="single"/>
        </w:rPr>
        <w:t xml:space="preserve">En Europa continental y la eurozona, sin embargo, las condiciones económicas son mucho peores. La tasa promedio de desempleo se sitúa por encima del 10% (y es mucho mayor </w:t>
      </w:r>
      <w:r>
        <w:rPr>
          <w:rFonts w:ascii="Times New Roman" w:hAnsi="Times New Roman"/>
          <w:sz w:val="24"/>
          <w:szCs w:val="24"/>
          <w:u w:val="single"/>
        </w:rPr>
        <w:t>en la periferia de la eurozona -</w:t>
      </w:r>
      <w:r w:rsidRPr="007F36F4">
        <w:rPr>
          <w:rFonts w:ascii="Times New Roman" w:hAnsi="Times New Roman"/>
          <w:sz w:val="24"/>
          <w:szCs w:val="24"/>
          <w:u w:val="single"/>
        </w:rPr>
        <w:t xml:space="preserve"> más del 20% en Grecia y España) con un desempleo juvenil superior al 30%. En la mayoría de estos países, la creación de empleo es anémica, los salarios reales están cayendo, y los mercados duales de mano de obra se traducen en que en el sector formal, los trabajadores sindicalizados tienen buenos salarios y beneficios, mientras que los trabajadores más jóvenes tienen empleos precarios que pagan salarios más bajos, no proporcionan ninguna seguridad en el empleo, y ofrecen pocos o ningún beneficio.</w:t>
      </w:r>
    </w:p>
    <w:p w:rsidR="000711BB" w:rsidRPr="007F36F4" w:rsidRDefault="000711BB" w:rsidP="000711BB">
      <w:pPr>
        <w:spacing w:line="240" w:lineRule="auto"/>
        <w:jc w:val="both"/>
        <w:rPr>
          <w:rFonts w:ascii="Times New Roman" w:hAnsi="Times New Roman"/>
          <w:color w:val="FF0000"/>
          <w:sz w:val="24"/>
          <w:szCs w:val="24"/>
          <w:u w:val="single"/>
        </w:rPr>
      </w:pPr>
      <w:r w:rsidRPr="007F36F4">
        <w:rPr>
          <w:rFonts w:ascii="Times New Roman" w:hAnsi="Times New Roman"/>
          <w:color w:val="FF0000"/>
          <w:sz w:val="24"/>
          <w:szCs w:val="24"/>
          <w:u w:val="single"/>
        </w:rPr>
        <w:lastRenderedPageBreak/>
        <w:t>En lo político, las tensiones de la globalización vienen por partida doble. En primer lugar, los partidos dentro del sistema tradicional de derecha e izquierda, que desde hace más de una generación apoyaron al libre comercio y la globalización, están siendo cuestionados por partidos anti-sistema, nativistas/nacionalistas y populistas. En segundo lugar, los partidos del sis</w:t>
      </w:r>
      <w:r>
        <w:rPr>
          <w:rFonts w:ascii="Times New Roman" w:hAnsi="Times New Roman"/>
          <w:color w:val="FF0000"/>
          <w:sz w:val="24"/>
          <w:szCs w:val="24"/>
          <w:u w:val="single"/>
        </w:rPr>
        <w:t>tema están siendo perturbados -e incluso hasta destruidos-</w:t>
      </w:r>
      <w:r w:rsidRPr="007F36F4">
        <w:rPr>
          <w:rFonts w:ascii="Times New Roman" w:hAnsi="Times New Roman"/>
          <w:color w:val="FF0000"/>
          <w:sz w:val="24"/>
          <w:szCs w:val="24"/>
          <w:u w:val="single"/>
        </w:rPr>
        <w:t xml:space="preserve"> desde dentro, en la medida que surgen defensores de la anti-globalización y desafían la ortodoxia convencional.</w:t>
      </w:r>
    </w:p>
    <w:p w:rsidR="000711BB" w:rsidRPr="007F36F4" w:rsidRDefault="000711BB" w:rsidP="000711BB">
      <w:pPr>
        <w:spacing w:line="240" w:lineRule="auto"/>
        <w:jc w:val="both"/>
        <w:rPr>
          <w:rFonts w:ascii="Times New Roman" w:hAnsi="Times New Roman"/>
          <w:sz w:val="24"/>
          <w:szCs w:val="24"/>
          <w:u w:val="single"/>
        </w:rPr>
      </w:pPr>
      <w:r w:rsidRPr="007F36F4">
        <w:rPr>
          <w:rFonts w:ascii="Times New Roman" w:hAnsi="Times New Roman"/>
          <w:sz w:val="24"/>
          <w:szCs w:val="24"/>
          <w:u w:val="single"/>
        </w:rPr>
        <w:t>Los partidos del sistema que en algún momento fueron controlados por los beneficiarios de la globalización: los propietarios del capital; trabajadores cualificados con un alto nivel de educación formal y digitalmente inteligentes; élites urbanas y cosmopolitas; y, empleados de cuello blanco y azul pertenecientes a sindicatos. Sin embargo, estos partidos ta</w:t>
      </w:r>
      <w:r>
        <w:rPr>
          <w:rFonts w:ascii="Times New Roman" w:hAnsi="Times New Roman"/>
          <w:sz w:val="24"/>
          <w:szCs w:val="24"/>
          <w:u w:val="single"/>
        </w:rPr>
        <w:t>mbién incluían a trabajadores -</w:t>
      </w:r>
      <w:r w:rsidRPr="007F36F4">
        <w:rPr>
          <w:rFonts w:ascii="Times New Roman" w:hAnsi="Times New Roman"/>
          <w:sz w:val="24"/>
          <w:szCs w:val="24"/>
          <w:u w:val="single"/>
        </w:rPr>
        <w:t>tanto de cuello blanco y a</w:t>
      </w:r>
      <w:r>
        <w:rPr>
          <w:rFonts w:ascii="Times New Roman" w:hAnsi="Times New Roman"/>
          <w:sz w:val="24"/>
          <w:szCs w:val="24"/>
          <w:u w:val="single"/>
        </w:rPr>
        <w:t>zul-</w:t>
      </w:r>
      <w:r w:rsidRPr="007F36F4">
        <w:rPr>
          <w:rFonts w:ascii="Times New Roman" w:hAnsi="Times New Roman"/>
          <w:sz w:val="24"/>
          <w:szCs w:val="24"/>
          <w:u w:val="single"/>
        </w:rPr>
        <w:t xml:space="preserve"> que se encontraban en las filas de los perdedores de la globalización, pero que a pesar de ello se mantenían leales, ya sea porque eran conservadores social o religiosamente, o porque los partidos de centro izquierda fueron en el pasado partidarios de los sindicatos, de los derechos de los trabajadores, y de los programas de ayuda social.</w:t>
      </w:r>
    </w:p>
    <w:p w:rsidR="000711BB" w:rsidRPr="007F36F4" w:rsidRDefault="000711BB" w:rsidP="000711BB">
      <w:pPr>
        <w:spacing w:line="240" w:lineRule="auto"/>
        <w:jc w:val="both"/>
        <w:rPr>
          <w:rFonts w:ascii="Times New Roman" w:hAnsi="Times New Roman"/>
          <w:color w:val="FF0000"/>
          <w:sz w:val="24"/>
          <w:szCs w:val="24"/>
          <w:u w:val="single"/>
        </w:rPr>
      </w:pPr>
      <w:r w:rsidRPr="007F36F4">
        <w:rPr>
          <w:rFonts w:ascii="Times New Roman" w:hAnsi="Times New Roman"/>
          <w:color w:val="FF0000"/>
          <w:sz w:val="24"/>
          <w:szCs w:val="24"/>
          <w:u w:val="single"/>
        </w:rPr>
        <w:t>Después de la crisis financiera del año 2008, los perdedores de la globalización comenzaron a organizarse y encontrar a los campeones anti-sistema, tanto en la izquierda y la derecha. En la izquierda, los pe</w:t>
      </w:r>
      <w:r>
        <w:rPr>
          <w:rFonts w:ascii="Times New Roman" w:hAnsi="Times New Roman"/>
          <w:color w:val="FF0000"/>
          <w:sz w:val="24"/>
          <w:szCs w:val="24"/>
          <w:u w:val="single"/>
        </w:rPr>
        <w:t>rdedores en el Reino Unido y EEUU</w:t>
      </w:r>
      <w:r w:rsidRPr="007F36F4">
        <w:rPr>
          <w:rFonts w:ascii="Times New Roman" w:hAnsi="Times New Roman"/>
          <w:color w:val="FF0000"/>
          <w:sz w:val="24"/>
          <w:szCs w:val="24"/>
          <w:u w:val="single"/>
        </w:rPr>
        <w:t>, especialmente los jóvenes, encontraron campeones en los partidos tradicionales de centro izquierda: Jeremy Corbyn en el Partido Laborista del Reino Unido, y Bernie Sanders en el Partido Demócrata de Estados Unidos.</w:t>
      </w:r>
    </w:p>
    <w:p w:rsidR="000711BB" w:rsidRPr="007F36F4" w:rsidRDefault="000711BB" w:rsidP="000711BB">
      <w:pPr>
        <w:spacing w:line="240" w:lineRule="auto"/>
        <w:jc w:val="both"/>
        <w:rPr>
          <w:rFonts w:ascii="Times New Roman" w:hAnsi="Times New Roman"/>
          <w:sz w:val="24"/>
          <w:szCs w:val="24"/>
          <w:u w:val="single"/>
        </w:rPr>
      </w:pPr>
      <w:r w:rsidRPr="007F36F4">
        <w:rPr>
          <w:rFonts w:ascii="Times New Roman" w:hAnsi="Times New Roman"/>
          <w:sz w:val="24"/>
          <w:szCs w:val="24"/>
          <w:u w:val="single"/>
        </w:rPr>
        <w:t>Las líneas divisorias más profundas surgieron entre los partidos de centro-derecha.</w:t>
      </w:r>
      <w:r w:rsidRPr="00A93C9B">
        <w:rPr>
          <w:rFonts w:ascii="Times New Roman" w:hAnsi="Times New Roman"/>
          <w:sz w:val="24"/>
          <w:szCs w:val="24"/>
        </w:rPr>
        <w:t xml:space="preserve"> </w:t>
      </w:r>
      <w:r w:rsidRPr="007F36F4">
        <w:rPr>
          <w:rFonts w:ascii="Times New Roman" w:hAnsi="Times New Roman"/>
          <w:sz w:val="24"/>
          <w:szCs w:val="24"/>
          <w:u w:val="single"/>
        </w:rPr>
        <w:t>Estos pa</w:t>
      </w:r>
      <w:r>
        <w:rPr>
          <w:rFonts w:ascii="Times New Roman" w:hAnsi="Times New Roman"/>
          <w:sz w:val="24"/>
          <w:szCs w:val="24"/>
          <w:u w:val="single"/>
        </w:rPr>
        <w:t>rtidos -los republicanos en EEUU</w:t>
      </w:r>
      <w:r w:rsidRPr="007F36F4">
        <w:rPr>
          <w:rFonts w:ascii="Times New Roman" w:hAnsi="Times New Roman"/>
          <w:sz w:val="24"/>
          <w:szCs w:val="24"/>
          <w:u w:val="single"/>
        </w:rPr>
        <w:t>, los conservadores en el Reino Unido, y los partidos de centro-derecha en toda Europa cont</w:t>
      </w:r>
      <w:r>
        <w:rPr>
          <w:rFonts w:ascii="Times New Roman" w:hAnsi="Times New Roman"/>
          <w:sz w:val="24"/>
          <w:szCs w:val="24"/>
          <w:u w:val="single"/>
        </w:rPr>
        <w:t>inental-</w:t>
      </w:r>
      <w:r w:rsidRPr="007F36F4">
        <w:rPr>
          <w:rFonts w:ascii="Times New Roman" w:hAnsi="Times New Roman"/>
          <w:sz w:val="24"/>
          <w:szCs w:val="24"/>
          <w:u w:val="single"/>
        </w:rPr>
        <w:t xml:space="preserve"> enfrentan una revuelta interna contra sus propios líderes</w:t>
      </w:r>
      <w:r w:rsidRPr="00A93C9B">
        <w:rPr>
          <w:rFonts w:ascii="Times New Roman" w:hAnsi="Times New Roman"/>
          <w:sz w:val="24"/>
          <w:szCs w:val="24"/>
        </w:rPr>
        <w:t>. E</w:t>
      </w:r>
      <w:r>
        <w:rPr>
          <w:rFonts w:ascii="Times New Roman" w:hAnsi="Times New Roman"/>
          <w:sz w:val="24"/>
          <w:szCs w:val="24"/>
        </w:rPr>
        <w:t>l surgimiento de Donald Trump -</w:t>
      </w:r>
      <w:r w:rsidRPr="00A93C9B">
        <w:rPr>
          <w:rFonts w:ascii="Times New Roman" w:hAnsi="Times New Roman"/>
          <w:sz w:val="24"/>
          <w:szCs w:val="24"/>
        </w:rPr>
        <w:t>un líder anti-comercio, anti-migración</w:t>
      </w:r>
      <w:r>
        <w:rPr>
          <w:rFonts w:ascii="Times New Roman" w:hAnsi="Times New Roman"/>
          <w:sz w:val="24"/>
          <w:szCs w:val="24"/>
        </w:rPr>
        <w:t>, anti-musulmanes, y nativista-</w:t>
      </w:r>
      <w:r w:rsidRPr="00A93C9B">
        <w:rPr>
          <w:rFonts w:ascii="Times New Roman" w:hAnsi="Times New Roman"/>
          <w:sz w:val="24"/>
          <w:szCs w:val="24"/>
        </w:rPr>
        <w:t xml:space="preserve"> es un reflejo de un hecho incómodo para </w:t>
      </w:r>
      <w:r w:rsidRPr="007F36F4">
        <w:rPr>
          <w:rFonts w:ascii="Times New Roman" w:hAnsi="Times New Roman"/>
          <w:sz w:val="24"/>
          <w:szCs w:val="24"/>
          <w:u w:val="single"/>
        </w:rPr>
        <w:t>las corrientes tradicionales republicanas</w:t>
      </w:r>
      <w:r w:rsidRPr="00A93C9B">
        <w:rPr>
          <w:rFonts w:ascii="Times New Roman" w:hAnsi="Times New Roman"/>
          <w:sz w:val="24"/>
          <w:szCs w:val="24"/>
        </w:rPr>
        <w:t xml:space="preserve">: </w:t>
      </w:r>
      <w:r w:rsidRPr="007F36F4">
        <w:rPr>
          <w:rFonts w:ascii="Times New Roman" w:hAnsi="Times New Roman"/>
          <w:sz w:val="24"/>
          <w:szCs w:val="24"/>
          <w:u w:val="single"/>
        </w:rPr>
        <w:t>el votante promedio del partido está más cerca de aquellos que han perdido a consecuencia de la globalización. Una revuelta similar tuvo lugar en Partido Conservador del Reino Unido, donde los perdedores de la globalización se han congregado en torno de la campaña “Salir” del partido o han desplazado su apoyo hacia el Partido de la Independencia del Reino Unido.</w:t>
      </w:r>
    </w:p>
    <w:p w:rsidR="000711BB" w:rsidRPr="00A93C9B" w:rsidRDefault="000711BB" w:rsidP="000711BB">
      <w:pPr>
        <w:spacing w:line="240" w:lineRule="auto"/>
        <w:jc w:val="both"/>
        <w:rPr>
          <w:rFonts w:ascii="Times New Roman" w:hAnsi="Times New Roman"/>
          <w:sz w:val="24"/>
          <w:szCs w:val="24"/>
        </w:rPr>
      </w:pPr>
      <w:r w:rsidRPr="00A93C9B">
        <w:rPr>
          <w:rFonts w:ascii="Times New Roman" w:hAnsi="Times New Roman"/>
          <w:sz w:val="24"/>
          <w:szCs w:val="24"/>
        </w:rPr>
        <w:t>En la Europa continental, donde los sistemas parlamentarios multipartidistas son prevalentes, la fragmentación política y la desintegración son aún más gr</w:t>
      </w:r>
      <w:r w:rsidR="001E1E95">
        <w:rPr>
          <w:rFonts w:ascii="Times New Roman" w:hAnsi="Times New Roman"/>
          <w:sz w:val="24"/>
          <w:szCs w:val="24"/>
        </w:rPr>
        <w:t>aves que en el Reino Unido y EE</w:t>
      </w:r>
      <w:r w:rsidRPr="00A93C9B">
        <w:rPr>
          <w:rFonts w:ascii="Times New Roman" w:hAnsi="Times New Roman"/>
          <w:sz w:val="24"/>
          <w:szCs w:val="24"/>
        </w:rPr>
        <w:t xml:space="preserve">UU. </w:t>
      </w:r>
      <w:r w:rsidRPr="007F36F4">
        <w:rPr>
          <w:rFonts w:ascii="Times New Roman" w:hAnsi="Times New Roman"/>
          <w:sz w:val="24"/>
          <w:szCs w:val="24"/>
          <w:u w:val="single"/>
        </w:rPr>
        <w:t>En la periferia de la UE, los partidos anti-sistema tienden a ser de la izquierda: Syriza en Grecia, Movimiento Cinco Estrellas de Italia,  Podemos de España, los partidos de izquierda en Portugal. En el núcleo de la UE, estos partidos tienden a ser de la derecha: Alternativa para Alemania, el Frente Nacional de Francia, y partidos similares de extrema derecha en Austria, los Países Bajos, Dinamarca, Finlandia, Suecia, y en otros lugares</w:t>
      </w:r>
      <w:r w:rsidRPr="00A93C9B">
        <w:rPr>
          <w:rFonts w:ascii="Times New Roman" w:hAnsi="Times New Roman"/>
          <w:sz w:val="24"/>
          <w:szCs w:val="24"/>
        </w:rPr>
        <w:t>.</w:t>
      </w:r>
    </w:p>
    <w:p w:rsidR="000711BB" w:rsidRPr="007F36F4" w:rsidRDefault="000711BB" w:rsidP="000711BB">
      <w:pPr>
        <w:spacing w:line="240" w:lineRule="auto"/>
        <w:jc w:val="both"/>
        <w:rPr>
          <w:rFonts w:ascii="Times New Roman" w:hAnsi="Times New Roman"/>
          <w:sz w:val="24"/>
          <w:szCs w:val="24"/>
          <w:u w:val="single"/>
        </w:rPr>
      </w:pPr>
      <w:r w:rsidRPr="007F36F4">
        <w:rPr>
          <w:rFonts w:ascii="Times New Roman" w:hAnsi="Times New Roman"/>
          <w:color w:val="FF0000"/>
          <w:sz w:val="24"/>
          <w:szCs w:val="24"/>
          <w:u w:val="single"/>
        </w:rPr>
        <w:t>Pero, a pesar del creciente número y de la organización y movilización de los perdedores de la globalización, la globalización propiamente dicha no es necesariamente condenada</w:t>
      </w:r>
      <w:r w:rsidRPr="00A93C9B">
        <w:rPr>
          <w:rFonts w:ascii="Times New Roman" w:hAnsi="Times New Roman"/>
          <w:sz w:val="24"/>
          <w:szCs w:val="24"/>
        </w:rPr>
        <w:t xml:space="preserve">. </w:t>
      </w:r>
      <w:r w:rsidRPr="007F36F4">
        <w:rPr>
          <w:rFonts w:ascii="Times New Roman" w:hAnsi="Times New Roman"/>
          <w:sz w:val="24"/>
          <w:szCs w:val="24"/>
          <w:u w:val="single"/>
        </w:rPr>
        <w:t>Para empezar, continúa produciendo beneficios netos para los mercados emergentes y avanzados por igual, por lo que los perdedores no terminan de ser una minoría en la mayoría de las economías avanzadas, mientras que aquellos que se benefician de la glob</w:t>
      </w:r>
      <w:r>
        <w:rPr>
          <w:rFonts w:ascii="Times New Roman" w:hAnsi="Times New Roman"/>
          <w:sz w:val="24"/>
          <w:szCs w:val="24"/>
          <w:u w:val="single"/>
        </w:rPr>
        <w:t>alización son una gran mayoría -</w:t>
      </w:r>
      <w:r w:rsidRPr="007F36F4">
        <w:rPr>
          <w:rFonts w:ascii="Times New Roman" w:hAnsi="Times New Roman"/>
          <w:sz w:val="24"/>
          <w:szCs w:val="24"/>
          <w:u w:val="single"/>
        </w:rPr>
        <w:t xml:space="preserve"> si bien a veces son una mayoría silenciosa. De hecho, incluso los “perdedores” se benefician de los precios más </w:t>
      </w:r>
      <w:r w:rsidRPr="007F36F4">
        <w:rPr>
          <w:rFonts w:ascii="Times New Roman" w:hAnsi="Times New Roman"/>
          <w:sz w:val="24"/>
          <w:szCs w:val="24"/>
          <w:u w:val="single"/>
        </w:rPr>
        <w:lastRenderedPageBreak/>
        <w:t>bajos de bienes y servicios que traen consigo la globalización y la innovación tecnológica.</w:t>
      </w:r>
    </w:p>
    <w:p w:rsidR="000711BB" w:rsidRPr="00A93C9B" w:rsidRDefault="000711BB" w:rsidP="000711BB">
      <w:pPr>
        <w:spacing w:line="240" w:lineRule="auto"/>
        <w:jc w:val="both"/>
        <w:rPr>
          <w:rFonts w:ascii="Times New Roman" w:hAnsi="Times New Roman"/>
          <w:sz w:val="24"/>
          <w:szCs w:val="24"/>
        </w:rPr>
      </w:pPr>
      <w:r w:rsidRPr="007F36F4">
        <w:rPr>
          <w:rFonts w:ascii="Times New Roman" w:hAnsi="Times New Roman"/>
          <w:sz w:val="24"/>
          <w:szCs w:val="24"/>
          <w:u w:val="single"/>
        </w:rPr>
        <w:t>Esto también se debe a que los partidos populistas y anti-corrientes tradicionales son todavía una minoría política</w:t>
      </w:r>
      <w:r w:rsidRPr="00A93C9B">
        <w:rPr>
          <w:rFonts w:ascii="Times New Roman" w:hAnsi="Times New Roman"/>
          <w:sz w:val="24"/>
          <w:szCs w:val="24"/>
        </w:rPr>
        <w:t>. Incluso Syriza, una vez en el poder, dio marcha atrás y tuvo que aceptar la austeridad, ya que una salida de la UE habría sido mucho más costosa. Y, las recientes elecciones generales en España, que se celebraron tres días después del referéndum Brexit, sugieren que, a pesar de un alto desempleo, austeridad y reformas estructurales dolorosas, las fuerzas pro-europeas moderadas siguen siendo una mayoría.</w:t>
      </w:r>
    </w:p>
    <w:p w:rsidR="000711BB" w:rsidRPr="00A93C9B" w:rsidRDefault="000711BB" w:rsidP="000711BB">
      <w:pPr>
        <w:spacing w:line="240" w:lineRule="auto"/>
        <w:jc w:val="both"/>
        <w:rPr>
          <w:rFonts w:ascii="Times New Roman" w:hAnsi="Times New Roman"/>
          <w:sz w:val="24"/>
          <w:szCs w:val="24"/>
        </w:rPr>
      </w:pPr>
      <w:r>
        <w:rPr>
          <w:rFonts w:ascii="Times New Roman" w:hAnsi="Times New Roman"/>
          <w:sz w:val="24"/>
          <w:szCs w:val="24"/>
        </w:rPr>
        <w:t>Incluso en EEUU</w:t>
      </w:r>
      <w:r w:rsidRPr="00A93C9B">
        <w:rPr>
          <w:rFonts w:ascii="Times New Roman" w:hAnsi="Times New Roman"/>
          <w:sz w:val="24"/>
          <w:szCs w:val="24"/>
        </w:rPr>
        <w:t>, el atractivo de Trump es limitado, debido a la estrechez demográfica de su base electoral. La posibilidad de que pueda ganar las elecciones presidenciales en noviembre es altamente dudosa.</w:t>
      </w:r>
    </w:p>
    <w:p w:rsidR="000711BB" w:rsidRPr="007F36F4" w:rsidRDefault="000711BB" w:rsidP="000711BB">
      <w:pPr>
        <w:spacing w:line="240" w:lineRule="auto"/>
        <w:jc w:val="both"/>
        <w:rPr>
          <w:rFonts w:ascii="Times New Roman" w:hAnsi="Times New Roman"/>
          <w:sz w:val="24"/>
          <w:szCs w:val="24"/>
          <w:u w:val="single"/>
        </w:rPr>
      </w:pPr>
      <w:r w:rsidRPr="007F36F4">
        <w:rPr>
          <w:rFonts w:ascii="Times New Roman" w:hAnsi="Times New Roman"/>
          <w:sz w:val="24"/>
          <w:szCs w:val="24"/>
          <w:u w:val="single"/>
        </w:rPr>
        <w:t>Esta es también la razón por la que las coaliciones pro-europeas de centro-izquierda y centro-derecha se mantienen en el poder en la mayor parte de la UE. El riesgo de que los partidos anti-UE pueden llegar al poder en Ital</w:t>
      </w:r>
      <w:r>
        <w:rPr>
          <w:rFonts w:ascii="Times New Roman" w:hAnsi="Times New Roman"/>
          <w:sz w:val="24"/>
          <w:szCs w:val="24"/>
          <w:u w:val="single"/>
        </w:rPr>
        <w:t>ia, Francia y los Países Bajos -entre otros-</w:t>
      </w:r>
      <w:r w:rsidRPr="007F36F4">
        <w:rPr>
          <w:rFonts w:ascii="Times New Roman" w:hAnsi="Times New Roman"/>
          <w:sz w:val="24"/>
          <w:szCs w:val="24"/>
          <w:u w:val="single"/>
        </w:rPr>
        <w:t xml:space="preserve"> está aumentando, pero sigue siendo una posibilidad lejana.</w:t>
      </w:r>
    </w:p>
    <w:p w:rsidR="000711BB" w:rsidRPr="007F36F4" w:rsidRDefault="000711BB" w:rsidP="000711BB">
      <w:pPr>
        <w:spacing w:line="240" w:lineRule="auto"/>
        <w:jc w:val="both"/>
        <w:rPr>
          <w:rFonts w:ascii="Times New Roman" w:hAnsi="Times New Roman"/>
          <w:color w:val="FF0000"/>
          <w:sz w:val="24"/>
          <w:szCs w:val="24"/>
          <w:u w:val="single"/>
        </w:rPr>
      </w:pPr>
      <w:r w:rsidRPr="007F36F4">
        <w:rPr>
          <w:rFonts w:ascii="Times New Roman" w:hAnsi="Times New Roman"/>
          <w:color w:val="FF0000"/>
          <w:sz w:val="24"/>
          <w:szCs w:val="24"/>
          <w:u w:val="single"/>
        </w:rPr>
        <w:t>Por último, la teoría económica sugiere que se puede hacer que la globalización beneficie a todos, siempre y cuando los ganadores compensen a los perdedores. Esto puede tomar la forma de compensación directa o mayor provisión de bienes públicos gratuitos o casi libres (por ejemplo, educación, reentrenamiento,  asistencia sanitaria, prestaciones por desempleo, beneficios de pensiones trasferibles).</w:t>
      </w:r>
    </w:p>
    <w:p w:rsidR="000711BB" w:rsidRPr="007F36F4" w:rsidRDefault="000711BB" w:rsidP="000711BB">
      <w:pPr>
        <w:spacing w:line="240" w:lineRule="auto"/>
        <w:jc w:val="both"/>
        <w:rPr>
          <w:rFonts w:ascii="Times New Roman" w:hAnsi="Times New Roman"/>
          <w:sz w:val="24"/>
          <w:szCs w:val="24"/>
          <w:u w:val="single"/>
        </w:rPr>
      </w:pPr>
      <w:r w:rsidRPr="007F36F4">
        <w:rPr>
          <w:rFonts w:ascii="Times New Roman" w:hAnsi="Times New Roman"/>
          <w:sz w:val="24"/>
          <w:szCs w:val="24"/>
          <w:u w:val="single"/>
        </w:rPr>
        <w:t>Para que los trabajadores acepten una mayor movilidad y flexibilidad laboral en la medida que la destrucción creativa elimina algunos puestos de trabajo y crea otros, son necesarios sistemas adecuados para reemplazar la pérdida de ingresos como consecuencia del desempleo transicional. En la Unión Europea continental, los partidos del sistema se mantienen en el poder, en parte debido a que sus países mantienen extendidos sistemas de bienestar social.</w:t>
      </w:r>
    </w:p>
    <w:p w:rsidR="000711BB" w:rsidRPr="007F36F4" w:rsidRDefault="000711BB" w:rsidP="000711BB">
      <w:pPr>
        <w:spacing w:line="240" w:lineRule="auto"/>
        <w:jc w:val="both"/>
        <w:rPr>
          <w:rFonts w:ascii="Times New Roman" w:hAnsi="Times New Roman"/>
          <w:color w:val="FF0000"/>
          <w:sz w:val="24"/>
          <w:szCs w:val="24"/>
          <w:u w:val="single"/>
        </w:rPr>
      </w:pPr>
      <w:r w:rsidRPr="007F36F4">
        <w:rPr>
          <w:rFonts w:ascii="Times New Roman" w:hAnsi="Times New Roman"/>
          <w:color w:val="FF0000"/>
          <w:sz w:val="24"/>
          <w:szCs w:val="24"/>
          <w:u w:val="single"/>
        </w:rPr>
        <w:t>La reacción contra la globalización es real y creciente. Sin embargo, puede ser contenida y gestionada a través de políticas que compensen a los trabajadores por sus daños y costos colaterales. Sólo mediante la promulgación de dichas políticas, los perdedores de la globalización empezaran a pensar que, con el transcurso del tiempo, ellos también podrán unirse a las filas de los ganadores.</w:t>
      </w:r>
    </w:p>
    <w:p w:rsidR="000711BB" w:rsidRDefault="000711BB" w:rsidP="000711BB">
      <w:pPr>
        <w:spacing w:line="240" w:lineRule="auto"/>
        <w:jc w:val="both"/>
        <w:rPr>
          <w:rFonts w:ascii="Times New Roman" w:hAnsi="Times New Roman"/>
          <w:sz w:val="24"/>
          <w:szCs w:val="24"/>
        </w:rPr>
      </w:pPr>
      <w:r>
        <w:rPr>
          <w:rFonts w:ascii="Times New Roman" w:hAnsi="Times New Roman"/>
          <w:sz w:val="24"/>
          <w:szCs w:val="24"/>
        </w:rPr>
        <w:t>(</w:t>
      </w:r>
      <w:r w:rsidRPr="00A93C9B">
        <w:rPr>
          <w:rFonts w:ascii="Times New Roman" w:hAnsi="Times New Roman"/>
          <w:sz w:val="24"/>
          <w:szCs w:val="24"/>
        </w:rPr>
        <w:t>Nouriel Roubini, a professor at NYU’s Stern School of Business and Chairman of Roubini Macro Associates, was Senior Economist for International Affairs in the White House's Council of Economic Advisers during the Clinton Administration. He has worked for the Internati</w:t>
      </w:r>
      <w:r>
        <w:rPr>
          <w:rFonts w:ascii="Times New Roman" w:hAnsi="Times New Roman"/>
          <w:sz w:val="24"/>
          <w:szCs w:val="24"/>
        </w:rPr>
        <w:t>onal Monetary Fund</w:t>
      </w:r>
      <w:r w:rsidRPr="00A93C9B">
        <w:rPr>
          <w:rFonts w:ascii="Times New Roman" w:hAnsi="Times New Roman"/>
          <w:sz w:val="24"/>
          <w:szCs w:val="24"/>
        </w:rPr>
        <w:t>…</w:t>
      </w:r>
      <w:r>
        <w:rPr>
          <w:rFonts w:ascii="Times New Roman" w:hAnsi="Times New Roman"/>
          <w:sz w:val="24"/>
          <w:szCs w:val="24"/>
        </w:rPr>
        <w:t>)</w:t>
      </w:r>
    </w:p>
    <w:p w:rsidR="000711BB" w:rsidRPr="00C5413F" w:rsidRDefault="000711BB" w:rsidP="000711BB">
      <w:pPr>
        <w:spacing w:line="240" w:lineRule="auto"/>
        <w:jc w:val="both"/>
        <w:rPr>
          <w:rFonts w:ascii="Times New Roman" w:hAnsi="Times New Roman"/>
          <w:sz w:val="24"/>
          <w:szCs w:val="24"/>
        </w:rPr>
      </w:pPr>
      <w:r>
        <w:rPr>
          <w:rFonts w:ascii="Times New Roman" w:hAnsi="Times New Roman"/>
          <w:sz w:val="24"/>
          <w:szCs w:val="24"/>
        </w:rPr>
        <w:t xml:space="preserve">- </w:t>
      </w:r>
      <w:r w:rsidRPr="00C5413F">
        <w:rPr>
          <w:rFonts w:ascii="Times New Roman" w:hAnsi="Times New Roman"/>
          <w:sz w:val="24"/>
          <w:szCs w:val="24"/>
        </w:rPr>
        <w:t>¿</w:t>
      </w:r>
      <w:r w:rsidRPr="00C5413F">
        <w:rPr>
          <w:rFonts w:ascii="Times New Roman" w:hAnsi="Times New Roman"/>
          <w:sz w:val="24"/>
          <w:szCs w:val="24"/>
          <w:u w:val="single"/>
        </w:rPr>
        <w:t>Funcionaría la “rampa de salida” de Dodd-Frank propuesta por Hensarling</w:t>
      </w:r>
      <w:r w:rsidRPr="00C5413F">
        <w:rPr>
          <w:rFonts w:ascii="Times New Roman" w:hAnsi="Times New Roman"/>
          <w:sz w:val="24"/>
          <w:szCs w:val="24"/>
        </w:rPr>
        <w:t>?</w:t>
      </w:r>
      <w:r>
        <w:rPr>
          <w:rFonts w:ascii="Times New Roman" w:hAnsi="Times New Roman"/>
          <w:sz w:val="24"/>
          <w:szCs w:val="24"/>
        </w:rPr>
        <w:t xml:space="preserve"> (Project Syndicate - </w:t>
      </w:r>
      <w:r w:rsidRPr="00C5413F">
        <w:rPr>
          <w:rFonts w:ascii="Times New Roman" w:hAnsi="Times New Roman"/>
          <w:b/>
          <w:sz w:val="24"/>
          <w:szCs w:val="24"/>
        </w:rPr>
        <w:t>12/7/16</w:t>
      </w:r>
      <w:r>
        <w:rPr>
          <w:rFonts w:ascii="Times New Roman" w:hAnsi="Times New Roman"/>
          <w:sz w:val="24"/>
          <w:szCs w:val="24"/>
        </w:rPr>
        <w:t>)</w:t>
      </w:r>
    </w:p>
    <w:p w:rsidR="000711BB" w:rsidRPr="00F8354B" w:rsidRDefault="000711BB" w:rsidP="000711BB">
      <w:pPr>
        <w:spacing w:line="240" w:lineRule="auto"/>
        <w:jc w:val="both"/>
        <w:rPr>
          <w:rFonts w:ascii="Times New Roman" w:hAnsi="Times New Roman"/>
          <w:color w:val="FF0000"/>
          <w:sz w:val="24"/>
          <w:szCs w:val="24"/>
          <w:u w:val="single"/>
        </w:rPr>
      </w:pPr>
      <w:r>
        <w:rPr>
          <w:rFonts w:ascii="Times New Roman" w:hAnsi="Times New Roman"/>
          <w:sz w:val="24"/>
          <w:szCs w:val="24"/>
        </w:rPr>
        <w:t>Cambridge.-</w:t>
      </w:r>
      <w:r w:rsidRPr="00C5413F">
        <w:rPr>
          <w:rFonts w:ascii="Times New Roman" w:hAnsi="Times New Roman"/>
          <w:sz w:val="24"/>
          <w:szCs w:val="24"/>
        </w:rPr>
        <w:t xml:space="preserve"> </w:t>
      </w:r>
      <w:r w:rsidRPr="00F8354B">
        <w:rPr>
          <w:rFonts w:ascii="Times New Roman" w:hAnsi="Times New Roman"/>
          <w:color w:val="FF0000"/>
          <w:sz w:val="24"/>
          <w:szCs w:val="24"/>
          <w:u w:val="single"/>
        </w:rPr>
        <w:t>Jeb Hensarling, el republicano que preside el Comité de Servicios Financieros de la</w:t>
      </w:r>
      <w:r>
        <w:rPr>
          <w:rFonts w:ascii="Times New Roman" w:hAnsi="Times New Roman"/>
          <w:color w:val="FF0000"/>
          <w:sz w:val="24"/>
          <w:szCs w:val="24"/>
          <w:u w:val="single"/>
        </w:rPr>
        <w:t xml:space="preserve"> Cámara de Representantes de EEUU</w:t>
      </w:r>
      <w:r w:rsidRPr="00F8354B">
        <w:rPr>
          <w:rFonts w:ascii="Times New Roman" w:hAnsi="Times New Roman"/>
          <w:color w:val="FF0000"/>
          <w:sz w:val="24"/>
          <w:szCs w:val="24"/>
          <w:u w:val="single"/>
        </w:rPr>
        <w:t xml:space="preserve">, pronunció el mes pasado un discurso de amplio alcance en el Club Económico de Nueva York, en este discurso propuso una reforma completa de la regulación financiera estadounidense. Hensarling culpó a los reguladores y disculpó a Wall Street por la crisis financiera; condenó los rescates bancarios financiados por el gobierno; caracterizó la legislación de reforma </w:t>
      </w:r>
      <w:r w:rsidRPr="00F8354B">
        <w:rPr>
          <w:rFonts w:ascii="Times New Roman" w:hAnsi="Times New Roman"/>
          <w:color w:val="FF0000"/>
          <w:sz w:val="24"/>
          <w:szCs w:val="24"/>
          <w:u w:val="single"/>
        </w:rPr>
        <w:lastRenderedPageBreak/>
        <w:t>financiera Dodd-Frank del año 2010 como una toma de poder; y pidió mayor supervisión de la Reserva Federal por parte del Congreso.</w:t>
      </w:r>
    </w:p>
    <w:p w:rsidR="000711BB" w:rsidRPr="00C5413F" w:rsidRDefault="000711BB" w:rsidP="000711BB">
      <w:pPr>
        <w:spacing w:line="240" w:lineRule="auto"/>
        <w:jc w:val="both"/>
        <w:rPr>
          <w:rFonts w:ascii="Times New Roman" w:hAnsi="Times New Roman"/>
          <w:sz w:val="24"/>
          <w:szCs w:val="24"/>
        </w:rPr>
      </w:pPr>
      <w:r w:rsidRPr="00F8354B">
        <w:rPr>
          <w:rFonts w:ascii="Times New Roman" w:hAnsi="Times New Roman"/>
          <w:sz w:val="24"/>
          <w:szCs w:val="24"/>
          <w:u w:val="single"/>
        </w:rPr>
        <w:t>La mayoría de</w:t>
      </w:r>
      <w:r w:rsidR="001E1E95">
        <w:rPr>
          <w:rFonts w:ascii="Times New Roman" w:hAnsi="Times New Roman"/>
          <w:sz w:val="24"/>
          <w:szCs w:val="24"/>
          <w:u w:val="single"/>
        </w:rPr>
        <w:t xml:space="preserve"> las propuestas de Hensarling -</w:t>
      </w:r>
      <w:r w:rsidRPr="00F8354B">
        <w:rPr>
          <w:rFonts w:ascii="Times New Roman" w:hAnsi="Times New Roman"/>
          <w:sz w:val="24"/>
          <w:szCs w:val="24"/>
          <w:u w:val="single"/>
        </w:rPr>
        <w:t>incluso respaldadas, como ahora lo están, por un documento que suena partidista de la Comisión Bancaria de la Cámara de Representantes y una opinión fav</w:t>
      </w:r>
      <w:r w:rsidR="001E1E95">
        <w:rPr>
          <w:rFonts w:ascii="Times New Roman" w:hAnsi="Times New Roman"/>
          <w:sz w:val="24"/>
          <w:szCs w:val="24"/>
          <w:u w:val="single"/>
        </w:rPr>
        <w:t>orable del Wall Street Journal</w:t>
      </w:r>
      <w:r>
        <w:rPr>
          <w:rFonts w:ascii="Times New Roman" w:hAnsi="Times New Roman"/>
          <w:sz w:val="24"/>
          <w:szCs w:val="24"/>
          <w:u w:val="single"/>
        </w:rPr>
        <w:t>-</w:t>
      </w:r>
      <w:r w:rsidRPr="00F8354B">
        <w:rPr>
          <w:rFonts w:ascii="Times New Roman" w:hAnsi="Times New Roman"/>
          <w:sz w:val="24"/>
          <w:szCs w:val="24"/>
          <w:u w:val="single"/>
        </w:rPr>
        <w:t xml:space="preserve"> no tienen posibilidades de éxito en el ámbito político</w:t>
      </w:r>
      <w:r w:rsidRPr="00C5413F">
        <w:rPr>
          <w:rFonts w:ascii="Times New Roman" w:hAnsi="Times New Roman"/>
          <w:sz w:val="24"/>
          <w:szCs w:val="24"/>
        </w:rPr>
        <w:t xml:space="preserve">. (Se tendría que conseguir 60 votos en el Senado y una firma presidencial para su aprobación). </w:t>
      </w:r>
      <w:r w:rsidRPr="00F8354B">
        <w:rPr>
          <w:rFonts w:ascii="Times New Roman" w:hAnsi="Times New Roman"/>
          <w:sz w:val="24"/>
          <w:szCs w:val="24"/>
          <w:u w:val="single"/>
        </w:rPr>
        <w:t>Estas propuestas ya han sido fuertemente criticadas por los demócratas quienes indican que son demasiado arriesgadas y pro-bancarias – y, en gran medida sí lo son.</w:t>
      </w:r>
      <w:r w:rsidRPr="00C5413F">
        <w:rPr>
          <w:rFonts w:ascii="Times New Roman" w:hAnsi="Times New Roman"/>
          <w:sz w:val="24"/>
          <w:szCs w:val="24"/>
        </w:rPr>
        <w:t xml:space="preserve"> Después de decir esto, también se debe decir que </w:t>
      </w:r>
      <w:r w:rsidRPr="00F8354B">
        <w:rPr>
          <w:rFonts w:ascii="Times New Roman" w:hAnsi="Times New Roman"/>
          <w:sz w:val="24"/>
          <w:szCs w:val="24"/>
          <w:u w:val="single"/>
        </w:rPr>
        <w:t>vale la pena explorar una de las ideas de Hensarling</w:t>
      </w:r>
      <w:r w:rsidRPr="00C5413F">
        <w:rPr>
          <w:rFonts w:ascii="Times New Roman" w:hAnsi="Times New Roman"/>
          <w:sz w:val="24"/>
          <w:szCs w:val="24"/>
        </w:rPr>
        <w:t>: la idea denominada por él como una “rampa de salida” de la regulación Dodd-Frank para los bancos que voluntariamente deseen incrementar su capital disponible.</w:t>
      </w:r>
    </w:p>
    <w:p w:rsidR="000711BB" w:rsidRPr="00F8354B" w:rsidRDefault="000711BB" w:rsidP="000711BB">
      <w:pPr>
        <w:spacing w:line="240" w:lineRule="auto"/>
        <w:jc w:val="both"/>
        <w:rPr>
          <w:rFonts w:ascii="Times New Roman" w:hAnsi="Times New Roman"/>
          <w:sz w:val="24"/>
          <w:szCs w:val="24"/>
          <w:u w:val="single"/>
        </w:rPr>
      </w:pPr>
      <w:r w:rsidRPr="00F8354B">
        <w:rPr>
          <w:rFonts w:ascii="Times New Roman" w:hAnsi="Times New Roman"/>
          <w:sz w:val="24"/>
          <w:szCs w:val="24"/>
          <w:u w:val="single"/>
        </w:rPr>
        <w:t>Volvamos a lo básico por un momento. El gobierno garantiza los depósitos bancarios debido a que un fracaso de la banca podría afectar a toda la economía. Esto crea un riesgo moral, ya que los bancos, que están tras grandes ganancias para sus accionistas, relajan su gestión de los dineros, mismos que en los hechos se tornan en dineros del público. Se sienten cómodos tomando grandes riesgos, ya que en caso de que pierdan, solamente tienen que entregar el banco al gobierno para que este pague a los depositantes y a otros acreedores. Y si ganan, son los bancos y sus accionistas quienes mantienen para sí mismos su bonanza.</w:t>
      </w:r>
    </w:p>
    <w:p w:rsidR="000711BB" w:rsidRPr="00C5413F" w:rsidRDefault="000711BB" w:rsidP="000711BB">
      <w:pPr>
        <w:spacing w:line="240" w:lineRule="auto"/>
        <w:jc w:val="both"/>
        <w:rPr>
          <w:rFonts w:ascii="Times New Roman" w:hAnsi="Times New Roman"/>
          <w:sz w:val="24"/>
          <w:szCs w:val="24"/>
        </w:rPr>
      </w:pPr>
      <w:r w:rsidRPr="00F8354B">
        <w:rPr>
          <w:rFonts w:ascii="Times New Roman" w:hAnsi="Times New Roman"/>
          <w:sz w:val="24"/>
          <w:szCs w:val="24"/>
          <w:u w:val="single"/>
        </w:rPr>
        <w:t>Los reguladores utilizan dos medidas clave para mitigar esa asunción de riesgos: exigen que los bancos tengan más capital y les exigen que mantengan sus inversiones, préstamos y operaciones más seguros (y potencialmente menos rentables) de lo que a dichos bancos les gustaría que estén</w:t>
      </w:r>
      <w:r w:rsidRPr="00C5413F">
        <w:rPr>
          <w:rFonts w:ascii="Times New Roman" w:hAnsi="Times New Roman"/>
          <w:sz w:val="24"/>
          <w:szCs w:val="24"/>
        </w:rPr>
        <w:t>. Debido a que estos dos métodos centrales de regulación logran el mismo fin, teóricament</w:t>
      </w:r>
      <w:r w:rsidR="002F4D48">
        <w:rPr>
          <w:rFonts w:ascii="Times New Roman" w:hAnsi="Times New Roman"/>
          <w:sz w:val="24"/>
          <w:szCs w:val="24"/>
        </w:rPr>
        <w:t>e, pueden sustituirse entre sí -</w:t>
      </w:r>
      <w:r w:rsidRPr="00C5413F">
        <w:rPr>
          <w:rFonts w:ascii="Times New Roman" w:hAnsi="Times New Roman"/>
          <w:sz w:val="24"/>
          <w:szCs w:val="24"/>
        </w:rPr>
        <w:t xml:space="preserve"> los reguladores pueden establecer los requerimientos de capital de los bancos en niveles muy altos, o pueden establecer el grado de riesgo permitido para las actividades bancarias en niveles muy bajos. En la práctica, debido a que los reguladores no pueden implementar ninguna de las dos medidas a la perfección, implementan un poco de cada una.</w:t>
      </w:r>
    </w:p>
    <w:p w:rsidR="000711BB" w:rsidRPr="00F8354B" w:rsidRDefault="000711BB" w:rsidP="000711BB">
      <w:pPr>
        <w:spacing w:line="240" w:lineRule="auto"/>
        <w:jc w:val="both"/>
        <w:rPr>
          <w:rFonts w:ascii="Times New Roman" w:hAnsi="Times New Roman"/>
          <w:color w:val="FF0000"/>
          <w:sz w:val="24"/>
          <w:szCs w:val="24"/>
          <w:u w:val="single"/>
        </w:rPr>
      </w:pPr>
      <w:r w:rsidRPr="00F8354B">
        <w:rPr>
          <w:rFonts w:ascii="Times New Roman" w:hAnsi="Times New Roman"/>
          <w:color w:val="FF0000"/>
          <w:sz w:val="24"/>
          <w:szCs w:val="24"/>
          <w:u w:val="single"/>
        </w:rPr>
        <w:t>La propuesta de la rampa de salida de Hensarling se basa en que la solución de compensación, que da a los bancos más libertad para decidir si quieren menos riesgo o más capital. La regulación de línea de base sería la típica mezcla de las dos medidas, pero los bancos de manera individual podrían optar por requisitos de capital sustancialmente más altos a cambio de un permiso para participar en inversiones y operaciones de mayor riesgo. En otras palabras, podrían reducir las limitaciones de una medida de regulación a cambio de endurecer las limitaciones de la otra.</w:t>
      </w:r>
    </w:p>
    <w:p w:rsidR="000711BB" w:rsidRPr="00C5413F" w:rsidRDefault="000711BB" w:rsidP="000711BB">
      <w:pPr>
        <w:spacing w:line="240" w:lineRule="auto"/>
        <w:jc w:val="both"/>
        <w:rPr>
          <w:rFonts w:ascii="Times New Roman" w:hAnsi="Times New Roman"/>
          <w:sz w:val="24"/>
          <w:szCs w:val="24"/>
        </w:rPr>
      </w:pPr>
      <w:r w:rsidRPr="00C5413F">
        <w:rPr>
          <w:rFonts w:ascii="Times New Roman" w:hAnsi="Times New Roman"/>
          <w:sz w:val="24"/>
          <w:szCs w:val="24"/>
        </w:rPr>
        <w:t>Esto es conceptualmente sólido. Sin embargo, hay problemas con la propuesta de Hensarling en la forma en la que él la articuló. Y, no son problemas pequeños.</w:t>
      </w:r>
    </w:p>
    <w:p w:rsidR="000711BB" w:rsidRPr="00D05D16" w:rsidRDefault="000711BB" w:rsidP="000711BB">
      <w:pPr>
        <w:spacing w:line="240" w:lineRule="auto"/>
        <w:jc w:val="both"/>
        <w:rPr>
          <w:rFonts w:ascii="Times New Roman" w:hAnsi="Times New Roman"/>
          <w:sz w:val="24"/>
          <w:szCs w:val="24"/>
          <w:u w:val="single"/>
        </w:rPr>
      </w:pPr>
      <w:r w:rsidRPr="00D05D16">
        <w:rPr>
          <w:rFonts w:ascii="Times New Roman" w:hAnsi="Times New Roman"/>
          <w:sz w:val="24"/>
          <w:szCs w:val="24"/>
          <w:u w:val="single"/>
        </w:rPr>
        <w:t>En primer lugar, el ratio de capital que Hensarling requeriría de los bancos que toman la rampa de salida es demasiado bajo, ya que propone un 10% de los activos totales. Este es un nivel más alto que los niveles actuales, pero no lo suficientemente alto como para garantizar la seguridad de los bancos.</w:t>
      </w:r>
    </w:p>
    <w:p w:rsidR="000711BB" w:rsidRPr="00C5413F" w:rsidRDefault="000711BB" w:rsidP="000711BB">
      <w:pPr>
        <w:spacing w:line="240" w:lineRule="auto"/>
        <w:jc w:val="both"/>
        <w:rPr>
          <w:rFonts w:ascii="Times New Roman" w:hAnsi="Times New Roman"/>
          <w:sz w:val="24"/>
          <w:szCs w:val="24"/>
        </w:rPr>
      </w:pPr>
      <w:r w:rsidRPr="00D05D16">
        <w:rPr>
          <w:rFonts w:ascii="Times New Roman" w:hAnsi="Times New Roman"/>
          <w:sz w:val="24"/>
          <w:szCs w:val="24"/>
          <w:u w:val="single"/>
        </w:rPr>
        <w:t xml:space="preserve">El Consejo de Estabilidad Financiera y el Fondo Monetario Internacional, cada uno por su parte, determinaron que muchos bancos que estuvieron bajo amenaza durante la </w:t>
      </w:r>
      <w:r w:rsidRPr="00D05D16">
        <w:rPr>
          <w:rFonts w:ascii="Times New Roman" w:hAnsi="Times New Roman"/>
          <w:sz w:val="24"/>
          <w:szCs w:val="24"/>
          <w:u w:val="single"/>
        </w:rPr>
        <w:lastRenderedPageBreak/>
        <w:t>crisis financiera del período 2007 y 2008 hubiesen necesitado el doble de los niveles actuales de capital para sobrevivir de manera intacta</w:t>
      </w:r>
      <w:r w:rsidRPr="00C5413F">
        <w:rPr>
          <w:rFonts w:ascii="Times New Roman" w:hAnsi="Times New Roman"/>
          <w:sz w:val="24"/>
          <w:szCs w:val="24"/>
        </w:rPr>
        <w:t>. Si la propuesta de Hensarling se hubiese implementado, esos niveles habrían sido aún mayores, debido a la reducción en la regulación del riesgo. Sólo si el capital se</w:t>
      </w:r>
      <w:r w:rsidR="002F4D48">
        <w:rPr>
          <w:rFonts w:ascii="Times New Roman" w:hAnsi="Times New Roman"/>
          <w:sz w:val="24"/>
          <w:szCs w:val="24"/>
        </w:rPr>
        <w:t xml:space="preserve"> incrementaba sustancialmente -a niveles realmente altos-</w:t>
      </w:r>
      <w:r w:rsidRPr="00C5413F">
        <w:rPr>
          <w:rFonts w:ascii="Times New Roman" w:hAnsi="Times New Roman"/>
          <w:sz w:val="24"/>
          <w:szCs w:val="24"/>
        </w:rPr>
        <w:t xml:space="preserve"> los bancos y sus ejecutivos llegarían a la conclusión de que, sin instrucción regulatoria, no es en su interés ni en el de sus accionistas asumir tanto riesgo.</w:t>
      </w:r>
    </w:p>
    <w:p w:rsidR="000711BB" w:rsidRPr="00D05D16" w:rsidRDefault="000711BB" w:rsidP="000711BB">
      <w:pPr>
        <w:spacing w:line="240" w:lineRule="auto"/>
        <w:jc w:val="both"/>
        <w:rPr>
          <w:rFonts w:ascii="Times New Roman" w:hAnsi="Times New Roman"/>
          <w:sz w:val="24"/>
          <w:szCs w:val="24"/>
          <w:u w:val="single"/>
        </w:rPr>
      </w:pPr>
      <w:r w:rsidRPr="00D05D16">
        <w:rPr>
          <w:rFonts w:ascii="Times New Roman" w:hAnsi="Times New Roman"/>
          <w:sz w:val="24"/>
          <w:szCs w:val="24"/>
          <w:u w:val="single"/>
        </w:rPr>
        <w:t>Un segundo problema con la propuesta de Hensarling es que los bancos son propensos a rechazar esto mientras la política tributaria corporativa se mantenga sin cambios. Como he argumentado en comentarios previos, y en un  artículo académico que recientemente escribí con Michael Troege, requerir que los bancos tengan más capital aumenta su factura de impuestos, ya que reduce el nivel de deuda deducible de impuestos y aumenta el nivel de capital gravable. Si la legislación de impuestos no se reforma, pocos bancos considerarán la compensación atractiva, ya que una factura de impuestos más alta anularía los rendimientos de tomar la oferta que realiza Hensarling.</w:t>
      </w:r>
    </w:p>
    <w:p w:rsidR="000711BB" w:rsidRPr="00C5413F" w:rsidRDefault="000711BB" w:rsidP="000711BB">
      <w:pPr>
        <w:spacing w:line="240" w:lineRule="auto"/>
        <w:jc w:val="both"/>
        <w:rPr>
          <w:rFonts w:ascii="Times New Roman" w:hAnsi="Times New Roman"/>
          <w:sz w:val="24"/>
          <w:szCs w:val="24"/>
        </w:rPr>
      </w:pPr>
      <w:r w:rsidRPr="00D05D16">
        <w:rPr>
          <w:rFonts w:ascii="Times New Roman" w:hAnsi="Times New Roman"/>
          <w:sz w:val="24"/>
          <w:szCs w:val="24"/>
          <w:u w:val="single"/>
        </w:rPr>
        <w:t>El tercer problema es el relativo a la logística: el plan de Hensarling conectaría directamente a la legislación  los parámetros para que los bancos tomaran una rampa de salida regulatoria, por lo tanto ataría las manos de los reguladores. Una vez que un banco alcance el 10% del capital, no se le podría impedir realizar fusiones clave, ni tampoco se podría determinar que es un banco de importancia sistémica y que representa riesgo</w:t>
      </w:r>
      <w:r w:rsidRPr="00C5413F">
        <w:rPr>
          <w:rFonts w:ascii="Times New Roman" w:hAnsi="Times New Roman"/>
          <w:sz w:val="24"/>
          <w:szCs w:val="24"/>
        </w:rPr>
        <w:t>. Debido a que las circunstancias económicas cambian rápidamente, los reguladores, quienes pueden adaptarse a nuevas condiciones más rápido que lo puede el Congreso, deben tener la libertad de fijar los requisitos de capital y los niveles en los que se compensa el riesgo de crédito. Bajo el plan de Hensarling, ellos no tendrían tal libertad.</w:t>
      </w:r>
    </w:p>
    <w:p w:rsidR="000711BB" w:rsidRPr="00C5413F" w:rsidRDefault="000711BB" w:rsidP="000711BB">
      <w:pPr>
        <w:spacing w:line="240" w:lineRule="auto"/>
        <w:jc w:val="both"/>
        <w:rPr>
          <w:rFonts w:ascii="Times New Roman" w:hAnsi="Times New Roman"/>
          <w:sz w:val="24"/>
          <w:szCs w:val="24"/>
        </w:rPr>
      </w:pPr>
      <w:r w:rsidRPr="00D05D16">
        <w:rPr>
          <w:rFonts w:ascii="Times New Roman" w:hAnsi="Times New Roman"/>
          <w:sz w:val="24"/>
          <w:szCs w:val="24"/>
          <w:u w:val="single"/>
        </w:rPr>
        <w:t>Lo que es aún más insidioso es que mediante la derogación de gran parte de la regulación del riesgo de Dodd-Frank, la propuesta Hensarling virtualmente eliminaría los incentivos que tienen los bancos para elegir la rampa de salida</w:t>
      </w:r>
      <w:r w:rsidRPr="00C5413F">
        <w:rPr>
          <w:rFonts w:ascii="Times New Roman" w:hAnsi="Times New Roman"/>
          <w:sz w:val="24"/>
          <w:szCs w:val="24"/>
        </w:rPr>
        <w:t>. No habría suficiente regulación para que los bancos sientan la necesidad de escapar. Los bancos podrían, por lo tanto, salirse con su gusto.</w:t>
      </w:r>
    </w:p>
    <w:p w:rsidR="000711BB" w:rsidRDefault="000711BB" w:rsidP="000711BB">
      <w:pPr>
        <w:spacing w:line="240" w:lineRule="auto"/>
        <w:jc w:val="both"/>
        <w:rPr>
          <w:rFonts w:ascii="Times New Roman" w:hAnsi="Times New Roman"/>
          <w:sz w:val="24"/>
          <w:szCs w:val="24"/>
        </w:rPr>
      </w:pPr>
      <w:r w:rsidRPr="00C5413F">
        <w:rPr>
          <w:rFonts w:ascii="Times New Roman" w:hAnsi="Times New Roman"/>
          <w:sz w:val="24"/>
          <w:szCs w:val="24"/>
        </w:rPr>
        <w:t>A pesar de todo esto, los reguladores deberían dar las gracias a Hensarling por la diseminación del concepto de un marco flexible de compensación. Si bien los detalles de su propuesta en particular son problemáticos, por decir lo menos posible, el concepto tiene un verdadero potencial. El resultado podría llegar a ser un sistema financiero más dinámico – y también más seguro.</w:t>
      </w:r>
    </w:p>
    <w:p w:rsidR="000711BB" w:rsidRDefault="000711BB" w:rsidP="000711BB">
      <w:pPr>
        <w:spacing w:line="240" w:lineRule="auto"/>
        <w:jc w:val="both"/>
        <w:rPr>
          <w:rFonts w:ascii="Times New Roman" w:hAnsi="Times New Roman"/>
          <w:sz w:val="24"/>
          <w:szCs w:val="24"/>
        </w:rPr>
      </w:pPr>
      <w:r>
        <w:rPr>
          <w:rFonts w:ascii="Times New Roman" w:hAnsi="Times New Roman"/>
          <w:sz w:val="24"/>
          <w:szCs w:val="24"/>
        </w:rPr>
        <w:t>(</w:t>
      </w:r>
      <w:r w:rsidRPr="00C5413F">
        <w:rPr>
          <w:rFonts w:ascii="Times New Roman" w:hAnsi="Times New Roman"/>
          <w:sz w:val="24"/>
          <w:szCs w:val="24"/>
        </w:rPr>
        <w:t>Mark Roe is a professor at Harvard Law School. He is the author of studies of the impact of politics on corporate organization and corporate governance in the Uni</w:t>
      </w:r>
      <w:r>
        <w:rPr>
          <w:rFonts w:ascii="Times New Roman" w:hAnsi="Times New Roman"/>
          <w:sz w:val="24"/>
          <w:szCs w:val="24"/>
        </w:rPr>
        <w:t>ted States and around the world)</w:t>
      </w:r>
    </w:p>
    <w:p w:rsidR="000711BB" w:rsidRPr="00D013AD" w:rsidRDefault="000711BB" w:rsidP="000711BB">
      <w:pPr>
        <w:spacing w:line="240" w:lineRule="auto"/>
        <w:jc w:val="both"/>
        <w:rPr>
          <w:rFonts w:ascii="Times New Roman" w:hAnsi="Times New Roman"/>
          <w:sz w:val="24"/>
          <w:szCs w:val="24"/>
        </w:rPr>
      </w:pPr>
      <w:r>
        <w:rPr>
          <w:rFonts w:ascii="Times New Roman" w:hAnsi="Times New Roman"/>
          <w:sz w:val="24"/>
          <w:szCs w:val="24"/>
        </w:rPr>
        <w:t xml:space="preserve">- </w:t>
      </w:r>
      <w:r w:rsidRPr="00F13BC8">
        <w:rPr>
          <w:rFonts w:ascii="Times New Roman" w:hAnsi="Times New Roman"/>
          <w:sz w:val="24"/>
          <w:szCs w:val="24"/>
          <w:u w:val="single"/>
        </w:rPr>
        <w:t>El retorno de la burbuja inmobiliaria de Irlanda</w:t>
      </w:r>
      <w:r>
        <w:rPr>
          <w:rFonts w:ascii="Times New Roman" w:hAnsi="Times New Roman"/>
          <w:sz w:val="24"/>
          <w:szCs w:val="24"/>
        </w:rPr>
        <w:t xml:space="preserve"> (Project Syndicate - </w:t>
      </w:r>
      <w:r w:rsidRPr="00F13BC8">
        <w:rPr>
          <w:rFonts w:ascii="Times New Roman" w:hAnsi="Times New Roman"/>
          <w:b/>
          <w:sz w:val="24"/>
          <w:szCs w:val="24"/>
        </w:rPr>
        <w:t>14/7/16</w:t>
      </w:r>
      <w:r>
        <w:rPr>
          <w:rFonts w:ascii="Times New Roman" w:hAnsi="Times New Roman"/>
          <w:sz w:val="24"/>
          <w:szCs w:val="24"/>
        </w:rPr>
        <w:t>)</w:t>
      </w:r>
    </w:p>
    <w:p w:rsidR="000711BB" w:rsidRPr="00BC0C1E" w:rsidRDefault="000711BB" w:rsidP="000711BB">
      <w:pPr>
        <w:spacing w:line="240" w:lineRule="auto"/>
        <w:jc w:val="both"/>
        <w:rPr>
          <w:rFonts w:ascii="Times New Roman" w:hAnsi="Times New Roman"/>
          <w:sz w:val="24"/>
          <w:szCs w:val="24"/>
          <w:u w:val="single"/>
        </w:rPr>
      </w:pPr>
      <w:r>
        <w:rPr>
          <w:rFonts w:ascii="Times New Roman" w:hAnsi="Times New Roman"/>
          <w:sz w:val="24"/>
          <w:szCs w:val="24"/>
        </w:rPr>
        <w:t>Zúrich.-</w:t>
      </w:r>
      <w:r w:rsidRPr="00D013AD">
        <w:rPr>
          <w:rFonts w:ascii="Times New Roman" w:hAnsi="Times New Roman"/>
          <w:sz w:val="24"/>
          <w:szCs w:val="24"/>
        </w:rPr>
        <w:t xml:space="preserve"> </w:t>
      </w:r>
      <w:r w:rsidRPr="00BC0C1E">
        <w:rPr>
          <w:rFonts w:ascii="Times New Roman" w:hAnsi="Times New Roman"/>
          <w:sz w:val="24"/>
          <w:szCs w:val="24"/>
          <w:u w:val="single"/>
        </w:rPr>
        <w:t>Después de haber soportado el colapso de su mercado inmobiliario hace menos de diez años, Irlanda últimamente ha experimentado una recuperación feroz de los precios, que ya han aumentado en Dublín aproximadamente el 50% desde el punto mínimo en 2010. ¿Acaso Irlanda va camino a otra crisis devastadora?</w:t>
      </w:r>
    </w:p>
    <w:p w:rsidR="000711BB" w:rsidRPr="00BC0C1E" w:rsidRDefault="000711BB" w:rsidP="000711BB">
      <w:pPr>
        <w:spacing w:line="240" w:lineRule="auto"/>
        <w:jc w:val="both"/>
        <w:rPr>
          <w:rFonts w:ascii="Times New Roman" w:hAnsi="Times New Roman"/>
          <w:sz w:val="24"/>
          <w:szCs w:val="24"/>
          <w:u w:val="single"/>
        </w:rPr>
      </w:pPr>
      <w:r w:rsidRPr="00BC0C1E">
        <w:rPr>
          <w:rFonts w:ascii="Times New Roman" w:hAnsi="Times New Roman"/>
          <w:sz w:val="24"/>
          <w:szCs w:val="24"/>
          <w:u w:val="single"/>
        </w:rPr>
        <w:lastRenderedPageBreak/>
        <w:t>No es un secreto que el colapso de las burbujas de activos conlleva enormes costos financieros y sociales</w:t>
      </w:r>
      <w:r w:rsidRPr="00D013AD">
        <w:rPr>
          <w:rFonts w:ascii="Times New Roman" w:hAnsi="Times New Roman"/>
          <w:sz w:val="24"/>
          <w:szCs w:val="24"/>
        </w:rPr>
        <w:t xml:space="preserve">. Al frenarse la actividad y la inversión en el sector de la construcción, las recesiones agudas -que hacen que los ingresos tributarios caigan, en momentos en que el creciente desempleo exige un mayor gasto social- son inevitables. A los contribuyentes hasta se les puede pedir que apuntalen la base de capital de las instituciones financieras. </w:t>
      </w:r>
      <w:r w:rsidRPr="00BC0C1E">
        <w:rPr>
          <w:rFonts w:ascii="Times New Roman" w:hAnsi="Times New Roman"/>
          <w:sz w:val="24"/>
          <w:szCs w:val="24"/>
          <w:u w:val="single"/>
        </w:rPr>
        <w:t>La última vez que esto sucedió en Irlanda, representó un costo de más de 60.000 millones de euros (67.000 millones de dólares), o aproximadamente el 40% del PIB.</w:t>
      </w:r>
    </w:p>
    <w:p w:rsidR="000711BB" w:rsidRPr="00BC0C1E" w:rsidRDefault="000711BB" w:rsidP="000711BB">
      <w:pPr>
        <w:spacing w:line="240" w:lineRule="auto"/>
        <w:jc w:val="both"/>
        <w:rPr>
          <w:rFonts w:ascii="Times New Roman" w:hAnsi="Times New Roman"/>
          <w:sz w:val="24"/>
          <w:szCs w:val="24"/>
          <w:u w:val="single"/>
        </w:rPr>
      </w:pPr>
      <w:r w:rsidRPr="00BC0C1E">
        <w:rPr>
          <w:rFonts w:ascii="Times New Roman" w:hAnsi="Times New Roman"/>
          <w:sz w:val="24"/>
          <w:szCs w:val="24"/>
          <w:u w:val="single"/>
        </w:rPr>
        <w:t>Las burbujas inmobiliarias no son difíciles de detectar; por el contrario, suelen llegar a los titulares mucho antes de que estallen. Sin embargo, están muy lejos de ser excepcionales. Las burbujas en Irlanda, España, el Reino Unido y Estados Unidos colapsaron después de la crisis financiera que estalló en 2008</w:t>
      </w:r>
      <w:r w:rsidRPr="00D013AD">
        <w:rPr>
          <w:rFonts w:ascii="Times New Roman" w:hAnsi="Times New Roman"/>
          <w:sz w:val="24"/>
          <w:szCs w:val="24"/>
        </w:rPr>
        <w:t xml:space="preserve">. </w:t>
      </w:r>
      <w:r w:rsidRPr="00BC0C1E">
        <w:rPr>
          <w:rFonts w:ascii="Times New Roman" w:hAnsi="Times New Roman"/>
          <w:sz w:val="24"/>
          <w:szCs w:val="24"/>
          <w:u w:val="single"/>
        </w:rPr>
        <w:t>Después de que se desatara la crisis financiera asiática en 1997, los precios de las propiedades en Hong Kong, Indonesia, Malasia, Filipinas, Corea del Sur y Tailandia se hundieron entre 20 y 60%. Y una década antes, Suecia, Noruega y Finlandia experimentaron caídas de los precios de la propiedad del 30-50%.</w:t>
      </w:r>
    </w:p>
    <w:p w:rsidR="000711BB" w:rsidRPr="00BC0C1E" w:rsidRDefault="000711BB" w:rsidP="000711BB">
      <w:pPr>
        <w:spacing w:line="240" w:lineRule="auto"/>
        <w:jc w:val="both"/>
        <w:rPr>
          <w:rFonts w:ascii="Times New Roman" w:hAnsi="Times New Roman"/>
          <w:color w:val="FF0000"/>
          <w:sz w:val="24"/>
          <w:szCs w:val="24"/>
          <w:u w:val="single"/>
        </w:rPr>
      </w:pPr>
      <w:r w:rsidRPr="00BC0C1E">
        <w:rPr>
          <w:rFonts w:ascii="Times New Roman" w:hAnsi="Times New Roman"/>
          <w:color w:val="FF0000"/>
          <w:sz w:val="24"/>
          <w:szCs w:val="24"/>
          <w:u w:val="single"/>
        </w:rPr>
        <w:t>La pregunta obvia es por qué nadie hizo nada antes de que fuera demasiado tarde. La respuesta es simple: mientras las burbujas se inflan, mucha gente sale ganando. Con el sector de la construcción en crecimiento, el desempleo en baja y los bancos prestando libremente, la gente está feliz -y a los políticos les gusta que sea así.</w:t>
      </w:r>
    </w:p>
    <w:p w:rsidR="000711BB" w:rsidRPr="00D013AD" w:rsidRDefault="000711BB" w:rsidP="000711BB">
      <w:pPr>
        <w:spacing w:line="240" w:lineRule="auto"/>
        <w:jc w:val="both"/>
        <w:rPr>
          <w:rFonts w:ascii="Times New Roman" w:hAnsi="Times New Roman"/>
          <w:sz w:val="24"/>
          <w:szCs w:val="24"/>
        </w:rPr>
      </w:pPr>
      <w:r w:rsidRPr="00D013AD">
        <w:rPr>
          <w:rFonts w:ascii="Times New Roman" w:hAnsi="Times New Roman"/>
          <w:sz w:val="24"/>
          <w:szCs w:val="24"/>
        </w:rPr>
        <w:t>El proceso es simple. Los precios en aumento desatan un incremento en la actividad de la construcción, lo que crea oportunidades de trabajo para los trabajadores jóvenes menos calificados, cuyas opciones de empleo, de otra manera, son limitadas. Asimismo, genera grandes ganancias para los desarrolladores y constructores inmobiliarios. En verdad, una señal que delata una burbuja es que los desarrolladores de segunda clase de pronto son capaces de ganar miles de millones.</w:t>
      </w:r>
    </w:p>
    <w:p w:rsidR="000711BB" w:rsidRPr="00D013AD" w:rsidRDefault="000711BB" w:rsidP="000711BB">
      <w:pPr>
        <w:spacing w:line="240" w:lineRule="auto"/>
        <w:jc w:val="both"/>
        <w:rPr>
          <w:rFonts w:ascii="Times New Roman" w:hAnsi="Times New Roman"/>
          <w:sz w:val="24"/>
          <w:szCs w:val="24"/>
        </w:rPr>
      </w:pPr>
      <w:r w:rsidRPr="00D013AD">
        <w:rPr>
          <w:rFonts w:ascii="Times New Roman" w:hAnsi="Times New Roman"/>
          <w:sz w:val="24"/>
          <w:szCs w:val="24"/>
        </w:rPr>
        <w:t xml:space="preserve">Las ganancias de los bancos también crecen, porque hay mucha demanda de créditos hipotecarios, una operación que se considera casi libre de riesgo. Después de todo, los precios de la propiedad en constante aumento implican que, si un prestatario no paga, la propiedad se puede volver a vender con ganancia. </w:t>
      </w:r>
      <w:r w:rsidRPr="00BC0C1E">
        <w:rPr>
          <w:rFonts w:ascii="Times New Roman" w:hAnsi="Times New Roman"/>
          <w:color w:val="FF0000"/>
          <w:sz w:val="24"/>
          <w:szCs w:val="24"/>
        </w:rPr>
        <w:t>(La inevitable corrección del mercado sigue siendo demasiado remota como para ser tomada en serio en el pico del boom).</w:t>
      </w:r>
      <w:r w:rsidRPr="00D013AD">
        <w:rPr>
          <w:rFonts w:ascii="Times New Roman" w:hAnsi="Times New Roman"/>
          <w:sz w:val="24"/>
          <w:szCs w:val="24"/>
        </w:rPr>
        <w:t xml:space="preserve"> La gente común, desde conductores de taxis hasta peluqueros, aprovecha la ventaja de este crédito y hasta puede volverse millonaria jugando a la bolsa.  </w:t>
      </w:r>
    </w:p>
    <w:p w:rsidR="000711BB" w:rsidRPr="00D013AD" w:rsidRDefault="000711BB" w:rsidP="000711BB">
      <w:pPr>
        <w:spacing w:line="240" w:lineRule="auto"/>
        <w:jc w:val="both"/>
        <w:rPr>
          <w:rFonts w:ascii="Times New Roman" w:hAnsi="Times New Roman"/>
          <w:sz w:val="24"/>
          <w:szCs w:val="24"/>
        </w:rPr>
      </w:pPr>
      <w:r w:rsidRPr="00BC0C1E">
        <w:rPr>
          <w:rFonts w:ascii="Times New Roman" w:hAnsi="Times New Roman"/>
          <w:sz w:val="24"/>
          <w:szCs w:val="24"/>
          <w:u w:val="single"/>
        </w:rPr>
        <w:t>Todo esto beneficia a los líderes electos, que ganan el respaldo de los votantes que se sienten más ricos, de los ex desempleados que encuentran trabajo y de los propietarios cuyas casas cada vez valen más</w:t>
      </w:r>
      <w:r w:rsidRPr="00D013AD">
        <w:rPr>
          <w:rFonts w:ascii="Times New Roman" w:hAnsi="Times New Roman"/>
          <w:sz w:val="24"/>
          <w:szCs w:val="24"/>
        </w:rPr>
        <w:t>. Lo que hace que los votantes quieran aún más a los políticos son los nuevos aumentos del gasto y los recortes impositivos que se pueden implementar, en tanto el crecimiento económico acelerado hace que caiga el ratio deuda-PIB.</w:t>
      </w:r>
    </w:p>
    <w:p w:rsidR="000711BB" w:rsidRPr="00BC0C1E" w:rsidRDefault="000711BB" w:rsidP="000711BB">
      <w:pPr>
        <w:spacing w:line="240" w:lineRule="auto"/>
        <w:jc w:val="both"/>
        <w:rPr>
          <w:rFonts w:ascii="Times New Roman" w:hAnsi="Times New Roman"/>
          <w:color w:val="FF0000"/>
          <w:sz w:val="24"/>
          <w:szCs w:val="24"/>
          <w:u w:val="single"/>
        </w:rPr>
      </w:pPr>
      <w:r w:rsidRPr="00BC0C1E">
        <w:rPr>
          <w:rFonts w:ascii="Times New Roman" w:hAnsi="Times New Roman"/>
          <w:color w:val="FF0000"/>
          <w:sz w:val="24"/>
          <w:szCs w:val="24"/>
          <w:u w:val="single"/>
        </w:rPr>
        <w:t>Como las burbujas tienden a inflarse gradualmente en un período de años antes de su colapso abrupto, dejar que perduren un poco más parece astuto desde un punto de vista político. Nadie quiere ser el primero en poner fin a la fiesta -especialmente si su empleo está en juego.</w:t>
      </w:r>
    </w:p>
    <w:p w:rsidR="000711BB" w:rsidRPr="00BC0C1E" w:rsidRDefault="000711BB" w:rsidP="000711BB">
      <w:pPr>
        <w:spacing w:line="240" w:lineRule="auto"/>
        <w:jc w:val="both"/>
        <w:rPr>
          <w:rFonts w:ascii="Times New Roman" w:hAnsi="Times New Roman"/>
          <w:color w:val="FF0000"/>
          <w:sz w:val="24"/>
          <w:szCs w:val="24"/>
          <w:u w:val="single"/>
        </w:rPr>
      </w:pPr>
      <w:r w:rsidRPr="00BC0C1E">
        <w:rPr>
          <w:rFonts w:ascii="Times New Roman" w:hAnsi="Times New Roman"/>
          <w:color w:val="FF0000"/>
          <w:sz w:val="24"/>
          <w:szCs w:val="24"/>
          <w:u w:val="single"/>
        </w:rPr>
        <w:t xml:space="preserve">Pero no se puede esperar que los invitados a la fiesta del sector privado aprieten el freno. En particular, no se puede esperar que los bancos, para quienes mantener la </w:t>
      </w:r>
      <w:r w:rsidRPr="00BC0C1E">
        <w:rPr>
          <w:rFonts w:ascii="Times New Roman" w:hAnsi="Times New Roman"/>
          <w:color w:val="FF0000"/>
          <w:sz w:val="24"/>
          <w:szCs w:val="24"/>
          <w:u w:val="single"/>
        </w:rPr>
        <w:lastRenderedPageBreak/>
        <w:t>participación de mercado es crucial, limiten el crédito riesgoso, especialmente cuando se espera que, si las cosas salen mal, los contribuyentes financien el rescate.</w:t>
      </w:r>
    </w:p>
    <w:p w:rsidR="000711BB" w:rsidRPr="00D013AD" w:rsidRDefault="000711BB" w:rsidP="000711BB">
      <w:pPr>
        <w:spacing w:line="240" w:lineRule="auto"/>
        <w:jc w:val="both"/>
        <w:rPr>
          <w:rFonts w:ascii="Times New Roman" w:hAnsi="Times New Roman"/>
          <w:sz w:val="24"/>
          <w:szCs w:val="24"/>
        </w:rPr>
      </w:pPr>
      <w:r w:rsidRPr="00BC0C1E">
        <w:rPr>
          <w:rFonts w:ascii="Times New Roman" w:hAnsi="Times New Roman"/>
          <w:sz w:val="24"/>
          <w:szCs w:val="24"/>
          <w:u w:val="single"/>
        </w:rPr>
        <w:t>Esto hace que los únicos que puedan limitar el deterioro de los balances de los bancos en tiempos de auge sean el regulador financiero o el banco central, que pueden usar herramientas macroprudenciales -como ratios de préstamo-valor y deuda-ingreso sobre los nuevos préstamos hipotecarios</w:t>
      </w:r>
      <w:r w:rsidRPr="00D013AD">
        <w:rPr>
          <w:rFonts w:ascii="Times New Roman" w:hAnsi="Times New Roman"/>
          <w:sz w:val="24"/>
          <w:szCs w:val="24"/>
        </w:rPr>
        <w:t>-. Pero esta estrategia tampoco es perfecta, porque los prestatarios riesgosos a los que se restringe el crédito tienden a ser personas que compran una casa por primera vez o tienen bajos ingresos.</w:t>
      </w:r>
    </w:p>
    <w:p w:rsidR="000711BB" w:rsidRPr="00D013AD" w:rsidRDefault="000711BB" w:rsidP="000711BB">
      <w:pPr>
        <w:spacing w:line="240" w:lineRule="auto"/>
        <w:jc w:val="both"/>
        <w:rPr>
          <w:rFonts w:ascii="Times New Roman" w:hAnsi="Times New Roman"/>
          <w:sz w:val="24"/>
          <w:szCs w:val="24"/>
        </w:rPr>
      </w:pPr>
      <w:r w:rsidRPr="00D013AD">
        <w:rPr>
          <w:rFonts w:ascii="Times New Roman" w:hAnsi="Times New Roman"/>
          <w:sz w:val="24"/>
          <w:szCs w:val="24"/>
        </w:rPr>
        <w:t>Esto tal vez no represente un problema en países con mercados inmobiliarios bien desarrollados, donde existe una gran oferta de viviendas en alquiler. Después de todo, en esos mercados, los inquilinos pueden encontrar viviendas con seguridad de tenencia a niveles de precios que son predecibles, inclusive si evolucionan gradualmente en el tiempo según las condiciones de mercado, lo que asegura que los propietarios tengan incentivos para mantener las propiedades.</w:t>
      </w:r>
    </w:p>
    <w:p w:rsidR="000711BB" w:rsidRPr="00D013AD" w:rsidRDefault="000711BB" w:rsidP="000711BB">
      <w:pPr>
        <w:spacing w:line="240" w:lineRule="auto"/>
        <w:jc w:val="both"/>
        <w:rPr>
          <w:rFonts w:ascii="Times New Roman" w:hAnsi="Times New Roman"/>
          <w:sz w:val="24"/>
          <w:szCs w:val="24"/>
        </w:rPr>
      </w:pPr>
      <w:r w:rsidRPr="00D013AD">
        <w:rPr>
          <w:rFonts w:ascii="Times New Roman" w:hAnsi="Times New Roman"/>
          <w:sz w:val="24"/>
          <w:szCs w:val="24"/>
        </w:rPr>
        <w:t>Pero en países donde los mercados de alquiler son pequeños y funcionan de manera deficiente -muchas veces como resultado de una creencia generalizada de que todas las familias deben tener su casa propia-, la estabilidad financiera y el acceso a la financiación hipotecaria están emparentados. Al limitar el acceso de los prestatarios más riesgosos a un financiamiento, las reglas del crédito hipotecario pueden desatar una reacción política feroz.</w:t>
      </w:r>
    </w:p>
    <w:p w:rsidR="000711BB" w:rsidRPr="00D013AD" w:rsidRDefault="000711BB" w:rsidP="000711BB">
      <w:pPr>
        <w:spacing w:line="240" w:lineRule="auto"/>
        <w:jc w:val="both"/>
        <w:rPr>
          <w:rFonts w:ascii="Times New Roman" w:hAnsi="Times New Roman"/>
          <w:sz w:val="24"/>
          <w:szCs w:val="24"/>
        </w:rPr>
      </w:pPr>
      <w:r w:rsidRPr="00D013AD">
        <w:rPr>
          <w:rFonts w:ascii="Times New Roman" w:hAnsi="Times New Roman"/>
          <w:sz w:val="24"/>
          <w:szCs w:val="24"/>
        </w:rPr>
        <w:t>Irlanda es un buen ejemplo. En enero de 2015, el banco central intentó proteger a las instituciones financieras de otra burbuja catastrófica restringiendo su crédito a prestatarios de alto riesgo. En consecuencia, el crecimiento anual de los precios de la propiedad cayó de poco más del 20% a menos del 5%. Pero la industria de la construcción, preocupada por sus ganancias, ha manifestado críticas muy duras de las reglas. Lo mismo sucedió con la gente común a la que se le negó el crédito y a la que ahora le cuesta encontrar una vivienda apropiada en un mercado de alquiler pequeño. Los políticos, obviamente, se subieron al carro para capitalizar el estado de ánimo popular.</w:t>
      </w:r>
    </w:p>
    <w:p w:rsidR="000711BB" w:rsidRPr="00D013AD" w:rsidRDefault="000711BB" w:rsidP="000711BB">
      <w:pPr>
        <w:spacing w:line="240" w:lineRule="auto"/>
        <w:jc w:val="both"/>
        <w:rPr>
          <w:rFonts w:ascii="Times New Roman" w:hAnsi="Times New Roman"/>
          <w:sz w:val="24"/>
          <w:szCs w:val="24"/>
        </w:rPr>
      </w:pPr>
      <w:r w:rsidRPr="00D013AD">
        <w:rPr>
          <w:rFonts w:ascii="Times New Roman" w:hAnsi="Times New Roman"/>
          <w:sz w:val="24"/>
          <w:szCs w:val="24"/>
        </w:rPr>
        <w:t>En tanto se intensifica la presión sobre los reguladores irlandeses para que relajen las reglas de crédito, también crecen los temores de que, finalmente, van a sucumbir a esa presión. Es de esperar que sigan resistiendo. Los potenciales prestatarios en verdad enfrentan desafíos genuinos como resultado de estas regulaciones; pero nada de eso se compara con el daño que podría causar el estallido de una burbuja.</w:t>
      </w:r>
    </w:p>
    <w:p w:rsidR="000711BB" w:rsidRPr="00BC0C1E" w:rsidRDefault="000711BB" w:rsidP="000711BB">
      <w:pPr>
        <w:spacing w:line="240" w:lineRule="auto"/>
        <w:jc w:val="both"/>
        <w:rPr>
          <w:rFonts w:ascii="Times New Roman" w:hAnsi="Times New Roman"/>
          <w:color w:val="FF0000"/>
          <w:sz w:val="24"/>
          <w:szCs w:val="24"/>
          <w:u w:val="single"/>
        </w:rPr>
      </w:pPr>
      <w:r w:rsidRPr="00BC0C1E">
        <w:rPr>
          <w:rFonts w:ascii="Times New Roman" w:hAnsi="Times New Roman"/>
          <w:color w:val="FF0000"/>
          <w:sz w:val="24"/>
          <w:szCs w:val="24"/>
          <w:u w:val="single"/>
        </w:rPr>
        <w:t>En cualquier caso, la experiencia de Irlanda con las burbujas inmobiliarias conlleva una lección más profunda, que prácticamente nadie aprendió. Un sistema inmobiliario que tan fácilmente puede producir burbujas de semejante tamaño y tan perjudiciales está esencialmente plagado de errores. Si bien las restricciones al préstamo pueden resultar útiles, no son suficientes como para generar un sistema inmobiliario eficiente y estable.</w:t>
      </w:r>
    </w:p>
    <w:p w:rsidR="000711BB" w:rsidRDefault="000711BB" w:rsidP="000711BB">
      <w:pPr>
        <w:spacing w:line="240" w:lineRule="auto"/>
        <w:jc w:val="both"/>
        <w:rPr>
          <w:rFonts w:ascii="Times New Roman" w:hAnsi="Times New Roman"/>
          <w:sz w:val="24"/>
          <w:szCs w:val="24"/>
        </w:rPr>
      </w:pPr>
      <w:r w:rsidRPr="00D013AD">
        <w:rPr>
          <w:rFonts w:ascii="Times New Roman" w:hAnsi="Times New Roman"/>
          <w:sz w:val="24"/>
          <w:szCs w:val="24"/>
        </w:rPr>
        <w:t>Esta conclusión podría parecerles demasiado pesimista a muchos en Irlanda. Tal vez lo único que esperan esta vez es que la suerte de los irlandeses no termine. Tal vez sea así, y tal vez esta vez sea realmente diferente. Pero no parece ser el caso.</w:t>
      </w:r>
    </w:p>
    <w:p w:rsidR="000711BB" w:rsidRDefault="000711BB" w:rsidP="000711BB">
      <w:pPr>
        <w:spacing w:line="240" w:lineRule="auto"/>
        <w:jc w:val="both"/>
        <w:rPr>
          <w:rFonts w:ascii="Times New Roman" w:hAnsi="Times New Roman"/>
          <w:sz w:val="24"/>
          <w:szCs w:val="24"/>
        </w:rPr>
      </w:pPr>
      <w:r>
        <w:rPr>
          <w:rFonts w:ascii="Times New Roman" w:hAnsi="Times New Roman"/>
          <w:sz w:val="24"/>
          <w:szCs w:val="24"/>
        </w:rPr>
        <w:t>(</w:t>
      </w:r>
      <w:r w:rsidRPr="00F13BC8">
        <w:rPr>
          <w:rFonts w:ascii="Times New Roman" w:hAnsi="Times New Roman"/>
          <w:sz w:val="24"/>
          <w:szCs w:val="24"/>
        </w:rPr>
        <w:t xml:space="preserve">Stefan Gerlach is Chief Economist at BSI Bank in Zurich and Former Deputy Governor of the Central Bank of Ireland. He has also served as Executive Director and </w:t>
      </w:r>
      <w:r w:rsidRPr="00F13BC8">
        <w:rPr>
          <w:rFonts w:ascii="Times New Roman" w:hAnsi="Times New Roman"/>
          <w:sz w:val="24"/>
          <w:szCs w:val="24"/>
        </w:rPr>
        <w:lastRenderedPageBreak/>
        <w:t>Chief Economist of the Hong Kong Monetary Authority and as Secretary to the Committee on the Glo</w:t>
      </w:r>
      <w:r>
        <w:rPr>
          <w:rFonts w:ascii="Times New Roman" w:hAnsi="Times New Roman"/>
          <w:sz w:val="24"/>
          <w:szCs w:val="24"/>
        </w:rPr>
        <w:t>bal Financial System at the BIS)</w:t>
      </w:r>
    </w:p>
    <w:p w:rsidR="000711BB" w:rsidRPr="00B420BC" w:rsidRDefault="000711BB" w:rsidP="000711BB">
      <w:pPr>
        <w:spacing w:line="240" w:lineRule="auto"/>
        <w:jc w:val="both"/>
        <w:rPr>
          <w:rFonts w:ascii="Times New Roman" w:hAnsi="Times New Roman"/>
          <w:sz w:val="24"/>
          <w:szCs w:val="24"/>
        </w:rPr>
      </w:pPr>
      <w:r>
        <w:rPr>
          <w:rFonts w:ascii="Times New Roman" w:hAnsi="Times New Roman"/>
          <w:sz w:val="24"/>
          <w:szCs w:val="24"/>
        </w:rPr>
        <w:t xml:space="preserve">- </w:t>
      </w:r>
      <w:r w:rsidRPr="00B420BC">
        <w:rPr>
          <w:rFonts w:ascii="Times New Roman" w:hAnsi="Times New Roman"/>
          <w:sz w:val="24"/>
          <w:szCs w:val="24"/>
          <w:u w:val="single"/>
        </w:rPr>
        <w:t>A liderazgo pobre, globalización mala</w:t>
      </w:r>
      <w:r>
        <w:rPr>
          <w:rFonts w:ascii="Times New Roman" w:hAnsi="Times New Roman"/>
          <w:sz w:val="24"/>
          <w:szCs w:val="24"/>
        </w:rPr>
        <w:t xml:space="preserve"> (Project Syndicate - </w:t>
      </w:r>
      <w:r w:rsidRPr="00B420BC">
        <w:rPr>
          <w:rFonts w:ascii="Times New Roman" w:hAnsi="Times New Roman"/>
          <w:b/>
          <w:sz w:val="24"/>
          <w:szCs w:val="24"/>
        </w:rPr>
        <w:t>20/7/16</w:t>
      </w:r>
      <w:r>
        <w:rPr>
          <w:rFonts w:ascii="Times New Roman" w:hAnsi="Times New Roman"/>
          <w:sz w:val="24"/>
          <w:szCs w:val="24"/>
        </w:rPr>
        <w:t>)</w:t>
      </w:r>
    </w:p>
    <w:p w:rsidR="000711BB" w:rsidRPr="00C17480" w:rsidRDefault="000711BB" w:rsidP="000711BB">
      <w:pPr>
        <w:spacing w:line="240" w:lineRule="auto"/>
        <w:jc w:val="both"/>
        <w:rPr>
          <w:rFonts w:ascii="Times New Roman" w:hAnsi="Times New Roman"/>
          <w:sz w:val="24"/>
          <w:szCs w:val="24"/>
          <w:u w:val="single"/>
        </w:rPr>
      </w:pPr>
      <w:r>
        <w:rPr>
          <w:rFonts w:ascii="Times New Roman" w:hAnsi="Times New Roman"/>
          <w:sz w:val="24"/>
          <w:szCs w:val="24"/>
        </w:rPr>
        <w:t>Ciudad de México.-</w:t>
      </w:r>
      <w:r w:rsidRPr="00B420BC">
        <w:rPr>
          <w:rFonts w:ascii="Times New Roman" w:hAnsi="Times New Roman"/>
          <w:sz w:val="24"/>
          <w:szCs w:val="24"/>
        </w:rPr>
        <w:t xml:space="preserve"> </w:t>
      </w:r>
      <w:r w:rsidRPr="00C17480">
        <w:rPr>
          <w:rFonts w:ascii="Times New Roman" w:hAnsi="Times New Roman"/>
          <w:sz w:val="24"/>
          <w:szCs w:val="24"/>
          <w:u w:val="single"/>
        </w:rPr>
        <w:t>Los países europeos vienen desde los años cincuenta debatiendo los costos y los beneficios de la integración regional. Pero no fue sino hasta el referendo por el “Brexit” en el Reino Unido que el debate comenzó a girar en torno de cuestiones centrales como la globalización, el libre comercio, la inmigración y sus efectos económicos.</w:t>
      </w:r>
    </w:p>
    <w:p w:rsidR="000711BB" w:rsidRPr="00C17480" w:rsidRDefault="000711BB" w:rsidP="000711BB">
      <w:pPr>
        <w:spacing w:line="240" w:lineRule="auto"/>
        <w:jc w:val="both"/>
        <w:rPr>
          <w:rFonts w:ascii="Times New Roman" w:hAnsi="Times New Roman"/>
          <w:color w:val="FF0000"/>
          <w:sz w:val="24"/>
          <w:szCs w:val="24"/>
          <w:u w:val="single"/>
        </w:rPr>
      </w:pPr>
      <w:r w:rsidRPr="00C17480">
        <w:rPr>
          <w:rFonts w:ascii="Times New Roman" w:hAnsi="Times New Roman"/>
          <w:color w:val="FF0000"/>
          <w:sz w:val="24"/>
          <w:szCs w:val="24"/>
          <w:u w:val="single"/>
        </w:rPr>
        <w:t>La decisión de los votantes británicos de abandonar la UE fue un error, que cometieron engañados, sobre todo por el nuevo ministro de asuntos exteriores británico, Boris Johnson. Pero también sería un error que eurócratas y eurófilos no presten atención a las mentiras que animaron la campaña pro</w:t>
      </w:r>
      <w:r w:rsidRPr="00C17480">
        <w:rPr>
          <w:rFonts w:ascii="Cambria Math" w:hAnsi="Cambria Math" w:cs="Cambria Math"/>
          <w:color w:val="FF0000"/>
          <w:sz w:val="24"/>
          <w:szCs w:val="24"/>
          <w:u w:val="single"/>
        </w:rPr>
        <w:t>‑</w:t>
      </w:r>
      <w:r w:rsidRPr="00C17480">
        <w:rPr>
          <w:rFonts w:ascii="Times New Roman" w:hAnsi="Times New Roman"/>
          <w:color w:val="FF0000"/>
          <w:sz w:val="24"/>
          <w:szCs w:val="24"/>
          <w:u w:val="single"/>
        </w:rPr>
        <w:t>Brexit. As</w:t>
      </w:r>
      <w:r w:rsidRPr="00C17480">
        <w:rPr>
          <w:rFonts w:ascii="Times New Roman" w:hAnsi="Times New Roman" w:cs="Calibri"/>
          <w:color w:val="FF0000"/>
          <w:sz w:val="24"/>
          <w:szCs w:val="24"/>
          <w:u w:val="single"/>
        </w:rPr>
        <w:t>í</w:t>
      </w:r>
      <w:r w:rsidRPr="00C17480">
        <w:rPr>
          <w:rFonts w:ascii="Times New Roman" w:hAnsi="Times New Roman"/>
          <w:color w:val="FF0000"/>
          <w:sz w:val="24"/>
          <w:szCs w:val="24"/>
          <w:u w:val="single"/>
        </w:rPr>
        <w:t xml:space="preserve"> como funcionaron en el RU, pueden funcionar en otros estados miembros de la UE y en democracias de todo el mundo.</w:t>
      </w:r>
    </w:p>
    <w:p w:rsidR="000711BB" w:rsidRPr="00C17480" w:rsidRDefault="000711BB" w:rsidP="000711BB">
      <w:pPr>
        <w:spacing w:line="240" w:lineRule="auto"/>
        <w:jc w:val="both"/>
        <w:rPr>
          <w:rFonts w:ascii="Times New Roman" w:hAnsi="Times New Roman"/>
          <w:color w:val="FF0000"/>
          <w:sz w:val="24"/>
          <w:szCs w:val="24"/>
          <w:u w:val="single"/>
        </w:rPr>
      </w:pPr>
      <w:r w:rsidRPr="00C17480">
        <w:rPr>
          <w:rFonts w:ascii="Times New Roman" w:hAnsi="Times New Roman"/>
          <w:color w:val="FF0000"/>
          <w:sz w:val="24"/>
          <w:szCs w:val="24"/>
          <w:u w:val="single"/>
        </w:rPr>
        <w:t>No será fácil seguir avanzando hacia una “unión cada vez más estrecha” en Europa. El continente debe luchar con muchas cuestiones al mismo tiempo, entre ellas los refugiados, la inmigración, la deuda soberana, el alto desempleo y un Estado de Bienestar que ya no cumple sus promesas, a pesar de los altos impuestos y la disponibilidad de inmensos recursos para financiarlo. Para hacer frente a estos desafíos, la dirigencia de la UE tendrá que reunir una base de apoyo firme, para lo que necesita dar una respuesta directa a las necesidades y demandas de los europeos.</w:t>
      </w:r>
    </w:p>
    <w:p w:rsidR="000711BB" w:rsidRPr="00B420BC" w:rsidRDefault="000711BB" w:rsidP="000711BB">
      <w:pPr>
        <w:spacing w:line="240" w:lineRule="auto"/>
        <w:jc w:val="both"/>
        <w:rPr>
          <w:rFonts w:ascii="Times New Roman" w:hAnsi="Times New Roman"/>
          <w:sz w:val="24"/>
          <w:szCs w:val="24"/>
        </w:rPr>
      </w:pPr>
      <w:r w:rsidRPr="00C17480">
        <w:rPr>
          <w:rFonts w:ascii="Times New Roman" w:hAnsi="Times New Roman"/>
          <w:color w:val="FF0000"/>
          <w:sz w:val="24"/>
          <w:szCs w:val="24"/>
          <w:u w:val="single"/>
        </w:rPr>
        <w:t>También en otras partes las élites llevan mucho tiempo sin prestar la debida atención a la globalización, el libre comercio, la inmigración y la desigualdad</w:t>
      </w:r>
      <w:r w:rsidRPr="00B420BC">
        <w:rPr>
          <w:rFonts w:ascii="Times New Roman" w:hAnsi="Times New Roman"/>
          <w:sz w:val="24"/>
          <w:szCs w:val="24"/>
        </w:rPr>
        <w:t>. La obsesión con el libre comercio de los presidentes estadounidenses George Bush (padre) y Bill Clinton en los noventa, así como la de sucesivos gobiernos mexicanos, volvió casi imposible desde lo político compensar a los que resultaron perjudicados.</w:t>
      </w:r>
    </w:p>
    <w:p w:rsidR="000711BB" w:rsidRPr="00C17480" w:rsidRDefault="000711BB" w:rsidP="000711BB">
      <w:pPr>
        <w:spacing w:line="240" w:lineRule="auto"/>
        <w:jc w:val="both"/>
        <w:rPr>
          <w:rFonts w:ascii="Times New Roman" w:hAnsi="Times New Roman"/>
          <w:sz w:val="24"/>
          <w:szCs w:val="24"/>
          <w:u w:val="single"/>
        </w:rPr>
      </w:pPr>
      <w:r w:rsidRPr="00C17480">
        <w:rPr>
          <w:rFonts w:ascii="Times New Roman" w:hAnsi="Times New Roman"/>
          <w:sz w:val="24"/>
          <w:szCs w:val="24"/>
          <w:u w:val="single"/>
        </w:rPr>
        <w:t>Ahora, 20 años después de este fracaso de las políticas, no es extraño que en Estados Unidos un importante grupo de votantes marginados apoye masivamente a Donald Trump, el candidato presidencial republicano, así como muchos en la izquierda apoyaron masivamente a Bernie Sanders, el senador por Vermont que intentó ganarle a Hillary Clinton la nominación por el Partido Demócrata.</w:t>
      </w:r>
    </w:p>
    <w:p w:rsidR="000711BB" w:rsidRPr="00B420BC" w:rsidRDefault="000711BB" w:rsidP="000711BB">
      <w:pPr>
        <w:spacing w:line="240" w:lineRule="auto"/>
        <w:jc w:val="both"/>
        <w:rPr>
          <w:rFonts w:ascii="Times New Roman" w:hAnsi="Times New Roman"/>
          <w:sz w:val="24"/>
          <w:szCs w:val="24"/>
        </w:rPr>
      </w:pPr>
      <w:r w:rsidRPr="00C17480">
        <w:rPr>
          <w:rFonts w:ascii="Times New Roman" w:hAnsi="Times New Roman"/>
          <w:sz w:val="24"/>
          <w:szCs w:val="24"/>
          <w:u w:val="single"/>
        </w:rPr>
        <w:t>Ambos candidatos ajenos al establishment supieron explotar los padecimientos y los temores de los votantes estadounidenses</w:t>
      </w:r>
      <w:r w:rsidRPr="00B420BC">
        <w:rPr>
          <w:rFonts w:ascii="Times New Roman" w:hAnsi="Times New Roman"/>
          <w:sz w:val="24"/>
          <w:szCs w:val="24"/>
        </w:rPr>
        <w:t>. En el caso de Trump, se generó un espectáculo muy desagradable, lleno de guiños al sentimiento antimusulmán y antimexicano. En el caso de Sanders, a los votantes estadounidenses se les presentaron algunas ideas atractivas, como la gratuidad universitaria y la atención médica universal, pero estas y otras medidas siguen siendo políticamente impracticables.</w:t>
      </w:r>
    </w:p>
    <w:p w:rsidR="000711BB" w:rsidRPr="00B420BC" w:rsidRDefault="000711BB" w:rsidP="000711BB">
      <w:pPr>
        <w:spacing w:line="240" w:lineRule="auto"/>
        <w:jc w:val="both"/>
        <w:rPr>
          <w:rFonts w:ascii="Times New Roman" w:hAnsi="Times New Roman"/>
          <w:sz w:val="24"/>
          <w:szCs w:val="24"/>
        </w:rPr>
      </w:pPr>
      <w:r w:rsidRPr="00C17480">
        <w:rPr>
          <w:rFonts w:ascii="Times New Roman" w:hAnsi="Times New Roman"/>
          <w:sz w:val="24"/>
          <w:szCs w:val="24"/>
          <w:u w:val="single"/>
        </w:rPr>
        <w:t>Ambas respuestas son resultado del fracaso de las dirigencias nacionales para mitigar, o incluso reconocer, los resultados de las políticas instituidas a lo largo de los últimos 20 años.</w:t>
      </w:r>
      <w:r w:rsidRPr="00B420BC">
        <w:rPr>
          <w:rFonts w:ascii="Times New Roman" w:hAnsi="Times New Roman"/>
          <w:sz w:val="24"/>
          <w:szCs w:val="24"/>
        </w:rPr>
        <w:t xml:space="preserve"> Todo intento de comenzar a corregir este fracaso debe basarse en la realidad. Por ejemplo, </w:t>
      </w:r>
      <w:r w:rsidRPr="00C17480">
        <w:rPr>
          <w:rFonts w:ascii="Times New Roman" w:hAnsi="Times New Roman"/>
          <w:sz w:val="24"/>
          <w:szCs w:val="24"/>
          <w:u w:val="single"/>
        </w:rPr>
        <w:t>a los simpatizantes de Trump y Sanders tal vez les sorprendería enterarse de que en Estados Unidos se crearon muchos empleos fabriles nuevos después de la Gran Recesión de 2008-2009, y también después de la aprobación del Tratado de Libre Comercio de América del Norte (NAFTA) en 1993.</w:t>
      </w:r>
      <w:r w:rsidRPr="00B420BC">
        <w:rPr>
          <w:rFonts w:ascii="Times New Roman" w:hAnsi="Times New Roman"/>
          <w:sz w:val="24"/>
          <w:szCs w:val="24"/>
        </w:rPr>
        <w:t xml:space="preserve"> Muchos de estos empleos fueron resultado del alza de las exportaciones a China, México y unos pocos país</w:t>
      </w:r>
      <w:r>
        <w:rPr>
          <w:rFonts w:ascii="Times New Roman" w:hAnsi="Times New Roman"/>
          <w:sz w:val="24"/>
          <w:szCs w:val="24"/>
        </w:rPr>
        <w:t xml:space="preserve">es más </w:t>
      </w:r>
      <w:r>
        <w:rPr>
          <w:rFonts w:ascii="Times New Roman" w:hAnsi="Times New Roman"/>
          <w:sz w:val="24"/>
          <w:szCs w:val="24"/>
        </w:rPr>
        <w:lastRenderedPageBreak/>
        <w:t>pequeños con los que EEUU</w:t>
      </w:r>
      <w:r w:rsidRPr="00B420BC">
        <w:rPr>
          <w:rFonts w:ascii="Times New Roman" w:hAnsi="Times New Roman"/>
          <w:sz w:val="24"/>
          <w:szCs w:val="24"/>
        </w:rPr>
        <w:t xml:space="preserve"> negoció acuerdos comerciales (Chile, Perú y Colombia, entre otros).</w:t>
      </w:r>
    </w:p>
    <w:p w:rsidR="000711BB" w:rsidRPr="00C17480" w:rsidRDefault="000711BB" w:rsidP="000711BB">
      <w:pPr>
        <w:spacing w:line="240" w:lineRule="auto"/>
        <w:jc w:val="both"/>
        <w:rPr>
          <w:rFonts w:ascii="Times New Roman" w:hAnsi="Times New Roman"/>
          <w:sz w:val="24"/>
          <w:szCs w:val="24"/>
          <w:u w:val="single"/>
        </w:rPr>
      </w:pPr>
      <w:r w:rsidRPr="00C17480">
        <w:rPr>
          <w:rFonts w:ascii="Times New Roman" w:hAnsi="Times New Roman"/>
          <w:sz w:val="24"/>
          <w:szCs w:val="24"/>
          <w:u w:val="single"/>
        </w:rPr>
        <w:t>Es cierto que el traslado de millones de empleos fabriles a países como China y México contrarrestó en parte esta tendencia, aunque puede decirse con razón que se crearon más empleos de los que se perdieron; que el cambio volvió más competitivo a Estados Unidos; que China se convirtió en un importante mercado de consumo; y que incluso México hizo algunos avances.</w:t>
      </w:r>
    </w:p>
    <w:p w:rsidR="000711BB" w:rsidRPr="00B920C6" w:rsidRDefault="000711BB" w:rsidP="000711BB">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El problema principal en EEUU</w:t>
      </w:r>
      <w:r w:rsidRPr="00B920C6">
        <w:rPr>
          <w:rFonts w:ascii="Times New Roman" w:hAnsi="Times New Roman"/>
          <w:color w:val="FF0000"/>
          <w:sz w:val="24"/>
          <w:szCs w:val="24"/>
          <w:u w:val="single"/>
        </w:rPr>
        <w:t xml:space="preserve"> fue la clase de empleos que cubrieron el faltante dejado por los puestos fabriles que se fueron a otra parte. Es algo que no vieron las autoridades, concentradas en las cifras macroeconómicas, pero sí lo vieron las personas de unos cincuenta o sesenta y tantos años que perdieron un empleo de treinta dólares la hora con seguro médico y jubilación, y tuvieron que contentarse con conseguir otro empleo por la mitad del salario y pocas o nulas prestaciones sociales.</w:t>
      </w:r>
    </w:p>
    <w:p w:rsidR="000711BB" w:rsidRPr="00B420BC" w:rsidRDefault="000711BB" w:rsidP="000711BB">
      <w:pPr>
        <w:spacing w:line="240" w:lineRule="auto"/>
        <w:jc w:val="both"/>
        <w:rPr>
          <w:rFonts w:ascii="Times New Roman" w:hAnsi="Times New Roman"/>
          <w:sz w:val="24"/>
          <w:szCs w:val="24"/>
        </w:rPr>
      </w:pPr>
      <w:r w:rsidRPr="00B920C6">
        <w:rPr>
          <w:rFonts w:ascii="Times New Roman" w:hAnsi="Times New Roman"/>
          <w:b/>
          <w:color w:val="FF0000"/>
          <w:sz w:val="24"/>
          <w:szCs w:val="24"/>
          <w:u w:val="single"/>
        </w:rPr>
        <w:t>Las autoridades no pensaron en las víctimas de la globalización, porque no creyeron que fuera necesario: ya se encargaría el mercado de arreglarlo todo. El mercado no arregló nada, pero las autoridades no aprendieron</w:t>
      </w:r>
      <w:r w:rsidRPr="00B420BC">
        <w:rPr>
          <w:rFonts w:ascii="Times New Roman" w:hAnsi="Times New Roman"/>
          <w:sz w:val="24"/>
          <w:szCs w:val="24"/>
        </w:rPr>
        <w:t>. El éxito de las negociaciones para el Acuerdo Transpacífico el año pasado se debió, en parte, a la falta de introducción de medidas que protejan a los trabajadores estadounidenses.</w:t>
      </w:r>
    </w:p>
    <w:p w:rsidR="000711BB" w:rsidRPr="00B920C6" w:rsidRDefault="000711BB" w:rsidP="000711BB">
      <w:pPr>
        <w:spacing w:line="240" w:lineRule="auto"/>
        <w:jc w:val="both"/>
        <w:rPr>
          <w:rFonts w:ascii="Times New Roman" w:hAnsi="Times New Roman"/>
          <w:sz w:val="24"/>
          <w:szCs w:val="24"/>
          <w:u w:val="single"/>
        </w:rPr>
      </w:pPr>
      <w:r w:rsidRPr="00B420BC">
        <w:rPr>
          <w:rFonts w:ascii="Times New Roman" w:hAnsi="Times New Roman"/>
          <w:sz w:val="24"/>
          <w:szCs w:val="24"/>
        </w:rPr>
        <w:t xml:space="preserve">Una reacción antiglobalización similar ha surgido en México, donde tanto los elogios cuanto las críticas al NAFTA siempre han sido exageradas. </w:t>
      </w:r>
      <w:r w:rsidRPr="00B920C6">
        <w:rPr>
          <w:rFonts w:ascii="Times New Roman" w:hAnsi="Times New Roman"/>
          <w:sz w:val="24"/>
          <w:szCs w:val="24"/>
          <w:u w:val="single"/>
        </w:rPr>
        <w:t>El NAFTA trajo consigo el boom exportador que muchos proclamaron y predijeron, pero no consiguió frenar la migración hacia el norte. Volvió más competitivas a muchas empresas industriales y agrícolas mexicanas, pero sólo logró un aumento pequeño y transitorio de la inversión extranjera como porcentaje del PIB.</w:t>
      </w:r>
    </w:p>
    <w:p w:rsidR="000711BB" w:rsidRPr="00B920C6" w:rsidRDefault="000711BB" w:rsidP="000711BB">
      <w:pPr>
        <w:spacing w:line="240" w:lineRule="auto"/>
        <w:jc w:val="both"/>
        <w:rPr>
          <w:rFonts w:ascii="Times New Roman" w:hAnsi="Times New Roman"/>
          <w:sz w:val="24"/>
          <w:szCs w:val="24"/>
          <w:u w:val="single"/>
        </w:rPr>
      </w:pPr>
      <w:r w:rsidRPr="00B920C6">
        <w:rPr>
          <w:rFonts w:ascii="Times New Roman" w:hAnsi="Times New Roman"/>
          <w:sz w:val="24"/>
          <w:szCs w:val="24"/>
          <w:u w:val="single"/>
        </w:rPr>
        <w:t>Además, si bien el NAFTA obligó a México a encarar muchas reformas económicas necesarias y deseables, nunca cumplió la promesa de crecimiento: desde 1994, la tasa anual de crecimiento económico promedio no supera el 2,5% (poco para un mercado emergente), mientras que las cifras de productividad, empleo y remuneración salarial son igualmente decepcionantes.</w:t>
      </w:r>
    </w:p>
    <w:p w:rsidR="000711BB" w:rsidRPr="00B920C6" w:rsidRDefault="000711BB" w:rsidP="000711BB">
      <w:pPr>
        <w:spacing w:line="240" w:lineRule="auto"/>
        <w:jc w:val="both"/>
        <w:rPr>
          <w:rFonts w:ascii="Times New Roman" w:hAnsi="Times New Roman"/>
          <w:sz w:val="24"/>
          <w:szCs w:val="24"/>
          <w:u w:val="single"/>
        </w:rPr>
      </w:pPr>
      <w:r w:rsidRPr="00B920C6">
        <w:rPr>
          <w:rFonts w:ascii="Times New Roman" w:hAnsi="Times New Roman"/>
          <w:sz w:val="24"/>
          <w:szCs w:val="24"/>
          <w:u w:val="single"/>
        </w:rPr>
        <w:t>Después del NAFTA, nunca se implementaron las políticas necesarias para mitigar los efectos negativos de la globalización, por ejemplo, elevar el salario mínimo de los trabajadores fabriles. Hoy el país entero paga el precio, y los mexicanos no están contentos. Si bien la culpa de esta situación, en general mediocre, no es toda del NAFTA, este ayudó a que surgiera el sentimiento antisistema, que puede afectar el resultado de la elección general de 2018.</w:t>
      </w:r>
    </w:p>
    <w:p w:rsidR="000711BB" w:rsidRPr="00B920C6" w:rsidRDefault="000711BB" w:rsidP="000711BB">
      <w:pPr>
        <w:spacing w:line="240" w:lineRule="auto"/>
        <w:jc w:val="both"/>
        <w:rPr>
          <w:rFonts w:ascii="Times New Roman" w:hAnsi="Times New Roman"/>
          <w:b/>
          <w:color w:val="FF0000"/>
          <w:sz w:val="24"/>
          <w:szCs w:val="24"/>
          <w:u w:val="single"/>
        </w:rPr>
      </w:pPr>
      <w:r w:rsidRPr="00B920C6">
        <w:rPr>
          <w:rFonts w:ascii="Times New Roman" w:hAnsi="Times New Roman"/>
          <w:b/>
          <w:color w:val="FF0000"/>
          <w:sz w:val="24"/>
          <w:szCs w:val="24"/>
          <w:u w:val="single"/>
        </w:rPr>
        <w:t>La reacción popular contra el cambio disruptivo es inevitable, y a veces sirve de contrapeso a un liderazgo irreflexivo. La novedad hoy es la magnitud de la reacción en Europa y América del Norte, regiones que en opinión de muchos expertos y políticos estaban mejor preparadas que nunca para hacer frente al cambio. A juzgar por la reacción de los votantes en Gran Bretaña, Estados Unidos y México, ningún país está a salvo de los errores de sus líderes.</w:t>
      </w:r>
    </w:p>
    <w:p w:rsidR="000711BB" w:rsidRDefault="000711BB" w:rsidP="000711BB">
      <w:pPr>
        <w:spacing w:line="240" w:lineRule="auto"/>
        <w:jc w:val="both"/>
        <w:rPr>
          <w:rFonts w:ascii="Times New Roman" w:hAnsi="Times New Roman"/>
          <w:sz w:val="24"/>
          <w:szCs w:val="24"/>
        </w:rPr>
      </w:pPr>
      <w:r>
        <w:rPr>
          <w:rFonts w:ascii="Times New Roman" w:hAnsi="Times New Roman"/>
          <w:sz w:val="24"/>
          <w:szCs w:val="24"/>
        </w:rPr>
        <w:t>(</w:t>
      </w:r>
      <w:r w:rsidRPr="00B420BC">
        <w:rPr>
          <w:rFonts w:ascii="Times New Roman" w:hAnsi="Times New Roman"/>
          <w:sz w:val="24"/>
          <w:szCs w:val="24"/>
        </w:rPr>
        <w:t xml:space="preserve">Jorge G. Castañeda was Mexico’s Secretary of Foreign Affairs from 2000-2003, after joining with his ideological opponent, President Vicente Fox, to create the country’s </w:t>
      </w:r>
      <w:r w:rsidRPr="00B420BC">
        <w:rPr>
          <w:rFonts w:ascii="Times New Roman" w:hAnsi="Times New Roman"/>
          <w:sz w:val="24"/>
          <w:szCs w:val="24"/>
        </w:rPr>
        <w:lastRenderedPageBreak/>
        <w:t xml:space="preserve">first democratic government. He is currently Global Distinguished Professor of Politics and Latin American and </w:t>
      </w:r>
      <w:r>
        <w:rPr>
          <w:rFonts w:ascii="Times New Roman" w:hAnsi="Times New Roman"/>
          <w:sz w:val="24"/>
          <w:szCs w:val="24"/>
        </w:rPr>
        <w:t>Caribbean Studies at New York UN</w:t>
      </w:r>
      <w:r w:rsidRPr="00B420BC">
        <w:rPr>
          <w:rFonts w:ascii="Times New Roman" w:hAnsi="Times New Roman"/>
          <w:sz w:val="24"/>
          <w:szCs w:val="24"/>
        </w:rPr>
        <w:t>…</w:t>
      </w:r>
      <w:r>
        <w:rPr>
          <w:rFonts w:ascii="Times New Roman" w:hAnsi="Times New Roman"/>
          <w:sz w:val="24"/>
          <w:szCs w:val="24"/>
        </w:rPr>
        <w:t>)</w:t>
      </w:r>
    </w:p>
    <w:p w:rsidR="000711BB" w:rsidRPr="00125C3F" w:rsidRDefault="000711BB" w:rsidP="000711BB">
      <w:pPr>
        <w:pStyle w:val="NormalWeb"/>
        <w:shd w:val="clear" w:color="auto" w:fill="FFFFFF"/>
        <w:spacing w:after="0"/>
        <w:jc w:val="both"/>
        <w:textAlignment w:val="baseline"/>
        <w:rPr>
          <w:color w:val="1A1A1A"/>
        </w:rPr>
      </w:pPr>
      <w:r>
        <w:rPr>
          <w:color w:val="1A1A1A"/>
        </w:rPr>
        <w:t xml:space="preserve">- </w:t>
      </w:r>
      <w:r w:rsidRPr="00125C3F">
        <w:rPr>
          <w:color w:val="1A1A1A"/>
          <w:u w:val="single"/>
        </w:rPr>
        <w:t>El déficit estadounidense en explosión</w:t>
      </w:r>
      <w:r>
        <w:rPr>
          <w:color w:val="1A1A1A"/>
        </w:rPr>
        <w:t xml:space="preserve"> (Project Syndicate - </w:t>
      </w:r>
      <w:r>
        <w:rPr>
          <w:b/>
          <w:color w:val="1A1A1A"/>
        </w:rPr>
        <w:t>25</w:t>
      </w:r>
      <w:r w:rsidRPr="00125C3F">
        <w:rPr>
          <w:b/>
          <w:color w:val="1A1A1A"/>
        </w:rPr>
        <w:t>/7/16</w:t>
      </w:r>
      <w:r>
        <w:rPr>
          <w:color w:val="1A1A1A"/>
        </w:rPr>
        <w:t>)</w:t>
      </w:r>
    </w:p>
    <w:p w:rsidR="000711BB" w:rsidRPr="00E30171" w:rsidRDefault="000711BB" w:rsidP="000711BB">
      <w:pPr>
        <w:pStyle w:val="NormalWeb"/>
        <w:shd w:val="clear" w:color="auto" w:fill="FFFFFF"/>
        <w:spacing w:after="0"/>
        <w:jc w:val="both"/>
        <w:textAlignment w:val="baseline"/>
        <w:rPr>
          <w:color w:val="1A1A1A"/>
          <w:u w:val="single"/>
        </w:rPr>
      </w:pPr>
      <w:r>
        <w:rPr>
          <w:color w:val="1A1A1A"/>
        </w:rPr>
        <w:t>Cambridge.-</w:t>
      </w:r>
      <w:r w:rsidRPr="00125C3F">
        <w:rPr>
          <w:color w:val="1A1A1A"/>
        </w:rPr>
        <w:t xml:space="preserve"> </w:t>
      </w:r>
      <w:r w:rsidRPr="00E30171">
        <w:rPr>
          <w:color w:val="1A1A1A"/>
          <w:u w:val="single"/>
        </w:rPr>
        <w:t>Dos noticias sobre el presupuesto se constituyen en un triste recordatorio del peligroso estado en que se encuentra la política fiscal en Estados Unidos. La Oficina de Administración y Presupuesto del presidente Barack Obama anunció que el déficit del gobierno federal de este año fiscal se situará cerca de los $</w:t>
      </w:r>
      <w:r>
        <w:rPr>
          <w:color w:val="1A1A1A"/>
          <w:u w:val="single"/>
        </w:rPr>
        <w:t xml:space="preserve"> </w:t>
      </w:r>
      <w:r w:rsidRPr="00E30171">
        <w:rPr>
          <w:color w:val="1A1A1A"/>
          <w:u w:val="single"/>
        </w:rPr>
        <w:t>600</w:t>
      </w:r>
      <w:r>
        <w:rPr>
          <w:color w:val="1A1A1A"/>
          <w:u w:val="single"/>
        </w:rPr>
        <w:t>.000</w:t>
      </w:r>
      <w:r w:rsidRPr="00E30171">
        <w:rPr>
          <w:color w:val="1A1A1A"/>
          <w:u w:val="single"/>
        </w:rPr>
        <w:t xml:space="preserve"> millones de dólares, un aumento de $</w:t>
      </w:r>
      <w:r>
        <w:rPr>
          <w:color w:val="1A1A1A"/>
          <w:u w:val="single"/>
        </w:rPr>
        <w:t xml:space="preserve"> </w:t>
      </w:r>
      <w:r w:rsidRPr="00E30171">
        <w:rPr>
          <w:color w:val="1A1A1A"/>
          <w:u w:val="single"/>
        </w:rPr>
        <w:t>162</w:t>
      </w:r>
      <w:r>
        <w:rPr>
          <w:color w:val="1A1A1A"/>
          <w:u w:val="single"/>
        </w:rPr>
        <w:t>.000</w:t>
      </w:r>
      <w:r w:rsidRPr="00E30171">
        <w:rPr>
          <w:color w:val="1A1A1A"/>
          <w:u w:val="single"/>
        </w:rPr>
        <w:t xml:space="preserve"> millones de la cifra del año 2015, es decir un incremento de más del 35%.</w:t>
      </w:r>
      <w:r w:rsidRPr="00125C3F">
        <w:rPr>
          <w:color w:val="1A1A1A"/>
        </w:rPr>
        <w:t xml:space="preserve"> Además, el documento de Perspectiva Presupuestaria a Largo Plazo para el año que prepara la Oficina de Presupuestos del Congreso (CBO) proyecta que, </w:t>
      </w:r>
      <w:r w:rsidRPr="00E30171">
        <w:rPr>
          <w:color w:val="1A1A1A"/>
          <w:u w:val="single"/>
        </w:rPr>
        <w:t>si no hay cambios en la política fiscal, la deuda del gobierno federal aumentará del 75% al 86% del PIB en una década, y posteriormente, a un nivel record histórico del 141% hasta el año 2046, acercándose a los niveles que se registran en Italia, Portugal y Grecia.</w:t>
      </w:r>
    </w:p>
    <w:p w:rsidR="000711BB" w:rsidRPr="00E30171" w:rsidRDefault="000711BB" w:rsidP="000711BB">
      <w:pPr>
        <w:pStyle w:val="NormalWeb"/>
        <w:shd w:val="clear" w:color="auto" w:fill="FFFFFF"/>
        <w:spacing w:after="0"/>
        <w:jc w:val="both"/>
        <w:textAlignment w:val="baseline"/>
        <w:rPr>
          <w:color w:val="1A1A1A"/>
          <w:u w:val="single"/>
        </w:rPr>
      </w:pPr>
      <w:r w:rsidRPr="00E30171">
        <w:rPr>
          <w:color w:val="1A1A1A"/>
          <w:u w:val="single"/>
        </w:rPr>
        <w:t>A pesar de que el ratio deuda-PIB de Estados Unidos se duplicó en la última década, el gobierno de Obama y el Congreso ignoraron el problema, centrándose en cambio en la caída del déficit anual desde el año 2012 y la relativa estabilidad del déficit como porcentaje del PIB.</w:t>
      </w:r>
      <w:r w:rsidRPr="00125C3F">
        <w:rPr>
          <w:color w:val="1A1A1A"/>
        </w:rPr>
        <w:t xml:space="preserve"> </w:t>
      </w:r>
      <w:r w:rsidRPr="00E30171">
        <w:rPr>
          <w:color w:val="1A1A1A"/>
          <w:u w:val="single"/>
        </w:rPr>
        <w:t>Ese progreso temporal refleja la recuperación económica y los votos en el Congreso a favor de limitar el gasto en programas militares y programas discrecionales no militares.</w:t>
      </w:r>
    </w:p>
    <w:p w:rsidR="000711BB" w:rsidRPr="00125C3F" w:rsidRDefault="000711BB" w:rsidP="000711BB">
      <w:pPr>
        <w:pStyle w:val="NormalWeb"/>
        <w:shd w:val="clear" w:color="auto" w:fill="FFFFFF"/>
        <w:spacing w:after="0"/>
        <w:jc w:val="both"/>
        <w:textAlignment w:val="baseline"/>
        <w:rPr>
          <w:color w:val="1A1A1A"/>
        </w:rPr>
      </w:pPr>
      <w:r w:rsidRPr="00125C3F">
        <w:rPr>
          <w:color w:val="1A1A1A"/>
        </w:rPr>
        <w:t xml:space="preserve">Pero, </w:t>
      </w:r>
      <w:r w:rsidRPr="00E30171">
        <w:rPr>
          <w:color w:val="1A1A1A"/>
          <w:u w:val="single"/>
        </w:rPr>
        <w:t xml:space="preserve">el aumento a largo </w:t>
      </w:r>
      <w:r>
        <w:rPr>
          <w:color w:val="1A1A1A"/>
          <w:u w:val="single"/>
        </w:rPr>
        <w:t>plazo de los déficits anuales -</w:t>
      </w:r>
      <w:r w:rsidRPr="00E30171">
        <w:rPr>
          <w:color w:val="1A1A1A"/>
          <w:u w:val="single"/>
        </w:rPr>
        <w:t>debido al envejecimiento de la población, el cambio de la tecnología médica, y el a</w:t>
      </w:r>
      <w:r>
        <w:rPr>
          <w:color w:val="1A1A1A"/>
          <w:u w:val="single"/>
        </w:rPr>
        <w:t>umento de las tasas de interés-</w:t>
      </w:r>
      <w:r w:rsidRPr="00E30171">
        <w:rPr>
          <w:color w:val="1A1A1A"/>
          <w:u w:val="single"/>
        </w:rPr>
        <w:t xml:space="preserve"> y el consiguiente aumento del ratio deuda-PIB fueron inevitables (y fueron claramente proyectados por la OBC y otras oficinas).</w:t>
      </w:r>
      <w:r w:rsidRPr="00125C3F">
        <w:rPr>
          <w:color w:val="1A1A1A"/>
        </w:rPr>
        <w:t xml:space="preserve"> El mayor número de personas estadounidenses de edad avanzada que son elegibles para recibir beneficios del Seguro Social impulsará los costos del programa desde el 4,9% del PIB este año al 6,3% del PIB durante los próximos 30 años. La mitad del aumento en el costo de los principales programas federales de atención de la salud, desde el 5,5% del PIB ahora al 8,9% en el año 2046, ocurrirá como resultado del incremento en la cantidad de beneficiarios de edad avanzada, y la otra mitad se deberá al costo adicional, impulsado por motivos tecnológicos, de brindar tratamiento a dichas personas.</w:t>
      </w:r>
    </w:p>
    <w:p w:rsidR="000711BB" w:rsidRPr="00E30171" w:rsidRDefault="000711BB" w:rsidP="000711BB">
      <w:pPr>
        <w:pStyle w:val="NormalWeb"/>
        <w:shd w:val="clear" w:color="auto" w:fill="FFFFFF"/>
        <w:spacing w:after="0"/>
        <w:jc w:val="both"/>
        <w:textAlignment w:val="baseline"/>
        <w:rPr>
          <w:color w:val="1A1A1A"/>
          <w:u w:val="single"/>
        </w:rPr>
      </w:pPr>
      <w:r w:rsidRPr="00E30171">
        <w:rPr>
          <w:color w:val="1A1A1A"/>
          <w:u w:val="single"/>
        </w:rPr>
        <w:t>La política monetaria no convencional de la Reserva Federal ha hecho bajar el costo de los intereses netos sobre la deuda federal a sólo 1,4% del PIB, a pesar del incremento en el volumen de la deuda. Pero a medida que las tasas de interés se normalicen y el volumen de la deuda crezca, se prevé que el costo del servicio de los intereses sobre la deuda nacional aumente a 5,8% del PIB.</w:t>
      </w:r>
    </w:p>
    <w:p w:rsidR="000711BB" w:rsidRPr="00125C3F" w:rsidRDefault="000711BB" w:rsidP="000711BB">
      <w:pPr>
        <w:pStyle w:val="NormalWeb"/>
        <w:shd w:val="clear" w:color="auto" w:fill="FFFFFF"/>
        <w:spacing w:after="0"/>
        <w:jc w:val="both"/>
        <w:textAlignment w:val="baseline"/>
        <w:rPr>
          <w:color w:val="1A1A1A"/>
        </w:rPr>
      </w:pPr>
      <w:r w:rsidRPr="00125C3F">
        <w:rPr>
          <w:color w:val="1A1A1A"/>
        </w:rPr>
        <w:t>Ese costo proyectado de los intereses podría llegar a ser mucho menor de lo que en realidad sería si el resto del pronóstico del déficit y de la deuda resultarían ser correctos. Si se tiene una deuda federal de 141% del PIB, ese costo de intereses en un nivel de 5,8% del PIB implica una tasa de interés nominal promedio de sólo el 4% y, teniendo en cuenta la proyección de inflación de la CBO, se alcanzaría una tasa de in</w:t>
      </w:r>
      <w:r>
        <w:rPr>
          <w:color w:val="1A1A1A"/>
        </w:rPr>
        <w:t>terés real de alrededor del 2% -</w:t>
      </w:r>
      <w:r w:rsidRPr="00125C3F">
        <w:rPr>
          <w:color w:val="1A1A1A"/>
        </w:rPr>
        <w:t xml:space="preserve"> similar a las tasas históricas cuando el ratio de deuda era inferior al 40% del PIB. Pero los inversores en bonos del Tesoro podrían exigir una tasa de interés </w:t>
      </w:r>
      <w:r w:rsidRPr="00125C3F">
        <w:rPr>
          <w:color w:val="1A1A1A"/>
        </w:rPr>
        <w:lastRenderedPageBreak/>
        <w:t>mucho más alta a cambio de incluir en sus portafolios títulos de deuda del gobierno de Estados Unidos. En ese caso, el costo de los intereses y la deuda serían mucho mayores.</w:t>
      </w:r>
    </w:p>
    <w:p w:rsidR="000711BB" w:rsidRPr="00125C3F" w:rsidRDefault="000711BB" w:rsidP="000711BB">
      <w:pPr>
        <w:pStyle w:val="NormalWeb"/>
        <w:shd w:val="clear" w:color="auto" w:fill="FFFFFF"/>
        <w:spacing w:after="0"/>
        <w:jc w:val="both"/>
        <w:textAlignment w:val="baseline"/>
        <w:rPr>
          <w:color w:val="1A1A1A"/>
        </w:rPr>
      </w:pPr>
      <w:r w:rsidRPr="00125C3F">
        <w:rPr>
          <w:color w:val="1A1A1A"/>
        </w:rPr>
        <w:t>El hecho de que más de la mitad de la deuda del gobierno estadounidense que se cotiza en bolsa está ahora en poder de inversores extranjeros podría hacer que la tasa de interés sea aún más sensible con relación al tamaño relativo de la deuda. Los inversores extranjeros podrían temer que el gobierno adopte políticas que reduzcan el valor real de los títulos valor que dichos inversores mantienen en su poder. Si bien el gobierno de Estados Unidos nunca entraría en moratoria de forma explícita, podría adoptar políticas tales como la deducción de impuestos sobre la renta con relación a los pagos de intereses, lo que pondría en desventaja a los titulares extranjeros de su deuda y disminuiría el valor de los bonos. Además, los inversores extranjeros podrían temer que niveles muy altos de deuda podrían conducir a una política monetaria inflacionaria, que depreciaría el valor del dólar y bajaría el valor real de sus bonos.</w:t>
      </w:r>
    </w:p>
    <w:p w:rsidR="000711BB" w:rsidRPr="00125C3F" w:rsidRDefault="000711BB" w:rsidP="000711BB">
      <w:pPr>
        <w:pStyle w:val="NormalWeb"/>
        <w:shd w:val="clear" w:color="auto" w:fill="FFFFFF"/>
        <w:spacing w:after="0"/>
        <w:jc w:val="both"/>
        <w:textAlignment w:val="baseline"/>
        <w:rPr>
          <w:color w:val="1A1A1A"/>
        </w:rPr>
      </w:pPr>
      <w:r w:rsidRPr="00125C3F">
        <w:rPr>
          <w:color w:val="1A1A1A"/>
        </w:rPr>
        <w:t>Aquí se encuentra una implicación sorprendente e inquietante relativa a los pronósticos de la CBO. Hasta el año 2046, los desembolsos proyectados para los programas de ayuda social “obligatorios” (Seguridad Social y los principales programas de salud), más los intereses sobre la deuda, absorberían fondos en niveles que superarían todos los ingresos que el gobierno recaudaría con las tasas de impuestos actuales. Un déficit pequeño (1,6% del PIB) surgiría incluso antes de que se gaste en programas militares y otros  programas “discrecionales” que asignan fondos anualmente.</w:t>
      </w:r>
    </w:p>
    <w:p w:rsidR="000711BB" w:rsidRPr="00125C3F" w:rsidRDefault="000711BB" w:rsidP="000711BB">
      <w:pPr>
        <w:pStyle w:val="NormalWeb"/>
        <w:shd w:val="clear" w:color="auto" w:fill="FFFFFF"/>
        <w:spacing w:after="0"/>
        <w:jc w:val="both"/>
        <w:textAlignment w:val="baseline"/>
        <w:rPr>
          <w:color w:val="1A1A1A"/>
        </w:rPr>
      </w:pPr>
      <w:r w:rsidRPr="00593E64">
        <w:rPr>
          <w:color w:val="1A1A1A"/>
          <w:u w:val="single"/>
        </w:rPr>
        <w:t>No hay manera de compensar el crecimiento de los programas obligatorios al ralentizar el crecimiento de los gastos militares y otros gastos discrecionales</w:t>
      </w:r>
      <w:r w:rsidRPr="00125C3F">
        <w:rPr>
          <w:color w:val="1A1A1A"/>
        </w:rPr>
        <w:t xml:space="preserve">. </w:t>
      </w:r>
      <w:r w:rsidRPr="00593E64">
        <w:rPr>
          <w:color w:val="1A1A1A"/>
          <w:u w:val="single"/>
        </w:rPr>
        <w:t>El gasto militar total en la actualidad es sólo un 3,2% del PIB y se espera que disminuya a un 2,6% en el transcurso de los próximos diez años y permanezca en ese nivel durante los próximos 20 años. Ese sería el porcentaje más bajo de gastos militares como porcentaje del PIB desde antes de la Segunda Guerra Mundial</w:t>
      </w:r>
      <w:r w:rsidRPr="00125C3F">
        <w:rPr>
          <w:color w:val="1A1A1A"/>
        </w:rPr>
        <w:t>. Se proyecta la misma reducción para todos los programas discrecionales no militares, que también alcanzarían un nivel mínimo histórico como porcentaje del PIB.</w:t>
      </w:r>
    </w:p>
    <w:p w:rsidR="000711BB" w:rsidRPr="00125C3F" w:rsidRDefault="000711BB" w:rsidP="000711BB">
      <w:pPr>
        <w:pStyle w:val="NormalWeb"/>
        <w:shd w:val="clear" w:color="auto" w:fill="FFFFFF"/>
        <w:spacing w:after="0"/>
        <w:jc w:val="both"/>
        <w:textAlignment w:val="baseline"/>
        <w:rPr>
          <w:color w:val="1A1A1A"/>
        </w:rPr>
      </w:pPr>
      <w:r w:rsidRPr="00125C3F">
        <w:rPr>
          <w:color w:val="1A1A1A"/>
        </w:rPr>
        <w:t>El punto positivo en este cuadro triste es que no tomaría mucho en términos de reducciones del déficit anual evitar el aumento del ratio de deuda, o incluso hacer que dicho ratio regrese al nivel donde estaba hace una década. Reducir el déficit anual en un 1,7% del PIB mediante cualquier combinación de reducción de gastos e ingresos más altos evitaría, si se inicia en el año 2017, un aumento del actual ratio deuda-PIB del 75%. Y, reducir el déficit en un 3% al año revertiría la trayectoria de la deuda y la traería de regreso al nivel donde estaba en las décadas anteriores a la recesión.</w:t>
      </w:r>
    </w:p>
    <w:p w:rsidR="000711BB" w:rsidRDefault="000711BB" w:rsidP="000711BB">
      <w:pPr>
        <w:pStyle w:val="NormalWeb"/>
        <w:shd w:val="clear" w:color="auto" w:fill="FFFFFF"/>
        <w:spacing w:before="0" w:beforeAutospacing="0" w:after="0" w:afterAutospacing="0"/>
        <w:jc w:val="both"/>
        <w:textAlignment w:val="baseline"/>
        <w:rPr>
          <w:color w:val="1A1A1A"/>
        </w:rPr>
      </w:pPr>
      <w:r w:rsidRPr="00593E64">
        <w:rPr>
          <w:color w:val="1A1A1A"/>
          <w:u w:val="single"/>
        </w:rPr>
        <w:t>Ninguno de los candidatos presidenciales ha indicado ya sea un plan o una inclinación para revertir el aumento previsto de la deuda nacional</w:t>
      </w:r>
      <w:r w:rsidRPr="00125C3F">
        <w:rPr>
          <w:color w:val="1A1A1A"/>
        </w:rPr>
        <w:t>. Sin embargo, esta debe ser una prioridad principal para quien vaya a ser el nuevo inquilino de la Casa Blanca el próximo año. Dada la necesidad de actuar con rapidez con el propósito de evitar el peor de los escenarios, no existe excusa para esperar.</w:t>
      </w:r>
    </w:p>
    <w:p w:rsidR="000711BB" w:rsidRDefault="000711BB" w:rsidP="000711BB">
      <w:pPr>
        <w:pStyle w:val="NormalWeb"/>
        <w:shd w:val="clear" w:color="auto" w:fill="FFFFFF"/>
        <w:spacing w:before="0" w:beforeAutospacing="0" w:after="0" w:afterAutospacing="0"/>
        <w:jc w:val="both"/>
        <w:textAlignment w:val="baseline"/>
        <w:rPr>
          <w:color w:val="1A1A1A"/>
        </w:rPr>
      </w:pPr>
    </w:p>
    <w:p w:rsidR="000711BB" w:rsidRPr="00180750" w:rsidRDefault="000711BB" w:rsidP="000711BB">
      <w:pPr>
        <w:spacing w:line="240" w:lineRule="auto"/>
        <w:jc w:val="both"/>
        <w:rPr>
          <w:rFonts w:ascii="Times New Roman" w:hAnsi="Times New Roman" w:cs="Times New Roman"/>
          <w:sz w:val="24"/>
          <w:szCs w:val="24"/>
        </w:rPr>
      </w:pPr>
      <w:r w:rsidRPr="00180750">
        <w:rPr>
          <w:rFonts w:ascii="Times New Roman" w:hAnsi="Times New Roman" w:cs="Times New Roman"/>
          <w:color w:val="1A1A1A"/>
          <w:sz w:val="24"/>
          <w:szCs w:val="24"/>
        </w:rPr>
        <w:t>(Martin Feldstein, Professor of Economics at Harvard University and President Emeritus of the National Bureau of Economic Research, chaired President Ronald Reagan’s Council of Economic Advisers from 1982 to 1984. In 2006, he was appointed to President Bush's Foreign Intelligence Advisory Board</w:t>
      </w:r>
      <w:r>
        <w:rPr>
          <w:rFonts w:ascii="Times New Roman" w:hAnsi="Times New Roman" w:cs="Times New Roman"/>
          <w:color w:val="1A1A1A"/>
          <w:sz w:val="24"/>
          <w:szCs w:val="24"/>
        </w:rPr>
        <w:t>…)</w:t>
      </w:r>
    </w:p>
    <w:p w:rsidR="000711BB" w:rsidRPr="002F4D48" w:rsidRDefault="000711BB" w:rsidP="000711BB">
      <w:pPr>
        <w:pStyle w:val="NormalWeb"/>
        <w:shd w:val="clear" w:color="auto" w:fill="FFFFFF"/>
        <w:spacing w:after="0"/>
        <w:jc w:val="both"/>
        <w:textAlignment w:val="baseline"/>
        <w:rPr>
          <w:color w:val="1A1A1A"/>
        </w:rPr>
      </w:pPr>
      <w:r w:rsidRPr="002F4D48">
        <w:rPr>
          <w:color w:val="1A1A1A"/>
        </w:rPr>
        <w:lastRenderedPageBreak/>
        <w:t xml:space="preserve">- </w:t>
      </w:r>
      <w:r w:rsidRPr="002F4D48">
        <w:rPr>
          <w:color w:val="1A1A1A"/>
          <w:u w:val="single"/>
        </w:rPr>
        <w:t>Crecer en tiempos turbulentos</w:t>
      </w:r>
      <w:r w:rsidRPr="002F4D48">
        <w:rPr>
          <w:color w:val="1A1A1A"/>
        </w:rPr>
        <w:t xml:space="preserve"> (Project Syndicate - </w:t>
      </w:r>
      <w:r w:rsidRPr="002F4D48">
        <w:rPr>
          <w:b/>
          <w:color w:val="1A1A1A"/>
        </w:rPr>
        <w:t>27/7/16</w:t>
      </w:r>
      <w:r w:rsidRPr="002F4D48">
        <w:rPr>
          <w:color w:val="1A1A1A"/>
        </w:rPr>
        <w:t>)</w:t>
      </w:r>
    </w:p>
    <w:p w:rsidR="000711BB" w:rsidRPr="00CC4939" w:rsidRDefault="000711BB" w:rsidP="000711BB">
      <w:pPr>
        <w:pStyle w:val="NormalWeb"/>
        <w:shd w:val="clear" w:color="auto" w:fill="FFFFFF"/>
        <w:spacing w:after="0"/>
        <w:jc w:val="both"/>
        <w:textAlignment w:val="baseline"/>
        <w:rPr>
          <w:color w:val="1A1A1A"/>
          <w:u w:val="single"/>
        </w:rPr>
      </w:pPr>
      <w:r w:rsidRPr="00125C3F">
        <w:rPr>
          <w:color w:val="1A1A1A"/>
        </w:rPr>
        <w:t>F</w:t>
      </w:r>
      <w:r>
        <w:rPr>
          <w:color w:val="1A1A1A"/>
        </w:rPr>
        <w:t xml:space="preserve">ort Lauderdale, Florida.- </w:t>
      </w:r>
      <w:r w:rsidRPr="00CC4939">
        <w:rPr>
          <w:color w:val="1A1A1A"/>
          <w:u w:val="single"/>
        </w:rPr>
        <w:t>Los países en desarrollo se enfrentan a importantes obstáculos para lograr un crecimiento alto y sostenido, sobre muchos de los cuales no tienen control.</w:t>
      </w:r>
      <w:r w:rsidRPr="00125C3F">
        <w:rPr>
          <w:color w:val="1A1A1A"/>
        </w:rPr>
        <w:t xml:space="preserve"> Además de los vientos de cola que genera el lento crecimiento de las economías avanzadas y las inusuales condiciones monetarias y financieras posteriores a la crisis, están </w:t>
      </w:r>
      <w:r w:rsidRPr="00CC4939">
        <w:rPr>
          <w:color w:val="1A1A1A"/>
          <w:u w:val="single"/>
        </w:rPr>
        <w:t>los efectos perturbadores de la tecnología digital, que inevitablemente afectarán la ventaja comparativa de las economías en desarrollo para las actividades manufactureras que requieren mucha mano de obra. Ya que es imposible que estas tendencias se reviertan, la única opción es adaptarse.</w:t>
      </w:r>
    </w:p>
    <w:p w:rsidR="000711BB" w:rsidRPr="00125C3F" w:rsidRDefault="000711BB" w:rsidP="000711BB">
      <w:pPr>
        <w:pStyle w:val="NormalWeb"/>
        <w:shd w:val="clear" w:color="auto" w:fill="FFFFFF"/>
        <w:spacing w:after="0"/>
        <w:jc w:val="both"/>
        <w:textAlignment w:val="baseline"/>
        <w:rPr>
          <w:color w:val="1A1A1A"/>
        </w:rPr>
      </w:pPr>
      <w:r w:rsidRPr="00CC4939">
        <w:rPr>
          <w:color w:val="1A1A1A"/>
          <w:u w:val="single"/>
        </w:rPr>
        <w:t>La robótica ya ha hecho avances importantes en el ensamblado de productos electrónicos, y es probable que ahora sea el turno de los oficios de coser, que tradicionalmente han sido el primer punto de entrada de muchos países al sistema comercial mundial. A medida que prosiga esta tendencia, irá desapareciendo el imperativo de crear cadenas de suministro basadas en la ubicación de mano de obra relativamente fija y barata, y la producción se acercará al mercado final</w:t>
      </w:r>
      <w:r w:rsidRPr="00125C3F">
        <w:rPr>
          <w:color w:val="1A1A1A"/>
        </w:rPr>
        <w:t>. Por ejemplo, Adidas ya está construyendo una fábrica en Alemania para la producción robótica de calzado deportivo de alta gama, y tiene planes de abrir otra en Estados Unidos.</w:t>
      </w:r>
    </w:p>
    <w:p w:rsidR="000711BB" w:rsidRPr="00CC4939" w:rsidRDefault="000711BB" w:rsidP="000711BB">
      <w:pPr>
        <w:pStyle w:val="NormalWeb"/>
        <w:shd w:val="clear" w:color="auto" w:fill="FFFFFF"/>
        <w:spacing w:after="0"/>
        <w:jc w:val="both"/>
        <w:textAlignment w:val="baseline"/>
        <w:rPr>
          <w:color w:val="1A1A1A"/>
          <w:u w:val="single"/>
        </w:rPr>
      </w:pPr>
      <w:r w:rsidRPr="00CC4939">
        <w:rPr>
          <w:color w:val="1A1A1A"/>
          <w:u w:val="single"/>
        </w:rPr>
        <w:t>Considerando lo anterior, los países en desarrollo deben tomar medidas hoy para adaptar sus estrategias de crecimiento e incluir en su marco de acción los siguientes factores clave.</w:t>
      </w:r>
    </w:p>
    <w:p w:rsidR="000711BB" w:rsidRPr="00CC4939" w:rsidRDefault="000711BB" w:rsidP="000711BB">
      <w:pPr>
        <w:pStyle w:val="NormalWeb"/>
        <w:shd w:val="clear" w:color="auto" w:fill="FFFFFF"/>
        <w:spacing w:after="0"/>
        <w:jc w:val="both"/>
        <w:textAlignment w:val="baseline"/>
        <w:rPr>
          <w:color w:val="FF0000"/>
          <w:u w:val="single"/>
        </w:rPr>
      </w:pPr>
      <w:r w:rsidRPr="00CC4939">
        <w:rPr>
          <w:color w:val="FF0000"/>
          <w:u w:val="single"/>
        </w:rPr>
        <w:t>Primeramente, es probable que persistan los problemas en las economías avanzadas, como el lento crecimiento económico o la incertidumbre política, afectando por largo tiempo el potencial de crecimiento en otros países. En tal contexto, los países en desarrollo no deben sucumbir a la tentación de intentar estimular la demanda por medios insostenibles, como por ejemplo un endeudamiento excesivo.</w:t>
      </w:r>
    </w:p>
    <w:p w:rsidR="000711BB" w:rsidRPr="00E30171" w:rsidRDefault="000711BB" w:rsidP="000711BB">
      <w:pPr>
        <w:pStyle w:val="NormalWeb"/>
        <w:shd w:val="clear" w:color="auto" w:fill="FFFFFF"/>
        <w:spacing w:after="0"/>
        <w:jc w:val="both"/>
        <w:textAlignment w:val="baseline"/>
        <w:rPr>
          <w:color w:val="1A1A1A"/>
          <w:u w:val="single"/>
        </w:rPr>
      </w:pPr>
      <w:r w:rsidRPr="00E30171">
        <w:rPr>
          <w:color w:val="1A1A1A"/>
          <w:u w:val="single"/>
        </w:rPr>
        <w:t>En lugar de ello, los países en desarrollo, en particular aquellos que se encuentran en etapas más tempranas de desarrollo económico, deben buscar nuevos mercados externos para sus productos mediante la maximización de las oportunidades de comercio con sus contrapartes en el mundo en desarrollo, muchas de los cuales tienen un importante poder de compra. Si bien no hay duda de que esa demanda no reemplazará por completo la caída de la demanda de los países avanzados, sí puede ayudar a amortiguar el golpe.</w:t>
      </w:r>
    </w:p>
    <w:p w:rsidR="000711BB" w:rsidRPr="00E30171" w:rsidRDefault="000711BB" w:rsidP="000711BB">
      <w:pPr>
        <w:pStyle w:val="NormalWeb"/>
        <w:shd w:val="clear" w:color="auto" w:fill="FFFFFF"/>
        <w:spacing w:after="0"/>
        <w:jc w:val="both"/>
        <w:textAlignment w:val="baseline"/>
        <w:rPr>
          <w:color w:val="FF0000"/>
          <w:u w:val="single"/>
        </w:rPr>
      </w:pPr>
      <w:r w:rsidRPr="00E30171">
        <w:rPr>
          <w:color w:val="FF0000"/>
          <w:u w:val="single"/>
        </w:rPr>
        <w:t>Segundo, la inversión, sea pública o privada, sigue siendo un potente motor del crecimiento. En las economías con exceso de capacidad productiva, la inversión con objetivos puede ser doblemente beneficiosa al generar demanda a corto plazo y estimular el crecimiento y las productividad tras ello. Por eso es necesario reducir, e incluso eliminar, las limitaciones a aquella inversión que prometa altos retornos sociales y privados.</w:t>
      </w:r>
    </w:p>
    <w:p w:rsidR="000711BB" w:rsidRPr="00E30171" w:rsidRDefault="000711BB" w:rsidP="000711BB">
      <w:pPr>
        <w:pStyle w:val="NormalWeb"/>
        <w:shd w:val="clear" w:color="auto" w:fill="FFFFFF"/>
        <w:spacing w:after="0"/>
        <w:jc w:val="both"/>
        <w:textAlignment w:val="baseline"/>
        <w:rPr>
          <w:color w:val="1A1A1A"/>
          <w:u w:val="single"/>
        </w:rPr>
      </w:pPr>
      <w:r w:rsidRPr="00E30171">
        <w:rPr>
          <w:color w:val="1A1A1A"/>
          <w:u w:val="single"/>
        </w:rPr>
        <w:t>Este tipo de inversión se debería financiar principalmente con ahorro interno, aunque también con algo de endeudamiento. Al menos en parte, las inversiones estables y  largo plazo pueden recibir financiación de instituciones de desarrollo internacional.</w:t>
      </w:r>
    </w:p>
    <w:p w:rsidR="000711BB" w:rsidRPr="00E30171" w:rsidRDefault="000711BB" w:rsidP="000711BB">
      <w:pPr>
        <w:pStyle w:val="NormalWeb"/>
        <w:shd w:val="clear" w:color="auto" w:fill="FFFFFF"/>
        <w:spacing w:after="0"/>
        <w:jc w:val="both"/>
        <w:textAlignment w:val="baseline"/>
        <w:rPr>
          <w:color w:val="FF0000"/>
          <w:u w:val="single"/>
        </w:rPr>
      </w:pPr>
      <w:r w:rsidRPr="00E30171">
        <w:rPr>
          <w:color w:val="FF0000"/>
          <w:u w:val="single"/>
        </w:rPr>
        <w:t xml:space="preserve">En tercer lugar, es fundamental administrar la cuenta de capitales de modo que proteja y mejore el potencial de crecimiento de la economía real. Es fácil que la entrada de altos </w:t>
      </w:r>
      <w:r w:rsidRPr="00E30171">
        <w:rPr>
          <w:color w:val="FF0000"/>
          <w:u w:val="single"/>
        </w:rPr>
        <w:lastRenderedPageBreak/>
        <w:t>volúmenes de capital desde países con bajas tasas de interés eleve los tipos de cambio y genere presión sobre el área comercial de la economía. Al mismo tiempo, el riesgo aumenta ante la perspectiva de que se revierta el flujo de capitales, desincentivando la inversión y elevando la posibilidad de que se produzcan acontecimientos que restrinjan el crédito de manera abrupta.</w:t>
      </w:r>
    </w:p>
    <w:p w:rsidR="000711BB" w:rsidRPr="00E30171" w:rsidRDefault="000711BB" w:rsidP="000711BB">
      <w:pPr>
        <w:pStyle w:val="NormalWeb"/>
        <w:shd w:val="clear" w:color="auto" w:fill="FFFFFF"/>
        <w:spacing w:after="0"/>
        <w:jc w:val="both"/>
        <w:textAlignment w:val="baseline"/>
        <w:rPr>
          <w:color w:val="1A1A1A"/>
          <w:u w:val="single"/>
        </w:rPr>
      </w:pPr>
      <w:r w:rsidRPr="00E30171">
        <w:rPr>
          <w:color w:val="1A1A1A"/>
          <w:u w:val="single"/>
        </w:rPr>
        <w:t>En este contexto, los controles de capital selectivos y una cuidadosa gestión de las reservas pueden ayudar a estabilizar la balanza de pagos y asegurar que los términos en que se lleve a cabo el comercio no cambien a un ritmo tan rápido que el aumento de la productividad no pueda compensarlo. De hecho, los países en desarrollo exitosos impulsaban tales políticas incluso antes de que ocurriera la crisis económica global.</w:t>
      </w:r>
    </w:p>
    <w:p w:rsidR="000711BB" w:rsidRPr="00125C3F" w:rsidRDefault="000711BB" w:rsidP="000711BB">
      <w:pPr>
        <w:pStyle w:val="NormalWeb"/>
        <w:shd w:val="clear" w:color="auto" w:fill="FFFFFF"/>
        <w:spacing w:after="0"/>
        <w:jc w:val="both"/>
        <w:textAlignment w:val="baseline"/>
        <w:rPr>
          <w:color w:val="1A1A1A"/>
        </w:rPr>
      </w:pPr>
      <w:r w:rsidRPr="00E30171">
        <w:rPr>
          <w:color w:val="FF0000"/>
          <w:u w:val="single"/>
        </w:rPr>
        <w:t>Cuarto, se hace necesaria una mirada realista a la revolución digital. Por una parte, los países en desarrollo deben reconocer que, si bien está ocurriendo rápido, esta disrupción no volverá obsoletos sus modelos de crecimiento de la noche a la mañana</w:t>
      </w:r>
      <w:r w:rsidRPr="00125C3F">
        <w:rPr>
          <w:color w:val="1A1A1A"/>
        </w:rPr>
        <w:t>. El constante crecimiento y el aumento del ingreso de los hogares en China están creando oportunidades para las economías de menores ingresos en manufactura de bajo coste.</w:t>
      </w:r>
    </w:p>
    <w:p w:rsidR="000711BB" w:rsidRPr="00E30171" w:rsidRDefault="000711BB" w:rsidP="000711BB">
      <w:pPr>
        <w:pStyle w:val="NormalWeb"/>
        <w:shd w:val="clear" w:color="auto" w:fill="FFFFFF"/>
        <w:spacing w:after="0"/>
        <w:jc w:val="both"/>
        <w:textAlignment w:val="baseline"/>
        <w:rPr>
          <w:color w:val="1A1A1A"/>
          <w:u w:val="single"/>
        </w:rPr>
      </w:pPr>
      <w:r w:rsidRPr="00E30171">
        <w:rPr>
          <w:color w:val="1A1A1A"/>
          <w:u w:val="single"/>
        </w:rPr>
        <w:t>Por otra parte, estos países deben aceptar la inevitabilidad de los cambios a sus modelos de desarrollo provocados por las tecnologías digitales. En vez de verlos como una amenaza e intentar resistirse a ellos, deberían ponerse a la vanguardia, adoptando innovaciones significativas. Esto implica invertir en la capacidad física y humana para sostener su uso.</w:t>
      </w:r>
    </w:p>
    <w:p w:rsidR="000711BB" w:rsidRPr="00125C3F" w:rsidRDefault="000711BB" w:rsidP="000711BB">
      <w:pPr>
        <w:pStyle w:val="NormalWeb"/>
        <w:shd w:val="clear" w:color="auto" w:fill="FFFFFF"/>
        <w:spacing w:after="0"/>
        <w:jc w:val="both"/>
        <w:textAlignment w:val="baseline"/>
        <w:rPr>
          <w:color w:val="1A1A1A"/>
        </w:rPr>
      </w:pPr>
      <w:r w:rsidRPr="00E30171">
        <w:rPr>
          <w:u w:val="single"/>
        </w:rPr>
        <w:t>Más allá de actualizar la manufactura, los países en desarrollo deberían ir preparándose para el cambio hacia el sector servicios que ocurrirá inevitablemente a medida que se eleven los ingresos (si bien es difícil predecir cuándo exactamente).</w:t>
      </w:r>
      <w:r w:rsidRPr="00E30171">
        <w:t xml:space="preserve"> </w:t>
      </w:r>
      <w:r w:rsidRPr="00125C3F">
        <w:rPr>
          <w:color w:val="1A1A1A"/>
        </w:rPr>
        <w:t>De hecho, deberían buscar maneras de aprovechar las oportunidades para impulsar su oferta de servicios, de manera muy similar a como lo han hecho India y Filipinas.</w:t>
      </w:r>
    </w:p>
    <w:p w:rsidR="000711BB" w:rsidRPr="00E30171" w:rsidRDefault="000711BB" w:rsidP="000711BB">
      <w:pPr>
        <w:pStyle w:val="NormalWeb"/>
        <w:shd w:val="clear" w:color="auto" w:fill="FFFFFF"/>
        <w:spacing w:after="0"/>
        <w:jc w:val="both"/>
        <w:textAlignment w:val="baseline"/>
        <w:rPr>
          <w:color w:val="FF0000"/>
          <w:u w:val="single"/>
        </w:rPr>
      </w:pPr>
      <w:r w:rsidRPr="00E30171">
        <w:rPr>
          <w:color w:val="FF0000"/>
          <w:u w:val="single"/>
        </w:rPr>
        <w:t>En quinto lugar, no se puede pasar por alto la distribución de las ganancias generadas por el crecimiento económico. Las economías avanzadas lo intentaron, y el resultado ha sido polarización política, el aumento del sentimiento antisistema, una menor coherencia entre las políticas y el debilitamiento de la cohesión social. En particular, en un ambiente de bajo crecimiento los países en desarrollo no se pueden permitir cometer el mismo error.</w:t>
      </w:r>
    </w:p>
    <w:p w:rsidR="000711BB" w:rsidRPr="00E30171" w:rsidRDefault="000711BB" w:rsidP="000711BB">
      <w:pPr>
        <w:pStyle w:val="NormalWeb"/>
        <w:shd w:val="clear" w:color="auto" w:fill="FFFFFF"/>
        <w:spacing w:after="0"/>
        <w:jc w:val="both"/>
        <w:textAlignment w:val="baseline"/>
        <w:rPr>
          <w:color w:val="FF0000"/>
          <w:u w:val="single"/>
        </w:rPr>
      </w:pPr>
      <w:r w:rsidRPr="00E30171">
        <w:rPr>
          <w:color w:val="FF0000"/>
          <w:u w:val="single"/>
        </w:rPr>
        <w:t>Sexto, es importante establecer desde temprano patrones de crecimiento sostenibles. Un enfoque “ecológico” no sólo estimularía un crecimiento adicional, sino que probablemente también mejoraría su calidad, por no mencionar las vidas de los ciudadanos. Más aún, en el largo plazo llevaría a una economía mucho más resistente.</w:t>
      </w:r>
    </w:p>
    <w:p w:rsidR="000711BB" w:rsidRPr="00E30171" w:rsidRDefault="000711BB" w:rsidP="000711BB">
      <w:pPr>
        <w:pStyle w:val="NormalWeb"/>
        <w:shd w:val="clear" w:color="auto" w:fill="FFFFFF"/>
        <w:spacing w:after="0"/>
        <w:jc w:val="both"/>
        <w:textAlignment w:val="baseline"/>
        <w:rPr>
          <w:color w:val="FF0000"/>
          <w:u w:val="single"/>
        </w:rPr>
      </w:pPr>
      <w:r w:rsidRPr="00E30171">
        <w:rPr>
          <w:color w:val="FF0000"/>
          <w:u w:val="single"/>
        </w:rPr>
        <w:t>Por último, las actividades de emprendimiento son vitales para hacer realidad este potencial económico. No se pueden dejar fuera de las estrategias de crecimiento las políticas que dan apoyo, tales como las que eliminan obstáculos a la creación de nuevas empresas y mejoran las oportunidades de financiación. Estas iniciativas pueden mejorarse si se abren canales a los flujos de información, ideas, experiencias y talentos.</w:t>
      </w:r>
    </w:p>
    <w:p w:rsidR="000711BB" w:rsidRPr="00E30171" w:rsidRDefault="000711BB" w:rsidP="000711BB">
      <w:pPr>
        <w:pStyle w:val="NormalWeb"/>
        <w:shd w:val="clear" w:color="auto" w:fill="FFFFFF"/>
        <w:spacing w:before="0" w:beforeAutospacing="0" w:after="0" w:afterAutospacing="0"/>
        <w:jc w:val="both"/>
        <w:textAlignment w:val="baseline"/>
        <w:rPr>
          <w:color w:val="1A1A1A"/>
          <w:u w:val="single"/>
        </w:rPr>
      </w:pPr>
      <w:r w:rsidRPr="00E30171">
        <w:rPr>
          <w:color w:val="1A1A1A"/>
          <w:u w:val="single"/>
        </w:rPr>
        <w:t xml:space="preserve">Es posible que las economías en desarrollo no tengan mucho control sobre las tendencias en contra que enfrentan hoy en día, pero eso no significa que sean </w:t>
      </w:r>
      <w:r w:rsidRPr="00E30171">
        <w:rPr>
          <w:color w:val="1A1A1A"/>
          <w:u w:val="single"/>
        </w:rPr>
        <w:lastRenderedPageBreak/>
        <w:t>impotentes. Se puede hacer mucho no sólo para sostener un crecimiento moderado, sino para apuntalar un futuro más próspero y sólido.</w:t>
      </w:r>
    </w:p>
    <w:p w:rsidR="000711BB" w:rsidRPr="00E30171" w:rsidRDefault="000711BB" w:rsidP="000711BB">
      <w:pPr>
        <w:pStyle w:val="NormalWeb"/>
        <w:shd w:val="clear" w:color="auto" w:fill="FFFFFF"/>
        <w:spacing w:before="0" w:beforeAutospacing="0" w:after="0" w:afterAutospacing="0"/>
        <w:jc w:val="both"/>
        <w:textAlignment w:val="baseline"/>
        <w:rPr>
          <w:color w:val="1A1A1A"/>
          <w:u w:val="single"/>
        </w:rPr>
      </w:pPr>
    </w:p>
    <w:p w:rsidR="000711BB" w:rsidRDefault="000711BB" w:rsidP="000711BB">
      <w:pPr>
        <w:pStyle w:val="NormalWeb"/>
        <w:shd w:val="clear" w:color="auto" w:fill="FFFFFF"/>
        <w:spacing w:before="0" w:beforeAutospacing="0" w:after="0" w:afterAutospacing="0"/>
        <w:jc w:val="both"/>
        <w:textAlignment w:val="baseline"/>
        <w:rPr>
          <w:color w:val="1A1A1A"/>
        </w:rPr>
      </w:pPr>
      <w:r>
        <w:rPr>
          <w:color w:val="1A1A1A"/>
        </w:rPr>
        <w:t>(</w:t>
      </w:r>
      <w:r w:rsidRPr="00125C3F">
        <w:rPr>
          <w:color w:val="1A1A1A"/>
        </w:rPr>
        <w:t>Michael Spence, a Nobel laureate in economics, is Professor of Economics at NYU’s Stern School of Business, Distinguished Visiting Fellow at the Council on Foreign Relations, Senior Fellow at the Hoover Institution at Stanford University, Academic Board Chairman of the Asia Global Institute in Hong</w:t>
      </w:r>
      <w:r>
        <w:rPr>
          <w:color w:val="1A1A1A"/>
        </w:rPr>
        <w:t xml:space="preserve"> Kong</w:t>
      </w:r>
      <w:r w:rsidRPr="00125C3F">
        <w:rPr>
          <w:color w:val="1A1A1A"/>
        </w:rPr>
        <w:t xml:space="preserve"> …</w:t>
      </w:r>
      <w:r>
        <w:rPr>
          <w:color w:val="1A1A1A"/>
        </w:rPr>
        <w:t>)</w:t>
      </w:r>
    </w:p>
    <w:p w:rsidR="000711BB" w:rsidRPr="00125C3F" w:rsidRDefault="000711BB" w:rsidP="000711BB">
      <w:pPr>
        <w:pStyle w:val="NormalWeb"/>
        <w:shd w:val="clear" w:color="auto" w:fill="FFFFFF"/>
        <w:spacing w:after="0"/>
        <w:jc w:val="both"/>
        <w:textAlignment w:val="baseline"/>
        <w:rPr>
          <w:color w:val="1A1A1A"/>
        </w:rPr>
      </w:pPr>
      <w:r>
        <w:rPr>
          <w:color w:val="1A1A1A"/>
        </w:rPr>
        <w:t xml:space="preserve">- </w:t>
      </w:r>
      <w:r w:rsidRPr="00377BBC">
        <w:rPr>
          <w:color w:val="1A1A1A"/>
          <w:u w:val="single"/>
        </w:rPr>
        <w:t>Combatiendo la pobreza en Estados Unidos</w:t>
      </w:r>
      <w:r>
        <w:rPr>
          <w:color w:val="1A1A1A"/>
        </w:rPr>
        <w:t xml:space="preserve"> (Project Syndicate - </w:t>
      </w:r>
      <w:r>
        <w:rPr>
          <w:b/>
          <w:color w:val="1A1A1A"/>
        </w:rPr>
        <w:t>27</w:t>
      </w:r>
      <w:r w:rsidRPr="00125C3F">
        <w:rPr>
          <w:b/>
          <w:color w:val="1A1A1A"/>
        </w:rPr>
        <w:t>/7/16</w:t>
      </w:r>
      <w:r>
        <w:rPr>
          <w:color w:val="1A1A1A"/>
        </w:rPr>
        <w:t>)</w:t>
      </w:r>
    </w:p>
    <w:p w:rsidR="000711BB" w:rsidRPr="00125C3F" w:rsidRDefault="000711BB" w:rsidP="000711BB">
      <w:pPr>
        <w:pStyle w:val="NormalWeb"/>
        <w:shd w:val="clear" w:color="auto" w:fill="FFFFFF"/>
        <w:spacing w:after="0"/>
        <w:jc w:val="both"/>
        <w:textAlignment w:val="baseline"/>
        <w:rPr>
          <w:color w:val="1A1A1A"/>
        </w:rPr>
      </w:pPr>
      <w:r>
        <w:rPr>
          <w:color w:val="1A1A1A"/>
        </w:rPr>
        <w:t>Berkeley.-</w:t>
      </w:r>
      <w:r w:rsidRPr="00125C3F">
        <w:rPr>
          <w:color w:val="1A1A1A"/>
        </w:rPr>
        <w:t xml:space="preserve"> </w:t>
      </w:r>
      <w:r w:rsidRPr="00176112">
        <w:rPr>
          <w:color w:val="FF0000"/>
          <w:u w:val="single"/>
        </w:rPr>
        <w:t>De 2005 a 2014, el ingreso real de dos tercios de los hogares en 25 economías desarrolladas se mantuvo sin cambios, o incluso decayó.</w:t>
      </w:r>
      <w:r w:rsidRPr="00125C3F">
        <w:rPr>
          <w:color w:val="1A1A1A"/>
        </w:rPr>
        <w:t xml:space="preserve"> Sólo después de una intervención gubernamental muy agresiva en impuestos y transferencias algunos países lograron, por lo menos, que las familias no se vieran perjudicadas.</w:t>
      </w:r>
    </w:p>
    <w:p w:rsidR="000711BB" w:rsidRPr="00176112" w:rsidRDefault="000711BB" w:rsidP="000711BB">
      <w:pPr>
        <w:pStyle w:val="NormalWeb"/>
        <w:shd w:val="clear" w:color="auto" w:fill="FFFFFF"/>
        <w:spacing w:after="0"/>
        <w:jc w:val="both"/>
        <w:textAlignment w:val="baseline"/>
        <w:rPr>
          <w:color w:val="1A1A1A"/>
          <w:u w:val="single"/>
        </w:rPr>
      </w:pPr>
      <w:r w:rsidRPr="00176112">
        <w:rPr>
          <w:color w:val="1A1A1A"/>
          <w:u w:val="single"/>
        </w:rPr>
        <w:t>Esta experiencia conlleva lecciones para países como Estados Unidos, donde la desigualdad y la distribución de ingresos causan preocupación en vísperas de las elecciones presidenciales y parlamentarias de noviembre. ¿Qué puede aprender Estados Unidos de lo que funciona en otras partes?</w:t>
      </w:r>
    </w:p>
    <w:p w:rsidR="000711BB" w:rsidRPr="00176112" w:rsidRDefault="000711BB" w:rsidP="000711BB">
      <w:pPr>
        <w:pStyle w:val="NormalWeb"/>
        <w:shd w:val="clear" w:color="auto" w:fill="FFFFFF"/>
        <w:spacing w:after="0"/>
        <w:jc w:val="both"/>
        <w:textAlignment w:val="baseline"/>
        <w:rPr>
          <w:color w:val="FF0000"/>
          <w:u w:val="single"/>
        </w:rPr>
      </w:pPr>
      <w:r w:rsidRPr="00176112">
        <w:rPr>
          <w:color w:val="FF0000"/>
          <w:u w:val="single"/>
        </w:rPr>
        <w:t>Estados Unidos es un caso aparte a nivel global en lo que concierne a asociar gran parte de su red de seguridad social con el empleo. El gasto en previsión social promedia el 23% del PIB en Europa, pero apenas el 16% en Estados Unidos. Y Estados Unidos también está especialmente lejos del resto en lo que concierne a las familias: solamente otros tres países -Tonga, Surinam y Papúa Nueva Guinea- carecen de una política nacional para la licencia familiar paga.</w:t>
      </w:r>
    </w:p>
    <w:p w:rsidR="000711BB" w:rsidRPr="00125C3F" w:rsidRDefault="000711BB" w:rsidP="000711BB">
      <w:pPr>
        <w:pStyle w:val="NormalWeb"/>
        <w:shd w:val="clear" w:color="auto" w:fill="FFFFFF"/>
        <w:spacing w:after="0"/>
        <w:jc w:val="both"/>
        <w:textAlignment w:val="baseline"/>
        <w:rPr>
          <w:color w:val="1A1A1A"/>
        </w:rPr>
      </w:pPr>
      <w:r w:rsidRPr="00125C3F">
        <w:rPr>
          <w:color w:val="1A1A1A"/>
        </w:rPr>
        <w:t>Sin embargo, existen muchas iniciativas políticas exitosas en Estados Unidos. Por ejemplo, Pete Weber, un empresario retirado de Fresno y miembro del comité ejecutivo del Partido Republicano de California, está al frente de un movimiento nacional destinado a pensar de manera audaz en cómo sacar a las familias de la pobreza y lograr que sean autosuficientes.</w:t>
      </w:r>
    </w:p>
    <w:p w:rsidR="000711BB" w:rsidRPr="00125C3F" w:rsidRDefault="000711BB" w:rsidP="000711BB">
      <w:pPr>
        <w:pStyle w:val="NormalWeb"/>
        <w:shd w:val="clear" w:color="auto" w:fill="FFFFFF"/>
        <w:spacing w:after="0"/>
        <w:jc w:val="both"/>
        <w:textAlignment w:val="baseline"/>
        <w:rPr>
          <w:color w:val="1A1A1A"/>
        </w:rPr>
      </w:pPr>
      <w:r w:rsidRPr="00125C3F">
        <w:rPr>
          <w:color w:val="1A1A1A"/>
        </w:rPr>
        <w:t>La Fresno Bridge Academy, fundada por Weber en 2010, ha recibido elogios a nivel estatal y  nacional por sus resultados -no sólo su éxito con individuos carenciados, sino también su rentabilidad-. El programa consiste en una capacitación laboral de 18 meses que también ofrece servicios de apoyo para las familias -como clases de computación, asistencia para redactar un currículum vitae, clases de apoyo para la crianza de los hijos y clases particulares para niños- a través de Reading and Beyond, su organización paraguas sin fines de lucro.</w:t>
      </w:r>
    </w:p>
    <w:p w:rsidR="000711BB" w:rsidRPr="00125C3F" w:rsidRDefault="000711BB" w:rsidP="000711BB">
      <w:pPr>
        <w:pStyle w:val="NormalWeb"/>
        <w:shd w:val="clear" w:color="auto" w:fill="FFFFFF"/>
        <w:spacing w:after="0"/>
        <w:jc w:val="both"/>
        <w:textAlignment w:val="baseline"/>
        <w:rPr>
          <w:color w:val="1A1A1A"/>
        </w:rPr>
      </w:pPr>
      <w:r w:rsidRPr="00125C3F">
        <w:rPr>
          <w:color w:val="1A1A1A"/>
        </w:rPr>
        <w:t>Emplazado en el código postal más pobre de California, el programa ha ayudado a 1.200 familias que se inscribieron voluntariamente y cuenta con fondos para brindar servicio a otras 2.300 familias en los próximos dos años. Hasta la fecha, el 80% de las familias inscriptas ha obtenido un empleo o un crecimiento significativo de su salario, y el 80% de ellas conserva estos progresos un año más tarde. El 30% han logrado ser totalmente autosuficiente en el lapso de apenas 18 meses.</w:t>
      </w:r>
    </w:p>
    <w:p w:rsidR="000711BB" w:rsidRPr="00176112" w:rsidRDefault="000711BB" w:rsidP="000711BB">
      <w:pPr>
        <w:pStyle w:val="NormalWeb"/>
        <w:shd w:val="clear" w:color="auto" w:fill="FFFFFF"/>
        <w:spacing w:after="0"/>
        <w:jc w:val="both"/>
        <w:textAlignment w:val="baseline"/>
        <w:rPr>
          <w:color w:val="1A1A1A"/>
          <w:u w:val="single"/>
        </w:rPr>
      </w:pPr>
      <w:r w:rsidRPr="00176112">
        <w:rPr>
          <w:color w:val="1A1A1A"/>
          <w:u w:val="single"/>
        </w:rPr>
        <w:t xml:space="preserve">El esquema de Fresno, financiado por una subvención a la innovación del programa SNAP (anteriormente conocido como cupones para alimentos), es evaluado </w:t>
      </w:r>
      <w:r w:rsidRPr="00176112">
        <w:rPr>
          <w:color w:val="1A1A1A"/>
          <w:u w:val="single"/>
        </w:rPr>
        <w:lastRenderedPageBreak/>
        <w:t>cuantitativamente y en base a los resultados de manera rigurosa. El programa ha generado 22 dólares de beneficio por cada dólar invertido -16 dólares van a las familias y 5 dólares, a los contribuyentes (principalmente en concepto de mayores ingresos y menores desembolsos para cupones para alimentos).</w:t>
      </w:r>
    </w:p>
    <w:p w:rsidR="000711BB" w:rsidRPr="00125C3F" w:rsidRDefault="000711BB" w:rsidP="000711BB">
      <w:pPr>
        <w:pStyle w:val="NormalWeb"/>
        <w:shd w:val="clear" w:color="auto" w:fill="FFFFFF"/>
        <w:spacing w:after="0"/>
        <w:jc w:val="both"/>
        <w:textAlignment w:val="baseline"/>
        <w:rPr>
          <w:color w:val="1A1A1A"/>
        </w:rPr>
      </w:pPr>
      <w:r w:rsidRPr="00176112">
        <w:rPr>
          <w:color w:val="1A1A1A"/>
          <w:u w:val="single"/>
        </w:rPr>
        <w:t>Si bien las circunstancias en Fresno están asociadas especialmente a la economía agrícola local, Weber cree que el programa es escalable y ya lo está extendiendo a otros dos condados de California (San Joaquín y Napa).</w:t>
      </w:r>
      <w:r w:rsidRPr="00125C3F">
        <w:rPr>
          <w:color w:val="1A1A1A"/>
        </w:rPr>
        <w:t xml:space="preserve"> A través de una colaboración más amplia con la Cumbre Económica de California Forward, Weber está incorporando las lecciones aprendidas en Fresno en un esfuerzo para sacar a un millón de familias de la pobreza en el estado para 2025.</w:t>
      </w:r>
    </w:p>
    <w:p w:rsidR="000711BB" w:rsidRPr="00176112" w:rsidRDefault="000711BB" w:rsidP="000711BB">
      <w:pPr>
        <w:pStyle w:val="NormalWeb"/>
        <w:shd w:val="clear" w:color="auto" w:fill="FFFFFF"/>
        <w:spacing w:after="0"/>
        <w:jc w:val="both"/>
        <w:textAlignment w:val="baseline"/>
        <w:rPr>
          <w:color w:val="FF0000"/>
          <w:u w:val="single"/>
        </w:rPr>
      </w:pPr>
      <w:r w:rsidRPr="00176112">
        <w:rPr>
          <w:color w:val="1A1A1A"/>
          <w:u w:val="single"/>
        </w:rPr>
        <w:t>Las nuevas estrategias como la adoptada por la Fresno Bridge Academy llegan en un momento en el que tanto la izquierda como la derecha cuestionan los programas actuales para combatir la pobreza. Según algunas estimaciones, desde que el preside</w:t>
      </w:r>
      <w:r>
        <w:rPr>
          <w:color w:val="1A1A1A"/>
          <w:u w:val="single"/>
        </w:rPr>
        <w:t>nte Lyndon B. Johnson lanzó su “Guerra contra la pobreza”</w:t>
      </w:r>
      <w:r w:rsidRPr="00176112">
        <w:rPr>
          <w:color w:val="1A1A1A"/>
          <w:u w:val="single"/>
        </w:rPr>
        <w:t xml:space="preserve"> en 1964, el gasto total en esta materia superó los 22 billones de dólares. Sin embargo, no se registró mucho progreso. </w:t>
      </w:r>
      <w:r w:rsidRPr="00176112">
        <w:rPr>
          <w:color w:val="FF0000"/>
          <w:u w:val="single"/>
        </w:rPr>
        <w:t>La tasa de pobreza oficial en Estados Unidos parece atascada en alrededor del 15%.</w:t>
      </w:r>
    </w:p>
    <w:p w:rsidR="000711BB" w:rsidRPr="00125C3F" w:rsidRDefault="000711BB" w:rsidP="000711BB">
      <w:pPr>
        <w:pStyle w:val="NormalWeb"/>
        <w:shd w:val="clear" w:color="auto" w:fill="FFFFFF"/>
        <w:spacing w:after="0"/>
        <w:jc w:val="both"/>
        <w:textAlignment w:val="baseline"/>
        <w:rPr>
          <w:color w:val="1A1A1A"/>
        </w:rPr>
      </w:pPr>
      <w:r w:rsidRPr="00125C3F">
        <w:rPr>
          <w:color w:val="1A1A1A"/>
        </w:rPr>
        <w:t>En la derecha, la iniciativa Expanding Opportunity in America del presidente de la Cámara de Representantes de Estados Unidos, Paul Ryan, tiene la visión de que Estados Unidos ya gasta lo suficiente y sólo necesita gastar mejor. El plan de Ryan se cent</w:t>
      </w:r>
      <w:r>
        <w:rPr>
          <w:color w:val="1A1A1A"/>
        </w:rPr>
        <w:t>ra en integrar programas en un “subsidio de oportunidad”</w:t>
      </w:r>
      <w:r w:rsidRPr="00125C3F">
        <w:rPr>
          <w:color w:val="1A1A1A"/>
        </w:rPr>
        <w:t>, expandiendo el crédito por ingreso del trabajo (EITC, por su sigla en inglés), y una reforma de la justicia penal -a la vez que se estimula el crecimiento económico, de manera que el trabajo pesado recaiga en la creación de empleo.</w:t>
      </w:r>
    </w:p>
    <w:p w:rsidR="000711BB" w:rsidRPr="00125C3F" w:rsidRDefault="000711BB" w:rsidP="000711BB">
      <w:pPr>
        <w:pStyle w:val="NormalWeb"/>
        <w:shd w:val="clear" w:color="auto" w:fill="FFFFFF"/>
        <w:spacing w:after="0"/>
        <w:jc w:val="both"/>
        <w:textAlignment w:val="baseline"/>
        <w:rPr>
          <w:color w:val="1A1A1A"/>
        </w:rPr>
      </w:pPr>
      <w:r w:rsidRPr="00125C3F">
        <w:rPr>
          <w:color w:val="1A1A1A"/>
        </w:rPr>
        <w:t>En la izquierda, organizaciones como Opportunity Institute (aclaración: ambos integramos la junta de directores) defienden el gasto focalizado, particularmente en educación temprana, en asociar la universidad con las carreras, y en reducir la reincidencia criminal. La plataforma política de la candidata presidencial demócrata Hillary Clinton propone nuevos programas para abordar estas cuestiones, con un énfasis especial en la licencia familiar y en la educación de la infancia temprana y universitaria.</w:t>
      </w:r>
    </w:p>
    <w:p w:rsidR="000711BB" w:rsidRPr="00176112" w:rsidRDefault="000711BB" w:rsidP="000711BB">
      <w:pPr>
        <w:pStyle w:val="NormalWeb"/>
        <w:shd w:val="clear" w:color="auto" w:fill="FFFFFF"/>
        <w:spacing w:after="0"/>
        <w:jc w:val="both"/>
        <w:textAlignment w:val="baseline"/>
        <w:rPr>
          <w:color w:val="1A1A1A"/>
          <w:u w:val="single"/>
        </w:rPr>
      </w:pPr>
      <w:r w:rsidRPr="00176112">
        <w:rPr>
          <w:color w:val="1A1A1A"/>
          <w:u w:val="single"/>
        </w:rPr>
        <w:t xml:space="preserve">Muchos académicos -si no la mayoría- que han explorado el tema, como un esfuerzo conjunto de la Brookings Institution y el American Enterprise Institute, incluyen elementos de la izquierda y de la derecha, particularmente estrategias destinadas a fortalecer a las familias, mejorar la calidad y volumen del trabajo disponible y romper el ciclo de reincidencia. El EITC también cuenta con un amplio respaldo (más de las tres cuartas partes de los economistas encuestados por la American Economic Association apoyan su expansión). También existe un amplio consenso sobre la necesidad de una mejor evaluación cuantitativa de lo que da buenos resultados. </w:t>
      </w:r>
    </w:p>
    <w:p w:rsidR="000711BB" w:rsidRPr="00125C3F" w:rsidRDefault="000711BB" w:rsidP="000711BB">
      <w:pPr>
        <w:pStyle w:val="NormalWeb"/>
        <w:shd w:val="clear" w:color="auto" w:fill="FFFFFF"/>
        <w:spacing w:after="0"/>
        <w:jc w:val="both"/>
        <w:textAlignment w:val="baseline"/>
        <w:rPr>
          <w:color w:val="1A1A1A"/>
        </w:rPr>
      </w:pPr>
      <w:r w:rsidRPr="00176112">
        <w:rPr>
          <w:color w:val="1A1A1A"/>
          <w:u w:val="single"/>
        </w:rPr>
        <w:t>A otros, especialmente muchos en el mundo tecnológico de Silicon Valley y algunos en el movimiento laboral, les preocupa que la tecnología supere la creación de empleo y deje a muchos fuera de la fuerza laboral. Preferirían un ingreso básico universal (IBU, por su sigla en inglés), que rompería el vínculo entre empleo e ingreso</w:t>
      </w:r>
      <w:r w:rsidRPr="00125C3F">
        <w:rPr>
          <w:color w:val="1A1A1A"/>
        </w:rPr>
        <w:t>. Los ciudadanos suizos rechazaron rotundamente esa estrategia en un referendo reciente, pero la energía dedicada a estrategias más radicales para ayudar a quienes lo necesitan es bienvenida, aún si las especificidades del IBU y su costo todavía no han sido comprobadas.</w:t>
      </w:r>
    </w:p>
    <w:p w:rsidR="000711BB" w:rsidRPr="00176112" w:rsidRDefault="000711BB" w:rsidP="000711BB">
      <w:pPr>
        <w:pStyle w:val="NormalWeb"/>
        <w:shd w:val="clear" w:color="auto" w:fill="FFFFFF"/>
        <w:spacing w:after="0"/>
        <w:jc w:val="both"/>
        <w:textAlignment w:val="baseline"/>
        <w:rPr>
          <w:color w:val="1A1A1A"/>
          <w:u w:val="single"/>
        </w:rPr>
      </w:pPr>
      <w:r w:rsidRPr="00176112">
        <w:rPr>
          <w:color w:val="1A1A1A"/>
          <w:u w:val="single"/>
        </w:rPr>
        <w:lastRenderedPageBreak/>
        <w:t>Ejemplos como Bridge Academy -y otros, como el Federal Home Visiting Program- demuestran que las iniciativas profundamente arraigadas y adaptadas a las necesidades de las comunidades en las que se aplican, y que están impulsadas por la evidencia de resultados efectivos, pueden funcionar. Desafortunadamente, muchas veces adoptamos la estrategia opuesta: programas nacionales generalistas sin ningún énfasis en los resultados.</w:t>
      </w:r>
    </w:p>
    <w:p w:rsidR="000711BB" w:rsidRPr="00176112" w:rsidRDefault="000711BB" w:rsidP="000711BB">
      <w:pPr>
        <w:pStyle w:val="NormalWeb"/>
        <w:shd w:val="clear" w:color="auto" w:fill="FFFFFF"/>
        <w:spacing w:after="0"/>
        <w:jc w:val="both"/>
        <w:textAlignment w:val="baseline"/>
        <w:rPr>
          <w:color w:val="1A1A1A"/>
          <w:u w:val="single"/>
        </w:rPr>
      </w:pPr>
      <w:r w:rsidRPr="00176112">
        <w:rPr>
          <w:color w:val="1A1A1A"/>
          <w:u w:val="single"/>
        </w:rPr>
        <w:t xml:space="preserve">Consideremos el Servicio de Alimentos y Nutrición del Departamento de Agricultura de Estados Unidos. Aproximadamente el 88% de su gasto anual de 82.000 millones de dólares está destinado </w:t>
      </w:r>
      <w:r>
        <w:rPr>
          <w:color w:val="1A1A1A"/>
          <w:u w:val="single"/>
        </w:rPr>
        <w:t>a ayuda directa (SNAP, o “cupones para alimentos”</w:t>
      </w:r>
      <w:r w:rsidRPr="00176112">
        <w:rPr>
          <w:color w:val="1A1A1A"/>
          <w:u w:val="single"/>
        </w:rPr>
        <w:t>), mientras que apenas el 0,33% está destinado a brindarle a la gente las capacidades que necesita para evitar una asistencia del gobierno. Peor aún, ninguno de los programas focalizados en las capacidades tiene datos que permita evaluarlos.</w:t>
      </w:r>
    </w:p>
    <w:p w:rsidR="000711BB" w:rsidRPr="00176112" w:rsidRDefault="000711BB" w:rsidP="000711BB">
      <w:pPr>
        <w:pStyle w:val="NormalWeb"/>
        <w:shd w:val="clear" w:color="auto" w:fill="FFFFFF"/>
        <w:spacing w:before="0" w:beforeAutospacing="0" w:after="0" w:afterAutospacing="0"/>
        <w:jc w:val="both"/>
        <w:textAlignment w:val="baseline"/>
        <w:rPr>
          <w:color w:val="1A1A1A"/>
          <w:u w:val="single"/>
        </w:rPr>
      </w:pPr>
      <w:r>
        <w:rPr>
          <w:color w:val="1A1A1A"/>
          <w:u w:val="single"/>
        </w:rPr>
        <w:t>Un programa “federalista y progresista”</w:t>
      </w:r>
      <w:r w:rsidRPr="00176112">
        <w:rPr>
          <w:color w:val="1A1A1A"/>
          <w:u w:val="single"/>
        </w:rPr>
        <w:t xml:space="preserve"> aumentaría sustancialmente este tipo de gasto y lo evaluaría rigurosamente. Un programa de estas características fijaría normas federales altas, pero les permitiría a las ciudades y a los estados innovar, y así financiar lo que funcione. Es hora de pensar de manera diferente y alinear nuestro pensamiento -y nuestro gasto- con lo que realmente da resultados.</w:t>
      </w:r>
    </w:p>
    <w:p w:rsidR="000711BB" w:rsidRDefault="000711BB" w:rsidP="000711BB">
      <w:pPr>
        <w:pStyle w:val="NormalWeb"/>
        <w:shd w:val="clear" w:color="auto" w:fill="FFFFFF"/>
        <w:spacing w:after="0"/>
        <w:jc w:val="both"/>
        <w:textAlignment w:val="baseline"/>
        <w:rPr>
          <w:color w:val="1A1A1A"/>
        </w:rPr>
      </w:pPr>
      <w:r>
        <w:rPr>
          <w:color w:val="1A1A1A"/>
        </w:rPr>
        <w:t>(</w:t>
      </w:r>
      <w:r w:rsidRPr="00377BBC">
        <w:rPr>
          <w:color w:val="1A1A1A"/>
        </w:rPr>
        <w:t>Laura Tyson, a former chair of the US President's Council of Economic Advisers, is a professor at the Haas School of Business at the University of California, Berkeley, a senior adviser at the Rock Creek Group, and a member of the World Economic Forum Global A</w:t>
      </w:r>
      <w:r>
        <w:rPr>
          <w:color w:val="1A1A1A"/>
        </w:rPr>
        <w:t xml:space="preserve">genda Council on Gender Parity. </w:t>
      </w:r>
      <w:r w:rsidRPr="00377BBC">
        <w:rPr>
          <w:color w:val="1A1A1A"/>
        </w:rPr>
        <w:t>Lenny Mendonca, Senior Fellow at the Presidio Institute, is a former</w:t>
      </w:r>
      <w:r>
        <w:rPr>
          <w:color w:val="1A1A1A"/>
        </w:rPr>
        <w:t xml:space="preserve"> director of McKinsey &amp; Company)</w:t>
      </w:r>
    </w:p>
    <w:p w:rsidR="000711BB" w:rsidRDefault="000711BB" w:rsidP="000711BB">
      <w:pPr>
        <w:pStyle w:val="NormalWeb"/>
        <w:shd w:val="clear" w:color="auto" w:fill="FFFFFF"/>
        <w:spacing w:after="0"/>
        <w:jc w:val="both"/>
        <w:textAlignment w:val="baseline"/>
      </w:pPr>
      <w:r>
        <w:t xml:space="preserve">- </w:t>
      </w:r>
      <w:r w:rsidRPr="009561CF">
        <w:rPr>
          <w:u w:val="single"/>
        </w:rPr>
        <w:t>Overcoming the Poisonous Politics of Protectionism</w:t>
      </w:r>
      <w:r>
        <w:t xml:space="preserve"> (Project Syndicate - </w:t>
      </w:r>
      <w:r w:rsidRPr="009561CF">
        <w:rPr>
          <w:b/>
        </w:rPr>
        <w:t>29/7/16</w:t>
      </w:r>
      <w:r>
        <w:t>)</w:t>
      </w:r>
    </w:p>
    <w:p w:rsidR="000711BB" w:rsidRDefault="000711BB" w:rsidP="000711BB">
      <w:pPr>
        <w:pStyle w:val="NormalWeb"/>
        <w:shd w:val="clear" w:color="auto" w:fill="FFFFFF"/>
        <w:spacing w:after="0"/>
        <w:jc w:val="both"/>
        <w:textAlignment w:val="baseline"/>
      </w:pPr>
      <w:r>
        <w:t>Hillary Clinton faces an election that has come to revolve around the legitimacy of a political establishment that she epitomizes. And no issue has fueled that challenge -in the US and Europe alike- more powerfully than international trade.</w:t>
      </w:r>
    </w:p>
    <w:p w:rsidR="000711BB" w:rsidRDefault="000711BB" w:rsidP="000711BB">
      <w:pPr>
        <w:pStyle w:val="NormalWeb"/>
        <w:shd w:val="clear" w:color="auto" w:fill="FFFFFF"/>
        <w:spacing w:after="0"/>
        <w:jc w:val="both"/>
        <w:textAlignment w:val="baseline"/>
      </w:pPr>
      <w:r>
        <w:t>London.- According to conventional economic wisdom, free trade is good - so the freer the better. After all, steady trade liberalization in recent decades has clearly boosted economic growth in developed and developing countries alike. But, as Barry Eichengreen of the University of California at Berkeley notes, “just because economists agree doesn’t mean they’re right”. And even when economists are right about trade, that doesn’t stop vote-chasing politicians from ignoring their advice.</w:t>
      </w:r>
    </w:p>
    <w:p w:rsidR="000711BB" w:rsidRDefault="000711BB" w:rsidP="000711BB">
      <w:pPr>
        <w:pStyle w:val="NormalWeb"/>
        <w:shd w:val="clear" w:color="auto" w:fill="FFFFFF"/>
        <w:spacing w:after="0"/>
        <w:jc w:val="both"/>
        <w:textAlignment w:val="baseline"/>
      </w:pPr>
      <w:r>
        <w:t>That is certainly true today. “One thing is now certain about the upcoming presidential election in the United States: the next president will not be a committed free trader”, Eichengreen writes. Hillary Clinton, the Democratic nominee, “is at best a lukewarm supporter of freer trade, and of the Trans-Pacific Partnership (TPP) in particular. Her Republican counterpart, Donald Trump, is downright hostile to trade deals that would throw open US markets”, promising to impose high import tariffs, particularly on Chinese goods.</w:t>
      </w:r>
    </w:p>
    <w:p w:rsidR="000711BB" w:rsidRDefault="000711BB" w:rsidP="000711BB">
      <w:pPr>
        <w:pStyle w:val="NormalWeb"/>
        <w:shd w:val="clear" w:color="auto" w:fill="FFFFFF"/>
        <w:spacing w:after="0"/>
        <w:jc w:val="both"/>
        <w:textAlignment w:val="baseline"/>
      </w:pPr>
      <w:r>
        <w:t xml:space="preserve">Now add Britain’s referendum vote to leave the European Union (the world’s biggest trade bloc), the demise of the World Trade Organization’s Doha Development Round, and growing opposition to regional deals, and the increasingly fraught politics of trade </w:t>
      </w:r>
      <w:r>
        <w:lastRenderedPageBreak/>
        <w:t>becomes even more apparent. Clearly, if countries are to benefit from economic openness and avoid its pitfalls, several questions must be addressed.</w:t>
      </w:r>
    </w:p>
    <w:p w:rsidR="000711BB" w:rsidRDefault="000711BB" w:rsidP="000711BB">
      <w:pPr>
        <w:pStyle w:val="NormalWeb"/>
        <w:shd w:val="clear" w:color="auto" w:fill="FFFFFF"/>
        <w:spacing w:after="0"/>
        <w:jc w:val="both"/>
        <w:textAlignment w:val="baseline"/>
      </w:pPr>
      <w:r>
        <w:t>For starters, what remains of the argument -a staple of economic theory- that unrestricted trade benefits all? What should be included in trade agreements? And, perhaps most important, in view of surging electoral support for populist candidates favoring protectionism, what steps can political leaders take to encourage domestic support for trade liberalization?</w:t>
      </w:r>
    </w:p>
    <w:p w:rsidR="000711BB" w:rsidRDefault="000711BB" w:rsidP="000711BB">
      <w:pPr>
        <w:pStyle w:val="NormalWeb"/>
        <w:shd w:val="clear" w:color="auto" w:fill="FFFFFF"/>
        <w:spacing w:after="0"/>
        <w:jc w:val="both"/>
        <w:textAlignment w:val="baseline"/>
      </w:pPr>
      <w:r>
        <w:t>Trade Optimists</w:t>
      </w:r>
    </w:p>
    <w:p w:rsidR="000711BB" w:rsidRDefault="000711BB" w:rsidP="000711BB">
      <w:pPr>
        <w:pStyle w:val="NormalWeb"/>
        <w:shd w:val="clear" w:color="auto" w:fill="FFFFFF"/>
        <w:spacing w:after="0"/>
        <w:jc w:val="both"/>
        <w:textAlignment w:val="baseline"/>
      </w:pPr>
      <w:r>
        <w:t>Many believe that the fundamental benefit of international trade is undeniable. As UC Berkeley’s Laura Tyson and Sarah Lund of the McKinsey Global Institute observe, interconnectedness fosters growth via the productivity gains from specialization, competition, and innovation. Andrés Velasco, a former finance minister of Chile, notes that trade liberalization helps developing countries boost productivity by integrating them into global supply chains.</w:t>
      </w:r>
    </w:p>
    <w:p w:rsidR="000711BB" w:rsidRDefault="000711BB" w:rsidP="000711BB">
      <w:pPr>
        <w:pStyle w:val="NormalWeb"/>
        <w:shd w:val="clear" w:color="auto" w:fill="FFFFFF"/>
        <w:spacing w:after="0"/>
        <w:jc w:val="both"/>
        <w:textAlignment w:val="baseline"/>
      </w:pPr>
      <w:r>
        <w:t>Similarly, the Hoover Institution’s Michael J. Boskin cites David Ricardo’s two-century-old theory of comparative advantage to defend the TPP. Harvard’s Jeffrey Frankel observes an 18% productivity gap between US manufacturers that export and those that do not. He, too, invokes Ricardo in promoting the TPP: “Countries benefit most from producing and exporting what they are relatively best at producing and exporting, and from importing what other countries are relatively better at producing”.</w:t>
      </w:r>
    </w:p>
    <w:p w:rsidR="000711BB" w:rsidRDefault="000711BB" w:rsidP="000711BB">
      <w:pPr>
        <w:pStyle w:val="NormalWeb"/>
        <w:shd w:val="clear" w:color="auto" w:fill="FFFFFF"/>
        <w:spacing w:after="0"/>
        <w:jc w:val="both"/>
        <w:textAlignment w:val="baseline"/>
      </w:pPr>
      <w:r>
        <w:t>Likewise, Yale’s Koichi Hamada, a special economic adviser to Japan’s prime minister, argues that “the increased trade and investment flows brought about by the TPP’s ratification and implementation will benefit even the countries that must make larger sacrifices”. For her part, Yuriko Koike, a member of Japan’s National Diet, acknowledges the risks of the TPP for Japan’s agriculture, but says the agreement is “vital” for the country.</w:t>
      </w:r>
    </w:p>
    <w:p w:rsidR="000711BB" w:rsidRDefault="000711BB" w:rsidP="000711BB">
      <w:pPr>
        <w:pStyle w:val="NormalWeb"/>
        <w:shd w:val="clear" w:color="auto" w:fill="FFFFFF"/>
        <w:spacing w:after="0"/>
        <w:jc w:val="both"/>
        <w:textAlignment w:val="baseline"/>
      </w:pPr>
      <w:r>
        <w:t>Advocates of the TPP describe it as an enormous growth engine for the global economy. Former Swedish Prime Minister Carl Bildt and Javier Solana, the former Spanish foreign minister, highlight the comparable benefits of the TTIP, calling objections to it “trivial”. And Ana Palacio, another former Spanish foreign minister, urges an EU-Japan trade deal as a more easily achieved complement to the TPP.</w:t>
      </w:r>
    </w:p>
    <w:p w:rsidR="000711BB" w:rsidRDefault="000711BB" w:rsidP="000711BB">
      <w:pPr>
        <w:pStyle w:val="NormalWeb"/>
        <w:shd w:val="clear" w:color="auto" w:fill="FFFFFF"/>
        <w:spacing w:after="0"/>
        <w:jc w:val="both"/>
        <w:textAlignment w:val="baseline"/>
      </w:pPr>
      <w:r>
        <w:t>The Peterson Institute for International Economics has estimated that the TPP would boost the economies of the participating countries by 1.1% by 2030, and the US economy by 0.5%. Anders Fogh Rasmussen, the former secretary general of NATO, is similarly upbeat about the TTIP, arguing that it would add $ 125 billion to US GDP and a similar amount (proportionally) to the EU economy.</w:t>
      </w:r>
    </w:p>
    <w:p w:rsidR="000711BB" w:rsidRDefault="000711BB" w:rsidP="000711BB">
      <w:pPr>
        <w:pStyle w:val="NormalWeb"/>
        <w:shd w:val="clear" w:color="auto" w:fill="FFFFFF"/>
        <w:spacing w:after="0"/>
        <w:jc w:val="both"/>
        <w:textAlignment w:val="baseline"/>
      </w:pPr>
      <w:r>
        <w:t>Trade Skeptics</w:t>
      </w:r>
    </w:p>
    <w:p w:rsidR="000711BB" w:rsidRDefault="000711BB" w:rsidP="000711BB">
      <w:pPr>
        <w:pStyle w:val="NormalWeb"/>
        <w:shd w:val="clear" w:color="auto" w:fill="FFFFFF"/>
        <w:spacing w:after="0"/>
        <w:jc w:val="both"/>
        <w:textAlignment w:val="baseline"/>
      </w:pPr>
      <w:r>
        <w:t xml:space="preserve">Trump and other protectionists often argue that the flaw in unrestricted trade is that some countries, particularly China, keep their currencies artificially low. Simon Johnson, former chief economist at the International Monetary Fund and a senior fellow at the Peterson Institute cites the damage to US manufacturing employment from </w:t>
      </w:r>
      <w:r>
        <w:lastRenderedPageBreak/>
        <w:t>undervalued Chinese and Japanese currencies, arguing that TPP members “must commit not to run large current-account surpluses and accumulate excess foreign-exchange reserves”.</w:t>
      </w:r>
    </w:p>
    <w:p w:rsidR="000711BB" w:rsidRDefault="000711BB" w:rsidP="000711BB">
      <w:pPr>
        <w:pStyle w:val="NormalWeb"/>
        <w:shd w:val="clear" w:color="auto" w:fill="FFFFFF"/>
        <w:spacing w:after="0"/>
        <w:jc w:val="both"/>
        <w:textAlignment w:val="baseline"/>
      </w:pPr>
      <w:r>
        <w:t>But Yale’s Stephen Roach counters that China long ago ceased buying dollar assets to hold down its currency, and that its current-account surplus has shrunk steadily. The US trade deficit, he argues, reflects inadequate savings, not Chinese currency manipulation, as illustrated by the fact that the US runs bilateral deficits with most of its trading partners.</w:t>
      </w:r>
    </w:p>
    <w:p w:rsidR="000711BB" w:rsidRDefault="000711BB" w:rsidP="000711BB">
      <w:pPr>
        <w:pStyle w:val="NormalWeb"/>
        <w:shd w:val="clear" w:color="auto" w:fill="FFFFFF"/>
        <w:spacing w:after="0"/>
        <w:jc w:val="both"/>
        <w:textAlignment w:val="baseline"/>
      </w:pPr>
      <w:r>
        <w:t>Kemal Derviş of the Brookings Institution acknowledges that currency manipulation can be a problem; but he argues that trade agreements are not the right forum to solve it, owing to the difficulty of determining what actually constitutes manipulation. Do central-bank purchases of government bonds (so-called quantitative easing) qualify? What about the eurozone’s neglect of domestic demand, which contributes to its trade surplus? For Derviş, the best venues for addressing these issues are the G20 and the IMF, with the latter being given greater powers of multilateral surveillance.</w:t>
      </w:r>
    </w:p>
    <w:p w:rsidR="000711BB" w:rsidRDefault="000711BB" w:rsidP="000711BB">
      <w:pPr>
        <w:pStyle w:val="NormalWeb"/>
        <w:shd w:val="clear" w:color="auto" w:fill="FFFFFF"/>
        <w:spacing w:after="0"/>
        <w:jc w:val="both"/>
        <w:textAlignment w:val="baseline"/>
      </w:pPr>
      <w:r>
        <w:t>And yet not all of the growing opposition to trade is groundless. For starters, Ricardo’s argument fails to account for structural change in economies as trade liberalization proceeds. As Adair Turner, the chairman of the Institute for New Economic Thinking, points out, further trade liberalization will not bring the benefits it brought in the past: non-tradables comprise a growing share of employment and economic activity, especially in developed economies; as global incomes converge, comparative advantage on the basis of low labor costs will become less important; and new manufacturing technologies will encourage on-shoring. In Turner’s view, “trade liberalization is decreasingly important”.</w:t>
      </w:r>
    </w:p>
    <w:p w:rsidR="000711BB" w:rsidRDefault="000711BB" w:rsidP="000711BB">
      <w:pPr>
        <w:pStyle w:val="NormalWeb"/>
        <w:shd w:val="clear" w:color="auto" w:fill="FFFFFF"/>
        <w:spacing w:after="0"/>
        <w:jc w:val="both"/>
        <w:textAlignment w:val="baseline"/>
      </w:pPr>
      <w:r>
        <w:t>Indeed, the economic benefits projected by the Peterson Institute and others are relatively small – and may not actually materialize. The United Nations’ Jomo Kwame Sundaram points to a study by the US International Trade Commission calculating that the TPP would add just 0.15% to US GDP by 2032, and increase incomes by a mere 0.23%. Moreover, these modest economic benefits will accrue to firms rather than ordinary citizens, all participating countries will suffer higher unemployment, and incomes in the US and Japan will fall.</w:t>
      </w:r>
    </w:p>
    <w:p w:rsidR="000711BB" w:rsidRDefault="000711BB" w:rsidP="000711BB">
      <w:pPr>
        <w:pStyle w:val="NormalWeb"/>
        <w:shd w:val="clear" w:color="auto" w:fill="FFFFFF"/>
        <w:spacing w:after="0"/>
        <w:jc w:val="both"/>
        <w:textAlignment w:val="baseline"/>
      </w:pPr>
      <w:r>
        <w:t>Johnson is skeptical of many of the TPP’s alleged benefits and notes that displaced American workers stand to receive only limited compensation.</w:t>
      </w:r>
    </w:p>
    <w:p w:rsidR="000711BB" w:rsidRDefault="000711BB" w:rsidP="000711BB">
      <w:pPr>
        <w:pStyle w:val="NormalWeb"/>
        <w:shd w:val="clear" w:color="auto" w:fill="FFFFFF"/>
        <w:spacing w:after="0"/>
        <w:jc w:val="both"/>
        <w:textAlignment w:val="baseline"/>
      </w:pPr>
      <w:r>
        <w:t>This underscores the extent to which the benefits of trade liberalization are unevenly distributed both within and across countries. As Harvard’s Dani Rodrik puts it, “the real world has not lined up so neatly with trade economists’ assumptions”. Countries might have benefited in aggregate from more trade, but particular communities have been hit hard. Some developed-country workers who have been displaced by trade with developing countries have moved into better skilled (and better paid) jobs, but many are suffering permanent income losses.</w:t>
      </w:r>
    </w:p>
    <w:p w:rsidR="000711BB" w:rsidRDefault="000711BB" w:rsidP="000711BB">
      <w:pPr>
        <w:pStyle w:val="NormalWeb"/>
        <w:shd w:val="clear" w:color="auto" w:fill="FFFFFF"/>
        <w:spacing w:after="0"/>
        <w:jc w:val="both"/>
        <w:textAlignment w:val="baseline"/>
      </w:pPr>
      <w:r>
        <w:t xml:space="preserve">The University of Oregon’s Gordon Lafer, a former senior policy adviser to the US House of Representatives’ Committee on Education and Labor, criticizes the TPP’s tolerance of inadequate workers’ rights in undemocratic countries such as Vietnam. The </w:t>
      </w:r>
      <w:r>
        <w:lastRenderedPageBreak/>
        <w:t>TPP is “not really a “trade” treaty at all”, he argues. “Rather, it is a vehicle for corporate lobbyists to achieve what they have been unable to persuade legislators to support through normal means”.</w:t>
      </w:r>
    </w:p>
    <w:p w:rsidR="000711BB" w:rsidRDefault="000711BB" w:rsidP="000711BB">
      <w:pPr>
        <w:pStyle w:val="NormalWeb"/>
        <w:shd w:val="clear" w:color="auto" w:fill="FFFFFF"/>
        <w:spacing w:after="0"/>
        <w:jc w:val="both"/>
        <w:textAlignment w:val="baseline"/>
      </w:pPr>
      <w:r>
        <w:t>Global or Regional?</w:t>
      </w:r>
    </w:p>
    <w:p w:rsidR="000711BB" w:rsidRDefault="000711BB" w:rsidP="000711BB">
      <w:pPr>
        <w:pStyle w:val="NormalWeb"/>
        <w:shd w:val="clear" w:color="auto" w:fill="FFFFFF"/>
        <w:spacing w:after="0"/>
        <w:jc w:val="both"/>
        <w:textAlignment w:val="baseline"/>
      </w:pPr>
      <w:r>
        <w:t>Even many advocates of trade liberalization are highly skeptical of arrangements such as the TPP and the TTIP. Pascal Lamy, a former director-general of the WTO, laments the trend toward regional agreements. Multilateral trade liberalization, he explains, has helped narrow the global gap in living standards, “with per capita incomes in developing countries rising almost three times faster than those in advanced countries”.</w:t>
      </w:r>
    </w:p>
    <w:p w:rsidR="000711BB" w:rsidRDefault="000711BB" w:rsidP="000711BB">
      <w:pPr>
        <w:pStyle w:val="NormalWeb"/>
        <w:shd w:val="clear" w:color="auto" w:fill="FFFFFF"/>
        <w:spacing w:after="0"/>
        <w:jc w:val="both"/>
        <w:textAlignment w:val="baseline"/>
      </w:pPr>
      <w:r>
        <w:t>And yet, even as multilateral trade liberalization has ground to a halt, the push for regional agreements continues. Columbia University’s Jagdish Bhagwati and Oxford University’s Emily Jones both worry that the rise of preferential bilateral and plurilateral agreements risks undermining the WTO’s credibility as the guarantor of rules-based trade - to the detriment of developing countries, many of which lack the market size to be invited to join these smaller clubs. Likewise, Lamy fears that the proliferation of regional deals, with regulatory demands that developing countries are unable to accept, is threatening decades of real-income convergence between developed and developing countries.</w:t>
      </w:r>
    </w:p>
    <w:p w:rsidR="000711BB" w:rsidRDefault="000711BB" w:rsidP="000711BB">
      <w:pPr>
        <w:pStyle w:val="NormalWeb"/>
        <w:shd w:val="clear" w:color="auto" w:fill="FFFFFF"/>
        <w:spacing w:after="0"/>
        <w:jc w:val="both"/>
        <w:textAlignment w:val="baseline"/>
      </w:pPr>
      <w:r>
        <w:t>For Nobel laureate Joseph Stiglitz, however, that is precisely the point. The purpose of the TPP and the TTIP, Stiglitz argues, is to institute “a managed trade regime - managed, that is, to serve the special interests that have long dominated trade policy in the West”. But not everyone in the West agrees. Sciences Po’s Zaki Laidi, currently chief foreign policy adviser to French Prime Minister Manuel Valls, believes that Europe “has a greater stake in revitalizing multilateral trade” than the US. Unlike America, Laidi argues, Europe lacks the leverage to extract advantageous regional trade deals.</w:t>
      </w:r>
    </w:p>
    <w:p w:rsidR="000711BB" w:rsidRDefault="000711BB" w:rsidP="000711BB">
      <w:pPr>
        <w:pStyle w:val="NormalWeb"/>
        <w:shd w:val="clear" w:color="auto" w:fill="FFFFFF"/>
        <w:spacing w:after="0"/>
        <w:jc w:val="both"/>
        <w:textAlignment w:val="baseline"/>
      </w:pPr>
      <w:r>
        <w:t>The Terms of Trade Deals</w:t>
      </w:r>
    </w:p>
    <w:p w:rsidR="000711BB" w:rsidRDefault="000711BB" w:rsidP="000711BB">
      <w:pPr>
        <w:pStyle w:val="NormalWeb"/>
        <w:shd w:val="clear" w:color="auto" w:fill="FFFFFF"/>
        <w:spacing w:after="0"/>
        <w:jc w:val="both"/>
        <w:textAlignment w:val="baseline"/>
      </w:pPr>
      <w:r>
        <w:t>Can a managed trade regime be fair, given differences among countries’ levels of development and the relative strength of those sectors in which they have a comparative advantage? As Sanjaya Baru, former national security adviser to India’s former prime minister, Manmohan Singh, points out, the TTP goes well beyond traditional free-trade agreements on goods and agriculture. In addition to intellectual-property protection and provisions to prevent “unfair” competition by state-owned enterprises, it includes labor rights, environmental protection, and investor protection from regulatory changes.</w:t>
      </w:r>
    </w:p>
    <w:p w:rsidR="000711BB" w:rsidRDefault="000711BB" w:rsidP="000711BB">
      <w:pPr>
        <w:pStyle w:val="NormalWeb"/>
        <w:shd w:val="clear" w:color="auto" w:fill="FFFFFF"/>
        <w:spacing w:after="0"/>
        <w:jc w:val="both"/>
        <w:textAlignment w:val="baseline"/>
      </w:pPr>
      <w:r>
        <w:t>Boskin and Frankel reckon this is all to the good. Bhagwati and Stiglitz, however, argue that developing countries have been right to resist inclusion of many such provisions within WTO agreements. If trade agreements do not advance social objectives, they should not be permitted to impede them.</w:t>
      </w:r>
    </w:p>
    <w:p w:rsidR="000711BB" w:rsidRDefault="000711BB" w:rsidP="000711BB">
      <w:pPr>
        <w:pStyle w:val="NormalWeb"/>
        <w:shd w:val="clear" w:color="auto" w:fill="FFFFFF"/>
        <w:spacing w:after="0"/>
        <w:jc w:val="both"/>
        <w:textAlignment w:val="baseline"/>
      </w:pPr>
      <w:r>
        <w:t xml:space="preserve">UN Special Rapporteur on the right to food Oliver De Schutter and Kaitlin Y. Cordes of Columbia University show what can happen otherwise. The US demand for patent protection for plants, they argue, threatens to restrict farmers’ access to productive </w:t>
      </w:r>
      <w:r>
        <w:lastRenderedPageBreak/>
        <w:t>resources, which could cause governments to violate their obligations under human-rights treaties.</w:t>
      </w:r>
    </w:p>
    <w:p w:rsidR="000711BB" w:rsidRDefault="000711BB" w:rsidP="000711BB">
      <w:pPr>
        <w:pStyle w:val="NormalWeb"/>
        <w:shd w:val="clear" w:color="auto" w:fill="FFFFFF"/>
        <w:spacing w:after="0"/>
        <w:jc w:val="both"/>
        <w:textAlignment w:val="baseline"/>
      </w:pPr>
      <w:r>
        <w:t>Likewise, Stiglitz and Adam S. Hersh of the Roosevelt Institute contend that the investor-state dispute settlement (ISDS) provisions within the TPP could allow foreign investors to pursue binding private arbitration against a government if new regulations to protect citizens’ health and welfare reduce their expected profits. US tobacco companies, for example, could then demand compensation for regulations aimed at reducing tobacco consumption. Similarly, Sundaram stresses that the TPP will give pharmaceutical firms longer monopolies, hurting both consumers and governments. And Velasco contends that, more broadly, the rights of US firms to protect their intellectual property must be balanced against the need to spread the benefits of technology.</w:t>
      </w:r>
    </w:p>
    <w:p w:rsidR="000711BB" w:rsidRDefault="000711BB" w:rsidP="000711BB">
      <w:pPr>
        <w:pStyle w:val="NormalWeb"/>
        <w:shd w:val="clear" w:color="auto" w:fill="FFFFFF"/>
        <w:spacing w:after="0"/>
        <w:jc w:val="both"/>
        <w:textAlignment w:val="baseline"/>
      </w:pPr>
      <w:r>
        <w:t>Trade Justice</w:t>
      </w:r>
    </w:p>
    <w:p w:rsidR="000711BB" w:rsidRDefault="000711BB" w:rsidP="000711BB">
      <w:pPr>
        <w:pStyle w:val="NormalWeb"/>
        <w:shd w:val="clear" w:color="auto" w:fill="FFFFFF"/>
        <w:spacing w:after="0"/>
        <w:jc w:val="both"/>
        <w:textAlignment w:val="baseline"/>
      </w:pPr>
      <w:r>
        <w:t>Concerns about currency manipulation, workers’ rights, environmental standards, and much else highlight a widespread fear that Ricardian rhetoric may serve as a fig leaf for the pursuit of parochial interests, whether of nation-states or of multinational firms. Will regional deals like the TPP, rather than maximizing comparative advantage, trigger a race to the bottom, as Lafer, Stiglitz, and others fear?</w:t>
      </w:r>
    </w:p>
    <w:p w:rsidR="000711BB" w:rsidRDefault="000711BB" w:rsidP="000711BB">
      <w:pPr>
        <w:pStyle w:val="NormalWeb"/>
        <w:shd w:val="clear" w:color="auto" w:fill="FFFFFF"/>
        <w:spacing w:after="0"/>
        <w:jc w:val="both"/>
        <w:textAlignment w:val="baseline"/>
      </w:pPr>
      <w:r>
        <w:t>Rodrik notes that workers in developed countries will accept losing their jobs because of technological change, but not when it results from competition with low-wage countries that forbid organized labor. He argues that the world needs trade agreements that allow developed countries to restrict trade when imports clearly conflict with domestic social norms - but which also allow developing countries to pursue economic diversification.</w:t>
      </w:r>
    </w:p>
    <w:p w:rsidR="000711BB" w:rsidRDefault="000711BB" w:rsidP="000711BB">
      <w:pPr>
        <w:pStyle w:val="NormalWeb"/>
        <w:shd w:val="clear" w:color="auto" w:fill="FFFFFF"/>
        <w:spacing w:after="0"/>
        <w:jc w:val="both"/>
        <w:textAlignment w:val="baseline"/>
      </w:pPr>
      <w:r>
        <w:t>Perhaps more important, whereas advocates of free trade and globalization talk a good game about the need to compensate those who lose out or are left behind, most countries don’t put their money where their mouth is. But, as Bo Lidegaard, a former editor-in-chief of the Danish daily Politiken, observes, those that do reap enormous benefits. In terms of employment, the top seven countries worldwide have “welfare economies” that</w:t>
      </w:r>
    </w:p>
    <w:p w:rsidR="000711BB" w:rsidRDefault="000711BB" w:rsidP="000711BB">
      <w:pPr>
        <w:pStyle w:val="NormalWeb"/>
        <w:shd w:val="clear" w:color="auto" w:fill="FFFFFF"/>
        <w:spacing w:after="0"/>
        <w:jc w:val="both"/>
        <w:textAlignment w:val="baseline"/>
      </w:pPr>
      <w:r>
        <w:t>provide free education for all and skills training for any age, so that workers can move up the labor-market value chain; social security for the unemployed, so that a temporary loss of work does not become a personally catastrophic event; and highly developed systems of care for children, the elderly, and vulnerable members of society, so that workers do not have to choose between employment and caring for loved ones.</w:t>
      </w:r>
    </w:p>
    <w:p w:rsidR="000711BB" w:rsidRDefault="000711BB" w:rsidP="000711BB">
      <w:pPr>
        <w:pStyle w:val="NormalWeb"/>
        <w:shd w:val="clear" w:color="auto" w:fill="FFFFFF"/>
        <w:spacing w:after="0"/>
        <w:jc w:val="both"/>
        <w:textAlignment w:val="baseline"/>
      </w:pPr>
      <w:r>
        <w:t>Lidegaard acknowledges that welfare economies “are not immune to populism, nationalism, or nativism”. Nonetheless, “with higher employment and lower inequality” promoting a sense of fairness, and with strong social safety nets boosting, rather than impeding, labor-market flexibility, “challenges to the social contract itself are far more rare than they are elsewhere - particularly the US”.</w:t>
      </w:r>
    </w:p>
    <w:p w:rsidR="000711BB" w:rsidRDefault="000711BB" w:rsidP="000711BB">
      <w:pPr>
        <w:pStyle w:val="NormalWeb"/>
        <w:shd w:val="clear" w:color="auto" w:fill="FFFFFF"/>
        <w:spacing w:after="0"/>
        <w:jc w:val="both"/>
        <w:textAlignment w:val="baseline"/>
      </w:pPr>
      <w:r>
        <w:t xml:space="preserve">The US may never be Denmark, as Clinton pointedly observed in an early debate with her Democratic rival Bernie Sanders. But now she faces an election that, as with the </w:t>
      </w:r>
      <w:r>
        <w:lastRenderedPageBreak/>
        <w:t>Brexit referendum, has come to revolve around the legitimacy of the “establishment” that she represents. And no issue has fueled that challenge more powerfully than trade. Unless Clinton -and political leaders elsewhere- embrace what has been shown to work, the challenge will grow stronger, and probably uglier as well.</w:t>
      </w:r>
    </w:p>
    <w:p w:rsidR="000711BB" w:rsidRDefault="000711BB" w:rsidP="000711BB">
      <w:pPr>
        <w:pStyle w:val="NormalWeb"/>
        <w:shd w:val="clear" w:color="auto" w:fill="FFFFFF"/>
        <w:spacing w:after="0"/>
        <w:jc w:val="both"/>
        <w:textAlignment w:val="baseline"/>
      </w:pPr>
      <w:r>
        <w:t>(</w:t>
      </w:r>
      <w:r w:rsidRPr="009561CF">
        <w:t>Simon Tilford examines how Barry Eichengreen, Joseph Stiglitz, Laura Tyson, and other Project Syndicate contributors address the anti-trade senti</w:t>
      </w:r>
      <w:r>
        <w:t>ment roiling advanced economies)</w:t>
      </w:r>
    </w:p>
    <w:p w:rsidR="000711BB" w:rsidRPr="00E04352" w:rsidRDefault="000711BB" w:rsidP="000711BB">
      <w:pPr>
        <w:shd w:val="clear" w:color="auto" w:fill="FFFFFF"/>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E04352">
        <w:rPr>
          <w:rFonts w:ascii="Times New Roman" w:eastAsia="Times New Roman" w:hAnsi="Times New Roman"/>
          <w:sz w:val="24"/>
          <w:szCs w:val="24"/>
          <w:u w:val="single"/>
        </w:rPr>
        <w:t>La globalización y sus nuevos malestares</w:t>
      </w:r>
      <w:r>
        <w:rPr>
          <w:rFonts w:ascii="Times New Roman" w:eastAsia="Times New Roman" w:hAnsi="Times New Roman"/>
          <w:sz w:val="24"/>
          <w:szCs w:val="24"/>
        </w:rPr>
        <w:t xml:space="preserve"> (Project Syndicate - </w:t>
      </w:r>
      <w:r w:rsidRPr="00E04352">
        <w:rPr>
          <w:rFonts w:ascii="Times New Roman" w:eastAsia="Times New Roman" w:hAnsi="Times New Roman"/>
          <w:b/>
          <w:sz w:val="24"/>
          <w:szCs w:val="24"/>
        </w:rPr>
        <w:t>5/8/16</w:t>
      </w:r>
      <w:r>
        <w:rPr>
          <w:rFonts w:ascii="Times New Roman" w:eastAsia="Times New Roman" w:hAnsi="Times New Roman"/>
          <w:sz w:val="24"/>
          <w:szCs w:val="24"/>
        </w:rPr>
        <w:t>)</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color w:val="FF0000"/>
          <w:sz w:val="24"/>
          <w:szCs w:val="24"/>
          <w:u w:val="single"/>
        </w:rPr>
      </w:pPr>
      <w:r>
        <w:rPr>
          <w:rFonts w:ascii="Times New Roman" w:eastAsia="Times New Roman" w:hAnsi="Times New Roman"/>
          <w:sz w:val="24"/>
          <w:szCs w:val="24"/>
        </w:rPr>
        <w:t>Nueva York.-</w:t>
      </w:r>
      <w:r w:rsidRPr="00E04352">
        <w:rPr>
          <w:rFonts w:ascii="Times New Roman" w:eastAsia="Times New Roman" w:hAnsi="Times New Roman"/>
          <w:sz w:val="24"/>
          <w:szCs w:val="24"/>
        </w:rPr>
        <w:t xml:space="preserve"> </w:t>
      </w:r>
      <w:r w:rsidRPr="00082C1B">
        <w:rPr>
          <w:rFonts w:ascii="Times New Roman" w:eastAsia="Times New Roman" w:hAnsi="Times New Roman"/>
          <w:color w:val="FF0000"/>
          <w:sz w:val="24"/>
          <w:szCs w:val="24"/>
          <w:u w:val="single"/>
        </w:rPr>
        <w:t>Hace quince años escribí un pequeño libro titulado El malestar en la globalización, este libro describía la creciente oposición en el mundo en desarrollo a las reformas globalizadoras. Era algo muy misterioso: a las personas en los países en desarrollo se les había dicho que la globalización aumentaría el bienestar general. Si ese era el caso, ¿por qué tantas personas se tornaron hostiles a la globalización?</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b/>
          <w:color w:val="FF0000"/>
          <w:sz w:val="24"/>
          <w:szCs w:val="24"/>
          <w:u w:val="single"/>
        </w:rPr>
      </w:pPr>
      <w:r w:rsidRPr="00082C1B">
        <w:rPr>
          <w:rFonts w:ascii="Times New Roman" w:eastAsia="Times New Roman" w:hAnsi="Times New Roman"/>
          <w:b/>
          <w:color w:val="FF0000"/>
          <w:sz w:val="24"/>
          <w:szCs w:val="24"/>
          <w:u w:val="single"/>
        </w:rPr>
        <w:t>En la actualidad, a dichos opositores a la globalización en los mercados emergentes y los países en desarrollo se les han unido decenas de millones de personas en los países avanzados. Las encuestas de opinión, incluyendo un cuidadoso estudio realizado por Stanley Greenberg y sus asociados para el Instituto Roosevelt, muestran que el comercio es una de las principales fuentes de malestar para un gran porcentaje de estadounidenses. Puntos de vista similares se hacen también patentes en Europa.</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sz w:val="24"/>
          <w:szCs w:val="24"/>
          <w:u w:val="single"/>
        </w:rPr>
      </w:pPr>
      <w:r w:rsidRPr="00082C1B">
        <w:rPr>
          <w:rFonts w:ascii="Times New Roman" w:eastAsia="Times New Roman" w:hAnsi="Times New Roman"/>
          <w:sz w:val="24"/>
          <w:szCs w:val="24"/>
          <w:u w:val="single"/>
        </w:rPr>
        <w:t>¿Cómo puede ser tan vilipendiado algo q</w:t>
      </w:r>
      <w:r>
        <w:rPr>
          <w:rFonts w:ascii="Times New Roman" w:eastAsia="Times New Roman" w:hAnsi="Times New Roman"/>
          <w:sz w:val="24"/>
          <w:szCs w:val="24"/>
          <w:u w:val="single"/>
        </w:rPr>
        <w:t>ue nuestros líderes políticos -y muchos economistas-</w:t>
      </w:r>
      <w:r w:rsidRPr="00082C1B">
        <w:rPr>
          <w:rFonts w:ascii="Times New Roman" w:eastAsia="Times New Roman" w:hAnsi="Times New Roman"/>
          <w:sz w:val="24"/>
          <w:szCs w:val="24"/>
          <w:u w:val="single"/>
        </w:rPr>
        <w:t xml:space="preserve"> dijeron haría que todos estemos mejor?</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color w:val="FF0000"/>
          <w:sz w:val="24"/>
          <w:szCs w:val="24"/>
          <w:u w:val="single"/>
        </w:rPr>
      </w:pPr>
      <w:r w:rsidRPr="00082C1B">
        <w:rPr>
          <w:rFonts w:ascii="Times New Roman" w:eastAsia="Times New Roman" w:hAnsi="Times New Roman"/>
          <w:color w:val="FF0000"/>
          <w:sz w:val="24"/>
          <w:szCs w:val="24"/>
          <w:u w:val="single"/>
        </w:rPr>
        <w:t>Una de las respuestas que ocasionalmente se escucha emitir a los economistas neoliberales que abogaron por dichas políticas es que las personas están mejor. Simplemente, ellas no lo saben. Su malestar es un tema a ser tratado por psiquiatras, no por economistas.</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b/>
          <w:color w:val="FF0000"/>
          <w:sz w:val="24"/>
          <w:szCs w:val="24"/>
          <w:u w:val="single"/>
        </w:rPr>
      </w:pPr>
      <w:r w:rsidRPr="00082C1B">
        <w:rPr>
          <w:rFonts w:ascii="Times New Roman" w:eastAsia="Times New Roman" w:hAnsi="Times New Roman"/>
          <w:color w:val="FF0000"/>
          <w:sz w:val="24"/>
          <w:szCs w:val="24"/>
          <w:u w:val="single"/>
        </w:rPr>
        <w:t>Sin embargo, los datos de ingresos sugieren que son los economistas neoliberales son quienes podrían beneficiarse de la terapia psiquiátrica</w:t>
      </w:r>
      <w:r w:rsidRPr="00E04352">
        <w:rPr>
          <w:rFonts w:ascii="Times New Roman" w:eastAsia="Times New Roman" w:hAnsi="Times New Roman"/>
          <w:sz w:val="24"/>
          <w:szCs w:val="24"/>
        </w:rPr>
        <w:t xml:space="preserve">. </w:t>
      </w:r>
      <w:r w:rsidRPr="00082C1B">
        <w:rPr>
          <w:rFonts w:ascii="Times New Roman" w:eastAsia="Times New Roman" w:hAnsi="Times New Roman"/>
          <w:b/>
          <w:color w:val="FF0000"/>
          <w:sz w:val="24"/>
          <w:szCs w:val="24"/>
          <w:u w:val="single"/>
        </w:rPr>
        <w:t>Grandes segmentos de la población en los países</w:t>
      </w:r>
      <w:r>
        <w:rPr>
          <w:rFonts w:ascii="Times New Roman" w:eastAsia="Times New Roman" w:hAnsi="Times New Roman"/>
          <w:b/>
          <w:color w:val="FF0000"/>
          <w:sz w:val="24"/>
          <w:szCs w:val="24"/>
          <w:u w:val="single"/>
        </w:rPr>
        <w:t xml:space="preserve"> avanzados no están bien: en EEUU</w:t>
      </w:r>
      <w:r w:rsidRPr="00082C1B">
        <w:rPr>
          <w:rFonts w:ascii="Times New Roman" w:eastAsia="Times New Roman" w:hAnsi="Times New Roman"/>
          <w:b/>
          <w:color w:val="FF0000"/>
          <w:sz w:val="24"/>
          <w:szCs w:val="24"/>
          <w:u w:val="single"/>
        </w:rPr>
        <w:t>, el 90% inferior en la distribución de  ingresos ha sufrido de estancamiento de ingresos durante un tercio de siglo. El promedio de los ingresos entre trabajadores a tiempo completo es en realidad más bajo en términos reales (ajustados a la inflación) del que se tuvo hace 42 años. Y, en la parte más baja de dicha distribución de ingresos, los salarios reales se asemejan a los niveles salariales que se tenían hace 60 años.</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color w:val="FF0000"/>
          <w:sz w:val="24"/>
          <w:szCs w:val="24"/>
          <w:u w:val="single"/>
        </w:rPr>
      </w:pPr>
      <w:r w:rsidRPr="00E04352">
        <w:rPr>
          <w:rFonts w:ascii="Times New Roman" w:eastAsia="Times New Roman" w:hAnsi="Times New Roman"/>
          <w:sz w:val="24"/>
          <w:szCs w:val="24"/>
        </w:rPr>
        <w:t xml:space="preserve">Los efectos del dolor y la dislocación económica que muchos estadounidenses están experimentando incluso se muestra en las estadísticas de salud. Por ejemplo, </w:t>
      </w:r>
      <w:r w:rsidRPr="00082C1B">
        <w:rPr>
          <w:rFonts w:ascii="Times New Roman" w:eastAsia="Times New Roman" w:hAnsi="Times New Roman"/>
          <w:color w:val="FF0000"/>
          <w:sz w:val="24"/>
          <w:szCs w:val="24"/>
          <w:u w:val="single"/>
        </w:rPr>
        <w:t>los economistas Anne Case y Angus Deaton, ganadores del premio Nobel de este año, han demostrado que la esperanza de vida entre los segmentos de estadounidenses de raza blanca está disminuyendo.</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color w:val="FF0000"/>
          <w:sz w:val="24"/>
          <w:szCs w:val="24"/>
          <w:u w:val="single"/>
        </w:rPr>
      </w:pPr>
      <w:r w:rsidRPr="00082C1B">
        <w:rPr>
          <w:rFonts w:ascii="Times New Roman" w:eastAsia="Times New Roman" w:hAnsi="Times New Roman"/>
          <w:color w:val="FF0000"/>
          <w:sz w:val="24"/>
          <w:szCs w:val="24"/>
          <w:u w:val="single"/>
        </w:rPr>
        <w:t>Las cosas</w:t>
      </w:r>
      <w:r>
        <w:rPr>
          <w:rFonts w:ascii="Times New Roman" w:eastAsia="Times New Roman" w:hAnsi="Times New Roman"/>
          <w:color w:val="FF0000"/>
          <w:sz w:val="24"/>
          <w:szCs w:val="24"/>
          <w:u w:val="single"/>
        </w:rPr>
        <w:t xml:space="preserve"> están un poco mejor en Europa -</w:t>
      </w:r>
      <w:r w:rsidRPr="00082C1B">
        <w:rPr>
          <w:rFonts w:ascii="Times New Roman" w:eastAsia="Times New Roman" w:hAnsi="Times New Roman"/>
          <w:color w:val="FF0000"/>
          <w:sz w:val="24"/>
          <w:szCs w:val="24"/>
          <w:u w:val="single"/>
        </w:rPr>
        <w:t xml:space="preserve"> pero sólo un poco mejor.</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b/>
          <w:color w:val="FF0000"/>
          <w:sz w:val="24"/>
          <w:szCs w:val="24"/>
          <w:u w:val="single"/>
        </w:rPr>
      </w:pPr>
      <w:r w:rsidRPr="00082C1B">
        <w:rPr>
          <w:rFonts w:ascii="Times New Roman" w:eastAsia="Times New Roman" w:hAnsi="Times New Roman"/>
          <w:b/>
          <w:color w:val="FF0000"/>
          <w:sz w:val="24"/>
          <w:szCs w:val="24"/>
          <w:u w:val="single"/>
        </w:rPr>
        <w:t xml:space="preserve">El nuevo libro de Branko Milanovic Global Inequality: A New Approach for the Age of Globalization proporciona algunas perspectivas vitales al mirar a los </w:t>
      </w:r>
      <w:r w:rsidRPr="00082C1B">
        <w:rPr>
          <w:rFonts w:ascii="Times New Roman" w:eastAsia="Times New Roman" w:hAnsi="Times New Roman"/>
          <w:b/>
          <w:color w:val="FF0000"/>
          <w:sz w:val="24"/>
          <w:szCs w:val="24"/>
          <w:u w:val="single"/>
        </w:rPr>
        <w:lastRenderedPageBreak/>
        <w:t>grandes ganadores y perdedores en términos de ingresos durante dos décadas, desde el año 1988 al 2008. Entre los grandes ganadores estuvieron el 1% global, los plutócratas del mundo, pero también estuvo la clase media de las economías emergentes.</w:t>
      </w:r>
      <w:r>
        <w:rPr>
          <w:rFonts w:ascii="Times New Roman" w:eastAsia="Times New Roman" w:hAnsi="Times New Roman"/>
          <w:b/>
          <w:color w:val="FF0000"/>
          <w:sz w:val="24"/>
          <w:szCs w:val="24"/>
          <w:u w:val="single"/>
        </w:rPr>
        <w:t xml:space="preserve"> Entre los grandes perdedores -los que ganaron poco o nada-</w:t>
      </w:r>
      <w:r w:rsidRPr="00082C1B">
        <w:rPr>
          <w:rFonts w:ascii="Times New Roman" w:eastAsia="Times New Roman" w:hAnsi="Times New Roman"/>
          <w:b/>
          <w:color w:val="FF0000"/>
          <w:sz w:val="24"/>
          <w:szCs w:val="24"/>
          <w:u w:val="single"/>
        </w:rPr>
        <w:t xml:space="preserve">  estuvieron aquellos que forman parte de las clases baja, media y trabajadora en los países avanzados. La globalización no es la única razón, pero es una de las razones.</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sz w:val="24"/>
          <w:szCs w:val="24"/>
          <w:u w:val="single"/>
        </w:rPr>
      </w:pPr>
      <w:r w:rsidRPr="00082C1B">
        <w:rPr>
          <w:rFonts w:ascii="Times New Roman" w:eastAsia="Times New Roman" w:hAnsi="Times New Roman"/>
          <w:sz w:val="24"/>
          <w:szCs w:val="24"/>
          <w:u w:val="single"/>
        </w:rPr>
        <w:t>Bajo el supuesto de mercados perfectos (que subyace a la mayoría de los análisis económicos neoliberales), el libre comercio iguala los salarios de los trabajadores no cualificados en todo el mundo. El comercio de mercancías es un sustituto para el desplazamiento de personas. La importación de m</w:t>
      </w:r>
      <w:r>
        <w:rPr>
          <w:rFonts w:ascii="Times New Roman" w:eastAsia="Times New Roman" w:hAnsi="Times New Roman"/>
          <w:sz w:val="24"/>
          <w:szCs w:val="24"/>
          <w:u w:val="single"/>
        </w:rPr>
        <w:t>ercancías procedentes de China -</w:t>
      </w:r>
      <w:r w:rsidRPr="00082C1B">
        <w:rPr>
          <w:rFonts w:ascii="Times New Roman" w:eastAsia="Times New Roman" w:hAnsi="Times New Roman"/>
          <w:sz w:val="24"/>
          <w:szCs w:val="24"/>
          <w:u w:val="single"/>
        </w:rPr>
        <w:t xml:space="preserve"> mercancías que para producirse requieren de una gran cantidad d</w:t>
      </w:r>
      <w:r>
        <w:rPr>
          <w:rFonts w:ascii="Times New Roman" w:eastAsia="Times New Roman" w:hAnsi="Times New Roman"/>
          <w:sz w:val="24"/>
          <w:szCs w:val="24"/>
          <w:u w:val="single"/>
        </w:rPr>
        <w:t>e trabajadores no cualificados-</w:t>
      </w:r>
      <w:r w:rsidRPr="00082C1B">
        <w:rPr>
          <w:rFonts w:ascii="Times New Roman" w:eastAsia="Times New Roman" w:hAnsi="Times New Roman"/>
          <w:sz w:val="24"/>
          <w:szCs w:val="24"/>
          <w:u w:val="single"/>
        </w:rPr>
        <w:t xml:space="preserve"> reduce la demanda de trabajadores</w:t>
      </w:r>
      <w:r>
        <w:rPr>
          <w:rFonts w:ascii="Times New Roman" w:eastAsia="Times New Roman" w:hAnsi="Times New Roman"/>
          <w:sz w:val="24"/>
          <w:szCs w:val="24"/>
          <w:u w:val="single"/>
        </w:rPr>
        <w:t xml:space="preserve"> no cualificados en Europa y EE</w:t>
      </w:r>
      <w:r w:rsidRPr="00082C1B">
        <w:rPr>
          <w:rFonts w:ascii="Times New Roman" w:eastAsia="Times New Roman" w:hAnsi="Times New Roman"/>
          <w:sz w:val="24"/>
          <w:szCs w:val="24"/>
          <w:u w:val="single"/>
        </w:rPr>
        <w:t>UU.</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color w:val="FF0000"/>
          <w:sz w:val="24"/>
          <w:szCs w:val="24"/>
          <w:u w:val="single"/>
        </w:rPr>
      </w:pPr>
      <w:r w:rsidRPr="00082C1B">
        <w:rPr>
          <w:rFonts w:ascii="Times New Roman" w:eastAsia="Times New Roman" w:hAnsi="Times New Roman"/>
          <w:color w:val="FF0000"/>
          <w:sz w:val="24"/>
          <w:szCs w:val="24"/>
          <w:u w:val="single"/>
        </w:rPr>
        <w:t>Esta fuerza es tan poderosa que si no existieran lo</w:t>
      </w:r>
      <w:r>
        <w:rPr>
          <w:rFonts w:ascii="Times New Roman" w:eastAsia="Times New Roman" w:hAnsi="Times New Roman"/>
          <w:color w:val="FF0000"/>
          <w:sz w:val="24"/>
          <w:szCs w:val="24"/>
          <w:u w:val="single"/>
        </w:rPr>
        <w:t>s costos de transporte, y si EEUU</w:t>
      </w:r>
      <w:r w:rsidRPr="00082C1B">
        <w:rPr>
          <w:rFonts w:ascii="Times New Roman" w:eastAsia="Times New Roman" w:hAnsi="Times New Roman"/>
          <w:color w:val="FF0000"/>
          <w:sz w:val="24"/>
          <w:szCs w:val="24"/>
          <w:u w:val="single"/>
        </w:rPr>
        <w:t xml:space="preserve"> y Europa no tuvieran otra fuente de ventaja competitiva, como lo es, por ejemplo, la tecnología, con el transcurso del tiempo la situación se haría semejante a una en la que los trabajador</w:t>
      </w:r>
      <w:r>
        <w:rPr>
          <w:rFonts w:ascii="Times New Roman" w:eastAsia="Times New Roman" w:hAnsi="Times New Roman"/>
          <w:color w:val="FF0000"/>
          <w:sz w:val="24"/>
          <w:szCs w:val="24"/>
          <w:u w:val="single"/>
        </w:rPr>
        <w:t>es chinos habrían emigrado a EEUU</w:t>
      </w:r>
      <w:r w:rsidRPr="00082C1B">
        <w:rPr>
          <w:rFonts w:ascii="Times New Roman" w:eastAsia="Times New Roman" w:hAnsi="Times New Roman"/>
          <w:color w:val="FF0000"/>
          <w:sz w:val="24"/>
          <w:szCs w:val="24"/>
          <w:u w:val="single"/>
        </w:rPr>
        <w:t xml:space="preserve"> y Europa, hasta eliminar por completo las diferencias salariales. No es sorprendente que los neoliberales nunca publicitaron esta consecuencia de la liberalización de</w:t>
      </w:r>
      <w:r>
        <w:rPr>
          <w:rFonts w:ascii="Times New Roman" w:eastAsia="Times New Roman" w:hAnsi="Times New Roman"/>
          <w:color w:val="FF0000"/>
          <w:sz w:val="24"/>
          <w:szCs w:val="24"/>
          <w:u w:val="single"/>
        </w:rPr>
        <w:t>l</w:t>
      </w:r>
      <w:r w:rsidR="002F4D48">
        <w:rPr>
          <w:rFonts w:ascii="Times New Roman" w:eastAsia="Times New Roman" w:hAnsi="Times New Roman"/>
          <w:color w:val="FF0000"/>
          <w:sz w:val="24"/>
          <w:szCs w:val="24"/>
          <w:u w:val="single"/>
        </w:rPr>
        <w:t xml:space="preserve"> comercio, tal como afirmaron -</w:t>
      </w:r>
      <w:r>
        <w:rPr>
          <w:rFonts w:ascii="Times New Roman" w:eastAsia="Times New Roman" w:hAnsi="Times New Roman"/>
          <w:color w:val="FF0000"/>
          <w:sz w:val="24"/>
          <w:szCs w:val="24"/>
          <w:u w:val="single"/>
        </w:rPr>
        <w:t>se podría decir mintieron-</w:t>
      </w:r>
      <w:r w:rsidRPr="00082C1B">
        <w:rPr>
          <w:rFonts w:ascii="Times New Roman" w:eastAsia="Times New Roman" w:hAnsi="Times New Roman"/>
          <w:color w:val="FF0000"/>
          <w:sz w:val="24"/>
          <w:szCs w:val="24"/>
          <w:u w:val="single"/>
        </w:rPr>
        <w:t xml:space="preserve"> sobre que todos iban a beneficiarse.</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b/>
          <w:color w:val="FF0000"/>
          <w:sz w:val="24"/>
          <w:szCs w:val="24"/>
          <w:u w:val="single"/>
        </w:rPr>
      </w:pPr>
      <w:r w:rsidRPr="00082C1B">
        <w:rPr>
          <w:rFonts w:ascii="Times New Roman" w:eastAsia="Times New Roman" w:hAnsi="Times New Roman"/>
          <w:b/>
          <w:color w:val="FF0000"/>
          <w:sz w:val="24"/>
          <w:szCs w:val="24"/>
          <w:u w:val="single"/>
        </w:rPr>
        <w:t>El fracaso de la globalización en cuanto a cumplir con las promesas emitidas por los políticos convencionales, sin duda, ha socavado la confianza en la “élite”. Y, las ofertas hechas por los gobiernos con relación a rescates generosos para los bancos causantes de la c</w:t>
      </w:r>
      <w:r>
        <w:rPr>
          <w:rFonts w:ascii="Times New Roman" w:eastAsia="Times New Roman" w:hAnsi="Times New Roman"/>
          <w:b/>
          <w:color w:val="FF0000"/>
          <w:sz w:val="24"/>
          <w:szCs w:val="24"/>
          <w:u w:val="single"/>
        </w:rPr>
        <w:t>risis financiera del año 2008 -</w:t>
      </w:r>
      <w:r w:rsidRPr="00082C1B">
        <w:rPr>
          <w:rFonts w:ascii="Times New Roman" w:eastAsia="Times New Roman" w:hAnsi="Times New Roman"/>
          <w:b/>
          <w:color w:val="FF0000"/>
          <w:sz w:val="24"/>
          <w:szCs w:val="24"/>
          <w:u w:val="single"/>
        </w:rPr>
        <w:t>dejando simultáneamente a los ciudadanos comunes para que ellos, en gran medida, se val</w:t>
      </w:r>
      <w:r>
        <w:rPr>
          <w:rFonts w:ascii="Times New Roman" w:eastAsia="Times New Roman" w:hAnsi="Times New Roman"/>
          <w:b/>
          <w:color w:val="FF0000"/>
          <w:sz w:val="24"/>
          <w:szCs w:val="24"/>
          <w:u w:val="single"/>
        </w:rPr>
        <w:t>gan por sí solos-</w:t>
      </w:r>
      <w:r w:rsidRPr="00082C1B">
        <w:rPr>
          <w:rFonts w:ascii="Times New Roman" w:eastAsia="Times New Roman" w:hAnsi="Times New Roman"/>
          <w:b/>
          <w:color w:val="FF0000"/>
          <w:sz w:val="24"/>
          <w:szCs w:val="24"/>
          <w:u w:val="single"/>
        </w:rPr>
        <w:t xml:space="preserve"> reforzaron la opinión de que el mencionado fracaso de la globalización no era simplemente un asunto de juicios erróneos económicos.</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sz w:val="24"/>
          <w:szCs w:val="24"/>
          <w:u w:val="single"/>
        </w:rPr>
        <w:t>En EEUU</w:t>
      </w:r>
      <w:r w:rsidRPr="00082C1B">
        <w:rPr>
          <w:rFonts w:ascii="Times New Roman" w:eastAsia="Times New Roman" w:hAnsi="Times New Roman"/>
          <w:sz w:val="24"/>
          <w:szCs w:val="24"/>
          <w:u w:val="single"/>
        </w:rPr>
        <w:t>, los republicanos del Congreso incluso se opusieron a prestar ayuda a aquellos que se vieron directamente lastimados por la globalización. De manera más general, los neoliberales, al parecer preocupados por los efectos de los incentivos adversos, se han opuesto a las medidas de bienestar que habrían protegido a los perdedores.</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color w:val="FF0000"/>
          <w:sz w:val="24"/>
          <w:szCs w:val="24"/>
          <w:u w:val="single"/>
        </w:rPr>
      </w:pPr>
      <w:r w:rsidRPr="00082C1B">
        <w:rPr>
          <w:rFonts w:ascii="Times New Roman" w:eastAsia="Times New Roman" w:hAnsi="Times New Roman"/>
          <w:color w:val="FF0000"/>
          <w:sz w:val="24"/>
          <w:szCs w:val="24"/>
          <w:u w:val="single"/>
        </w:rPr>
        <w:t>Pero, no se puede tener ambas cosas: si la globalización no va a beneficiar a la mayoría de los miembros de la sociedad, se deben establecer fuertes medidas de protección social</w:t>
      </w:r>
      <w:r w:rsidRPr="00E04352">
        <w:rPr>
          <w:rFonts w:ascii="Times New Roman" w:eastAsia="Times New Roman" w:hAnsi="Times New Roman"/>
          <w:sz w:val="24"/>
          <w:szCs w:val="24"/>
        </w:rPr>
        <w:t xml:space="preserve">. Los escandinavos se dieron cuenta de esto mucho tiempo atrás; esto fue parte del contrato social que </w:t>
      </w:r>
      <w:r>
        <w:rPr>
          <w:rFonts w:ascii="Times New Roman" w:eastAsia="Times New Roman" w:hAnsi="Times New Roman"/>
          <w:sz w:val="24"/>
          <w:szCs w:val="24"/>
        </w:rPr>
        <w:t>mantuvo a una sociedad abierta -</w:t>
      </w:r>
      <w:r w:rsidRPr="00E04352">
        <w:rPr>
          <w:rFonts w:ascii="Times New Roman" w:eastAsia="Times New Roman" w:hAnsi="Times New Roman"/>
          <w:sz w:val="24"/>
          <w:szCs w:val="24"/>
        </w:rPr>
        <w:t xml:space="preserve"> abierta a la globalización y a los cambios en la tecnología. </w:t>
      </w:r>
      <w:r w:rsidRPr="00082C1B">
        <w:rPr>
          <w:rFonts w:ascii="Times New Roman" w:eastAsia="Times New Roman" w:hAnsi="Times New Roman"/>
          <w:color w:val="FF0000"/>
          <w:sz w:val="24"/>
          <w:szCs w:val="24"/>
          <w:u w:val="single"/>
        </w:rPr>
        <w:t>Los neoliberales en el resto del mundo no se dier</w:t>
      </w:r>
      <w:r>
        <w:rPr>
          <w:rFonts w:ascii="Times New Roman" w:eastAsia="Times New Roman" w:hAnsi="Times New Roman"/>
          <w:color w:val="FF0000"/>
          <w:sz w:val="24"/>
          <w:szCs w:val="24"/>
          <w:u w:val="single"/>
        </w:rPr>
        <w:t>on cuenta de ello -</w:t>
      </w:r>
      <w:r w:rsidRPr="00082C1B">
        <w:rPr>
          <w:rFonts w:ascii="Times New Roman" w:eastAsia="Times New Roman" w:hAnsi="Times New Roman"/>
          <w:color w:val="FF0000"/>
          <w:sz w:val="24"/>
          <w:szCs w:val="24"/>
          <w:u w:val="single"/>
        </w:rPr>
        <w:t xml:space="preserve"> y ahora, </w:t>
      </w:r>
      <w:r>
        <w:rPr>
          <w:rFonts w:ascii="Times New Roman" w:eastAsia="Times New Roman" w:hAnsi="Times New Roman"/>
          <w:color w:val="FF0000"/>
          <w:sz w:val="24"/>
          <w:szCs w:val="24"/>
          <w:u w:val="single"/>
        </w:rPr>
        <w:t>en procesos eleccionarios en EEUU</w:t>
      </w:r>
      <w:r w:rsidRPr="00082C1B">
        <w:rPr>
          <w:rFonts w:ascii="Times New Roman" w:eastAsia="Times New Roman" w:hAnsi="Times New Roman"/>
          <w:color w:val="FF0000"/>
          <w:sz w:val="24"/>
          <w:szCs w:val="24"/>
          <w:u w:val="single"/>
        </w:rPr>
        <w:t xml:space="preserve"> y Europa, están recibiendo su merecido castigo.</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color w:val="FF0000"/>
          <w:sz w:val="24"/>
          <w:szCs w:val="24"/>
          <w:u w:val="single"/>
        </w:rPr>
      </w:pPr>
      <w:r w:rsidRPr="00082C1B">
        <w:rPr>
          <w:rFonts w:ascii="Times New Roman" w:eastAsia="Times New Roman" w:hAnsi="Times New Roman"/>
          <w:color w:val="FF0000"/>
          <w:sz w:val="24"/>
          <w:szCs w:val="24"/>
          <w:u w:val="single"/>
        </w:rPr>
        <w:t>La globalización es, por supuesto, sólo una parte de lo que está pasando; la innovación tecnológica es otra parte. Pero, se suponía que toda esa apertura y disturbios iban a hacernos a todos más ricos y que los países avanzados iban a poder introducir políticas para garantizar que las ganancias sean ampliamente compartidas.</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b/>
          <w:color w:val="FF0000"/>
          <w:sz w:val="24"/>
          <w:szCs w:val="24"/>
          <w:u w:val="single"/>
        </w:rPr>
      </w:pPr>
      <w:r w:rsidRPr="00082C1B">
        <w:rPr>
          <w:rFonts w:ascii="Times New Roman" w:eastAsia="Times New Roman" w:hAnsi="Times New Roman"/>
          <w:b/>
          <w:color w:val="FF0000"/>
          <w:sz w:val="24"/>
          <w:szCs w:val="24"/>
          <w:u w:val="single"/>
        </w:rPr>
        <w:t xml:space="preserve">Pero ocurrió todo lo contrario, se impulsaron políticas que reestructuraron los mercados en una forma que se incrementó la desigualdad y se socavó el rendimiento económico en general; en los hechos, el crecimiento se desaceleró en la </w:t>
      </w:r>
      <w:r w:rsidRPr="00082C1B">
        <w:rPr>
          <w:rFonts w:ascii="Times New Roman" w:eastAsia="Times New Roman" w:hAnsi="Times New Roman"/>
          <w:b/>
          <w:color w:val="FF0000"/>
          <w:sz w:val="24"/>
          <w:szCs w:val="24"/>
          <w:u w:val="single"/>
        </w:rPr>
        <w:lastRenderedPageBreak/>
        <w:t>medida que se reescribieron las reglas del juego con el propósito de hacer avanzar los intereses</w:t>
      </w:r>
      <w:r>
        <w:rPr>
          <w:rFonts w:ascii="Times New Roman" w:eastAsia="Times New Roman" w:hAnsi="Times New Roman"/>
          <w:b/>
          <w:color w:val="FF0000"/>
          <w:sz w:val="24"/>
          <w:szCs w:val="24"/>
          <w:u w:val="single"/>
        </w:rPr>
        <w:t xml:space="preserve"> de los bancos y las empresas -</w:t>
      </w:r>
      <w:r w:rsidRPr="00082C1B">
        <w:rPr>
          <w:rFonts w:ascii="Times New Roman" w:eastAsia="Times New Roman" w:hAnsi="Times New Roman"/>
          <w:b/>
          <w:color w:val="FF0000"/>
          <w:sz w:val="24"/>
          <w:szCs w:val="24"/>
          <w:u w:val="single"/>
        </w:rPr>
        <w:t xml:space="preserve">es </w:t>
      </w:r>
      <w:r>
        <w:rPr>
          <w:rFonts w:ascii="Times New Roman" w:eastAsia="Times New Roman" w:hAnsi="Times New Roman"/>
          <w:b/>
          <w:color w:val="FF0000"/>
          <w:sz w:val="24"/>
          <w:szCs w:val="24"/>
          <w:u w:val="single"/>
        </w:rPr>
        <w:t>decir de los ricos y poderosos-</w:t>
      </w:r>
      <w:r w:rsidRPr="00082C1B">
        <w:rPr>
          <w:rFonts w:ascii="Times New Roman" w:eastAsia="Times New Roman" w:hAnsi="Times New Roman"/>
          <w:b/>
          <w:color w:val="FF0000"/>
          <w:sz w:val="24"/>
          <w:szCs w:val="24"/>
          <w:u w:val="single"/>
        </w:rPr>
        <w:t xml:space="preserve"> a expensas de todos los demás. El poder de negociación de los </w:t>
      </w:r>
      <w:r>
        <w:rPr>
          <w:rFonts w:ascii="Times New Roman" w:eastAsia="Times New Roman" w:hAnsi="Times New Roman"/>
          <w:b/>
          <w:color w:val="FF0000"/>
          <w:sz w:val="24"/>
          <w:szCs w:val="24"/>
          <w:u w:val="single"/>
        </w:rPr>
        <w:t>trabajadores se debilitó; en EEUU</w:t>
      </w:r>
      <w:r w:rsidRPr="00082C1B">
        <w:rPr>
          <w:rFonts w:ascii="Times New Roman" w:eastAsia="Times New Roman" w:hAnsi="Times New Roman"/>
          <w:b/>
          <w:color w:val="FF0000"/>
          <w:sz w:val="24"/>
          <w:szCs w:val="24"/>
          <w:u w:val="single"/>
        </w:rPr>
        <w:t>, al menos, las leyes de la competencia no se mantuvieron al día con los tiempos; y, las leyes existentes se aplican de forma inadecuada. La financiarización continuó a buen ritmo y el gobierno corporativo empeoró.</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b/>
          <w:color w:val="FF0000"/>
          <w:sz w:val="24"/>
          <w:szCs w:val="24"/>
          <w:u w:val="single"/>
        </w:rPr>
      </w:pPr>
      <w:r w:rsidRPr="00082C1B">
        <w:rPr>
          <w:rFonts w:ascii="Times New Roman" w:eastAsia="Times New Roman" w:hAnsi="Times New Roman"/>
          <w:b/>
          <w:color w:val="FF0000"/>
          <w:sz w:val="24"/>
          <w:szCs w:val="24"/>
          <w:u w:val="single"/>
        </w:rPr>
        <w:t>Ahora, como señalo en mi reciente libro Rewriting the Rules of the American Economy, se deben cambiar n</w:t>
      </w:r>
      <w:r>
        <w:rPr>
          <w:rFonts w:ascii="Times New Roman" w:eastAsia="Times New Roman" w:hAnsi="Times New Roman"/>
          <w:b/>
          <w:color w:val="FF0000"/>
          <w:sz w:val="24"/>
          <w:szCs w:val="24"/>
          <w:u w:val="single"/>
        </w:rPr>
        <w:t>uevamente las reglas del juego -</w:t>
      </w:r>
      <w:r w:rsidRPr="00082C1B">
        <w:rPr>
          <w:rFonts w:ascii="Times New Roman" w:eastAsia="Times New Roman" w:hAnsi="Times New Roman"/>
          <w:b/>
          <w:color w:val="FF0000"/>
          <w:sz w:val="24"/>
          <w:szCs w:val="24"/>
          <w:u w:val="single"/>
        </w:rPr>
        <w:t xml:space="preserve"> y estas deben incluir medidas para sosegar la globalización. Los dos nuevos grandes acuerdos que el presidente Bar</w:t>
      </w:r>
      <w:r>
        <w:rPr>
          <w:rFonts w:ascii="Times New Roman" w:eastAsia="Times New Roman" w:hAnsi="Times New Roman"/>
          <w:b/>
          <w:color w:val="FF0000"/>
          <w:sz w:val="24"/>
          <w:szCs w:val="24"/>
          <w:u w:val="single"/>
        </w:rPr>
        <w:t>ack Obama ha estado impulsando -</w:t>
      </w:r>
      <w:r w:rsidRPr="00082C1B">
        <w:rPr>
          <w:rFonts w:ascii="Times New Roman" w:eastAsia="Times New Roman" w:hAnsi="Times New Roman"/>
          <w:b/>
          <w:color w:val="FF0000"/>
          <w:sz w:val="24"/>
          <w:szCs w:val="24"/>
          <w:u w:val="single"/>
        </w:rPr>
        <w:t>la Asociac</w:t>
      </w:r>
      <w:r>
        <w:rPr>
          <w:rFonts w:ascii="Times New Roman" w:eastAsia="Times New Roman" w:hAnsi="Times New Roman"/>
          <w:b/>
          <w:color w:val="FF0000"/>
          <w:sz w:val="24"/>
          <w:szCs w:val="24"/>
          <w:u w:val="single"/>
        </w:rPr>
        <w:t>ión Trans-Pacífico entre los EEUU</w:t>
      </w:r>
      <w:r w:rsidRPr="00082C1B">
        <w:rPr>
          <w:rFonts w:ascii="Times New Roman" w:eastAsia="Times New Roman" w:hAnsi="Times New Roman"/>
          <w:b/>
          <w:color w:val="FF0000"/>
          <w:sz w:val="24"/>
          <w:szCs w:val="24"/>
          <w:u w:val="single"/>
        </w:rPr>
        <w:t xml:space="preserve"> y 11 países de la costa del Pacífico, y la Asociación Transatlántica para el Comercio </w:t>
      </w:r>
      <w:r>
        <w:rPr>
          <w:rFonts w:ascii="Times New Roman" w:eastAsia="Times New Roman" w:hAnsi="Times New Roman"/>
          <w:b/>
          <w:color w:val="FF0000"/>
          <w:sz w:val="24"/>
          <w:szCs w:val="24"/>
          <w:u w:val="single"/>
        </w:rPr>
        <w:t xml:space="preserve">y </w:t>
      </w:r>
      <w:r w:rsidR="001E1E95">
        <w:rPr>
          <w:rFonts w:ascii="Times New Roman" w:eastAsia="Times New Roman" w:hAnsi="Times New Roman"/>
          <w:b/>
          <w:color w:val="FF0000"/>
          <w:sz w:val="24"/>
          <w:szCs w:val="24"/>
          <w:u w:val="single"/>
        </w:rPr>
        <w:t>la Inversión entre la UE y EEUU</w:t>
      </w:r>
      <w:r>
        <w:rPr>
          <w:rFonts w:ascii="Times New Roman" w:eastAsia="Times New Roman" w:hAnsi="Times New Roman"/>
          <w:b/>
          <w:color w:val="FF0000"/>
          <w:sz w:val="24"/>
          <w:szCs w:val="24"/>
          <w:u w:val="single"/>
        </w:rPr>
        <w:t>-</w:t>
      </w:r>
      <w:r w:rsidRPr="00082C1B">
        <w:rPr>
          <w:rFonts w:ascii="Times New Roman" w:eastAsia="Times New Roman" w:hAnsi="Times New Roman"/>
          <w:b/>
          <w:color w:val="FF0000"/>
          <w:sz w:val="24"/>
          <w:szCs w:val="24"/>
          <w:u w:val="single"/>
        </w:rPr>
        <w:t xml:space="preserve"> son pasos en la dirección equivocada.</w:t>
      </w:r>
    </w:p>
    <w:p w:rsidR="000711BB" w:rsidRPr="00082C1B" w:rsidRDefault="000711BB" w:rsidP="000711BB">
      <w:pPr>
        <w:shd w:val="clear" w:color="auto" w:fill="FFFFFF"/>
        <w:spacing w:line="240" w:lineRule="auto"/>
        <w:jc w:val="both"/>
        <w:textAlignment w:val="baseline"/>
        <w:rPr>
          <w:rFonts w:ascii="Times New Roman" w:eastAsia="Times New Roman" w:hAnsi="Times New Roman"/>
          <w:color w:val="FF0000"/>
          <w:sz w:val="24"/>
          <w:szCs w:val="24"/>
          <w:u w:val="single"/>
        </w:rPr>
      </w:pPr>
      <w:r w:rsidRPr="00082C1B">
        <w:rPr>
          <w:rFonts w:ascii="Times New Roman" w:eastAsia="Times New Roman" w:hAnsi="Times New Roman"/>
          <w:color w:val="FF0000"/>
          <w:sz w:val="24"/>
          <w:szCs w:val="24"/>
          <w:u w:val="single"/>
        </w:rPr>
        <w:t>El principal mensaje del Malestar en la globalización fue que el problema no era de la globalización, sino cómo se gestionaba el proceso de la misma. Lamentablemente, la forma de gestión no cambió. Quince años más tarde, los nuevos malestares han hecho que ese mensaje llegue a las economías avanzadas.</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(Joseph E. Stiglitz, recipient of the Nobel Memorial Prize in Economic Sciences in 2001 and the John Bates Clark Medal in 1979, is University Professor at Columbia University, Co-Chair of the High-Level Expert Group on the Measurement of Economic Performance and Social</w:t>
      </w:r>
      <w:r>
        <w:rPr>
          <w:rFonts w:ascii="Times New Roman" w:eastAsia="Times New Roman" w:hAnsi="Times New Roman"/>
          <w:sz w:val="24"/>
          <w:szCs w:val="24"/>
          <w:lang w:val="en-US"/>
        </w:rPr>
        <w:t xml:space="preserve"> Progress at the OECD</w:t>
      </w:r>
      <w:r w:rsidRPr="00AF422E">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color w:val="FF0000"/>
          <w:sz w:val="24"/>
          <w:szCs w:val="24"/>
          <w:lang w:val="en-US"/>
        </w:rPr>
      </w:pPr>
      <w:r w:rsidRPr="00AF422E">
        <w:rPr>
          <w:rFonts w:ascii="Times New Roman" w:eastAsia="Times New Roman" w:hAnsi="Times New Roman"/>
          <w:color w:val="FF0000"/>
          <w:sz w:val="24"/>
          <w:szCs w:val="24"/>
          <w:lang w:val="en-US"/>
        </w:rPr>
        <w:t>Can the open global economy be s</w:t>
      </w:r>
      <w:r>
        <w:rPr>
          <w:rFonts w:ascii="Times New Roman" w:eastAsia="Times New Roman" w:hAnsi="Times New Roman"/>
          <w:color w:val="FF0000"/>
          <w:sz w:val="24"/>
          <w:szCs w:val="24"/>
          <w:lang w:val="en-US"/>
        </w:rPr>
        <w:t>aved from populist challengers -</w:t>
      </w:r>
      <w:r w:rsidRPr="00AF422E">
        <w:rPr>
          <w:rFonts w:ascii="Times New Roman" w:eastAsia="Times New Roman" w:hAnsi="Times New Roman"/>
          <w:color w:val="FF0000"/>
          <w:sz w:val="24"/>
          <w:szCs w:val="24"/>
          <w:lang w:val="en-US"/>
        </w:rPr>
        <w:t xml:space="preserve"> and from itself? Justin Yifu Lin, Ngaire Woods, Robert Shiller, and other Project Syndicate commentators examine why globalization is in such distress and disrepute.</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color w:val="FF0000"/>
          <w:sz w:val="24"/>
          <w:szCs w:val="24"/>
          <w:lang w:val="en-US"/>
        </w:rPr>
      </w:pPr>
      <w:r w:rsidRPr="00AF422E">
        <w:rPr>
          <w:rFonts w:ascii="Times New Roman" w:eastAsia="Times New Roman" w:hAnsi="Times New Roman"/>
          <w:color w:val="FF0000"/>
          <w:sz w:val="24"/>
          <w:szCs w:val="24"/>
          <w:lang w:val="en-US"/>
        </w:rPr>
        <w:t>Introducing Editors’ Insight: a fortnightly review of the best thinking on current events and key trends.</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 xml:space="preserve">- </w:t>
      </w:r>
      <w:r w:rsidRPr="00AF422E">
        <w:rPr>
          <w:rFonts w:ascii="Times New Roman" w:eastAsia="Times New Roman" w:hAnsi="Times New Roman"/>
          <w:sz w:val="24"/>
          <w:szCs w:val="24"/>
          <w:u w:val="single"/>
          <w:lang w:val="en-US"/>
        </w:rPr>
        <w:t>Globalization RIP</w:t>
      </w:r>
      <w:r w:rsidRPr="00AF422E">
        <w:rPr>
          <w:rFonts w:ascii="Times New Roman" w:eastAsia="Times New Roman" w:hAnsi="Times New Roman"/>
          <w:sz w:val="24"/>
          <w:szCs w:val="24"/>
          <w:lang w:val="en-US"/>
        </w:rPr>
        <w:t xml:space="preserve">? (Project Syndicate - </w:t>
      </w:r>
      <w:r w:rsidRPr="00AF422E">
        <w:rPr>
          <w:rFonts w:ascii="Times New Roman" w:eastAsia="Times New Roman" w:hAnsi="Times New Roman"/>
          <w:b/>
          <w:sz w:val="24"/>
          <w:szCs w:val="24"/>
          <w:lang w:val="en-US"/>
        </w:rPr>
        <w:t>6/8/16</w:t>
      </w:r>
      <w:r w:rsidRPr="00AF422E">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Why is the goal of an open and increasingly integrated global economy c</w:t>
      </w:r>
      <w:r>
        <w:rPr>
          <w:rFonts w:ascii="Times New Roman" w:eastAsia="Times New Roman" w:hAnsi="Times New Roman"/>
          <w:sz w:val="24"/>
          <w:szCs w:val="24"/>
          <w:lang w:val="en-US"/>
        </w:rPr>
        <w:t>oming under such fierce attack -</w:t>
      </w:r>
      <w:r w:rsidRPr="00AF422E">
        <w:rPr>
          <w:rFonts w:ascii="Times New Roman" w:eastAsia="Times New Roman" w:hAnsi="Times New Roman"/>
          <w:sz w:val="24"/>
          <w:szCs w:val="24"/>
          <w:lang w:val="en-US"/>
        </w:rPr>
        <w:t xml:space="preserve"> and why now? If the ideal world of economists seems more distant than ever, blame the management of that process.</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Beyond the rancor and taunts heard at last month’s Republican National Convention, something even more ominous could be heard: the last rites for globalization. To adoring hoots, Donald Trump, the party’s presidential nominee, denounced US participation in international trade deals, and the foreign policy he sketched would pull the plug on the entire US-led liberal international order within which globalization has flourished. Should Trump enter the White House, globalization would not undergo a retreat; it would suffer a rout.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Half a world away, G20 finance ministers met almost simultaneously in Chengdu, China, where they made revitalizing globalization a priority for 2016/2017. The fact that all of the major advanced and emerging economies fear for the future of global openness suggests the degree to which surging support for populist challengers has imperiled existing rules and structures.</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lastRenderedPageBreak/>
        <w:t>For many Project Syndicate commentators, globalization seems trapped in a pincer movement: assailed from one direction by those who claim that it has created a reserve army of economic losers lorded over by a small cadre of winners, the infamous 1%; and besieged from the opposite direction by unscrupulous politicians who, feeding on economic resentment, attack it in the once discredited language of nationalism, of blood and soil, of herrenvolk.</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More Pain than Gain</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For most middle-class people in most developed economies, the last four decades of economic globalization pale in comparison with les trente glorieuses, the 30 post-war years of ever-rising living standards. According to University of California, Berkeley’s Laura Tyson and Lenny Mendonca of the Presidio Institute, the root cause of disappointment with globalization is clear: “From 2005 to 2014, the real income of two-thirds of households in 25 developed economies was flat or fell. Only after very aggressive government intervention in taxes and transfers have some countries been able to hold families at least even</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Nobel laureate Joseph Stiglitz paints an even grimmer picture. “Median income for full-time male workers” in the US, he points out, “is actually lower in real (inflation-adjusted) terms than it was 42 years ago. At the bottom, real wages are comparable to their level 60 years ago</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And it’s not just incomes that are moving in the wrong direction. “The effects of the economic pain and dislocation,” Stiglitz continues, “are even sh</w:t>
      </w:r>
      <w:r>
        <w:rPr>
          <w:rFonts w:ascii="Times New Roman" w:eastAsia="Times New Roman" w:hAnsi="Times New Roman"/>
          <w:sz w:val="24"/>
          <w:szCs w:val="24"/>
          <w:lang w:val="en-US"/>
        </w:rPr>
        <w:t>owing up in health statistics” -</w:t>
      </w:r>
      <w:r w:rsidRPr="00AF422E">
        <w:rPr>
          <w:rFonts w:ascii="Times New Roman" w:eastAsia="Times New Roman" w:hAnsi="Times New Roman"/>
          <w:sz w:val="24"/>
          <w:szCs w:val="24"/>
          <w:lang w:val="en-US"/>
        </w:rPr>
        <w:t xml:space="preserve"> specifically, declining life expectancy among some non-Hispanic whites. For the United Nations’ Jomo Kwame Sundaram and Vladimir Popov of the Russian Academy of Sciences, the unvarnished truth is that “developed countries should not expect further gains from the process of globalization</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Income stagnation in many developed countries is a direct result of what Yale’s Stephen Roach calls “the globalization disconnect</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While “seemingly elegant in theory</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Roach says, “the lesson of Brexit and of the rise of Donald Trump” is that “globalization suffers in practice. In fact, the theory of globalization itself hasn’t advanced much since the early 1800s</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The Anatomy of Anti-Globalization</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 xml:space="preserve">For former Costa Rican trade minister Anabel González, globalization’s political vulnerability stems from the difficulty of implementing “policies which will ensure that </w:t>
      </w:r>
      <w:r>
        <w:rPr>
          <w:rFonts w:ascii="Times New Roman" w:eastAsia="Times New Roman" w:hAnsi="Times New Roman"/>
          <w:sz w:val="24"/>
          <w:szCs w:val="24"/>
          <w:lang w:val="en-US"/>
        </w:rPr>
        <w:t>all people -</w:t>
      </w:r>
      <w:r w:rsidRPr="00AF422E">
        <w:rPr>
          <w:rFonts w:ascii="Times New Roman" w:eastAsia="Times New Roman" w:hAnsi="Times New Roman"/>
          <w:sz w:val="24"/>
          <w:szCs w:val="24"/>
          <w:lang w:val="en-US"/>
        </w:rPr>
        <w:t>in deve</w:t>
      </w:r>
      <w:r>
        <w:rPr>
          <w:rFonts w:ascii="Times New Roman" w:eastAsia="Times New Roman" w:hAnsi="Times New Roman"/>
          <w:sz w:val="24"/>
          <w:szCs w:val="24"/>
          <w:lang w:val="en-US"/>
        </w:rPr>
        <w:t>loped and developing countries-</w:t>
      </w:r>
      <w:r w:rsidRPr="00AF422E">
        <w:rPr>
          <w:rFonts w:ascii="Times New Roman" w:eastAsia="Times New Roman" w:hAnsi="Times New Roman"/>
          <w:sz w:val="24"/>
          <w:szCs w:val="24"/>
          <w:lang w:val="en-US"/>
        </w:rPr>
        <w:t xml:space="preserve"> reap the benefits</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But Andrés Velasco, Chile’s former finance minister, asks a fundamental question: given that US wages have been stagnating since the 1970s and unemployment in Europe was persistently high for long periods in the 1980s and 1990s, why is globalization coming under assault now?</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The reason, he argues, “has everything to do with politics”:</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Elites in Western countries discredited themselves by permitting the financial excesses that helped trigger the Grea</w:t>
      </w:r>
      <w:r>
        <w:rPr>
          <w:rFonts w:ascii="Times New Roman" w:eastAsia="Times New Roman" w:hAnsi="Times New Roman"/>
          <w:sz w:val="24"/>
          <w:szCs w:val="24"/>
          <w:lang w:val="en-US"/>
        </w:rPr>
        <w:t>t Recession and by being slow -particularly in Europe-</w:t>
      </w:r>
      <w:r w:rsidRPr="00AF422E">
        <w:rPr>
          <w:rFonts w:ascii="Times New Roman" w:eastAsia="Times New Roman" w:hAnsi="Times New Roman"/>
          <w:sz w:val="24"/>
          <w:szCs w:val="24"/>
          <w:lang w:val="en-US"/>
        </w:rPr>
        <w:t xml:space="preserve"> to deal with the social consequences. Next they underestimated the effect that unfettered migration and the perceived weakening of the nation-state w</w:t>
      </w:r>
      <w:r>
        <w:rPr>
          <w:rFonts w:ascii="Times New Roman" w:eastAsia="Times New Roman" w:hAnsi="Times New Roman"/>
          <w:sz w:val="24"/>
          <w:szCs w:val="24"/>
          <w:lang w:val="en-US"/>
        </w:rPr>
        <w:t>ould have on the sense of “us” -</w:t>
      </w:r>
      <w:r w:rsidRPr="00AF422E">
        <w:rPr>
          <w:rFonts w:ascii="Times New Roman" w:eastAsia="Times New Roman" w:hAnsi="Times New Roman"/>
          <w:sz w:val="24"/>
          <w:szCs w:val="24"/>
          <w:lang w:val="en-US"/>
        </w:rPr>
        <w:t xml:space="preserve"> the people with whom we share a destiny and of whom we ask sacrifices (one of which is paying taxes).</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lastRenderedPageBreak/>
        <w:t>Former Greek finance minister Yanis Varoufakis agrees. “What we are experiencing</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he says, “is the natural repercussion of the implosion of centrist politics, owing to a crisis of global capitalism in which a financial crash led to a Great Recession and then to today’s Great Deflation</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In “drawing upon the righteous anger and frustrated aspirations of the victims to advance its own repugnant agenda,” the populist right has formed</w:t>
      </w:r>
      <w:r>
        <w:rPr>
          <w:rFonts w:ascii="Times New Roman" w:eastAsia="Times New Roman" w:hAnsi="Times New Roman"/>
          <w:sz w:val="24"/>
          <w:szCs w:val="24"/>
          <w:lang w:val="en-US"/>
        </w:rPr>
        <w:t xml:space="preserve"> “a nationalist international -</w:t>
      </w:r>
      <w:r w:rsidRPr="00AF422E">
        <w:rPr>
          <w:rFonts w:ascii="Times New Roman" w:eastAsia="Times New Roman" w:hAnsi="Times New Roman"/>
          <w:sz w:val="24"/>
          <w:szCs w:val="24"/>
          <w:lang w:val="en-US"/>
        </w:rPr>
        <w:t xml:space="preserve">a classic creature of </w:t>
      </w:r>
      <w:r>
        <w:rPr>
          <w:rFonts w:ascii="Times New Roman" w:eastAsia="Times New Roman" w:hAnsi="Times New Roman"/>
          <w:sz w:val="24"/>
          <w:szCs w:val="24"/>
          <w:lang w:val="en-US"/>
        </w:rPr>
        <w:t>a deflationary period-</w:t>
      </w:r>
      <w:r w:rsidRPr="00AF422E">
        <w:rPr>
          <w:rFonts w:ascii="Times New Roman" w:eastAsia="Times New Roman" w:hAnsi="Times New Roman"/>
          <w:sz w:val="24"/>
          <w:szCs w:val="24"/>
          <w:lang w:val="en-US"/>
        </w:rPr>
        <w:t xml:space="preserve"> united by contempt for liberal democracy and the ability to mobilize those who would crush it.”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Harvard’s Ricardo Hausmann adds a crucial dimension</w:t>
      </w:r>
      <w:r>
        <w:rPr>
          <w:rFonts w:ascii="Times New Roman" w:eastAsia="Times New Roman" w:hAnsi="Times New Roman"/>
          <w:sz w:val="24"/>
          <w:szCs w:val="24"/>
          <w:lang w:val="en-US"/>
        </w:rPr>
        <w:t>, arguing that populist forces -</w:t>
      </w:r>
      <w:r w:rsidRPr="00AF422E">
        <w:rPr>
          <w:rFonts w:ascii="Times New Roman" w:eastAsia="Times New Roman" w:hAnsi="Times New Roman"/>
          <w:sz w:val="24"/>
          <w:szCs w:val="24"/>
          <w:lang w:val="en-US"/>
        </w:rPr>
        <w:t xml:space="preserve"> whether in</w:t>
      </w:r>
      <w:r>
        <w:rPr>
          <w:rFonts w:ascii="Times New Roman" w:eastAsia="Times New Roman" w:hAnsi="Times New Roman"/>
          <w:sz w:val="24"/>
          <w:szCs w:val="24"/>
          <w:lang w:val="en-US"/>
        </w:rPr>
        <w:t xml:space="preserve"> the US, Venezuela, or Europe- </w:t>
      </w:r>
      <w:r w:rsidRPr="00AF422E">
        <w:rPr>
          <w:rFonts w:ascii="Times New Roman" w:eastAsia="Times New Roman" w:hAnsi="Times New Roman"/>
          <w:sz w:val="24"/>
          <w:szCs w:val="24"/>
          <w:lang w:val="en-US"/>
        </w:rPr>
        <w:t>succeed only when they anchor their programs in an alternative mental universe. Citing the example of the seventeenth-century Salem witch trials, he notes that, “Whether policies sound crazy or sensible depends on the conceptual paradigm, or belief system, that we use to interpret the nature of the world we inhabit</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Thus, just as “Venezuela’s chavismo blamed inflation and recession on devious business behavior</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Trump’s supporters inhabit a mental universe where “the US is led by weaklings who are being exploited by savvy foreign powers, masquerading as allies. Free trade is a Mexican invention to take away American jobs. Global warming is a hoax invented by China to destroy American industry</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It is also a mental universe in which globalization is equated with terror. “If people feel that their leaders are failing to protect them</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the French geo-strategist Dominique Moisi argues, “they may turn to more radical alternatives” and “may even decide to take the law into their own hands.” The specter of vigilantism underscores a fundamental point made by Ngaire Woods, dean of Oxford’s Blavatnik School of Government, about rising support for populist parties and candidates. “The message to the establishment is clea</w:t>
      </w:r>
      <w:r>
        <w:rPr>
          <w:rFonts w:ascii="Times New Roman" w:eastAsia="Times New Roman" w:hAnsi="Times New Roman"/>
          <w:sz w:val="24"/>
          <w:szCs w:val="24"/>
          <w:lang w:val="en-US"/>
        </w:rPr>
        <w:t>r: we don’t trust you anymore” -</w:t>
      </w:r>
      <w:r w:rsidRPr="00AF422E">
        <w:rPr>
          <w:rFonts w:ascii="Times New Roman" w:eastAsia="Times New Roman" w:hAnsi="Times New Roman"/>
          <w:sz w:val="24"/>
          <w:szCs w:val="24"/>
          <w:lang w:val="en-US"/>
        </w:rPr>
        <w:t xml:space="preserve"> not to secure our economic wellbeing; not even to protect us.</w:t>
      </w:r>
    </w:p>
    <w:p w:rsidR="000711BB"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And, as Jean Pisani-Ferry, Commissioner-General of France Stratégie, would add, “We don’t trust your experts, either</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Indeed, suspicion of those with specialized knowledge is not limited to economic policy. Pisani-Ferry reports a remarkable finding by the French sociologist Gerald Bronner: “education neither increases trust in science nor diminishes the attraction of beliefs or theories that scientists regard as utter nonsense</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This, Pisani-Ferry argues, is obviously “a cause for deep concern</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and not only because dysfunctional beliefs can lead to economic disaster: “Representative democracy is based not only on universal suffrage, but also on reason</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The Price of Mud</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 xml:space="preserve">Irrationality and fear mongering are not cost-free. Nobel laureate economist Robert Shiller suggests that some of </w:t>
      </w:r>
      <w:r>
        <w:rPr>
          <w:rFonts w:ascii="Times New Roman" w:eastAsia="Times New Roman" w:hAnsi="Times New Roman"/>
          <w:sz w:val="24"/>
          <w:szCs w:val="24"/>
          <w:lang w:val="en-US"/>
        </w:rPr>
        <w:t>the “stories circulating today -</w:t>
      </w:r>
      <w:r w:rsidRPr="00AF422E">
        <w:rPr>
          <w:rFonts w:ascii="Times New Roman" w:eastAsia="Times New Roman" w:hAnsi="Times New Roman"/>
          <w:sz w:val="24"/>
          <w:szCs w:val="24"/>
          <w:lang w:val="en-US"/>
        </w:rPr>
        <w:t xml:space="preserve">related to growing nationalism or fear of challenges by immigrants </w:t>
      </w:r>
      <w:r>
        <w:rPr>
          <w:rFonts w:ascii="Times New Roman" w:eastAsia="Times New Roman" w:hAnsi="Times New Roman"/>
          <w:sz w:val="24"/>
          <w:szCs w:val="24"/>
          <w:lang w:val="en-US"/>
        </w:rPr>
        <w:t>to traditional cultural values-</w:t>
      </w:r>
      <w:r w:rsidRPr="00AF422E">
        <w:rPr>
          <w:rFonts w:ascii="Times New Roman" w:eastAsia="Times New Roman" w:hAnsi="Times New Roman"/>
          <w:sz w:val="24"/>
          <w:szCs w:val="24"/>
          <w:lang w:val="en-US"/>
        </w:rPr>
        <w:t xml:space="preserve"> might underpin greater hesitation” to invest. Whether that could “bring on another worldwide recession” remains uncertain; but the very possibility of such an outcome implies that “we should not shrink from considering how such fears are affecting economic decision-making</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 xml:space="preserve">Consider Britain and Europe in the aftermath </w:t>
      </w:r>
      <w:r>
        <w:rPr>
          <w:rFonts w:ascii="Times New Roman" w:eastAsia="Times New Roman" w:hAnsi="Times New Roman"/>
          <w:sz w:val="24"/>
          <w:szCs w:val="24"/>
          <w:lang w:val="en-US"/>
        </w:rPr>
        <w:t>of the fear-induced Brexit vote-</w:t>
      </w:r>
      <w:r w:rsidRPr="00AF422E">
        <w:rPr>
          <w:rFonts w:ascii="Times New Roman" w:eastAsia="Times New Roman" w:hAnsi="Times New Roman"/>
          <w:sz w:val="24"/>
          <w:szCs w:val="24"/>
          <w:lang w:val="en-US"/>
        </w:rPr>
        <w:t xml:space="preserve">– the populists’ lone triumph so far. Although the immediate impact has been less severe than anticipated, NYU’s Nouriel Roubini sees “plenty of reason to worry about Europe and the </w:t>
      </w:r>
      <w:r>
        <w:rPr>
          <w:rFonts w:ascii="Times New Roman" w:eastAsia="Times New Roman" w:hAnsi="Times New Roman"/>
          <w:sz w:val="24"/>
          <w:szCs w:val="24"/>
          <w:lang w:val="en-US"/>
        </w:rPr>
        <w:t>Eurozone”.</w:t>
      </w:r>
      <w:r w:rsidRPr="00AF422E">
        <w:rPr>
          <w:rFonts w:ascii="Times New Roman" w:eastAsia="Times New Roman" w:hAnsi="Times New Roman"/>
          <w:sz w:val="24"/>
          <w:szCs w:val="24"/>
          <w:lang w:val="en-US"/>
        </w:rPr>
        <w:t xml:space="preserve"> Perhaps most important, an “ugly divorce” could roil markets and “lead Scotland and Northern Ireland to leave the UK</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fueling secession movements </w:t>
      </w:r>
      <w:r w:rsidRPr="00AF422E">
        <w:rPr>
          <w:rFonts w:ascii="Times New Roman" w:eastAsia="Times New Roman" w:hAnsi="Times New Roman"/>
          <w:sz w:val="24"/>
          <w:szCs w:val="24"/>
          <w:lang w:val="en-US"/>
        </w:rPr>
        <w:lastRenderedPageBreak/>
        <w:t>elsewhere. And the other non-eurozone EU members, Denmark and Sweden, could “fear that they will become second-class members of the EU, thus leading them to consider leaving as well</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Britain’s choice about what sort of Brexit to pursue will a</w:t>
      </w:r>
      <w:r>
        <w:rPr>
          <w:rFonts w:ascii="Times New Roman" w:eastAsia="Times New Roman" w:hAnsi="Times New Roman"/>
          <w:sz w:val="24"/>
          <w:szCs w:val="24"/>
          <w:lang w:val="en-US"/>
        </w:rPr>
        <w:t>lso have a profound impact. “A “hard”</w:t>
      </w:r>
      <w:r w:rsidRPr="00AF422E">
        <w:rPr>
          <w:rFonts w:ascii="Times New Roman" w:eastAsia="Times New Roman" w:hAnsi="Times New Roman"/>
          <w:sz w:val="24"/>
          <w:szCs w:val="24"/>
          <w:lang w:val="en-US"/>
        </w:rPr>
        <w:t xml:space="preserve"> Brexit,” says Princeton’s Harold James, “would entail the severing of all existing links between the UK and the EU: no more contributions to the common budget and an end to free labor mobility</w:t>
      </w:r>
      <w:r>
        <w:rPr>
          <w:rFonts w:ascii="Times New Roman" w:eastAsia="Times New Roman" w:hAnsi="Times New Roman"/>
          <w:sz w:val="24"/>
          <w:szCs w:val="24"/>
          <w:lang w:val="en-US"/>
        </w:rPr>
        <w:t>”. By contrast, “a “soft”</w:t>
      </w:r>
      <w:r w:rsidRPr="00AF422E">
        <w:rPr>
          <w:rFonts w:ascii="Times New Roman" w:eastAsia="Times New Roman" w:hAnsi="Times New Roman"/>
          <w:sz w:val="24"/>
          <w:szCs w:val="24"/>
          <w:lang w:val="en-US"/>
        </w:rPr>
        <w:t xml:space="preserve"> Brexit would reflect the view that the UK is still a part of Europe, and that Britain still has much to gain from close EU ties</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The latter course, in James’s view, “is the UK’s better option</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reflecting “the triumph of a realistic worldview over a self-defeating perspective underpinned by an implausible notion of sovereignty</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The presence of leading Brexiteers in Prime Minister Theresa May’s new cabinet would seem to make the “better option” unlikely. But Anatole Kaletsky of Gavekal Dragonomics goes even further. Instead “of rushing Brexit</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he argues, “Europe’s leaders should be trying to avert it, by persuading British voters to change their minds</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With opinion polls showing overwhelming public support for a “soft” approach, and with the new government holding only a “slender parliamentary majority</w:t>
      </w:r>
      <w:r>
        <w:rPr>
          <w:rFonts w:ascii="Times New Roman" w:eastAsia="Times New Roman" w:hAnsi="Times New Roman"/>
          <w:sz w:val="24"/>
          <w:szCs w:val="24"/>
          <w:lang w:val="en-US"/>
        </w:rPr>
        <w:t>” that “depends on disgruntled “Remain”</w:t>
      </w:r>
      <w:r w:rsidRPr="00AF422E">
        <w:rPr>
          <w:rFonts w:ascii="Times New Roman" w:eastAsia="Times New Roman" w:hAnsi="Times New Roman"/>
          <w:sz w:val="24"/>
          <w:szCs w:val="24"/>
          <w:lang w:val="en-US"/>
        </w:rPr>
        <w:t xml:space="preserve"> rivals,” Kaletsky thinks “the EU could advance this strategy </w:t>
      </w:r>
      <w:r>
        <w:rPr>
          <w:rFonts w:ascii="Times New Roman" w:eastAsia="Times New Roman" w:hAnsi="Times New Roman"/>
          <w:sz w:val="24"/>
          <w:szCs w:val="24"/>
          <w:lang w:val="en-US"/>
        </w:rPr>
        <w:t>by calling May’s bluff on “Brexit means Brexit””.</w:t>
      </w:r>
      <w:r w:rsidRPr="00AF422E">
        <w:rPr>
          <w:rFonts w:ascii="Times New Roman" w:eastAsia="Times New Roman" w:hAnsi="Times New Roman"/>
          <w:sz w:val="24"/>
          <w:szCs w:val="24"/>
          <w:lang w:val="en-US"/>
        </w:rPr>
        <w:t xml:space="preserve"> That means “telling her that only two outcomes are possible: either Britain loses all single-market access and interacts with Europe solely under World Trade Organization rules, or it remains an EU member, after negotiating reforms that could persuade voters to reconsider Brexit in a general election or a second referendum</w:t>
      </w:r>
      <w:r>
        <w:rPr>
          <w:rFonts w:ascii="Times New Roman" w:eastAsia="Times New Roman" w:hAnsi="Times New Roman"/>
          <w:sz w:val="24"/>
          <w:szCs w:val="24"/>
          <w:lang w:val="en-US"/>
        </w:rPr>
        <w:t>”.</w:t>
      </w:r>
    </w:p>
    <w:p w:rsidR="000711BB" w:rsidRPr="006F6055"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6F6055">
        <w:rPr>
          <w:rFonts w:ascii="Times New Roman" w:eastAsia="Times New Roman" w:hAnsi="Times New Roman"/>
          <w:sz w:val="24"/>
          <w:szCs w:val="24"/>
          <w:lang w:val="en-US"/>
        </w:rPr>
        <w:t>Some Call It Treason</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Populists like Trump and Boris Johnson, a leader of the UK’s “Leave” campaign and now the British foreign secretary, portray themselves as national saviors. But, given the high costs that popu</w:t>
      </w:r>
      <w:r>
        <w:rPr>
          <w:rFonts w:ascii="Times New Roman" w:eastAsia="Times New Roman" w:hAnsi="Times New Roman"/>
          <w:sz w:val="24"/>
          <w:szCs w:val="24"/>
          <w:lang w:val="en-US"/>
        </w:rPr>
        <w:t>lists can impose on countries -</w:t>
      </w:r>
      <w:r w:rsidRPr="00AF422E">
        <w:rPr>
          <w:rFonts w:ascii="Times New Roman" w:eastAsia="Times New Roman" w:hAnsi="Times New Roman"/>
          <w:sz w:val="24"/>
          <w:szCs w:val="24"/>
          <w:lang w:val="en-US"/>
        </w:rPr>
        <w:t>even threatening their survival, as in the UK, or plunging them into a humani</w:t>
      </w:r>
      <w:r>
        <w:rPr>
          <w:rFonts w:ascii="Times New Roman" w:eastAsia="Times New Roman" w:hAnsi="Times New Roman"/>
          <w:sz w:val="24"/>
          <w:szCs w:val="24"/>
          <w:lang w:val="en-US"/>
        </w:rPr>
        <w:t>tarian crisis, as in Venezuela-</w:t>
      </w:r>
      <w:r w:rsidRPr="00AF422E">
        <w:rPr>
          <w:rFonts w:ascii="Times New Roman" w:eastAsia="Times New Roman" w:hAnsi="Times New Roman"/>
          <w:sz w:val="24"/>
          <w:szCs w:val="24"/>
          <w:lang w:val="en-US"/>
        </w:rPr>
        <w:t xml:space="preserve"> are such leaders actually “traitors”? French philosopher Bernard-Henri Lévy isn’t afraid to say so. If T</w:t>
      </w:r>
      <w:r>
        <w:rPr>
          <w:rFonts w:ascii="Times New Roman" w:eastAsia="Times New Roman" w:hAnsi="Times New Roman"/>
          <w:sz w:val="24"/>
          <w:szCs w:val="24"/>
          <w:lang w:val="en-US"/>
        </w:rPr>
        <w:t>rump were to win in November, “(t)</w:t>
      </w:r>
      <w:r w:rsidRPr="00AF422E">
        <w:rPr>
          <w:rFonts w:ascii="Times New Roman" w:eastAsia="Times New Roman" w:hAnsi="Times New Roman"/>
          <w:sz w:val="24"/>
          <w:szCs w:val="24"/>
          <w:lang w:val="en-US"/>
        </w:rPr>
        <w:t>he problem would not only be his vulgarity, sexism, racism, and defiant ignorance. It would be his possible infidelity to America itself</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To be sure, Trump’s infidelity may not technically constitute “treason</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which the US Constitution explicitly delimits. But Lévy is surely right that Trump is a leader “who betrays not only his country’s ideals, but also its fundamental national interest</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The primary source of concern is what the New School’s Nina Khrushcheva calls Trump’s “international bromance” with Russian President Vladimir Putin. Trump, she points out, “has complimented Putin’s leadership frequently</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and has said “he would consider accepting Russia’s annexation of Crimea and lifting the sanctions</w:t>
      </w:r>
      <w:r>
        <w:rPr>
          <w:rFonts w:ascii="Times New Roman" w:eastAsia="Times New Roman" w:hAnsi="Times New Roman"/>
          <w:sz w:val="24"/>
          <w:szCs w:val="24"/>
          <w:lang w:val="en-US"/>
        </w:rPr>
        <w:t xml:space="preserve"> that were imposed in response -</w:t>
      </w:r>
      <w:r w:rsidRPr="00AF422E">
        <w:rPr>
          <w:rFonts w:ascii="Times New Roman" w:eastAsia="Times New Roman" w:hAnsi="Times New Roman"/>
          <w:sz w:val="24"/>
          <w:szCs w:val="24"/>
          <w:lang w:val="en-US"/>
        </w:rPr>
        <w:t xml:space="preserve"> all without asking for anything in return from Putin</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Even more shocking, “Trump has called into question America’s automatic defense of NATO allies such as the ex-Soviet Baltic states, whose independence Putin has questioned</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 xml:space="preserve">Like Khrushcheva, Christopher Smart, US President Barack Obama’s former special assistant for international economics, believes that Putin has no serious interest in a </w:t>
      </w:r>
      <w:r w:rsidRPr="00AF422E">
        <w:rPr>
          <w:rFonts w:ascii="Times New Roman" w:eastAsia="Times New Roman" w:hAnsi="Times New Roman"/>
          <w:sz w:val="24"/>
          <w:szCs w:val="24"/>
          <w:lang w:val="en-US"/>
        </w:rPr>
        <w:lastRenderedPageBreak/>
        <w:t>Trump presidency. “It may be fun to watch the US body politic squirm, and to gloat as America’s allies wring their hands, but a President Trump would make Putin’s life far more difficult</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Long-term growth “requires a global economy that is stable and predictable. A Trump presidency would mean the opposite</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Whose Truth?</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 xml:space="preserve">When belief systems based on lies make inroads into countries’ politics, is there a way back? Peter Sutherland, a former EU commissioner and the UN’s Special Envoy for Migration, believes that it “is now up to rational political leaders and mass media to reintroduce facts” into debates hijacked by populists, in particular debates about migration. The Brexit vote, he says “was </w:t>
      </w:r>
      <w:r>
        <w:rPr>
          <w:rFonts w:ascii="Times New Roman" w:eastAsia="Times New Roman" w:hAnsi="Times New Roman"/>
          <w:sz w:val="24"/>
          <w:szCs w:val="24"/>
          <w:lang w:val="en-US"/>
        </w:rPr>
        <w:t>driven by a distorted picture -</w:t>
      </w:r>
      <w:r w:rsidRPr="00AF422E">
        <w:rPr>
          <w:rFonts w:ascii="Times New Roman" w:eastAsia="Times New Roman" w:hAnsi="Times New Roman"/>
          <w:sz w:val="24"/>
          <w:szCs w:val="24"/>
          <w:lang w:val="en-US"/>
        </w:rPr>
        <w:t>eagerly painted by tabloid newsp</w:t>
      </w:r>
      <w:r>
        <w:rPr>
          <w:rFonts w:ascii="Times New Roman" w:eastAsia="Times New Roman" w:hAnsi="Times New Roman"/>
          <w:sz w:val="24"/>
          <w:szCs w:val="24"/>
          <w:lang w:val="en-US"/>
        </w:rPr>
        <w:t>apers and populist politicians-</w:t>
      </w:r>
      <w:r w:rsidRPr="00AF422E">
        <w:rPr>
          <w:rFonts w:ascii="Times New Roman" w:eastAsia="Times New Roman" w:hAnsi="Times New Roman"/>
          <w:sz w:val="24"/>
          <w:szCs w:val="24"/>
          <w:lang w:val="en-US"/>
        </w:rPr>
        <w:t xml:space="preserve"> of a country overflowing with migrants</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And the UK is hardly alone: “In Eastern European countries, Muslim migrants are perceived as being up to 70 times more numerous than they are</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But it is not only the populists who have misled the public. Hans-Werner Sinn of Munich University and the IFO Institute thinks that free labor mobility in the EU does indeed pose a threat, which is precisely why Brexiteers were able to capitalize on it. Unless changed, Sinn argues, the current “rules of access to national welfare systems will erode the EU’s welfare states</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This can be prevented only “by restricting either freedom of movement or the inclusion principle</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If Europe’s populists are to be defeated, “the EU must acknowledge the trade-off between the welfare state’s quality, freedom of movement, and inclusion, and it must decide which can be sacrificed</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Likewise, Stiglitz argues that much of the blame for today’s populist revolt should be laid at the feet of globalization’s boosters. Rather than acknowledging the widespread pain and dislocation reflected in income and health data, many “neoliberal economists who advocated for these policies” have remained in denial, claiming “that people are better off. They just don’t know it. Their discontent is a matter for psychiatrists, not economists</w:t>
      </w:r>
      <w:r>
        <w:rPr>
          <w:rFonts w:ascii="Times New Roman" w:eastAsia="Times New Roman" w:hAnsi="Times New Roman"/>
          <w:sz w:val="24"/>
          <w:szCs w:val="24"/>
          <w:lang w:val="en-US"/>
        </w:rPr>
        <w:t>”.</w:t>
      </w:r>
    </w:p>
    <w:p w:rsidR="000711BB"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That dismissive response, together with “governments’ offers of generous bailouts for the banks that had brought on the 2008 financial crisis, while leaving ordinary citizens largely to fend for themselves</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Stiglitz continues, convinced many people that their pain “was not merely a matter of economic misjudgments</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China to the Rescue?</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Where does the incipient anti-globalization agenda in the advanced countries leave developing and emerging economies? Nobel laureate Michael Spence suggests that, “developing countries, particularly those in the earlier stages of economic development, must find new external markets for their goods, by maximizing trade opportunities with their counterparts in the developing world, many of which have considerable purchasing power</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Although “such demand will surely not offset the drop in advanced-country demand completely</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he says, “it can help to soften the blow</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If so, what Roach calls “the increasingly virulent China-bashing now sweeping the world” won’t help. As Claremont McKenna College’s Minxin Pei argues, “Regardless of how Brexit or the US election plays out, it is very likely that governments in Western democracies will respond to voter angst and take measures that imply a return to some degree of protectionism</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At a time when China, the world’s second largest economy, is </w:t>
      </w:r>
      <w:r w:rsidRPr="00AF422E">
        <w:rPr>
          <w:rFonts w:ascii="Times New Roman" w:eastAsia="Times New Roman" w:hAnsi="Times New Roman"/>
          <w:sz w:val="24"/>
          <w:szCs w:val="24"/>
          <w:lang w:val="en-US"/>
        </w:rPr>
        <w:lastRenderedPageBreak/>
        <w:t>attempting to manage a complicated structural transition to consumption-led growth, any threat to its economic performance would harm developing countries’ prospects.</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And Peking University’s Justin Yifu Lin shows that China’s importance to developing countries reflects not only the size of its market, but also its role as a source of much-needed foreign direct investment. As Lin points out, “in 2013 China became the third largest source of other countries’ FDI and is expected to become a net capital exporter for the first time in 2016.”</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So far, say Andrew Sheng and Xiao Geng of Hong Kong University, “China’s supply-side rebalancing is moving in the right direction</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But a new direction means new challenges: “unless China’s leaders also tackle the challenges posed by market and bureaucratic inefficiencies, the objective of strong and sustainable growth will remain out of reach</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Joseph Jimenez, the CEO of Novartis, is optimistic. He thinks that China is on the verge of becoming an innovation powerhouse: “In science and engineering a</w:t>
      </w:r>
      <w:r>
        <w:rPr>
          <w:rFonts w:ascii="Times New Roman" w:eastAsia="Times New Roman" w:hAnsi="Times New Roman"/>
          <w:sz w:val="24"/>
          <w:szCs w:val="24"/>
          <w:lang w:val="en-US"/>
        </w:rPr>
        <w:t>lone, China generates nearly 30.</w:t>
      </w:r>
      <w:r w:rsidRPr="00AF422E">
        <w:rPr>
          <w:rFonts w:ascii="Times New Roman" w:eastAsia="Times New Roman" w:hAnsi="Times New Roman"/>
          <w:sz w:val="24"/>
          <w:szCs w:val="24"/>
          <w:lang w:val="en-US"/>
        </w:rPr>
        <w:t>000 PhDs annually,” he points out, while McKinsey estimates that expenditure on innovation will “reach $</w:t>
      </w:r>
      <w:r>
        <w:rPr>
          <w:rFonts w:ascii="Times New Roman" w:eastAsia="Times New Roman" w:hAnsi="Times New Roman"/>
          <w:sz w:val="24"/>
          <w:szCs w:val="24"/>
          <w:lang w:val="en-US"/>
        </w:rPr>
        <w:t xml:space="preserve"> </w:t>
      </w:r>
      <w:r w:rsidRPr="00AF422E">
        <w:rPr>
          <w:rFonts w:ascii="Times New Roman" w:eastAsia="Times New Roman" w:hAnsi="Times New Roman"/>
          <w:sz w:val="24"/>
          <w:szCs w:val="24"/>
          <w:lang w:val="en-US"/>
        </w:rPr>
        <w:t>1 trillion by 2020.” In particular, Jimenez believes that, “China has a real opportunity to become a major force in global pharmaceuticals research, and that there will soon come a time when breakthrough innovation occurs in China on a regular basis</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Read our great minds. On Point briefs you on expert analysis of the day’s key issues and ideas.</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FIND OUT MORE</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Korea University’s Lee Jong-Wha is less sanguine. “To avert a crisis</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he says, “China’s leaders must act now to address the weaknesses in the corporate and financial sectors and to improve macroeconomic- and financial-policy frameworks</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And if they are to ensure that livi</w:t>
      </w:r>
      <w:r w:rsidR="002F4D48">
        <w:rPr>
          <w:rFonts w:ascii="Times New Roman" w:eastAsia="Times New Roman" w:hAnsi="Times New Roman"/>
          <w:sz w:val="24"/>
          <w:szCs w:val="24"/>
          <w:lang w:val="en-US"/>
        </w:rPr>
        <w:t>ng standards continue to rise -</w:t>
      </w:r>
      <w:r w:rsidRPr="00AF422E">
        <w:rPr>
          <w:rFonts w:ascii="Times New Roman" w:eastAsia="Times New Roman" w:hAnsi="Times New Roman"/>
          <w:sz w:val="24"/>
          <w:szCs w:val="24"/>
          <w:lang w:val="en-US"/>
        </w:rPr>
        <w:t xml:space="preserve">a political imperative for </w:t>
      </w:r>
      <w:r w:rsidR="002F4D48">
        <w:rPr>
          <w:rFonts w:ascii="Times New Roman" w:eastAsia="Times New Roman" w:hAnsi="Times New Roman"/>
          <w:sz w:val="24"/>
          <w:szCs w:val="24"/>
          <w:lang w:val="en-US"/>
        </w:rPr>
        <w:t>China’s ruling Communist Party</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“they must continue to implement structural reforms that support labor-market flexibility and the development of human capital, while privatizing SOEs and liberalizing the financial sector</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For the London School of Economics’s Keyu Jin, the biggest threat to China’s prosperity and stability lies elsewhere. As a result of decentralization, “subnational governments accounted for an average of 71% of total p</w:t>
      </w:r>
      <w:r>
        <w:rPr>
          <w:rFonts w:ascii="Times New Roman" w:eastAsia="Times New Roman" w:hAnsi="Times New Roman"/>
          <w:sz w:val="24"/>
          <w:szCs w:val="24"/>
          <w:lang w:val="en-US"/>
        </w:rPr>
        <w:t>ublic expenditure in 2000-2014 -</w:t>
      </w:r>
      <w:r w:rsidRPr="00AF422E">
        <w:rPr>
          <w:rFonts w:ascii="Times New Roman" w:eastAsia="Times New Roman" w:hAnsi="Times New Roman"/>
          <w:sz w:val="24"/>
          <w:szCs w:val="24"/>
          <w:lang w:val="en-US"/>
        </w:rPr>
        <w:t xml:space="preserve"> a far larger share than in the world’s largest federal countries</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And while decentralization has spurred growth, “three decades of lax governance” have enabled corruption to flourish. Defending President Xi Jinping’s anti-corr</w:t>
      </w:r>
      <w:r>
        <w:rPr>
          <w:rFonts w:ascii="Times New Roman" w:eastAsia="Times New Roman" w:hAnsi="Times New Roman"/>
          <w:sz w:val="24"/>
          <w:szCs w:val="24"/>
          <w:lang w:val="en-US"/>
        </w:rPr>
        <w:t>uption drive, she argues that “(e)</w:t>
      </w:r>
      <w:r w:rsidRPr="00AF422E">
        <w:rPr>
          <w:rFonts w:ascii="Times New Roman" w:eastAsia="Times New Roman" w:hAnsi="Times New Roman"/>
          <w:sz w:val="24"/>
          <w:szCs w:val="24"/>
          <w:lang w:val="en-US"/>
        </w:rPr>
        <w:t>mbezzlement and misappropriation of astronomical sums of public funds would have been impossible without accomplices who helped one another ascend the political ladder</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And now, Xi, whose crackdown has led to the detention of officials throughout China in the last two years, has “stopped turning a blind eye</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The Open Economy and Its Enemies</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If only in that respect, democratic leaders should take a lesson from Xi. After all, turning a</w:t>
      </w:r>
      <w:r>
        <w:rPr>
          <w:rFonts w:ascii="Times New Roman" w:eastAsia="Times New Roman" w:hAnsi="Times New Roman"/>
          <w:sz w:val="24"/>
          <w:szCs w:val="24"/>
          <w:lang w:val="en-US"/>
        </w:rPr>
        <w:t xml:space="preserve"> blind eye to populists’ lies -</w:t>
      </w:r>
      <w:r w:rsidRPr="00AF422E">
        <w:rPr>
          <w:rFonts w:ascii="Times New Roman" w:eastAsia="Times New Roman" w:hAnsi="Times New Roman"/>
          <w:sz w:val="24"/>
          <w:szCs w:val="24"/>
          <w:lang w:val="en-US"/>
        </w:rPr>
        <w:t>and, equally important, to the grievances that</w:t>
      </w:r>
      <w:r>
        <w:rPr>
          <w:rFonts w:ascii="Times New Roman" w:eastAsia="Times New Roman" w:hAnsi="Times New Roman"/>
          <w:sz w:val="24"/>
          <w:szCs w:val="24"/>
          <w:lang w:val="en-US"/>
        </w:rPr>
        <w:t xml:space="preserve"> make those lies seem credible-</w:t>
      </w:r>
      <w:r w:rsidRPr="00AF422E">
        <w:rPr>
          <w:rFonts w:ascii="Times New Roman" w:eastAsia="Times New Roman" w:hAnsi="Times New Roman"/>
          <w:sz w:val="24"/>
          <w:szCs w:val="24"/>
          <w:lang w:val="en-US"/>
        </w:rPr>
        <w:t xml:space="preserve"> will only make the problem worse.</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lastRenderedPageBreak/>
        <w:t>But so will doubling down on the status quo. For the last generation, Stiglitz argues, the problem “was not globalization, but how the process was being managed</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Redeeming the promise of an open global economy demands bold initiatives to ameliorate the plight of those left behind. “The Scandinavians</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Stiglitz points out, “figured this out long ago</w:t>
      </w:r>
      <w:r>
        <w:rPr>
          <w:rFonts w:ascii="Times New Roman" w:eastAsia="Times New Roman" w:hAnsi="Times New Roman"/>
          <w:sz w:val="24"/>
          <w:szCs w:val="24"/>
          <w:lang w:val="en-US"/>
        </w:rPr>
        <w:t>”.</w:t>
      </w:r>
      <w:r w:rsidRPr="00AF422E">
        <w:rPr>
          <w:rFonts w:ascii="Times New Roman" w:eastAsia="Times New Roman" w:hAnsi="Times New Roman"/>
          <w:sz w:val="24"/>
          <w:szCs w:val="24"/>
          <w:lang w:val="en-US"/>
        </w:rPr>
        <w:t xml:space="preserve"> As Bo Lidegaard, a former editor-in-chief of Politiken argues, the Scandinavians have succeeded where others have failed because they have been “successful in expanding the scope of work, and of the labor market, to make jobs available to segments of the population that otherwise would have lacked access to well-paid employment</w:t>
      </w:r>
      <w:r>
        <w:rPr>
          <w:rFonts w:ascii="Times New Roman" w:eastAsia="Times New Roman" w:hAnsi="Times New Roman"/>
          <w:sz w:val="24"/>
          <w:szCs w:val="24"/>
          <w:lang w:val="en-US"/>
        </w:rPr>
        <w:t>”.</w:t>
      </w:r>
    </w:p>
    <w:p w:rsidR="000711BB" w:rsidRPr="00AF422E" w:rsidRDefault="000711BB" w:rsidP="000711BB">
      <w:pPr>
        <w:shd w:val="clear" w:color="auto" w:fill="FFFFFF"/>
        <w:spacing w:line="240" w:lineRule="auto"/>
        <w:jc w:val="both"/>
        <w:textAlignment w:val="baseline"/>
        <w:rPr>
          <w:rFonts w:ascii="Times New Roman" w:eastAsia="Times New Roman" w:hAnsi="Times New Roman"/>
          <w:sz w:val="24"/>
          <w:szCs w:val="24"/>
          <w:lang w:val="en-US"/>
        </w:rPr>
      </w:pPr>
      <w:r w:rsidRPr="00AF422E">
        <w:rPr>
          <w:rFonts w:ascii="Times New Roman" w:eastAsia="Times New Roman" w:hAnsi="Times New Roman"/>
          <w:sz w:val="24"/>
          <w:szCs w:val="24"/>
          <w:lang w:val="en-US"/>
        </w:rPr>
        <w:t>As Woods notes, however, innovative policy must be accompanied by credible leadership. “Voters need to see candidates who show purpose, impartiality, and competence. If they don’t, they will continue to vote against the establishment tha</w:t>
      </w:r>
      <w:r>
        <w:rPr>
          <w:rFonts w:ascii="Times New Roman" w:eastAsia="Times New Roman" w:hAnsi="Times New Roman"/>
          <w:sz w:val="24"/>
          <w:szCs w:val="24"/>
          <w:lang w:val="en-US"/>
        </w:rPr>
        <w:t>t they believe has failed them -</w:t>
      </w:r>
      <w:r w:rsidRPr="00AF422E">
        <w:rPr>
          <w:rFonts w:ascii="Times New Roman" w:eastAsia="Times New Roman" w:hAnsi="Times New Roman"/>
          <w:sz w:val="24"/>
          <w:szCs w:val="24"/>
          <w:lang w:val="en-US"/>
        </w:rPr>
        <w:t xml:space="preserve"> even if it means voting for turmoil in Europe or a reckless narcissist in the US</w:t>
      </w:r>
      <w:r>
        <w:rPr>
          <w:rFonts w:ascii="Times New Roman" w:eastAsia="Times New Roman" w:hAnsi="Times New Roman"/>
          <w:sz w:val="24"/>
          <w:szCs w:val="24"/>
          <w:lang w:val="en-US"/>
        </w:rPr>
        <w:t>”.</w:t>
      </w:r>
    </w:p>
    <w:p w:rsidR="000711BB" w:rsidRPr="005A6F34" w:rsidRDefault="000711BB" w:rsidP="000711BB">
      <w:pPr>
        <w:spacing w:line="240" w:lineRule="auto"/>
        <w:jc w:val="both"/>
        <w:rPr>
          <w:rFonts w:ascii="Times New Roman" w:hAnsi="Times New Roman"/>
          <w:sz w:val="24"/>
          <w:szCs w:val="24"/>
        </w:rPr>
      </w:pPr>
      <w:r>
        <w:rPr>
          <w:rFonts w:ascii="Times New Roman" w:hAnsi="Times New Roman"/>
          <w:sz w:val="24"/>
          <w:szCs w:val="24"/>
        </w:rPr>
        <w:t xml:space="preserve">- </w:t>
      </w:r>
      <w:r w:rsidRPr="00034B97">
        <w:rPr>
          <w:rFonts w:ascii="Times New Roman" w:hAnsi="Times New Roman"/>
          <w:sz w:val="24"/>
          <w:szCs w:val="24"/>
          <w:u w:val="single"/>
        </w:rPr>
        <w:t>La verdad sobre la financiación monetaria</w:t>
      </w:r>
      <w:r>
        <w:rPr>
          <w:rFonts w:ascii="Times New Roman" w:hAnsi="Times New Roman"/>
          <w:sz w:val="24"/>
          <w:szCs w:val="24"/>
        </w:rPr>
        <w:t xml:space="preserve"> (Project Syndicate - </w:t>
      </w:r>
      <w:r w:rsidRPr="00971620">
        <w:rPr>
          <w:rFonts w:ascii="Times New Roman" w:hAnsi="Times New Roman"/>
          <w:b/>
          <w:sz w:val="24"/>
          <w:szCs w:val="24"/>
        </w:rPr>
        <w:t>10/8/16</w:t>
      </w:r>
      <w:r>
        <w:rPr>
          <w:rFonts w:ascii="Times New Roman" w:hAnsi="Times New Roman"/>
          <w:sz w:val="24"/>
          <w:szCs w:val="24"/>
        </w:rPr>
        <w:t>)</w:t>
      </w:r>
    </w:p>
    <w:p w:rsidR="000711BB" w:rsidRPr="005A6F34" w:rsidRDefault="000711BB" w:rsidP="000711BB">
      <w:pPr>
        <w:spacing w:line="240" w:lineRule="auto"/>
        <w:jc w:val="both"/>
        <w:rPr>
          <w:rFonts w:ascii="Times New Roman" w:hAnsi="Times New Roman"/>
          <w:sz w:val="24"/>
          <w:szCs w:val="24"/>
        </w:rPr>
      </w:pPr>
      <w:r>
        <w:rPr>
          <w:rFonts w:ascii="Times New Roman" w:hAnsi="Times New Roman"/>
          <w:sz w:val="24"/>
          <w:szCs w:val="24"/>
        </w:rPr>
        <w:t>Londres.-</w:t>
      </w:r>
      <w:r w:rsidRPr="005A6F34">
        <w:rPr>
          <w:rFonts w:ascii="Times New Roman" w:hAnsi="Times New Roman"/>
          <w:sz w:val="24"/>
          <w:szCs w:val="24"/>
        </w:rPr>
        <w:t xml:space="preserve"> </w:t>
      </w:r>
      <w:r w:rsidRPr="00971620">
        <w:rPr>
          <w:rFonts w:ascii="Times New Roman" w:hAnsi="Times New Roman"/>
          <w:color w:val="FF0000"/>
          <w:sz w:val="24"/>
          <w:szCs w:val="24"/>
          <w:u w:val="single"/>
        </w:rPr>
        <w:t>Ocho años después de la crisis de 2008, gobiernos y bancos centrales (tras probar con infinidad de políticas y estrategias) no han logrado un estímulo de la demanda suficiente para producir un crecimiento sostenido e importante</w:t>
      </w:r>
      <w:r w:rsidRPr="005A6F34">
        <w:rPr>
          <w:rFonts w:ascii="Times New Roman" w:hAnsi="Times New Roman"/>
          <w:sz w:val="24"/>
          <w:szCs w:val="24"/>
        </w:rPr>
        <w:t>. En Japón, la denominada Abenomics prometía una inflación del 2% en 2015; pero el Banco de Japón prevé una cifra cercana a cero en 2016, con un crecimiento del PIB inferior a 1%. El crecimiento de la eurozona se redujo a la mitad en el segundo trimestre de 2016 y depende peligrosamente de la demanda externa de exportaciones. Incluso la recuperación de Estados Unidos parece incierta.</w:t>
      </w:r>
    </w:p>
    <w:p w:rsidR="000711BB" w:rsidRPr="00971620" w:rsidRDefault="000711BB" w:rsidP="000711BB">
      <w:pPr>
        <w:spacing w:line="240" w:lineRule="auto"/>
        <w:jc w:val="both"/>
        <w:rPr>
          <w:rFonts w:ascii="Times New Roman" w:hAnsi="Times New Roman"/>
          <w:color w:val="FF0000"/>
          <w:sz w:val="24"/>
          <w:szCs w:val="24"/>
          <w:u w:val="single"/>
        </w:rPr>
      </w:pPr>
      <w:r w:rsidRPr="00971620">
        <w:rPr>
          <w:rFonts w:ascii="Times New Roman" w:hAnsi="Times New Roman"/>
          <w:color w:val="FF0000"/>
          <w:sz w:val="24"/>
          <w:szCs w:val="24"/>
          <w:u w:val="single"/>
        </w:rPr>
        <w:t>Esto llevó a que se hablara reiteradamente de la idea de “arrojar dinero desde el helicóptero”, esto es, la inyección directa de efectivo en las manos de los consumidores o la monetización permanente de la deuda pública. En principio, los argumentos en favor de esta idea son claros.</w:t>
      </w:r>
    </w:p>
    <w:p w:rsidR="000711BB" w:rsidRPr="00971620" w:rsidRDefault="000711BB" w:rsidP="000711BB">
      <w:pPr>
        <w:spacing w:line="240" w:lineRule="auto"/>
        <w:jc w:val="both"/>
        <w:rPr>
          <w:rFonts w:ascii="Times New Roman" w:hAnsi="Times New Roman"/>
          <w:color w:val="FF0000"/>
          <w:sz w:val="24"/>
          <w:szCs w:val="24"/>
          <w:u w:val="single"/>
        </w:rPr>
      </w:pPr>
      <w:r w:rsidRPr="00971620">
        <w:rPr>
          <w:rFonts w:ascii="Times New Roman" w:hAnsi="Times New Roman"/>
          <w:color w:val="FF0000"/>
          <w:sz w:val="24"/>
          <w:szCs w:val="24"/>
          <w:u w:val="single"/>
        </w:rPr>
        <w:t>Si el gobierno reduce impuestos, incrementa el gasto público o distribuye dinero directamente a los hogares, y si el banco central aumenta en forma permanente la masa monetaria para financiar este estímulo, crecerá la riqueza nominal de los ciudadanos; y a diferencia del déficit financiado con deuda, no se enfrentarán en el futuro a un aumento de los impuestos para devolverla. Habrá inevitablemente cierto incremento de la demanda nominal agregada; el nivel de estímulo será a grandes rasgos proporcional a la cantidad de dinero creada.</w:t>
      </w:r>
    </w:p>
    <w:p w:rsidR="000711BB" w:rsidRPr="00971620" w:rsidRDefault="000711BB" w:rsidP="000711BB">
      <w:pPr>
        <w:spacing w:line="240" w:lineRule="auto"/>
        <w:jc w:val="both"/>
        <w:rPr>
          <w:rFonts w:ascii="Times New Roman" w:hAnsi="Times New Roman"/>
          <w:color w:val="FF0000"/>
          <w:sz w:val="24"/>
          <w:szCs w:val="24"/>
          <w:u w:val="single"/>
        </w:rPr>
      </w:pPr>
      <w:r w:rsidRPr="00971620">
        <w:rPr>
          <w:rFonts w:ascii="Times New Roman" w:hAnsi="Times New Roman"/>
          <w:color w:val="FF0000"/>
          <w:sz w:val="24"/>
          <w:szCs w:val="24"/>
          <w:u w:val="single"/>
        </w:rPr>
        <w:t>Pero el debate sobre la financiación monetaria está oscurecido por profundos temores y confusiones innecesarias. Algunos temen que la lluvia de dinero produzca hiperinflación; otros sostienen que en cuanto a aumentar la demanda y la inflación, no será más eficaz que las políticas actuales. Ambas posturas se contradicen.</w:t>
      </w:r>
    </w:p>
    <w:p w:rsidR="000711BB" w:rsidRPr="005A6F34" w:rsidRDefault="000711BB" w:rsidP="000711BB">
      <w:pPr>
        <w:spacing w:line="240" w:lineRule="auto"/>
        <w:jc w:val="both"/>
        <w:rPr>
          <w:rFonts w:ascii="Times New Roman" w:hAnsi="Times New Roman"/>
          <w:sz w:val="24"/>
          <w:szCs w:val="24"/>
        </w:rPr>
      </w:pPr>
      <w:r w:rsidRPr="00971620">
        <w:rPr>
          <w:rFonts w:ascii="Times New Roman" w:hAnsi="Times New Roman"/>
          <w:sz w:val="24"/>
          <w:szCs w:val="24"/>
          <w:u w:val="single"/>
        </w:rPr>
        <w:t>Uno de los argumentos para la posible ineficacia de esta estrategia se relaciona con el espectro de un futuro “impuesto inflacionario”</w:t>
      </w:r>
      <w:r w:rsidRPr="005A6F34">
        <w:rPr>
          <w:rFonts w:ascii="Times New Roman" w:hAnsi="Times New Roman"/>
          <w:sz w:val="24"/>
          <w:szCs w:val="24"/>
        </w:rPr>
        <w:t>. En una economía con pleno empleo y producción al máximo de su potencial, un estímulo monetario no puede sino generar una aceleración del alza de precios, al no ser posible un aumento de la producción real. Todo incremento del patrimonio neto nominal del sector privado será contrarrestado por la inflación futura.</w:t>
      </w:r>
    </w:p>
    <w:p w:rsidR="000711BB" w:rsidRPr="00971620" w:rsidRDefault="000711BB" w:rsidP="000711BB">
      <w:pPr>
        <w:spacing w:line="240" w:lineRule="auto"/>
        <w:jc w:val="both"/>
        <w:rPr>
          <w:rFonts w:ascii="Times New Roman" w:hAnsi="Times New Roman"/>
          <w:color w:val="FF0000"/>
          <w:sz w:val="24"/>
          <w:szCs w:val="24"/>
          <w:u w:val="single"/>
        </w:rPr>
      </w:pPr>
      <w:r>
        <w:rPr>
          <w:rFonts w:ascii="Times New Roman" w:hAnsi="Times New Roman"/>
          <w:sz w:val="24"/>
          <w:szCs w:val="24"/>
        </w:rPr>
        <w:lastRenderedPageBreak/>
        <w:t>Todo esto es obvio -</w:t>
      </w:r>
      <w:r w:rsidRPr="005A6F34">
        <w:rPr>
          <w:rFonts w:ascii="Times New Roman" w:hAnsi="Times New Roman"/>
          <w:sz w:val="24"/>
          <w:szCs w:val="24"/>
        </w:rPr>
        <w:t xml:space="preserve"> e irrelevante. </w:t>
      </w:r>
      <w:r w:rsidRPr="00971620">
        <w:rPr>
          <w:rFonts w:ascii="Times New Roman" w:hAnsi="Times New Roman"/>
          <w:color w:val="FF0000"/>
          <w:sz w:val="24"/>
          <w:szCs w:val="24"/>
          <w:u w:val="single"/>
        </w:rPr>
        <w:t>Como explico en mayor detalle en un artículo reciente, no puede haber un “impuesto inflacionario” si no hay incremento de la inflación, algo que sólo es posible con un aumento de la demanda nominal. La idea de que la financiación monetaria pueda perder poder de estimular la demanda nominal agregada por causa de un futuro “impuesto inflacionario” es un contrasentido.</w:t>
      </w:r>
    </w:p>
    <w:p w:rsidR="000711BB" w:rsidRPr="00971620" w:rsidRDefault="000711BB" w:rsidP="000711BB">
      <w:pPr>
        <w:spacing w:line="240" w:lineRule="auto"/>
        <w:jc w:val="both"/>
        <w:rPr>
          <w:rFonts w:ascii="Times New Roman" w:hAnsi="Times New Roman"/>
          <w:sz w:val="24"/>
          <w:szCs w:val="24"/>
          <w:u w:val="single"/>
        </w:rPr>
      </w:pPr>
      <w:r w:rsidRPr="00971620">
        <w:rPr>
          <w:rFonts w:ascii="Times New Roman" w:hAnsi="Times New Roman"/>
          <w:sz w:val="24"/>
          <w:szCs w:val="24"/>
          <w:u w:val="single"/>
        </w:rPr>
        <w:t>Los análisis de esta propuesta suelen llevar implícito el supuesto de un mundo sencillo, donde todo el dinero lo crea la autoridad monetaria. Pero en el mundo real, los bancos comerciales pueden crear dinero en la forma de depósitos privados, y conservar sólo una pequeña parte como reservas en el banco central. En este mundo, es otra forma de impuesto futuro la que se vuelve relevante.</w:t>
      </w:r>
    </w:p>
    <w:p w:rsidR="000711BB" w:rsidRPr="00971620" w:rsidRDefault="000711BB" w:rsidP="000711BB">
      <w:pPr>
        <w:spacing w:line="240" w:lineRule="auto"/>
        <w:jc w:val="both"/>
        <w:rPr>
          <w:rFonts w:ascii="Times New Roman" w:hAnsi="Times New Roman"/>
          <w:color w:val="FF0000"/>
          <w:sz w:val="24"/>
          <w:szCs w:val="24"/>
          <w:u w:val="single"/>
        </w:rPr>
      </w:pPr>
      <w:r w:rsidRPr="00971620">
        <w:rPr>
          <w:rFonts w:ascii="Times New Roman" w:hAnsi="Times New Roman"/>
          <w:color w:val="FF0000"/>
          <w:sz w:val="24"/>
          <w:szCs w:val="24"/>
          <w:u w:val="single"/>
        </w:rPr>
        <w:t>Para comprender el porqué, es importante señalar que en esencia, la financiación monetaria es diferente de la financiación con deuda sólo en la medida en que el dinero creado por el banco central esté impedido de generar intereses. De modo que para que una política de financiación monetaria sea eficaz, es necesario que los bancos centrales impongan requisitos de reservas con interés nulo.</w:t>
      </w:r>
    </w:p>
    <w:p w:rsidR="000711BB" w:rsidRPr="00971620" w:rsidRDefault="000711BB" w:rsidP="000711BB">
      <w:pPr>
        <w:spacing w:line="240" w:lineRule="auto"/>
        <w:jc w:val="both"/>
        <w:rPr>
          <w:rFonts w:ascii="Times New Roman" w:hAnsi="Times New Roman"/>
          <w:sz w:val="24"/>
          <w:szCs w:val="24"/>
          <w:u w:val="single"/>
        </w:rPr>
      </w:pPr>
      <w:r w:rsidRPr="00971620">
        <w:rPr>
          <w:rFonts w:ascii="Times New Roman" w:hAnsi="Times New Roman"/>
          <w:sz w:val="24"/>
          <w:szCs w:val="24"/>
          <w:u w:val="single"/>
        </w:rPr>
        <w:t>Esto no impide subir las tasas de referencia según sea necesario, porque el banco central puede no pagar intereses por las reservas obligatorias y pagar la tasa de referencia por las reservas adicionales. Pero si los bancos comerciales están obligados a mantener reservas que no generan intereses incluso cuando las tasas del mercado ya no son cero, en la práctica esto supone un impuesto a la intermediación crediticia bancaria, matemáticamente equivalente a la carga impositiva futura que derivaría de un estímulo financiado con deuda. Un artículo reciente de Claudio Borio, Piti Disyatat y Anna Zabai sostiene que en consecuencia, la financiación monetaria no puede ser un estímulo más efectivo que la financiación con deuda.</w:t>
      </w:r>
    </w:p>
    <w:p w:rsidR="000711BB" w:rsidRPr="00971620" w:rsidRDefault="000711BB" w:rsidP="000711BB">
      <w:pPr>
        <w:spacing w:line="240" w:lineRule="auto"/>
        <w:jc w:val="both"/>
        <w:rPr>
          <w:rFonts w:ascii="Times New Roman" w:hAnsi="Times New Roman"/>
          <w:color w:val="FF0000"/>
          <w:sz w:val="24"/>
          <w:szCs w:val="24"/>
          <w:u w:val="single"/>
        </w:rPr>
      </w:pPr>
      <w:r w:rsidRPr="00971620">
        <w:rPr>
          <w:rFonts w:ascii="Times New Roman" w:hAnsi="Times New Roman"/>
          <w:sz w:val="24"/>
          <w:szCs w:val="24"/>
          <w:u w:val="single"/>
        </w:rPr>
        <w:t>Pero aunque la matemática está clara, la conclusión está errada</w:t>
      </w:r>
      <w:r w:rsidRPr="005A6F34">
        <w:rPr>
          <w:rFonts w:ascii="Times New Roman" w:hAnsi="Times New Roman"/>
          <w:sz w:val="24"/>
          <w:szCs w:val="24"/>
        </w:rPr>
        <w:t xml:space="preserve">. </w:t>
      </w:r>
      <w:r w:rsidRPr="00971620">
        <w:rPr>
          <w:rFonts w:ascii="Times New Roman" w:hAnsi="Times New Roman"/>
          <w:color w:val="FF0000"/>
          <w:sz w:val="24"/>
          <w:szCs w:val="24"/>
          <w:u w:val="single"/>
        </w:rPr>
        <w:t>El impuesto futuro sólo puede surgir en la medida en que los tipos de interés y la inflación hayan aumentado, y los bancos estén creando nuevo crédito y dinero en forma de depósitos, lo que multiplicaría el efecto estimulador inicial del recorte de impuestos o el gasto financiados con emisión monetaria. Hay un impuesto futuro, pero es uno que los bancos centrales deben imponer para garantizar que el estímulo no supere el objetivo original.</w:t>
      </w:r>
    </w:p>
    <w:p w:rsidR="000711BB" w:rsidRPr="00971620" w:rsidRDefault="000711BB" w:rsidP="000711BB">
      <w:pPr>
        <w:spacing w:line="240" w:lineRule="auto"/>
        <w:jc w:val="both"/>
        <w:rPr>
          <w:rFonts w:ascii="Times New Roman" w:hAnsi="Times New Roman"/>
          <w:color w:val="FF0000"/>
          <w:sz w:val="24"/>
          <w:szCs w:val="24"/>
          <w:u w:val="single"/>
        </w:rPr>
      </w:pPr>
      <w:r w:rsidRPr="00971620">
        <w:rPr>
          <w:rFonts w:ascii="Times New Roman" w:hAnsi="Times New Roman"/>
          <w:color w:val="FF0000"/>
          <w:sz w:val="24"/>
          <w:szCs w:val="24"/>
          <w:u w:val="single"/>
        </w:rPr>
        <w:t>De modo que los argumentos que señalan la ineficacia de la financiación monetaria no son convincentes. Si fueran correctos, deberían implicar lógicamente que ninguna cantidad de financiación monetaria, por grande que sea, puede estimular jamás la demanda nominal. Pero el sentido común, la lógica y la historia nos enseñan que si los gobiernos y los bancos centrales crean y gastan dinero a gran escala, es inevitable una hiperinflación. El único riesgo de la propuesta no es que tenga poco efecto, sino que tenga demasiado.</w:t>
      </w:r>
    </w:p>
    <w:p w:rsidR="000711BB" w:rsidRPr="00971620" w:rsidRDefault="000711BB" w:rsidP="000711BB">
      <w:pPr>
        <w:spacing w:line="240" w:lineRule="auto"/>
        <w:jc w:val="both"/>
        <w:rPr>
          <w:rFonts w:ascii="Times New Roman" w:hAnsi="Times New Roman"/>
          <w:color w:val="FF0000"/>
          <w:sz w:val="24"/>
          <w:szCs w:val="24"/>
          <w:u w:val="single"/>
        </w:rPr>
      </w:pPr>
      <w:r w:rsidRPr="00971620">
        <w:rPr>
          <w:rFonts w:ascii="Times New Roman" w:hAnsi="Times New Roman"/>
          <w:color w:val="FF0000"/>
          <w:sz w:val="24"/>
          <w:szCs w:val="24"/>
          <w:u w:val="single"/>
        </w:rPr>
        <w:t xml:space="preserve">Para determinar si la financiación monetaria es una política deseable hay que responder dos preguntas. La primera es si hace falta más demanda nominal. Pero hoy casi todo el mundo coincide en que sí. Algunos dirán que es mejor que no haya inflación a tener 2%, y que el obstáculo al crecimiento no es la falta de demanda nominal suficiente sino otros factores que operan del lado de la oferta. Pero si así fuera, entonces sería mejor no tratar de estimular la demanda nominal por ningún medio; deberíamos oponernos no sólo a la financiación monetaria sino también a las tasas de interés negativas, a la flexibilización cuantitativa y al estímulo fiscal financiado con deuda. Si la falta de demanda nominal es un problema (y si un aumento de la inflación es deseable y una </w:t>
      </w:r>
      <w:r w:rsidRPr="00971620">
        <w:rPr>
          <w:rFonts w:ascii="Times New Roman" w:hAnsi="Times New Roman"/>
          <w:color w:val="FF0000"/>
          <w:sz w:val="24"/>
          <w:szCs w:val="24"/>
          <w:u w:val="single"/>
        </w:rPr>
        <w:lastRenderedPageBreak/>
        <w:t>aceleración del crecimiento real es posible), la financiación monetaria debería ser una opción.</w:t>
      </w:r>
    </w:p>
    <w:p w:rsidR="000711BB" w:rsidRPr="00971620" w:rsidRDefault="000711BB" w:rsidP="000711BB">
      <w:pPr>
        <w:spacing w:line="240" w:lineRule="auto"/>
        <w:jc w:val="both"/>
        <w:rPr>
          <w:rFonts w:ascii="Times New Roman" w:hAnsi="Times New Roman"/>
          <w:color w:val="FF0000"/>
          <w:sz w:val="24"/>
          <w:szCs w:val="24"/>
          <w:u w:val="single"/>
        </w:rPr>
      </w:pPr>
      <w:r w:rsidRPr="00971620">
        <w:rPr>
          <w:rFonts w:ascii="Times New Roman" w:hAnsi="Times New Roman"/>
          <w:color w:val="FF0000"/>
          <w:sz w:val="24"/>
          <w:szCs w:val="24"/>
          <w:u w:val="single"/>
        </w:rPr>
        <w:t>Pero tal vez no sea una opción deseable (y esta es la segunda pregunta) si los riesgos políticos derivados son demasiado grandes. Porque el argumento contra la financiación monetaria que realmente importa no depende de tecnicismos acerca de futuros impuestos implícitos, sino del peligro de que si violamos el tabú y la tratamos como una opción aceptable, los políticos querrán usarla una y otra vez.</w:t>
      </w:r>
    </w:p>
    <w:p w:rsidR="000711BB" w:rsidRPr="00971620" w:rsidRDefault="000711BB" w:rsidP="000711BB">
      <w:pPr>
        <w:spacing w:line="240" w:lineRule="auto"/>
        <w:jc w:val="both"/>
        <w:rPr>
          <w:rFonts w:ascii="Times New Roman" w:hAnsi="Times New Roman"/>
          <w:sz w:val="24"/>
          <w:szCs w:val="24"/>
          <w:u w:val="single"/>
        </w:rPr>
      </w:pPr>
      <w:r w:rsidRPr="00971620">
        <w:rPr>
          <w:rFonts w:ascii="Times New Roman" w:hAnsi="Times New Roman"/>
          <w:sz w:val="24"/>
          <w:szCs w:val="24"/>
          <w:u w:val="single"/>
        </w:rPr>
        <w:t>Puede que sea por el gran temor a que eso ocurra que algunos economistas buscan razones técnicas para demostrar su ineficacia. Pero es un ejercicio inconcluyente que sólo logra distraer la atención de la pregunta crucial: ¿podemos diseñar reglas y responsabilidades institucionales que garanticen un uso prudente de la financiación monetaria? Si no podemos, tal vez nos aguarden muchos años de escaso crecimiento con herramientas insuficientes para resolverlo.</w:t>
      </w:r>
    </w:p>
    <w:p w:rsidR="000711BB" w:rsidRDefault="000711BB" w:rsidP="000711BB">
      <w:pPr>
        <w:spacing w:line="240" w:lineRule="auto"/>
        <w:jc w:val="both"/>
        <w:rPr>
          <w:rFonts w:ascii="Times New Roman" w:hAnsi="Times New Roman"/>
          <w:sz w:val="24"/>
          <w:szCs w:val="24"/>
        </w:rPr>
      </w:pPr>
      <w:r w:rsidRPr="00FD41BD">
        <w:rPr>
          <w:rFonts w:ascii="Times New Roman" w:hAnsi="Times New Roman"/>
          <w:sz w:val="24"/>
          <w:szCs w:val="24"/>
          <w:lang w:val="en-US"/>
        </w:rPr>
        <w:t xml:space="preserve">(Adair Turner, a former chairman of the United Kingdom's Financial Services Authority and former member of the UK's Financial Policy Committee, is Chairman of the Institute for New Economic Thinking. </w:t>
      </w:r>
      <w:r w:rsidRPr="005A6F34">
        <w:rPr>
          <w:rFonts w:ascii="Times New Roman" w:hAnsi="Times New Roman"/>
          <w:sz w:val="24"/>
          <w:szCs w:val="24"/>
        </w:rPr>
        <w:t>His latest book is Between Debt and the D</w:t>
      </w:r>
      <w:r>
        <w:rPr>
          <w:rFonts w:ascii="Times New Roman" w:hAnsi="Times New Roman"/>
          <w:sz w:val="24"/>
          <w:szCs w:val="24"/>
        </w:rPr>
        <w:t>evil)</w:t>
      </w:r>
    </w:p>
    <w:p w:rsidR="000711BB" w:rsidRPr="00DC2848" w:rsidRDefault="000711BB" w:rsidP="000711BB">
      <w:pPr>
        <w:spacing w:line="240" w:lineRule="auto"/>
        <w:jc w:val="both"/>
        <w:rPr>
          <w:rFonts w:ascii="Times New Roman" w:hAnsi="Times New Roman"/>
          <w:sz w:val="24"/>
          <w:szCs w:val="24"/>
        </w:rPr>
      </w:pPr>
      <w:r>
        <w:rPr>
          <w:rFonts w:ascii="Times New Roman" w:hAnsi="Times New Roman"/>
          <w:sz w:val="24"/>
          <w:szCs w:val="24"/>
        </w:rPr>
        <w:t xml:space="preserve">- </w:t>
      </w:r>
      <w:r w:rsidRPr="00DC2848">
        <w:rPr>
          <w:rFonts w:ascii="Times New Roman" w:hAnsi="Times New Roman"/>
          <w:sz w:val="24"/>
          <w:szCs w:val="24"/>
          <w:u w:val="single"/>
        </w:rPr>
        <w:t>El peligro oculto de los grandes volúmenes de datos</w:t>
      </w:r>
      <w:r>
        <w:rPr>
          <w:rFonts w:ascii="Times New Roman" w:hAnsi="Times New Roman"/>
          <w:sz w:val="24"/>
          <w:szCs w:val="24"/>
        </w:rPr>
        <w:t xml:space="preserve"> (Project Syndicate - </w:t>
      </w:r>
      <w:r w:rsidRPr="00DC2848">
        <w:rPr>
          <w:rFonts w:ascii="Times New Roman" w:hAnsi="Times New Roman"/>
          <w:b/>
          <w:sz w:val="24"/>
          <w:szCs w:val="24"/>
        </w:rPr>
        <w:t>16/8/16</w:t>
      </w:r>
      <w:r>
        <w:rPr>
          <w:rFonts w:ascii="Times New Roman" w:hAnsi="Times New Roman"/>
          <w:sz w:val="24"/>
          <w:szCs w:val="24"/>
        </w:rPr>
        <w:t>)</w:t>
      </w:r>
    </w:p>
    <w:p w:rsidR="000711BB" w:rsidRPr="000E680D" w:rsidRDefault="000711BB" w:rsidP="000711BB">
      <w:pPr>
        <w:spacing w:line="240" w:lineRule="auto"/>
        <w:jc w:val="both"/>
        <w:rPr>
          <w:rFonts w:ascii="Times New Roman" w:hAnsi="Times New Roman"/>
          <w:sz w:val="24"/>
          <w:szCs w:val="24"/>
          <w:u w:val="single"/>
        </w:rPr>
      </w:pPr>
      <w:r>
        <w:rPr>
          <w:rFonts w:ascii="Times New Roman" w:hAnsi="Times New Roman"/>
          <w:sz w:val="24"/>
          <w:szCs w:val="24"/>
        </w:rPr>
        <w:t>Cambridge.-</w:t>
      </w:r>
      <w:r w:rsidRPr="00DC2848">
        <w:rPr>
          <w:rFonts w:ascii="Times New Roman" w:hAnsi="Times New Roman"/>
          <w:sz w:val="24"/>
          <w:szCs w:val="24"/>
        </w:rPr>
        <w:t xml:space="preserve"> </w:t>
      </w:r>
      <w:r w:rsidRPr="000E680D">
        <w:rPr>
          <w:rFonts w:ascii="Times New Roman" w:hAnsi="Times New Roman"/>
          <w:sz w:val="24"/>
          <w:szCs w:val="24"/>
          <w:u w:val="single"/>
        </w:rPr>
        <w:t xml:space="preserve">En la teoría del juego, </w:t>
      </w:r>
      <w:r>
        <w:rPr>
          <w:rFonts w:ascii="Times New Roman" w:hAnsi="Times New Roman"/>
          <w:b/>
          <w:color w:val="FF0000"/>
          <w:sz w:val="24"/>
          <w:szCs w:val="24"/>
          <w:u w:val="single"/>
        </w:rPr>
        <w:t>el “precio de la anarquía”</w:t>
      </w:r>
      <w:r w:rsidRPr="000E680D">
        <w:rPr>
          <w:rFonts w:ascii="Times New Roman" w:hAnsi="Times New Roman"/>
          <w:color w:val="FF0000"/>
          <w:sz w:val="24"/>
          <w:szCs w:val="24"/>
          <w:u w:val="single"/>
        </w:rPr>
        <w:t xml:space="preserve"> </w:t>
      </w:r>
      <w:r w:rsidRPr="000E680D">
        <w:rPr>
          <w:rFonts w:ascii="Times New Roman" w:hAnsi="Times New Roman"/>
          <w:sz w:val="24"/>
          <w:szCs w:val="24"/>
          <w:u w:val="single"/>
        </w:rPr>
        <w:t>describe cómo la conducta egoísta de los individuos dentro de un sistema mayor tiende a reducir la eficiencia de ese sistema. Es un fenómeno ubicuo al que casi todos nos enfrentamos, en cierta forma, de manera regular.</w:t>
      </w:r>
    </w:p>
    <w:p w:rsidR="000711BB" w:rsidRPr="00DC2848" w:rsidRDefault="000711BB" w:rsidP="000711BB">
      <w:pPr>
        <w:spacing w:line="240" w:lineRule="auto"/>
        <w:jc w:val="both"/>
        <w:rPr>
          <w:rFonts w:ascii="Times New Roman" w:hAnsi="Times New Roman"/>
          <w:sz w:val="24"/>
          <w:szCs w:val="24"/>
        </w:rPr>
      </w:pPr>
      <w:r w:rsidRPr="00DC2848">
        <w:rPr>
          <w:rFonts w:ascii="Times New Roman" w:hAnsi="Times New Roman"/>
          <w:sz w:val="24"/>
          <w:szCs w:val="24"/>
        </w:rPr>
        <w:t>Por ejemplo, si usted es un urbanista a cargo de la gestión del tránsito, existen dos maneras en las que puede ocuparse de los flujos de tránsito de su ciudad. Por lo general, una estrategia centralizada y vertical -que abarque a todo el sistema, identifique cuellos de botella y haga cambios para eliminarlos- será más eficiente que simplemente dejar que los conductores individuales tomen sus propias decisiones sobre la marcha, con la presunción de que estas elecciones, además, conducirán a un resultado aceptable. La primera estrategia reduce el costo de la anarquía y hace un mejor uso de toda la información disponible.</w:t>
      </w:r>
    </w:p>
    <w:p w:rsidR="000711BB" w:rsidRPr="000E680D" w:rsidRDefault="000711BB" w:rsidP="000711BB">
      <w:pPr>
        <w:spacing w:line="240" w:lineRule="auto"/>
        <w:jc w:val="both"/>
        <w:rPr>
          <w:rFonts w:ascii="Times New Roman" w:hAnsi="Times New Roman"/>
          <w:color w:val="FF0000"/>
          <w:sz w:val="24"/>
          <w:szCs w:val="24"/>
          <w:u w:val="single"/>
        </w:rPr>
      </w:pPr>
      <w:r w:rsidRPr="000E680D">
        <w:rPr>
          <w:rFonts w:ascii="Times New Roman" w:hAnsi="Times New Roman"/>
          <w:color w:val="FF0000"/>
          <w:sz w:val="24"/>
          <w:szCs w:val="24"/>
          <w:u w:val="single"/>
        </w:rPr>
        <w:t>El mundo hoy está inundado de datos. En 2015, la humanidad produjo tanta información como la que se había generado en todos los años previos de la civilización humana. Cada vez que enviamos un mensaje, hacemos una llamada o realizamos una transacción, dejamos rastros digitales. Nos estamos acercando aceleradamente a lo que el escritor italiano Italo C</w:t>
      </w:r>
      <w:r>
        <w:rPr>
          <w:rFonts w:ascii="Times New Roman" w:hAnsi="Times New Roman"/>
          <w:color w:val="FF0000"/>
          <w:sz w:val="24"/>
          <w:szCs w:val="24"/>
          <w:u w:val="single"/>
        </w:rPr>
        <w:t>alvino proféticamente llamó la “memoria del mundo”</w:t>
      </w:r>
      <w:r w:rsidRPr="000E680D">
        <w:rPr>
          <w:rFonts w:ascii="Times New Roman" w:hAnsi="Times New Roman"/>
          <w:color w:val="FF0000"/>
          <w:sz w:val="24"/>
          <w:szCs w:val="24"/>
          <w:u w:val="single"/>
        </w:rPr>
        <w:t>: una copia digital completa de nuestro universo físico.</w:t>
      </w:r>
    </w:p>
    <w:p w:rsidR="000711BB" w:rsidRPr="000E680D" w:rsidRDefault="000711BB" w:rsidP="000711BB">
      <w:pPr>
        <w:spacing w:line="240" w:lineRule="auto"/>
        <w:jc w:val="both"/>
        <w:rPr>
          <w:rFonts w:ascii="Times New Roman" w:hAnsi="Times New Roman"/>
          <w:color w:val="FF0000"/>
          <w:sz w:val="24"/>
          <w:szCs w:val="24"/>
          <w:u w:val="single"/>
        </w:rPr>
      </w:pPr>
      <w:r w:rsidRPr="000E680D">
        <w:rPr>
          <w:rFonts w:ascii="Times New Roman" w:hAnsi="Times New Roman"/>
          <w:color w:val="FF0000"/>
          <w:sz w:val="24"/>
          <w:szCs w:val="24"/>
          <w:u w:val="single"/>
        </w:rPr>
        <w:t>En la medida que Internet vaya expandiéndose a nuevos ámbitos del espacio físico a través de la Internet de las cosas, el precio de la anarquía se convertirá en una métrica crucial en nuestra sociedad, y la tentación de eliminarlo con el poder del análisis de grandes volúmenes de datos se volverá más fuerte.</w:t>
      </w:r>
    </w:p>
    <w:p w:rsidR="000711BB" w:rsidRPr="000E680D" w:rsidRDefault="000711BB" w:rsidP="000711BB">
      <w:pPr>
        <w:spacing w:line="240" w:lineRule="auto"/>
        <w:jc w:val="both"/>
        <w:rPr>
          <w:rFonts w:ascii="Times New Roman" w:hAnsi="Times New Roman"/>
          <w:sz w:val="24"/>
          <w:szCs w:val="24"/>
          <w:u w:val="single"/>
        </w:rPr>
      </w:pPr>
      <w:r w:rsidRPr="00DC2848">
        <w:rPr>
          <w:rFonts w:ascii="Times New Roman" w:hAnsi="Times New Roman"/>
          <w:sz w:val="24"/>
          <w:szCs w:val="24"/>
        </w:rPr>
        <w:t xml:space="preserve">Abundan los ejemplos. Consideremos la acción familiar de comprar un libro online a través de Amazon. Amazon tiene una montaña de información sobre todos sus usuarios -desde sus perfiles y sus historiales de búsqueda hasta las oraciones que resaltan en sus libros electrónicos- que utiliza para predecir lo que ellos podrían querer comprar la próxima vez. </w:t>
      </w:r>
      <w:r w:rsidRPr="000E680D">
        <w:rPr>
          <w:rFonts w:ascii="Times New Roman" w:hAnsi="Times New Roman"/>
          <w:sz w:val="24"/>
          <w:szCs w:val="24"/>
          <w:u w:val="single"/>
        </w:rPr>
        <w:t xml:space="preserve">Como en todas las formas de inteligencia artificial centralizada, los </w:t>
      </w:r>
      <w:r w:rsidRPr="000E680D">
        <w:rPr>
          <w:rFonts w:ascii="Times New Roman" w:hAnsi="Times New Roman"/>
          <w:sz w:val="24"/>
          <w:szCs w:val="24"/>
          <w:u w:val="single"/>
        </w:rPr>
        <w:lastRenderedPageBreak/>
        <w:t>patrones anteriores se usan para predecir patrones futuros. Amazon puede ver los diez últimos libros que compramos y, cada vez con más precisión, sugerir lo que podríamos querer leer a continuación.</w:t>
      </w:r>
    </w:p>
    <w:p w:rsidR="000711BB" w:rsidRPr="00DC2848" w:rsidRDefault="000711BB" w:rsidP="000711BB">
      <w:pPr>
        <w:spacing w:line="240" w:lineRule="auto"/>
        <w:jc w:val="both"/>
        <w:rPr>
          <w:rFonts w:ascii="Times New Roman" w:hAnsi="Times New Roman"/>
          <w:sz w:val="24"/>
          <w:szCs w:val="24"/>
        </w:rPr>
      </w:pPr>
      <w:r w:rsidRPr="00DC2848">
        <w:rPr>
          <w:rFonts w:ascii="Times New Roman" w:hAnsi="Times New Roman"/>
          <w:sz w:val="24"/>
          <w:szCs w:val="24"/>
        </w:rPr>
        <w:t>Pero aquí deberíamos considerar qué es lo que se pierde cuando reducimos el nivel de anarquía. El libro que resultaría la mejor lectura después de los diez anteriores no es un libro que encaja prolijamente en un patrón establecido, sino más bien un libro que sorprende o nos desafía a ver el mundo de una manera diferente.</w:t>
      </w:r>
    </w:p>
    <w:p w:rsidR="000711BB" w:rsidRPr="000E680D" w:rsidRDefault="000711BB" w:rsidP="000711BB">
      <w:pPr>
        <w:spacing w:line="240" w:lineRule="auto"/>
        <w:jc w:val="both"/>
        <w:rPr>
          <w:rFonts w:ascii="Times New Roman" w:hAnsi="Times New Roman"/>
          <w:sz w:val="24"/>
          <w:szCs w:val="24"/>
          <w:u w:val="single"/>
        </w:rPr>
      </w:pPr>
      <w:r w:rsidRPr="000E680D">
        <w:rPr>
          <w:rFonts w:ascii="Times New Roman" w:hAnsi="Times New Roman"/>
          <w:sz w:val="24"/>
          <w:szCs w:val="24"/>
          <w:u w:val="single"/>
        </w:rPr>
        <w:t>A diferencia del escenario del flujo de tránsito que se describe más arriba, las sugerencias optimizadas -que suelen representar una profecía auto-cumplida de nuestra próxima compra- tal vez no sean el mejor paradigma para la búsqueda de libros online. El gran volumen de datos puede multiplicar nuestras opciones a la vez que deja afuera cosas que no queremos ver, pero descubrir ese onceavo libro por pura casualidad puede tener sus ventajas.</w:t>
      </w:r>
    </w:p>
    <w:p w:rsidR="000711BB" w:rsidRPr="00DC2848" w:rsidRDefault="000711BB" w:rsidP="000711BB">
      <w:pPr>
        <w:spacing w:line="240" w:lineRule="auto"/>
        <w:jc w:val="both"/>
        <w:rPr>
          <w:rFonts w:ascii="Times New Roman" w:hAnsi="Times New Roman"/>
          <w:sz w:val="24"/>
          <w:szCs w:val="24"/>
        </w:rPr>
      </w:pPr>
      <w:r w:rsidRPr="00DC2848">
        <w:rPr>
          <w:rFonts w:ascii="Times New Roman" w:hAnsi="Times New Roman"/>
          <w:sz w:val="24"/>
          <w:szCs w:val="24"/>
        </w:rPr>
        <w:t>Lo que es válido para la compra de libros también es válido para muchos otros sistemas que se están digitalizando, como nuestras ciudades y sociedades. Los sistemas municipales centralizados hoy utilizan algoritmos para monitorear la infraestructura urbana, desde los semáforos y el uso del subterráneo hasta la eliminación de residuos y el suministro de energía. Muchos alcaldes en el mundo están fascinados con la idea de una sala de control central, como el centro de operaciones diseñado por IBM en Río de Janeiro, donde las autoridades de la ciudad pueden responder a información fresca en tiempo real.</w:t>
      </w:r>
    </w:p>
    <w:p w:rsidR="000711BB" w:rsidRPr="000E680D" w:rsidRDefault="000711BB" w:rsidP="000711BB">
      <w:pPr>
        <w:spacing w:line="240" w:lineRule="auto"/>
        <w:jc w:val="both"/>
        <w:rPr>
          <w:rFonts w:ascii="Times New Roman" w:hAnsi="Times New Roman"/>
          <w:b/>
          <w:color w:val="FF0000"/>
          <w:sz w:val="24"/>
          <w:szCs w:val="24"/>
          <w:u w:val="single"/>
        </w:rPr>
      </w:pPr>
      <w:r w:rsidRPr="000E680D">
        <w:rPr>
          <w:rFonts w:ascii="Times New Roman" w:hAnsi="Times New Roman"/>
          <w:b/>
          <w:color w:val="FF0000"/>
          <w:sz w:val="24"/>
          <w:szCs w:val="24"/>
          <w:u w:val="single"/>
        </w:rPr>
        <w:t>Pero cuando los algoritmos centralizados llegan a controlar cada faceta de la sociedad, la tecnocracia impulsada por los datos amenaza con imponerse a la innovación y la democracia. Esto debería evitarse a toda costa. La toma de decisiones descentralizada es crucial para el enriquecimiento de la sociedad. La optimización impulsada por los datos, por el contrario, extrae soluciones a partir de un paradigma predeterminado que, en su forma actual, suele excluir las ideas transformacionales o contradictorias que hacen avanzar a la humanidad.</w:t>
      </w:r>
    </w:p>
    <w:p w:rsidR="000711BB" w:rsidRPr="000E680D" w:rsidRDefault="000711BB" w:rsidP="000711BB">
      <w:pPr>
        <w:spacing w:line="240" w:lineRule="auto"/>
        <w:jc w:val="both"/>
        <w:rPr>
          <w:rFonts w:ascii="Times New Roman" w:hAnsi="Times New Roman"/>
          <w:sz w:val="24"/>
          <w:szCs w:val="24"/>
          <w:u w:val="single"/>
        </w:rPr>
      </w:pPr>
      <w:r w:rsidRPr="00DC2848">
        <w:rPr>
          <w:rFonts w:ascii="Times New Roman" w:hAnsi="Times New Roman"/>
          <w:sz w:val="24"/>
          <w:szCs w:val="24"/>
        </w:rPr>
        <w:t xml:space="preserve">Una cierta dosis de aleatoriedad en nuestra vida permite que surjan nuevas ideas o modos de pensar que, de otra manera, nunca aparecerían. Y, en una escala macro, esto es necesario para la vida misma. </w:t>
      </w:r>
      <w:r w:rsidRPr="000E680D">
        <w:rPr>
          <w:rFonts w:ascii="Times New Roman" w:hAnsi="Times New Roman"/>
          <w:sz w:val="24"/>
          <w:szCs w:val="24"/>
          <w:u w:val="single"/>
        </w:rPr>
        <w:t>Si la naturaleza hubiera utilizado algoritmos predictivos que impidieran la mutación aleatoria en la replicación del ADN, probablemente nuestro planeta todavía estaría en la etapa de un organismo unicelular muy optimizado.</w:t>
      </w:r>
    </w:p>
    <w:p w:rsidR="000711BB" w:rsidRPr="000E680D" w:rsidRDefault="000711BB" w:rsidP="000711BB">
      <w:pPr>
        <w:spacing w:line="240" w:lineRule="auto"/>
        <w:jc w:val="both"/>
        <w:rPr>
          <w:rFonts w:ascii="Times New Roman" w:hAnsi="Times New Roman"/>
          <w:color w:val="FF0000"/>
          <w:sz w:val="24"/>
          <w:szCs w:val="24"/>
          <w:u w:val="single"/>
        </w:rPr>
      </w:pPr>
      <w:r w:rsidRPr="000E680D">
        <w:rPr>
          <w:rFonts w:ascii="Times New Roman" w:hAnsi="Times New Roman"/>
          <w:color w:val="FF0000"/>
          <w:sz w:val="24"/>
          <w:szCs w:val="24"/>
          <w:u w:val="single"/>
        </w:rPr>
        <w:t>La toma de decisiones descentralizada puede crear sinergias entre la inteligencia humana y la inteligencia artificial mediante procesos de co-evolución natural y artificial. La inteligencia distribuida a veces podría reducir la eficiencia en el corto plazo, pero en definitiva conducirá a una sociedad más creativa, diversa y resiliente. El precio de la anarquía es un precio que vale la pena pagar si queremos preservar la innovación a través del hallazgo fortuito.</w:t>
      </w:r>
    </w:p>
    <w:p w:rsidR="000711BB" w:rsidRDefault="000711BB" w:rsidP="000711BB">
      <w:pPr>
        <w:spacing w:line="240" w:lineRule="auto"/>
        <w:jc w:val="both"/>
        <w:rPr>
          <w:rFonts w:ascii="Times New Roman" w:hAnsi="Times New Roman"/>
          <w:sz w:val="24"/>
          <w:szCs w:val="24"/>
        </w:rPr>
      </w:pPr>
      <w:r>
        <w:rPr>
          <w:rFonts w:ascii="Times New Roman" w:hAnsi="Times New Roman"/>
          <w:sz w:val="24"/>
          <w:szCs w:val="24"/>
        </w:rPr>
        <w:t>(</w:t>
      </w:r>
      <w:r w:rsidRPr="00E77BE3">
        <w:rPr>
          <w:rFonts w:ascii="Times New Roman" w:hAnsi="Times New Roman"/>
          <w:sz w:val="24"/>
          <w:szCs w:val="24"/>
        </w:rPr>
        <w:t>Carlo Ratti directs the Senseable City Laboratory at the Massachusetts Institute of Technology and heads the World Economic Forum’s Global A</w:t>
      </w:r>
      <w:r>
        <w:rPr>
          <w:rFonts w:ascii="Times New Roman" w:hAnsi="Times New Roman"/>
          <w:sz w:val="24"/>
          <w:szCs w:val="24"/>
        </w:rPr>
        <w:t xml:space="preserve">genda Council on Future Cities. </w:t>
      </w:r>
      <w:r w:rsidRPr="00E77BE3">
        <w:rPr>
          <w:rFonts w:ascii="Times New Roman" w:hAnsi="Times New Roman"/>
          <w:sz w:val="24"/>
          <w:szCs w:val="24"/>
        </w:rPr>
        <w:t>Dirk Helbing is Professor of Computational Social Science at the Swiss Federal Institute of Technology (ETH) in Zurich and heads the Futu</w:t>
      </w:r>
      <w:r>
        <w:rPr>
          <w:rFonts w:ascii="Times New Roman" w:hAnsi="Times New Roman"/>
          <w:sz w:val="24"/>
          <w:szCs w:val="24"/>
        </w:rPr>
        <w:t>rICT and Nervousnet initiatives)</w:t>
      </w:r>
    </w:p>
    <w:p w:rsidR="000711BB" w:rsidRPr="00135AA5" w:rsidRDefault="000711BB" w:rsidP="000711BB">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135AA5">
        <w:rPr>
          <w:rFonts w:ascii="Times New Roman" w:hAnsi="Times New Roman"/>
          <w:sz w:val="24"/>
          <w:szCs w:val="24"/>
          <w:u w:val="single"/>
        </w:rPr>
        <w:t>Reducir la desigualdad y la pobreza en Estados Unidos</w:t>
      </w:r>
      <w:r>
        <w:rPr>
          <w:rFonts w:ascii="Times New Roman" w:hAnsi="Times New Roman"/>
          <w:sz w:val="24"/>
          <w:szCs w:val="24"/>
        </w:rPr>
        <w:t xml:space="preserve"> (Project Syndicate - </w:t>
      </w:r>
      <w:r w:rsidRPr="00135AA5">
        <w:rPr>
          <w:rFonts w:ascii="Times New Roman" w:hAnsi="Times New Roman"/>
          <w:b/>
          <w:sz w:val="24"/>
          <w:szCs w:val="24"/>
        </w:rPr>
        <w:t>23/8/16</w:t>
      </w:r>
      <w:r>
        <w:rPr>
          <w:rFonts w:ascii="Times New Roman" w:hAnsi="Times New Roman"/>
          <w:sz w:val="24"/>
          <w:szCs w:val="24"/>
        </w:rPr>
        <w:t>)</w:t>
      </w:r>
    </w:p>
    <w:p w:rsidR="000711BB" w:rsidRPr="00135AA5" w:rsidRDefault="000711BB" w:rsidP="000711BB">
      <w:pPr>
        <w:spacing w:line="240" w:lineRule="auto"/>
        <w:jc w:val="both"/>
        <w:rPr>
          <w:rFonts w:ascii="Times New Roman" w:hAnsi="Times New Roman"/>
          <w:sz w:val="24"/>
          <w:szCs w:val="24"/>
        </w:rPr>
      </w:pPr>
      <w:r>
        <w:rPr>
          <w:rFonts w:ascii="Times New Roman" w:hAnsi="Times New Roman"/>
          <w:sz w:val="24"/>
          <w:szCs w:val="24"/>
        </w:rPr>
        <w:t>Cambridge.-</w:t>
      </w:r>
      <w:r w:rsidRPr="00135AA5">
        <w:rPr>
          <w:rFonts w:ascii="Times New Roman" w:hAnsi="Times New Roman"/>
          <w:sz w:val="24"/>
          <w:szCs w:val="24"/>
        </w:rPr>
        <w:t xml:space="preserve"> </w:t>
      </w:r>
      <w:r w:rsidRPr="001A74A3">
        <w:rPr>
          <w:rFonts w:ascii="Times New Roman" w:hAnsi="Times New Roman"/>
          <w:sz w:val="24"/>
          <w:szCs w:val="24"/>
          <w:u w:val="single"/>
        </w:rPr>
        <w:t>Con la asunción de un nuevo presidente y un nuevo Congreso en Estados Unidos en apenas seis meses, llegó la hora de repensar los programas del gobierno destinados a ayudar a los pobres</w:t>
      </w:r>
      <w:r w:rsidRPr="00135AA5">
        <w:rPr>
          <w:rFonts w:ascii="Times New Roman" w:hAnsi="Times New Roman"/>
          <w:sz w:val="24"/>
          <w:szCs w:val="24"/>
        </w:rPr>
        <w:t>. La temporada electoral actual ha reflejado una preocupación generalizada por la cuestión de la desigualdad. El foco correcto para lidiar con este problema es reducir la pobreza, no penalizar el éxito merecido.</w:t>
      </w:r>
    </w:p>
    <w:p w:rsidR="000711BB" w:rsidRPr="001A74A3" w:rsidRDefault="000711BB" w:rsidP="000711BB">
      <w:pPr>
        <w:spacing w:line="240" w:lineRule="auto"/>
        <w:jc w:val="both"/>
        <w:rPr>
          <w:rFonts w:ascii="Times New Roman" w:hAnsi="Times New Roman"/>
          <w:sz w:val="24"/>
          <w:szCs w:val="24"/>
          <w:u w:val="single"/>
        </w:rPr>
      </w:pPr>
      <w:r w:rsidRPr="001A74A3">
        <w:rPr>
          <w:rFonts w:ascii="Times New Roman" w:hAnsi="Times New Roman"/>
          <w:color w:val="FF0000"/>
          <w:sz w:val="24"/>
          <w:szCs w:val="24"/>
          <w:u w:val="single"/>
        </w:rPr>
        <w:t>El gobierno de Estados Unidos hoy invierte más de 600.000 millones de dólares al año en programas para ayudar a los pobres</w:t>
      </w:r>
      <w:r w:rsidRPr="001A74A3">
        <w:rPr>
          <w:rFonts w:ascii="Times New Roman" w:hAnsi="Times New Roman"/>
          <w:sz w:val="24"/>
          <w:szCs w:val="24"/>
          <w:u w:val="single"/>
        </w:rPr>
        <w:t>. Eso representa aproximadamente el 4% del PIB total de Estados Unidos. La mitad de esos desembolsos van a parar a programas de salud, incluidos Medicaid y los subsidios de seguro de salud bajo la Ley de Atención Médica Asequible de 2010 (conocida como Obamacare). La otra mitad están destinados a un rango complejo de programas que incluyen estampillas para alimentos, subsidios para la vivienda, el Crédito Fiscal por Ingreso Ganado y ayuda en efectivo.</w:t>
      </w:r>
    </w:p>
    <w:p w:rsidR="000711BB" w:rsidRPr="001A74A3" w:rsidRDefault="000711BB" w:rsidP="000711BB">
      <w:pPr>
        <w:spacing w:line="240" w:lineRule="auto"/>
        <w:jc w:val="both"/>
        <w:rPr>
          <w:rFonts w:ascii="Times New Roman" w:hAnsi="Times New Roman"/>
          <w:color w:val="FF0000"/>
          <w:sz w:val="24"/>
          <w:szCs w:val="24"/>
          <w:u w:val="single"/>
        </w:rPr>
      </w:pPr>
      <w:r w:rsidRPr="001A74A3">
        <w:rPr>
          <w:rFonts w:ascii="Times New Roman" w:hAnsi="Times New Roman"/>
          <w:color w:val="FF0000"/>
          <w:sz w:val="24"/>
          <w:szCs w:val="24"/>
          <w:u w:val="single"/>
        </w:rPr>
        <w:t>Para poner ese 4% del PIB en perspectiva, el ingreso total del gobierno federal generado por el impuesto a la renta personal es inferior al 9% del PIB, lo que implica que casi la mitad se gasta en esos programas sujetos a condiciones de recursos. El gasto en esos programas también excede el gasto en defensa (3,3% del PIB) y el 3,3% del PIB que se invierte en todos los demás programas discrecionales no vinculados a la defensa.</w:t>
      </w:r>
    </w:p>
    <w:p w:rsidR="000711BB" w:rsidRPr="00135AA5" w:rsidRDefault="000711BB" w:rsidP="000711BB">
      <w:pPr>
        <w:spacing w:line="240" w:lineRule="auto"/>
        <w:jc w:val="both"/>
        <w:rPr>
          <w:rFonts w:ascii="Times New Roman" w:hAnsi="Times New Roman"/>
          <w:sz w:val="24"/>
          <w:szCs w:val="24"/>
        </w:rPr>
      </w:pPr>
      <w:r w:rsidRPr="001A74A3">
        <w:rPr>
          <w:rFonts w:ascii="Times New Roman" w:hAnsi="Times New Roman"/>
          <w:color w:val="FF0000"/>
          <w:sz w:val="24"/>
          <w:szCs w:val="24"/>
          <w:u w:val="single"/>
        </w:rPr>
        <w:t>Sin embargo, a pesar de esta gran inversión, se estima oficialmente que el porcentaje de la población que vive en la pobreza es del 15%, más o menos igual que hace 50 años.</w:t>
      </w:r>
      <w:r w:rsidRPr="001A74A3">
        <w:rPr>
          <w:rFonts w:ascii="Times New Roman" w:hAnsi="Times New Roman"/>
          <w:color w:val="FF0000"/>
          <w:sz w:val="24"/>
          <w:szCs w:val="24"/>
        </w:rPr>
        <w:t xml:space="preserve"> </w:t>
      </w:r>
      <w:r w:rsidRPr="00135AA5">
        <w:rPr>
          <w:rFonts w:ascii="Times New Roman" w:hAnsi="Times New Roman"/>
          <w:sz w:val="24"/>
          <w:szCs w:val="24"/>
        </w:rPr>
        <w:t>No obstante, los expertos coinciden en que la medición de pobreza del gobierno no refleja correctamente el progreso que se ha hecho, ya que las estadísticas oficiales se centran solamente en el ingreso en efectivo e ignoran casi todas las transferencias del gobierno.</w:t>
      </w:r>
    </w:p>
    <w:p w:rsidR="000711BB" w:rsidRPr="00135AA5" w:rsidRDefault="000711BB" w:rsidP="000711BB">
      <w:pPr>
        <w:spacing w:line="240" w:lineRule="auto"/>
        <w:jc w:val="both"/>
        <w:rPr>
          <w:rFonts w:ascii="Times New Roman" w:hAnsi="Times New Roman"/>
          <w:sz w:val="24"/>
          <w:szCs w:val="24"/>
        </w:rPr>
      </w:pPr>
      <w:r w:rsidRPr="001A74A3">
        <w:rPr>
          <w:rFonts w:ascii="Times New Roman" w:hAnsi="Times New Roman"/>
          <w:sz w:val="24"/>
          <w:szCs w:val="24"/>
          <w:u w:val="single"/>
        </w:rPr>
        <w:t>Muchos de los que son pobres, o que serían pobres si no recibieran ayuda, también se ven favorecidos por los beneficios de Seguridad Social para jubilados y sobrevivientes, y por Medicare para discapacitados y mayores de 65 años.</w:t>
      </w:r>
      <w:r w:rsidRPr="00135AA5">
        <w:rPr>
          <w:rFonts w:ascii="Times New Roman" w:hAnsi="Times New Roman"/>
          <w:sz w:val="24"/>
          <w:szCs w:val="24"/>
        </w:rPr>
        <w:t xml:space="preserve"> Como la elegibilidad para los beneficios bajo estos programas no depende del ingreso o la riqueza, los montos que se gastan en esos programas no están incluidos en los desembolsos destinados a los pobres.</w:t>
      </w:r>
    </w:p>
    <w:p w:rsidR="000711BB" w:rsidRPr="00CE028F" w:rsidRDefault="000711BB" w:rsidP="000711BB">
      <w:pPr>
        <w:spacing w:line="240" w:lineRule="auto"/>
        <w:jc w:val="both"/>
        <w:rPr>
          <w:rFonts w:ascii="Times New Roman" w:hAnsi="Times New Roman"/>
          <w:sz w:val="24"/>
          <w:szCs w:val="24"/>
          <w:u w:val="single"/>
        </w:rPr>
      </w:pPr>
      <w:r w:rsidRPr="00CE028F">
        <w:rPr>
          <w:rFonts w:ascii="Times New Roman" w:hAnsi="Times New Roman"/>
          <w:sz w:val="24"/>
          <w:szCs w:val="24"/>
          <w:u w:val="single"/>
        </w:rPr>
        <w:t>La estrategia existente para ayudar a los pobres necesita de una reforma. Los múltiples programas superpuestos con diferentes reglas de elegibilidad no les hacen las cosas fáciles a los pobres, crean malos incentivos laborales y son innecesariamente costosos para los contribuyentes.</w:t>
      </w:r>
    </w:p>
    <w:p w:rsidR="000711BB" w:rsidRPr="00CE028F" w:rsidRDefault="000711BB" w:rsidP="000711BB">
      <w:pPr>
        <w:spacing w:line="240" w:lineRule="auto"/>
        <w:jc w:val="both"/>
        <w:rPr>
          <w:rFonts w:ascii="Times New Roman" w:hAnsi="Times New Roman"/>
          <w:sz w:val="24"/>
          <w:szCs w:val="24"/>
          <w:u w:val="single"/>
        </w:rPr>
      </w:pPr>
      <w:r w:rsidRPr="00CE028F">
        <w:rPr>
          <w:rFonts w:ascii="Times New Roman" w:hAnsi="Times New Roman"/>
          <w:sz w:val="24"/>
          <w:szCs w:val="24"/>
          <w:u w:val="single"/>
        </w:rPr>
        <w:t>El mayor de los diez principales programas sujetos a condiciones de recursos es el programa de subsidio a los alimentos, hoy llamado SNAP (Programa de Asistencia Nutricional Suplementaria). Unos 46 millones de personas, alrededor de una séptima parte de la población de Estados Unidos, reciben beneficios mensuales por un total de 75.000 millones de dólares al año. A pesar de su uso generalizado, el gobierno calcula que apenas el 70% aproximadamente de quienes son elegibles reciben beneficios.</w:t>
      </w:r>
    </w:p>
    <w:p w:rsidR="000711BB" w:rsidRPr="00CE028F" w:rsidRDefault="000711BB" w:rsidP="000711BB">
      <w:pPr>
        <w:spacing w:line="240" w:lineRule="auto"/>
        <w:jc w:val="both"/>
        <w:rPr>
          <w:rFonts w:ascii="Times New Roman" w:hAnsi="Times New Roman"/>
          <w:color w:val="FF0000"/>
          <w:sz w:val="24"/>
          <w:szCs w:val="24"/>
          <w:u w:val="single"/>
        </w:rPr>
      </w:pPr>
      <w:r w:rsidRPr="00CE028F">
        <w:rPr>
          <w:rFonts w:ascii="Times New Roman" w:hAnsi="Times New Roman"/>
          <w:color w:val="FF0000"/>
          <w:sz w:val="24"/>
          <w:szCs w:val="24"/>
          <w:u w:val="single"/>
        </w:rPr>
        <w:t>La elegibilidad para recibir los beneficios del programa SNAP se limita a hogares con ingresos por debajo del 130% del nivel de pobreza, aproximadamente 1.700 dólares por mes para una familia de tres integrantes. Como la decisión de un segundo adulto de trabajar podría eliminar la elegibilidad, el programa desalienta el empleo y reduce los ingresos ganados.</w:t>
      </w:r>
    </w:p>
    <w:p w:rsidR="000711BB" w:rsidRPr="00135AA5" w:rsidRDefault="000711BB" w:rsidP="000711BB">
      <w:pPr>
        <w:spacing w:line="240" w:lineRule="auto"/>
        <w:jc w:val="both"/>
        <w:rPr>
          <w:rFonts w:ascii="Times New Roman" w:hAnsi="Times New Roman"/>
          <w:sz w:val="24"/>
          <w:szCs w:val="24"/>
        </w:rPr>
      </w:pPr>
      <w:r w:rsidRPr="00CE028F">
        <w:rPr>
          <w:rFonts w:ascii="Times New Roman" w:hAnsi="Times New Roman"/>
          <w:sz w:val="24"/>
          <w:szCs w:val="24"/>
          <w:u w:val="single"/>
        </w:rPr>
        <w:lastRenderedPageBreak/>
        <w:t>Si bien se describe a SNAP como un programa de nutrición, el beneficio promedio de 130 dólares por mes es mucho menos de lo que estos hogares de ingresos bajos gastan en alimentos</w:t>
      </w:r>
      <w:r w:rsidRPr="00135AA5">
        <w:rPr>
          <w:rFonts w:ascii="Times New Roman" w:hAnsi="Times New Roman"/>
          <w:sz w:val="24"/>
          <w:szCs w:val="24"/>
        </w:rPr>
        <w:t>. En consecuencia, el programa realmente equivale a una transferencia de efectivo. Como tal, domina el programa lanzado por el presidente Bill Clinton para ofrecer asistencia en efectivo con restricciones significativas.</w:t>
      </w:r>
    </w:p>
    <w:p w:rsidR="000711BB" w:rsidRPr="00CE028F" w:rsidRDefault="000711BB" w:rsidP="000711BB">
      <w:pPr>
        <w:spacing w:line="240" w:lineRule="auto"/>
        <w:jc w:val="both"/>
        <w:rPr>
          <w:rFonts w:ascii="Times New Roman" w:hAnsi="Times New Roman"/>
          <w:sz w:val="24"/>
          <w:szCs w:val="24"/>
          <w:u w:val="single"/>
        </w:rPr>
      </w:pPr>
      <w:r w:rsidRPr="00CE028F">
        <w:rPr>
          <w:rFonts w:ascii="Times New Roman" w:hAnsi="Times New Roman"/>
          <w:sz w:val="24"/>
          <w:szCs w:val="24"/>
          <w:u w:val="single"/>
        </w:rPr>
        <w:t>Cuan</w:t>
      </w:r>
      <w:r>
        <w:rPr>
          <w:rFonts w:ascii="Times New Roman" w:hAnsi="Times New Roman"/>
          <w:sz w:val="24"/>
          <w:szCs w:val="24"/>
          <w:u w:val="single"/>
        </w:rPr>
        <w:t>do Clinton declaró en 1996 que “</w:t>
      </w:r>
      <w:r w:rsidRPr="00CE028F">
        <w:rPr>
          <w:rFonts w:ascii="Times New Roman" w:hAnsi="Times New Roman"/>
          <w:sz w:val="24"/>
          <w:szCs w:val="24"/>
          <w:u w:val="single"/>
        </w:rPr>
        <w:t xml:space="preserve">pondría fin a los beneficios </w:t>
      </w:r>
      <w:r>
        <w:rPr>
          <w:rFonts w:ascii="Times New Roman" w:hAnsi="Times New Roman"/>
          <w:sz w:val="24"/>
          <w:szCs w:val="24"/>
          <w:u w:val="single"/>
        </w:rPr>
        <w:t>sociales tal como los conocemos”</w:t>
      </w:r>
      <w:r w:rsidRPr="00CE028F">
        <w:rPr>
          <w:rFonts w:ascii="Times New Roman" w:hAnsi="Times New Roman"/>
          <w:sz w:val="24"/>
          <w:szCs w:val="24"/>
          <w:u w:val="single"/>
        </w:rPr>
        <w:t>, trabajó con el Congreso para crear el programa de Asistencia Temporal para Familias Necesitadas (TANF por su sigla en inglés), que requiere que los beneficiarios trabajen y limita su período de elegibilidad a 60 meses. Como resultado de estas condiciones, el programa de 17.000 millones de dólares se ha reducido en escala y tiene una tasa de participación de menos del 50% de los hogares elegibles.</w:t>
      </w:r>
    </w:p>
    <w:p w:rsidR="000711BB" w:rsidRPr="00CE028F" w:rsidRDefault="000711BB" w:rsidP="000711BB">
      <w:pPr>
        <w:spacing w:line="240" w:lineRule="auto"/>
        <w:jc w:val="both"/>
        <w:rPr>
          <w:rFonts w:ascii="Times New Roman" w:hAnsi="Times New Roman"/>
          <w:color w:val="FF0000"/>
          <w:sz w:val="24"/>
          <w:szCs w:val="24"/>
          <w:u w:val="single"/>
        </w:rPr>
      </w:pPr>
      <w:r w:rsidRPr="00CE028F">
        <w:rPr>
          <w:rFonts w:ascii="Times New Roman" w:hAnsi="Times New Roman"/>
          <w:color w:val="FF0000"/>
          <w:sz w:val="24"/>
          <w:szCs w:val="24"/>
          <w:u w:val="single"/>
        </w:rPr>
        <w:t>¿Cómo deberían reformularse los programas para los pobres a fin de aumentar la participación y evitar los efectos adversos en los incentivos laborales? Una mala idea que está recibiendo una cuota sorprendente de atención favorable es el llamado Beneficio de Ingreso Universal: ofrecer suficiente dinero a todos los hogares (por debajo de los 65 años) para mantenerlos por encima de la línea de pobreza, aún si no tuvieran ningún otro ingreso. El monto asignado a cada hogar dependería de la cantidad de adultos y niños, y no del ingreso o patrimonio del hogar.</w:t>
      </w:r>
    </w:p>
    <w:p w:rsidR="000711BB" w:rsidRPr="00CE028F" w:rsidRDefault="000711BB" w:rsidP="000711BB">
      <w:pPr>
        <w:spacing w:line="240" w:lineRule="auto"/>
        <w:jc w:val="both"/>
        <w:rPr>
          <w:rFonts w:ascii="Times New Roman" w:hAnsi="Times New Roman"/>
          <w:color w:val="FF0000"/>
          <w:sz w:val="24"/>
          <w:szCs w:val="24"/>
          <w:u w:val="single"/>
        </w:rPr>
      </w:pPr>
      <w:r w:rsidRPr="00CE028F">
        <w:rPr>
          <w:rFonts w:ascii="Times New Roman" w:hAnsi="Times New Roman"/>
          <w:sz w:val="24"/>
          <w:szCs w:val="24"/>
          <w:u w:val="single"/>
        </w:rPr>
        <w:t>Esta transferencia incondicional resolvería el problema de sacar a todos los norteamericanos de la pobreza, pero resultaría imposiblemente costosa</w:t>
      </w:r>
      <w:r w:rsidRPr="00135AA5">
        <w:rPr>
          <w:rFonts w:ascii="Times New Roman" w:hAnsi="Times New Roman"/>
          <w:sz w:val="24"/>
          <w:szCs w:val="24"/>
        </w:rPr>
        <w:t xml:space="preserve">. Aún si reemplazara todos los programas sujetos a condiciones de recursos para los pobres sin contar los programas de salud, </w:t>
      </w:r>
      <w:r w:rsidRPr="00CE028F">
        <w:rPr>
          <w:rFonts w:ascii="Times New Roman" w:hAnsi="Times New Roman"/>
          <w:sz w:val="24"/>
          <w:szCs w:val="24"/>
          <w:u w:val="single"/>
        </w:rPr>
        <w:t>su costo neto superaría 1,5 billón de dólares por año, o más del 9% del PIB</w:t>
      </w:r>
      <w:r w:rsidRPr="00135AA5">
        <w:rPr>
          <w:rFonts w:ascii="Times New Roman" w:hAnsi="Times New Roman"/>
          <w:sz w:val="24"/>
          <w:szCs w:val="24"/>
        </w:rPr>
        <w:t xml:space="preserve">. </w:t>
      </w:r>
      <w:r w:rsidRPr="00CE028F">
        <w:rPr>
          <w:rFonts w:ascii="Times New Roman" w:hAnsi="Times New Roman"/>
          <w:color w:val="FF0000"/>
          <w:sz w:val="24"/>
          <w:szCs w:val="24"/>
          <w:u w:val="single"/>
        </w:rPr>
        <w:t>Hacer ese desembolso sin aumentar el déficit exigiría duplicar el impuesto a la renta personal. De manera que el Beneficio de Ingreso Universal es, decididamente, una idea impracticable.</w:t>
      </w:r>
    </w:p>
    <w:p w:rsidR="000711BB" w:rsidRPr="00CE028F" w:rsidRDefault="000711BB" w:rsidP="000711BB">
      <w:pPr>
        <w:spacing w:line="240" w:lineRule="auto"/>
        <w:jc w:val="both"/>
        <w:rPr>
          <w:rFonts w:ascii="Times New Roman" w:hAnsi="Times New Roman"/>
          <w:sz w:val="24"/>
          <w:szCs w:val="24"/>
          <w:u w:val="single"/>
        </w:rPr>
      </w:pPr>
      <w:r w:rsidRPr="00CE028F">
        <w:rPr>
          <w:rFonts w:ascii="Times New Roman" w:hAnsi="Times New Roman"/>
          <w:sz w:val="24"/>
          <w:szCs w:val="24"/>
          <w:u w:val="single"/>
        </w:rPr>
        <w:t>La mejor manera de ayudar a los pobres es el plan del impuesto negativo a la renta propuesto tanto por Milton Friedman (el economista conservador de la Universidad de Chicago) como por James Tobin (el economista liberal de la Universidad de Yale). Todos los hogares por debajo de 65 años recibirían una cantidad de dinero que los mantendría fuera de la pobreza si no tuvieran ningún otro ingreso; pero la cantidad de la transferencia bajaría gradualmente en tanto fuera aumentando el ingreso del hogar. Sobre un determinado umbral, el hogar pagaría un impuesto a la renta como lo hace ho</w:t>
      </w:r>
      <w:r>
        <w:rPr>
          <w:rFonts w:ascii="Times New Roman" w:hAnsi="Times New Roman"/>
          <w:sz w:val="24"/>
          <w:szCs w:val="24"/>
          <w:u w:val="single"/>
        </w:rPr>
        <w:t>y; por debajo de ese nivel, el “</w:t>
      </w:r>
      <w:r w:rsidRPr="00CE028F">
        <w:rPr>
          <w:rFonts w:ascii="Times New Roman" w:hAnsi="Times New Roman"/>
          <w:sz w:val="24"/>
          <w:szCs w:val="24"/>
          <w:u w:val="single"/>
        </w:rPr>
        <w:t>i</w:t>
      </w:r>
      <w:r>
        <w:rPr>
          <w:rFonts w:ascii="Times New Roman" w:hAnsi="Times New Roman"/>
          <w:sz w:val="24"/>
          <w:szCs w:val="24"/>
          <w:u w:val="single"/>
        </w:rPr>
        <w:t>mpuesto”</w:t>
      </w:r>
      <w:r w:rsidRPr="00CE028F">
        <w:rPr>
          <w:rFonts w:ascii="Times New Roman" w:hAnsi="Times New Roman"/>
          <w:sz w:val="24"/>
          <w:szCs w:val="24"/>
          <w:u w:val="single"/>
        </w:rPr>
        <w:t xml:space="preserve"> sería negativo.</w:t>
      </w:r>
    </w:p>
    <w:p w:rsidR="000711BB" w:rsidRPr="00135AA5" w:rsidRDefault="000711BB" w:rsidP="000711BB">
      <w:pPr>
        <w:spacing w:line="240" w:lineRule="auto"/>
        <w:jc w:val="both"/>
        <w:rPr>
          <w:rFonts w:ascii="Times New Roman" w:hAnsi="Times New Roman"/>
          <w:sz w:val="24"/>
          <w:szCs w:val="24"/>
        </w:rPr>
      </w:pPr>
      <w:r w:rsidRPr="00135AA5">
        <w:rPr>
          <w:rFonts w:ascii="Times New Roman" w:hAnsi="Times New Roman"/>
          <w:sz w:val="24"/>
          <w:szCs w:val="24"/>
        </w:rPr>
        <w:t>Se fijaría la tasa a la cual comienza a bajar la transferencia a fin de limitar los incentivos adversos y proteger a la vez el nivel de vida del hogar. Los programas de atención médica para los pobres continuarían.</w:t>
      </w:r>
    </w:p>
    <w:p w:rsidR="000711BB" w:rsidRDefault="000711BB" w:rsidP="000711BB">
      <w:pPr>
        <w:spacing w:line="240" w:lineRule="auto"/>
        <w:jc w:val="both"/>
        <w:rPr>
          <w:rFonts w:ascii="Times New Roman" w:hAnsi="Times New Roman"/>
          <w:sz w:val="24"/>
          <w:szCs w:val="24"/>
        </w:rPr>
      </w:pPr>
      <w:r w:rsidRPr="00135AA5">
        <w:rPr>
          <w:rFonts w:ascii="Times New Roman" w:hAnsi="Times New Roman"/>
          <w:sz w:val="24"/>
          <w:szCs w:val="24"/>
        </w:rPr>
        <w:t>Si bien no existe ninguna solución perfecta para el difícil problema de lidiar con la pobreza, algunas soluciones son mejores -a veces mucho mejores- que otras. El impuesto negativo a la renta puede ser la mejor manera posible de lograr simplicidad, inclusión y un costo moderado para los contribuyentes.</w:t>
      </w:r>
    </w:p>
    <w:p w:rsidR="000711BB" w:rsidRDefault="000711BB" w:rsidP="000711BB">
      <w:pPr>
        <w:spacing w:line="240" w:lineRule="auto"/>
        <w:jc w:val="both"/>
        <w:rPr>
          <w:rFonts w:ascii="Times New Roman" w:hAnsi="Times New Roman"/>
          <w:sz w:val="24"/>
          <w:szCs w:val="24"/>
        </w:rPr>
      </w:pPr>
      <w:r>
        <w:rPr>
          <w:rFonts w:ascii="Times New Roman" w:hAnsi="Times New Roman"/>
          <w:sz w:val="24"/>
          <w:szCs w:val="24"/>
        </w:rPr>
        <w:t>(</w:t>
      </w:r>
      <w:r w:rsidRPr="003C5CF3">
        <w:rPr>
          <w:rFonts w:ascii="Times New Roman" w:hAnsi="Times New Roman"/>
          <w:sz w:val="24"/>
          <w:szCs w:val="24"/>
        </w:rPr>
        <w:t>Martin Feldstein, Professor of Economics at Harvard University and President Emeritus of the National Bureau of Economic Research, chaired President Ronald Reagan’s Council of Economic Advisers from 1982 to 1984. In 2006, he was appointed to President Bush's Foreign I</w:t>
      </w:r>
      <w:r>
        <w:rPr>
          <w:rFonts w:ascii="Times New Roman" w:hAnsi="Times New Roman"/>
          <w:sz w:val="24"/>
          <w:szCs w:val="24"/>
        </w:rPr>
        <w:t>ntelligence Advisory Board</w:t>
      </w:r>
      <w:r w:rsidRPr="003C5CF3">
        <w:rPr>
          <w:rFonts w:ascii="Times New Roman" w:hAnsi="Times New Roman"/>
          <w:sz w:val="24"/>
          <w:szCs w:val="24"/>
        </w:rPr>
        <w:t>…</w:t>
      </w:r>
      <w:r>
        <w:rPr>
          <w:rFonts w:ascii="Times New Roman" w:hAnsi="Times New Roman"/>
          <w:sz w:val="24"/>
          <w:szCs w:val="24"/>
        </w:rPr>
        <w:t>)</w:t>
      </w:r>
    </w:p>
    <w:p w:rsidR="000711BB" w:rsidRPr="00343A5B" w:rsidRDefault="000711BB" w:rsidP="000711BB">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343A5B">
        <w:rPr>
          <w:rFonts w:ascii="Times New Roman" w:hAnsi="Times New Roman"/>
          <w:sz w:val="24"/>
          <w:szCs w:val="24"/>
          <w:u w:val="single"/>
        </w:rPr>
        <w:t>Cómo combatir el estancamiento secular</w:t>
      </w:r>
      <w:r>
        <w:rPr>
          <w:rFonts w:ascii="Times New Roman" w:hAnsi="Times New Roman"/>
          <w:sz w:val="24"/>
          <w:szCs w:val="24"/>
        </w:rPr>
        <w:t xml:space="preserve"> (Project Syndicate - </w:t>
      </w:r>
      <w:r w:rsidRPr="00343A5B">
        <w:rPr>
          <w:rFonts w:ascii="Times New Roman" w:hAnsi="Times New Roman"/>
          <w:b/>
          <w:sz w:val="24"/>
          <w:szCs w:val="24"/>
        </w:rPr>
        <w:t>30/8/16</w:t>
      </w:r>
      <w:r>
        <w:rPr>
          <w:rFonts w:ascii="Times New Roman" w:hAnsi="Times New Roman"/>
          <w:sz w:val="24"/>
          <w:szCs w:val="24"/>
        </w:rPr>
        <w:t>)</w:t>
      </w:r>
    </w:p>
    <w:p w:rsidR="000711BB" w:rsidRPr="00A56D28" w:rsidRDefault="000711BB" w:rsidP="000711BB">
      <w:pPr>
        <w:spacing w:line="240" w:lineRule="auto"/>
        <w:jc w:val="both"/>
        <w:rPr>
          <w:rFonts w:ascii="Times New Roman" w:hAnsi="Times New Roman"/>
          <w:sz w:val="24"/>
          <w:szCs w:val="24"/>
          <w:u w:val="single"/>
        </w:rPr>
      </w:pPr>
      <w:r>
        <w:rPr>
          <w:rFonts w:ascii="Times New Roman" w:hAnsi="Times New Roman"/>
          <w:sz w:val="24"/>
          <w:szCs w:val="24"/>
        </w:rPr>
        <w:t>Milán.-</w:t>
      </w:r>
      <w:r w:rsidRPr="00343A5B">
        <w:rPr>
          <w:rFonts w:ascii="Times New Roman" w:hAnsi="Times New Roman"/>
          <w:sz w:val="24"/>
          <w:szCs w:val="24"/>
        </w:rPr>
        <w:t xml:space="preserve"> </w:t>
      </w:r>
      <w:r w:rsidRPr="00A56D28">
        <w:rPr>
          <w:rFonts w:ascii="Times New Roman" w:hAnsi="Times New Roman"/>
          <w:sz w:val="24"/>
          <w:szCs w:val="24"/>
          <w:u w:val="single"/>
        </w:rPr>
        <w:t>En los últimos años, gran parte del mundo, especialmente las economías avanzadas, ha estado atascado en un patrón de crecimiento del PIB lento y en baja, lo que llevó a muchos a preguntarse si esto se está convirtiendo en una condición semipermanente -el llamado “estancamiento secular”-. La respuesta probablemente sea que sí, pero la pregunta carece de precisión y, por ende, tiene una utilidad limitada. Después de todo, existen diferentes tipos de fuerzas que podrían estar moderando el crecimiento y no todas ellas están fuera de nuestro control.</w:t>
      </w:r>
    </w:p>
    <w:p w:rsidR="000711BB" w:rsidRPr="00A56D28" w:rsidRDefault="000711BB" w:rsidP="000711BB">
      <w:pPr>
        <w:spacing w:line="240" w:lineRule="auto"/>
        <w:jc w:val="both"/>
        <w:rPr>
          <w:rFonts w:ascii="Times New Roman" w:hAnsi="Times New Roman"/>
          <w:color w:val="FF0000"/>
          <w:sz w:val="24"/>
          <w:szCs w:val="24"/>
          <w:u w:val="single"/>
        </w:rPr>
      </w:pPr>
      <w:r w:rsidRPr="00A56D28">
        <w:rPr>
          <w:rFonts w:ascii="Times New Roman" w:hAnsi="Times New Roman"/>
          <w:color w:val="FF0000"/>
          <w:sz w:val="24"/>
          <w:szCs w:val="24"/>
          <w:u w:val="single"/>
        </w:rPr>
        <w:t>Sin duda, es preciso destacar que sería difícil, si no imposible, contrarrestar en el corto plazo muchos de los vientos de frente que destruyen el crecimiento y que hoy enfrentamos, sin poner en peligro el crecimiento y la estabilidad futuros. El resultado de estas condiciones persistentes se puede llamar “estancamiento secular uno” (SS1 por su sigla en inglés).</w:t>
      </w:r>
    </w:p>
    <w:p w:rsidR="000711BB" w:rsidRPr="00343A5B" w:rsidRDefault="000711BB" w:rsidP="000711BB">
      <w:pPr>
        <w:spacing w:line="240" w:lineRule="auto"/>
        <w:jc w:val="both"/>
        <w:rPr>
          <w:rFonts w:ascii="Times New Roman" w:hAnsi="Times New Roman"/>
          <w:sz w:val="24"/>
          <w:szCs w:val="24"/>
        </w:rPr>
      </w:pPr>
      <w:r w:rsidRPr="00B21C05">
        <w:rPr>
          <w:rFonts w:ascii="Times New Roman" w:hAnsi="Times New Roman"/>
          <w:sz w:val="24"/>
          <w:szCs w:val="24"/>
          <w:u w:val="single"/>
        </w:rPr>
        <w:t>El primer indicio de que estamos experimentando una situación de SS1 se relaciona con la tecnología. Si como dice el economista Robert Gordon experimentamos una desaceleración de la innovación tecnológica que mejora la productividad, el crecimiento potencial a largo plazo se vería limitado.</w:t>
      </w:r>
      <w:r w:rsidRPr="00343A5B">
        <w:rPr>
          <w:rFonts w:ascii="Times New Roman" w:hAnsi="Times New Roman"/>
          <w:sz w:val="24"/>
          <w:szCs w:val="24"/>
        </w:rPr>
        <w:t xml:space="preserve"> Pero aún si la innovación no cayera demasiado, o si se volviera a recuperar pronto, la adaptación estructural y los cambios actitudinales necesarios para sacar ventaja de las alzas de productividad concomitante llevarán tiempo.</w:t>
      </w:r>
    </w:p>
    <w:p w:rsidR="000711BB" w:rsidRPr="00B21C05" w:rsidRDefault="000711BB" w:rsidP="000711BB">
      <w:pPr>
        <w:spacing w:line="240" w:lineRule="auto"/>
        <w:jc w:val="both"/>
        <w:rPr>
          <w:rFonts w:ascii="Times New Roman" w:hAnsi="Times New Roman"/>
          <w:color w:val="FF0000"/>
          <w:sz w:val="24"/>
          <w:szCs w:val="24"/>
          <w:u w:val="single"/>
        </w:rPr>
      </w:pPr>
      <w:r w:rsidRPr="00B21C05">
        <w:rPr>
          <w:rFonts w:ascii="Times New Roman" w:hAnsi="Times New Roman"/>
          <w:sz w:val="24"/>
          <w:szCs w:val="24"/>
          <w:u w:val="single"/>
        </w:rPr>
        <w:t>Una segunda condición detrás de un SS1 está arraigada en el impacto que tiene la incertidumbre acentuada -respecto del crecimiento, la seguridad laboral, las políticas y regulaciones y los muchos desenlaces que podrían afectar alguno de estos factores -en la inversión y el consumo</w:t>
      </w:r>
      <w:r w:rsidRPr="00343A5B">
        <w:rPr>
          <w:rFonts w:ascii="Times New Roman" w:hAnsi="Times New Roman"/>
          <w:sz w:val="24"/>
          <w:szCs w:val="24"/>
        </w:rPr>
        <w:t xml:space="preserve">. </w:t>
      </w:r>
      <w:r w:rsidRPr="00B21C05">
        <w:rPr>
          <w:rFonts w:ascii="Times New Roman" w:hAnsi="Times New Roman"/>
          <w:color w:val="FF0000"/>
          <w:sz w:val="24"/>
          <w:szCs w:val="24"/>
          <w:u w:val="single"/>
        </w:rPr>
        <w:t>La gente sencillamente no sabe si sus gobiernos van a empezar a hacer progresos en cuanto a combatir la presión deflacionaria, contrarrestar la creciente desigualdad, ocuparse de la fragmentación social y política y restablecer el crecimiento económico y el empleo.</w:t>
      </w:r>
    </w:p>
    <w:p w:rsidR="000711BB" w:rsidRPr="00B21C05" w:rsidRDefault="000711BB" w:rsidP="000711BB">
      <w:pPr>
        <w:spacing w:line="240" w:lineRule="auto"/>
        <w:jc w:val="both"/>
        <w:rPr>
          <w:rFonts w:ascii="Times New Roman" w:hAnsi="Times New Roman"/>
          <w:sz w:val="24"/>
          <w:szCs w:val="24"/>
          <w:u w:val="single"/>
        </w:rPr>
      </w:pPr>
      <w:r w:rsidRPr="00B21C05">
        <w:rPr>
          <w:rFonts w:ascii="Times New Roman" w:hAnsi="Times New Roman"/>
          <w:sz w:val="24"/>
          <w:szCs w:val="24"/>
          <w:u w:val="single"/>
        </w:rPr>
        <w:t>Frente a una demanda futura lejos de estar garantizada, la inversión privada se ha venido reduciendo en muchos países, inclusive, más recientemente, en China. Lo mismo es válido para el consumo de los hogares, particularmente en las economías avanzadas, donde un porcentaje mayor del consumo es opcional (por ejemplo, sustituyendo bienes de consumo duraderos, viajes y salidas a restaurantes).</w:t>
      </w:r>
      <w:r w:rsidRPr="00343A5B">
        <w:rPr>
          <w:rFonts w:ascii="Times New Roman" w:hAnsi="Times New Roman"/>
          <w:sz w:val="24"/>
          <w:szCs w:val="24"/>
        </w:rPr>
        <w:t xml:space="preserve"> Si consideramos el tiempo que le llevó a la economía estadounidense, por ejemplo, recuperarse por completo de la Gran Depresión -hasta la Segunda Guerra Mundial, cuando el gobierno asumió gran parte del lado de la demanda de la economía-, </w:t>
      </w:r>
      <w:r w:rsidRPr="00B21C05">
        <w:rPr>
          <w:rFonts w:ascii="Times New Roman" w:hAnsi="Times New Roman"/>
          <w:sz w:val="24"/>
          <w:szCs w:val="24"/>
          <w:u w:val="single"/>
        </w:rPr>
        <w:t>pareciera que estas tendencias no se revertirán en lo inmediato.</w:t>
      </w:r>
    </w:p>
    <w:p w:rsidR="000711BB" w:rsidRPr="00B21C05" w:rsidRDefault="000711BB" w:rsidP="000711BB">
      <w:pPr>
        <w:spacing w:line="240" w:lineRule="auto"/>
        <w:jc w:val="both"/>
        <w:rPr>
          <w:rFonts w:ascii="Times New Roman" w:hAnsi="Times New Roman"/>
          <w:sz w:val="24"/>
          <w:szCs w:val="24"/>
          <w:u w:val="single"/>
        </w:rPr>
      </w:pPr>
      <w:r w:rsidRPr="00B21C05">
        <w:rPr>
          <w:rFonts w:ascii="Times New Roman" w:hAnsi="Times New Roman"/>
          <w:sz w:val="24"/>
          <w:szCs w:val="24"/>
          <w:u w:val="single"/>
        </w:rPr>
        <w:t>El tercer indicio de que estamos atascados en un SS1 es la deuda</w:t>
      </w:r>
      <w:r w:rsidRPr="00343A5B">
        <w:rPr>
          <w:rFonts w:ascii="Times New Roman" w:hAnsi="Times New Roman"/>
          <w:sz w:val="24"/>
          <w:szCs w:val="24"/>
        </w:rPr>
        <w:t xml:space="preserve">. </w:t>
      </w:r>
      <w:r w:rsidRPr="00B21C05">
        <w:rPr>
          <w:rFonts w:ascii="Times New Roman" w:hAnsi="Times New Roman"/>
          <w:sz w:val="24"/>
          <w:szCs w:val="24"/>
          <w:u w:val="single"/>
        </w:rPr>
        <w:t>Los hogares, las corporaciones, las instituciones financieras y los gobiernos enfrentan restricciones de balances, algo factible de suponer, están recortando el gasto y la inversión, aumentando los ahorros y contribuyendo a un entorno ampliamente deflacionario.</w:t>
      </w:r>
    </w:p>
    <w:p w:rsidR="000711BB" w:rsidRPr="00B21C05" w:rsidRDefault="000711BB" w:rsidP="000711BB">
      <w:pPr>
        <w:spacing w:line="240" w:lineRule="auto"/>
        <w:jc w:val="both"/>
        <w:rPr>
          <w:rFonts w:ascii="Times New Roman" w:hAnsi="Times New Roman"/>
          <w:color w:val="FF0000"/>
          <w:sz w:val="24"/>
          <w:szCs w:val="24"/>
          <w:u w:val="single"/>
        </w:rPr>
      </w:pPr>
      <w:r w:rsidRPr="00B21C05">
        <w:rPr>
          <w:rFonts w:ascii="Times New Roman" w:hAnsi="Times New Roman"/>
          <w:color w:val="FF0000"/>
          <w:sz w:val="24"/>
          <w:szCs w:val="24"/>
          <w:u w:val="single"/>
        </w:rPr>
        <w:t>Las acciones destinadas a respaldar un desapalancamiento y un ajuste de los balances -como reconocer pérdidas, sanear activos y recapitalizar bancos- conllevan beneficios a más largo plazo pero costos en el corto plazo. Por cierto, el ajuste de los balances lleva tiempo, especialmente en el sector de los hogares, y genera una rémora inevitable para el crecimiento.</w:t>
      </w:r>
    </w:p>
    <w:p w:rsidR="000711BB" w:rsidRPr="00B21C05" w:rsidRDefault="000711BB" w:rsidP="000711BB">
      <w:pPr>
        <w:spacing w:line="240" w:lineRule="auto"/>
        <w:jc w:val="both"/>
        <w:rPr>
          <w:rFonts w:ascii="Times New Roman" w:hAnsi="Times New Roman"/>
          <w:color w:val="FF0000"/>
          <w:sz w:val="24"/>
          <w:szCs w:val="24"/>
          <w:u w:val="single"/>
        </w:rPr>
      </w:pPr>
      <w:r w:rsidRPr="00B21C05">
        <w:rPr>
          <w:rFonts w:ascii="Times New Roman" w:hAnsi="Times New Roman"/>
          <w:sz w:val="24"/>
          <w:szCs w:val="24"/>
          <w:u w:val="single"/>
        </w:rPr>
        <w:lastRenderedPageBreak/>
        <w:t xml:space="preserve">El panorama es un tanto sombrío. Pero la cosa no termina ahí y de ello da cuenta otro interrogante más preciso: </w:t>
      </w:r>
      <w:r w:rsidRPr="00B21C05">
        <w:rPr>
          <w:rFonts w:ascii="Times New Roman" w:hAnsi="Times New Roman"/>
          <w:color w:val="FF0000"/>
          <w:sz w:val="24"/>
          <w:szCs w:val="24"/>
          <w:u w:val="single"/>
        </w:rPr>
        <w:t xml:space="preserve">¿existe un conjunto de respuestas políticas que podría, con el tiempo, incrementar el nivel y la calidad del crecimiento? Aquí, la respuesta también parece ser sí, lo que sugiere que también enfrentamos otro tipo de </w:t>
      </w:r>
      <w:r w:rsidR="002F4D48">
        <w:rPr>
          <w:rFonts w:ascii="Times New Roman" w:hAnsi="Times New Roman"/>
          <w:color w:val="FF0000"/>
          <w:sz w:val="24"/>
          <w:szCs w:val="24"/>
          <w:u w:val="single"/>
        </w:rPr>
        <w:t>estancamiento secular -llamado “estancamiento secular dos”</w:t>
      </w:r>
      <w:r w:rsidRPr="00B21C05">
        <w:rPr>
          <w:rFonts w:ascii="Times New Roman" w:hAnsi="Times New Roman"/>
          <w:color w:val="FF0000"/>
          <w:sz w:val="24"/>
          <w:szCs w:val="24"/>
          <w:u w:val="single"/>
        </w:rPr>
        <w:t xml:space="preserve"> (SS2 por su sigla en inglés)- que está dictaminado por nuestra falta de voluntad o incapacidad para implementar la combinación de políticas correcta.</w:t>
      </w:r>
    </w:p>
    <w:p w:rsidR="000711BB" w:rsidRPr="00B21C05" w:rsidRDefault="000711BB" w:rsidP="000711BB">
      <w:pPr>
        <w:spacing w:line="240" w:lineRule="auto"/>
        <w:jc w:val="both"/>
        <w:rPr>
          <w:rFonts w:ascii="Times New Roman" w:hAnsi="Times New Roman"/>
          <w:color w:val="FF0000"/>
          <w:sz w:val="24"/>
          <w:szCs w:val="24"/>
          <w:u w:val="single"/>
        </w:rPr>
      </w:pPr>
      <w:r w:rsidRPr="00B21C05">
        <w:rPr>
          <w:rFonts w:ascii="Times New Roman" w:hAnsi="Times New Roman"/>
          <w:color w:val="FF0000"/>
          <w:sz w:val="24"/>
          <w:szCs w:val="24"/>
          <w:u w:val="single"/>
        </w:rPr>
        <w:t>Un elemento clave de esa combinación de políticas se centraría en enfrentar la creciente desigualdad. Si bien las fuerzas que alimentan esta tendencia -en particular, la globalización y el progreso en tecnología digital- serán difíciles de contrarrestar plenamente, sus efectos adversos se pueden mitigar mediante la redistribución a través de los sistemas tributarios y de seguridad social. Mientras las economías sufren transformaciones estructurales prolongadas, los individuos y las familias necesitan los recursos para invertir en nuevas capacidades.</w:t>
      </w:r>
    </w:p>
    <w:p w:rsidR="000711BB" w:rsidRPr="00B21C05" w:rsidRDefault="000711BB" w:rsidP="000711BB">
      <w:pPr>
        <w:spacing w:line="240" w:lineRule="auto"/>
        <w:jc w:val="both"/>
        <w:rPr>
          <w:rFonts w:ascii="Times New Roman" w:hAnsi="Times New Roman"/>
          <w:color w:val="FF0000"/>
          <w:sz w:val="24"/>
          <w:szCs w:val="24"/>
          <w:u w:val="single"/>
        </w:rPr>
      </w:pPr>
      <w:r w:rsidRPr="00B21C05">
        <w:rPr>
          <w:rFonts w:ascii="Times New Roman" w:hAnsi="Times New Roman"/>
          <w:color w:val="FF0000"/>
          <w:sz w:val="24"/>
          <w:szCs w:val="24"/>
          <w:u w:val="single"/>
        </w:rPr>
        <w:t>Es más, deber repensarse la política monetaria, que ha venido asumiendo gran parte de la carga de la recuperación desde la crisis económica de 2008.</w:t>
      </w:r>
      <w:r w:rsidRPr="00343A5B">
        <w:rPr>
          <w:rFonts w:ascii="Times New Roman" w:hAnsi="Times New Roman"/>
          <w:sz w:val="24"/>
          <w:szCs w:val="24"/>
        </w:rPr>
        <w:t xml:space="preserve"> </w:t>
      </w:r>
      <w:r w:rsidRPr="00B21C05">
        <w:rPr>
          <w:rFonts w:ascii="Times New Roman" w:hAnsi="Times New Roman"/>
          <w:color w:val="FF0000"/>
          <w:sz w:val="24"/>
          <w:szCs w:val="24"/>
          <w:u w:val="single"/>
        </w:rPr>
        <w:t>El hecho es que años de tasas de interés ultra bajas y de una flexibilización cuantitativa masiva no han incrementado lo suficiente la demanda agregada, y mucho menos reducido de manera adecuada las fuerzas deflacionarias.</w:t>
      </w:r>
    </w:p>
    <w:p w:rsidR="000711BB" w:rsidRPr="00B21C05" w:rsidRDefault="000711BB" w:rsidP="000711BB">
      <w:pPr>
        <w:spacing w:line="240" w:lineRule="auto"/>
        <w:jc w:val="both"/>
        <w:rPr>
          <w:rFonts w:ascii="Times New Roman" w:hAnsi="Times New Roman"/>
          <w:sz w:val="24"/>
          <w:szCs w:val="24"/>
          <w:u w:val="single"/>
        </w:rPr>
      </w:pPr>
      <w:r w:rsidRPr="00B21C05">
        <w:rPr>
          <w:rFonts w:ascii="Times New Roman" w:hAnsi="Times New Roman"/>
          <w:sz w:val="24"/>
          <w:szCs w:val="24"/>
          <w:u w:val="single"/>
        </w:rPr>
        <w:t>Pero aumentar las tasas de interés de forma unilateral conlleva serios riesgos, porque en un contexto de demanda restringida, las tasas de interés más elevadas atraen ingresos de capital, haciendo subir así el tipo de cambio y minando el crecimiento en la parte negociable de la economía. Dada esta situación, los responsables de las políticas en los países avanzados deberían considerar imponer algunos controles a sus cuentas de capital (como hacen las economías emergentes exitosas) -una medida que facilitaría estrategias más independientes y a medida para salir de la opresión financiera.</w:t>
      </w:r>
    </w:p>
    <w:p w:rsidR="000711BB" w:rsidRPr="00B21C05" w:rsidRDefault="000711BB" w:rsidP="000711BB">
      <w:pPr>
        <w:spacing w:line="240" w:lineRule="auto"/>
        <w:jc w:val="both"/>
        <w:rPr>
          <w:rFonts w:ascii="Times New Roman" w:hAnsi="Times New Roman"/>
          <w:sz w:val="24"/>
          <w:szCs w:val="24"/>
          <w:u w:val="single"/>
        </w:rPr>
      </w:pPr>
      <w:r w:rsidRPr="00B21C05">
        <w:rPr>
          <w:rFonts w:ascii="Times New Roman" w:hAnsi="Times New Roman"/>
          <w:color w:val="FF0000"/>
          <w:sz w:val="24"/>
          <w:szCs w:val="24"/>
          <w:u w:val="single"/>
        </w:rPr>
        <w:t>Una tercera prioridad debería ser la de fortalecer las respuestas fiscales, especialmente con respecto a la inversión del sector privado</w:t>
      </w:r>
      <w:r w:rsidRPr="00343A5B">
        <w:rPr>
          <w:rFonts w:ascii="Times New Roman" w:hAnsi="Times New Roman"/>
          <w:sz w:val="24"/>
          <w:szCs w:val="24"/>
        </w:rPr>
        <w:t xml:space="preserve">. Europa, en particular, está pagando un precio alto por subutilizar su capacidad fiscal -una decisión que ha sido motivada por la impopularidad política de la deuda y las transferencias fiscales-. </w:t>
      </w:r>
      <w:r w:rsidRPr="00B21C05">
        <w:rPr>
          <w:rFonts w:ascii="Times New Roman" w:hAnsi="Times New Roman"/>
          <w:sz w:val="24"/>
          <w:szCs w:val="24"/>
          <w:u w:val="single"/>
        </w:rPr>
        <w:t>En las condiciones correctas, también se podría recurrir a los balances de los fondos de pensión y riqueza soberana para financiar la inversión.</w:t>
      </w:r>
    </w:p>
    <w:p w:rsidR="000711BB" w:rsidRPr="00B21C05" w:rsidRDefault="000711BB" w:rsidP="000711BB">
      <w:pPr>
        <w:spacing w:line="240" w:lineRule="auto"/>
        <w:jc w:val="both"/>
        <w:rPr>
          <w:rFonts w:ascii="Times New Roman" w:hAnsi="Times New Roman"/>
          <w:color w:val="FF0000"/>
          <w:sz w:val="24"/>
          <w:szCs w:val="24"/>
          <w:u w:val="single"/>
        </w:rPr>
      </w:pPr>
      <w:r w:rsidRPr="00B21C05">
        <w:rPr>
          <w:rFonts w:ascii="Times New Roman" w:hAnsi="Times New Roman"/>
          <w:color w:val="FF0000"/>
          <w:sz w:val="24"/>
          <w:szCs w:val="24"/>
          <w:u w:val="single"/>
        </w:rPr>
        <w:t>Existen muchas más áreas en las que los países tal vez necesiten considerar reformas. Estas incluyen la política tributaria, el uso ineficiente o inapropiado de los fondos públicos, impedimentos para un cambio estructural en los mercados de productos y factores, y disparidades entre el alcance de las instituciones financieras globales y la capacidad de los balances soberanos de intervenir en caso de una crisis financiera.</w:t>
      </w:r>
    </w:p>
    <w:p w:rsidR="000711BB" w:rsidRPr="00BC7760" w:rsidRDefault="000711BB" w:rsidP="000711BB">
      <w:pPr>
        <w:spacing w:line="240" w:lineRule="auto"/>
        <w:jc w:val="both"/>
        <w:rPr>
          <w:rFonts w:ascii="Times New Roman" w:hAnsi="Times New Roman"/>
          <w:sz w:val="24"/>
          <w:szCs w:val="24"/>
          <w:u w:val="single"/>
        </w:rPr>
      </w:pPr>
      <w:r w:rsidRPr="00B21C05">
        <w:rPr>
          <w:rFonts w:ascii="Times New Roman" w:hAnsi="Times New Roman"/>
          <w:color w:val="FF0000"/>
          <w:sz w:val="24"/>
          <w:szCs w:val="24"/>
          <w:u w:val="single"/>
        </w:rPr>
        <w:t>El SS1 hará que resolver el SS2 resulte más difícil</w:t>
      </w:r>
      <w:r w:rsidRPr="00343A5B">
        <w:rPr>
          <w:rFonts w:ascii="Times New Roman" w:hAnsi="Times New Roman"/>
          <w:sz w:val="24"/>
          <w:szCs w:val="24"/>
        </w:rPr>
        <w:t xml:space="preserve">. </w:t>
      </w:r>
      <w:r w:rsidRPr="00BC7760">
        <w:rPr>
          <w:rFonts w:ascii="Times New Roman" w:hAnsi="Times New Roman"/>
          <w:color w:val="FF0000"/>
          <w:sz w:val="24"/>
          <w:szCs w:val="24"/>
          <w:u w:val="single"/>
        </w:rPr>
        <w:t>Por cierto, parece que ni siquiera la implementación de respuestas políticas robustas, tanto domésticas como internacionales, bastaría para eliminar el riesgo de que la demanda y el crecimiento se mantengan amortiguados durante un período prolongado. Pero ése no es motivo para demorar la acción en aquellas áreas donde la política puede marcar una diferencia</w:t>
      </w:r>
      <w:r w:rsidRPr="00343A5B">
        <w:rPr>
          <w:rFonts w:ascii="Times New Roman" w:hAnsi="Times New Roman"/>
          <w:sz w:val="24"/>
          <w:szCs w:val="24"/>
        </w:rPr>
        <w:t xml:space="preserve">. </w:t>
      </w:r>
      <w:r w:rsidRPr="00BC7760">
        <w:rPr>
          <w:rFonts w:ascii="Times New Roman" w:hAnsi="Times New Roman"/>
          <w:sz w:val="24"/>
          <w:szCs w:val="24"/>
          <w:u w:val="single"/>
        </w:rPr>
        <w:t>De la misma manera que las elecciones de políticas pasadas ayudaron a generar el SS1 que enfrentamos hoy, la no implementación de políticas destinadas a enfrentar el SS2 podría crear una situación mucho más intrincada y potencialmente inestable mañana.</w:t>
      </w:r>
    </w:p>
    <w:p w:rsidR="000711BB" w:rsidRDefault="000711BB" w:rsidP="000711BB">
      <w:pPr>
        <w:spacing w:line="240" w:lineRule="auto"/>
        <w:jc w:val="both"/>
        <w:rPr>
          <w:rFonts w:ascii="Times New Roman" w:hAnsi="Times New Roman"/>
          <w:sz w:val="24"/>
          <w:szCs w:val="24"/>
        </w:rPr>
      </w:pPr>
      <w:r>
        <w:rPr>
          <w:rFonts w:ascii="Times New Roman" w:hAnsi="Times New Roman"/>
          <w:sz w:val="24"/>
          <w:szCs w:val="24"/>
        </w:rPr>
        <w:lastRenderedPageBreak/>
        <w:t>(</w:t>
      </w:r>
      <w:r w:rsidRPr="00343A5B">
        <w:rPr>
          <w:rFonts w:ascii="Times New Roman" w:hAnsi="Times New Roman"/>
          <w:sz w:val="24"/>
          <w:szCs w:val="24"/>
        </w:rPr>
        <w:t>Michael Spence, a Nobel laureate in economics, is Professor of Economics at NYU’s Stern School of Business, Distinguished Visiting Fellow at the Council on Foreign Relations, Senior Fellow at the Hoover Institution at Stanford University, Academic Board Chairman of th</w:t>
      </w:r>
      <w:r>
        <w:rPr>
          <w:rFonts w:ascii="Times New Roman" w:hAnsi="Times New Roman"/>
          <w:sz w:val="24"/>
          <w:szCs w:val="24"/>
        </w:rPr>
        <w:t>e Asia Global Institute in Hong</w:t>
      </w:r>
      <w:r w:rsidRPr="00343A5B">
        <w:rPr>
          <w:rFonts w:ascii="Times New Roman" w:hAnsi="Times New Roman"/>
          <w:sz w:val="24"/>
          <w:szCs w:val="24"/>
        </w:rPr>
        <w:t>…</w:t>
      </w:r>
      <w:r>
        <w:rPr>
          <w:rFonts w:ascii="Times New Roman" w:hAnsi="Times New Roman"/>
          <w:sz w:val="24"/>
          <w:szCs w:val="24"/>
        </w:rPr>
        <w:t>)</w:t>
      </w:r>
    </w:p>
    <w:p w:rsidR="00A36CA9" w:rsidRPr="00C348F6" w:rsidRDefault="00A36CA9" w:rsidP="00A36CA9">
      <w:pPr>
        <w:spacing w:line="240" w:lineRule="auto"/>
        <w:jc w:val="both"/>
        <w:rPr>
          <w:rFonts w:ascii="Times New Roman" w:hAnsi="Times New Roman"/>
          <w:color w:val="FF0000"/>
          <w:sz w:val="24"/>
          <w:szCs w:val="24"/>
        </w:rPr>
      </w:pPr>
      <w:r>
        <w:rPr>
          <w:rFonts w:ascii="Times New Roman" w:hAnsi="Times New Roman"/>
          <w:sz w:val="24"/>
          <w:szCs w:val="24"/>
        </w:rPr>
        <w:t xml:space="preserve">- </w:t>
      </w:r>
      <w:r w:rsidRPr="00CD2CD9">
        <w:rPr>
          <w:rFonts w:ascii="Times New Roman" w:hAnsi="Times New Roman"/>
          <w:sz w:val="24"/>
          <w:szCs w:val="24"/>
          <w:u w:val="single"/>
        </w:rPr>
        <w:t>Los inevitables costes del helicóptero monetario</w:t>
      </w:r>
      <w:r>
        <w:rPr>
          <w:rFonts w:ascii="Times New Roman" w:hAnsi="Times New Roman"/>
          <w:sz w:val="24"/>
          <w:szCs w:val="24"/>
        </w:rPr>
        <w:t xml:space="preserve"> (Project Syndicate - </w:t>
      </w:r>
      <w:r w:rsidRPr="00CD2CD9">
        <w:rPr>
          <w:rFonts w:ascii="Times New Roman" w:hAnsi="Times New Roman"/>
          <w:b/>
          <w:sz w:val="24"/>
          <w:szCs w:val="24"/>
        </w:rPr>
        <w:t>2/9/16</w:t>
      </w:r>
      <w:r>
        <w:rPr>
          <w:rFonts w:ascii="Times New Roman" w:hAnsi="Times New Roman"/>
          <w:sz w:val="24"/>
          <w:szCs w:val="24"/>
        </w:rPr>
        <w:t xml:space="preserve">) </w:t>
      </w:r>
    </w:p>
    <w:p w:rsidR="00A36CA9" w:rsidRPr="00A445B8" w:rsidRDefault="00A36CA9" w:rsidP="00A36CA9">
      <w:pPr>
        <w:spacing w:line="240" w:lineRule="auto"/>
        <w:jc w:val="both"/>
        <w:rPr>
          <w:rFonts w:ascii="Times New Roman" w:hAnsi="Times New Roman"/>
          <w:color w:val="FF0000"/>
          <w:sz w:val="24"/>
          <w:szCs w:val="24"/>
          <w:u w:val="single"/>
        </w:rPr>
      </w:pPr>
      <w:r>
        <w:rPr>
          <w:rFonts w:ascii="Times New Roman" w:hAnsi="Times New Roman"/>
          <w:sz w:val="24"/>
          <w:szCs w:val="24"/>
        </w:rPr>
        <w:t>Múnich.-</w:t>
      </w:r>
      <w:r w:rsidRPr="00CD2CD9">
        <w:rPr>
          <w:rFonts w:ascii="Times New Roman" w:hAnsi="Times New Roman"/>
          <w:sz w:val="24"/>
          <w:szCs w:val="24"/>
        </w:rPr>
        <w:t xml:space="preserve"> </w:t>
      </w:r>
      <w:r w:rsidRPr="00A445B8">
        <w:rPr>
          <w:rFonts w:ascii="Times New Roman" w:hAnsi="Times New Roman"/>
          <w:color w:val="FF0000"/>
          <w:sz w:val="24"/>
          <w:szCs w:val="24"/>
          <w:u w:val="single"/>
        </w:rPr>
        <w:t>El prolongado debate sobre la conveniencia del llamado helicóptero monetario ha ido cambiando a medida que aparecen nuevas ideas sobre qué forma tendría y se pregunta si ya se está utilizando en algunas economías. En todo caso, no ha cambiado la noción de que sería muy mala idea adoptarlo.</w:t>
      </w:r>
    </w:p>
    <w:p w:rsidR="00A36CA9" w:rsidRPr="00A445B8" w:rsidRDefault="00A36CA9" w:rsidP="00A36CA9">
      <w:pPr>
        <w:spacing w:line="240" w:lineRule="auto"/>
        <w:jc w:val="both"/>
        <w:rPr>
          <w:rFonts w:ascii="Times New Roman" w:hAnsi="Times New Roman"/>
          <w:color w:val="FF0000"/>
          <w:sz w:val="24"/>
          <w:szCs w:val="24"/>
          <w:u w:val="single"/>
        </w:rPr>
      </w:pPr>
      <w:r w:rsidRPr="00A445B8">
        <w:rPr>
          <w:rFonts w:ascii="Times New Roman" w:hAnsi="Times New Roman"/>
          <w:color w:val="FF0000"/>
          <w:sz w:val="24"/>
          <w:szCs w:val="24"/>
          <w:u w:val="single"/>
        </w:rPr>
        <w:t>Se trata de un recurso por el que los bancos centrales insuflan dinero recién impreso a la economía sin registrar activos o pasivos en sus balances como contrapeso. Puede ser a través de transferencias de efectivo al público o monetización de la deuda pública; en ambos casos resulta ser una pérdida permanente para el banco central.</w:t>
      </w:r>
    </w:p>
    <w:p w:rsidR="00A36CA9" w:rsidRPr="00A445B8" w:rsidRDefault="00A36CA9" w:rsidP="00A36CA9">
      <w:pPr>
        <w:spacing w:line="240" w:lineRule="auto"/>
        <w:jc w:val="both"/>
        <w:rPr>
          <w:rFonts w:ascii="Times New Roman" w:hAnsi="Times New Roman"/>
          <w:sz w:val="24"/>
          <w:szCs w:val="24"/>
          <w:u w:val="single"/>
        </w:rPr>
      </w:pPr>
      <w:r w:rsidRPr="00A445B8">
        <w:rPr>
          <w:rFonts w:ascii="Times New Roman" w:hAnsi="Times New Roman"/>
          <w:sz w:val="24"/>
          <w:szCs w:val="24"/>
          <w:u w:val="single"/>
        </w:rPr>
        <w:t>En la práctica puede parecerse mucho a la facilitación cuantitativa, es decir, la compra por parte de los bancos centrales de bonos públicos en los mercados monetarios para inyectar liquidez al sistema bancario. La versión del helicóptero monetario sería la adquisición de bonos públicos sin tasa de interés y que nunca se pagarán, ya sea por ser bonos a perpetuidad o porque se renuevan cada vez que caduquen.</w:t>
      </w:r>
    </w:p>
    <w:p w:rsidR="00A36CA9" w:rsidRPr="00A445B8" w:rsidRDefault="00A36CA9" w:rsidP="00A36CA9">
      <w:pPr>
        <w:spacing w:line="240" w:lineRule="auto"/>
        <w:jc w:val="both"/>
        <w:rPr>
          <w:rFonts w:ascii="Times New Roman" w:hAnsi="Times New Roman"/>
          <w:sz w:val="24"/>
          <w:szCs w:val="24"/>
          <w:u w:val="single"/>
        </w:rPr>
      </w:pPr>
      <w:r w:rsidRPr="00A445B8">
        <w:rPr>
          <w:rFonts w:ascii="Times New Roman" w:hAnsi="Times New Roman"/>
          <w:sz w:val="24"/>
          <w:szCs w:val="24"/>
          <w:u w:val="single"/>
        </w:rPr>
        <w:t>Se supone que eso es lo que está haciendo el Banco de Japón, cuyo gobernador Haruhiko Kuroda ha señalado que no es una opción suscribir directamente el déficit presupuestario</w:t>
      </w:r>
      <w:r w:rsidRPr="00CD2CD9">
        <w:rPr>
          <w:rFonts w:ascii="Times New Roman" w:hAnsi="Times New Roman"/>
          <w:sz w:val="24"/>
          <w:szCs w:val="24"/>
        </w:rPr>
        <w:t xml:space="preserve">. </w:t>
      </w:r>
      <w:r w:rsidRPr="00A445B8">
        <w:rPr>
          <w:rFonts w:ascii="Times New Roman" w:hAnsi="Times New Roman"/>
          <w:sz w:val="24"/>
          <w:szCs w:val="24"/>
          <w:u w:val="single"/>
        </w:rPr>
        <w:t>No obstante, ha impulsado una política de sustituir los bonos públicos en el balance del BDJ una vez que venzan, al tiempo que aumenta constantemente el volumen de la deuda pública en los libros del banco central.</w:t>
      </w:r>
    </w:p>
    <w:p w:rsidR="00A36CA9" w:rsidRPr="00A445B8" w:rsidRDefault="00A36CA9" w:rsidP="00A36CA9">
      <w:pPr>
        <w:spacing w:line="240" w:lineRule="auto"/>
        <w:jc w:val="both"/>
        <w:rPr>
          <w:rFonts w:ascii="Times New Roman" w:hAnsi="Times New Roman"/>
          <w:color w:val="FF0000"/>
          <w:sz w:val="24"/>
          <w:szCs w:val="24"/>
          <w:u w:val="single"/>
        </w:rPr>
      </w:pPr>
      <w:r w:rsidRPr="00A445B8">
        <w:rPr>
          <w:rFonts w:ascii="Times New Roman" w:hAnsi="Times New Roman"/>
          <w:color w:val="FF0000"/>
          <w:sz w:val="24"/>
          <w:szCs w:val="24"/>
          <w:u w:val="single"/>
        </w:rPr>
        <w:t>Esto ocurre tras años de declaraciones de importantes economistas, como Brad DeLong de la Universidad de Berkeley y  Ben Bernanke, ex presidente de la Reserva Federal de Estados Unidos, de que el helicóptero monetario es una manera de superar la deflación (contra la que Japón ha luchado por décadas). La idea es que al monetizar el déficit fiscal, el banco central ayude al gobierno a financiar inversiones que fomenten el crecimiento en, por ejemplo, el sector de la infraestructura, al tiempo que proporciona la liquidez necesaria para contrarrestar las fuerzas deflacionarias.</w:t>
      </w:r>
    </w:p>
    <w:p w:rsidR="00A36CA9" w:rsidRPr="00A445B8" w:rsidRDefault="00A36CA9" w:rsidP="00A36CA9">
      <w:pPr>
        <w:spacing w:line="240" w:lineRule="auto"/>
        <w:jc w:val="both"/>
        <w:rPr>
          <w:rFonts w:ascii="Times New Roman" w:hAnsi="Times New Roman"/>
          <w:b/>
          <w:color w:val="FF0000"/>
          <w:sz w:val="24"/>
          <w:szCs w:val="24"/>
          <w:u w:val="single"/>
        </w:rPr>
      </w:pPr>
      <w:r w:rsidRPr="00A445B8">
        <w:rPr>
          <w:rFonts w:ascii="Times New Roman" w:hAnsi="Times New Roman"/>
          <w:b/>
          <w:color w:val="FF0000"/>
          <w:sz w:val="24"/>
          <w:szCs w:val="24"/>
          <w:u w:val="single"/>
        </w:rPr>
        <w:t>Si suena demasiado bueno para ser cierto, es que así es. Como solía decir Milton Friedman, en economía no hay nada parecido a una comida gratis.</w:t>
      </w:r>
    </w:p>
    <w:p w:rsidR="00A36CA9" w:rsidRPr="00CD2CD9" w:rsidRDefault="00A36CA9" w:rsidP="00A36CA9">
      <w:pPr>
        <w:spacing w:line="240" w:lineRule="auto"/>
        <w:jc w:val="both"/>
        <w:rPr>
          <w:rFonts w:ascii="Times New Roman" w:hAnsi="Times New Roman"/>
          <w:sz w:val="24"/>
          <w:szCs w:val="24"/>
        </w:rPr>
      </w:pPr>
      <w:r w:rsidRPr="00A445B8">
        <w:rPr>
          <w:rFonts w:ascii="Times New Roman" w:hAnsi="Times New Roman"/>
          <w:sz w:val="24"/>
          <w:szCs w:val="24"/>
          <w:u w:val="single"/>
        </w:rPr>
        <w:t>De hecho, el helicóptero monetario tiene importantes desventajas. La mayor es que, al permitir la monetización de cantidades ilimitadas de deuda pública, puede afectar la credibilidad de las metas de las autoridades en cuanto a la estabilidad de los precios y del sistema financiero</w:t>
      </w:r>
      <w:r w:rsidRPr="00CD2CD9">
        <w:rPr>
          <w:rFonts w:ascii="Times New Roman" w:hAnsi="Times New Roman"/>
          <w:sz w:val="24"/>
          <w:szCs w:val="24"/>
        </w:rPr>
        <w:t>. No es tanto un riesgo como una certeza, como lo demuestra con claridad la historia en lo referente a la economía de guerra (de hecho, Japón ha sido un ejemplo histórico).</w:t>
      </w:r>
    </w:p>
    <w:p w:rsidR="00A36CA9" w:rsidRPr="00CD2CD9" w:rsidRDefault="00A36CA9" w:rsidP="00A36CA9">
      <w:pPr>
        <w:spacing w:line="240" w:lineRule="auto"/>
        <w:jc w:val="both"/>
        <w:rPr>
          <w:rFonts w:ascii="Times New Roman" w:hAnsi="Times New Roman"/>
          <w:sz w:val="24"/>
          <w:szCs w:val="24"/>
        </w:rPr>
      </w:pPr>
      <w:r w:rsidRPr="00A445B8">
        <w:rPr>
          <w:rFonts w:ascii="Times New Roman" w:hAnsi="Times New Roman"/>
          <w:sz w:val="24"/>
          <w:szCs w:val="24"/>
          <w:u w:val="single"/>
        </w:rPr>
        <w:t>A principios de los años 30, Japón impulsó un gasto deficitario a través de la emisión de dinero</w:t>
      </w:r>
      <w:r w:rsidRPr="00CD2CD9">
        <w:rPr>
          <w:rFonts w:ascii="Times New Roman" w:hAnsi="Times New Roman"/>
          <w:sz w:val="24"/>
          <w:szCs w:val="24"/>
        </w:rPr>
        <w:t xml:space="preserve"> (bajo el ministro de finanzas Takahashi Korekiyo) para lograr que su economía saliera de la deflación, pero funcionó tal vez demasiado bien, generando una ola inflacionaria. Fallaron sus intentos subsiguientes de controlar los déficits públicos recortando el gasto militar; las fuerzas armadas acabaron por rebelarse y Korekiyo fue asesinado en 1936.</w:t>
      </w:r>
    </w:p>
    <w:p w:rsidR="00A36CA9" w:rsidRPr="00CD2CD9" w:rsidRDefault="00A36CA9" w:rsidP="00A36CA9">
      <w:pPr>
        <w:spacing w:line="240" w:lineRule="auto"/>
        <w:jc w:val="both"/>
        <w:rPr>
          <w:rFonts w:ascii="Times New Roman" w:hAnsi="Times New Roman"/>
          <w:sz w:val="24"/>
          <w:szCs w:val="24"/>
        </w:rPr>
      </w:pPr>
      <w:r w:rsidRPr="00A445B8">
        <w:rPr>
          <w:rFonts w:ascii="Times New Roman" w:hAnsi="Times New Roman"/>
          <w:sz w:val="24"/>
          <w:szCs w:val="24"/>
          <w:u w:val="single"/>
        </w:rPr>
        <w:lastRenderedPageBreak/>
        <w:t>El colapso monetario de Alemania tras la Primera Guerra Mundial también tuvo su origen en la emisión de bonos de guerra al público alemán</w:t>
      </w:r>
      <w:r w:rsidRPr="00CD2CD9">
        <w:rPr>
          <w:rFonts w:ascii="Times New Roman" w:hAnsi="Times New Roman"/>
          <w:sz w:val="24"/>
          <w:szCs w:val="24"/>
        </w:rPr>
        <w:t>. En Estados Unidos, el exceso de impresión de dólares para financiar la Guerra Civil fue un factor que contribuyó a la alta inflación. La lista suma y sigue.</w:t>
      </w:r>
    </w:p>
    <w:p w:rsidR="00A36CA9" w:rsidRPr="00A445B8" w:rsidRDefault="00A36CA9" w:rsidP="00A36CA9">
      <w:pPr>
        <w:spacing w:line="240" w:lineRule="auto"/>
        <w:jc w:val="both"/>
        <w:rPr>
          <w:rFonts w:ascii="Times New Roman" w:hAnsi="Times New Roman"/>
          <w:color w:val="FF0000"/>
          <w:sz w:val="24"/>
          <w:szCs w:val="24"/>
          <w:u w:val="single"/>
        </w:rPr>
      </w:pPr>
      <w:r w:rsidRPr="00A445B8">
        <w:rPr>
          <w:rFonts w:ascii="Times New Roman" w:hAnsi="Times New Roman"/>
          <w:color w:val="FF0000"/>
          <w:sz w:val="24"/>
          <w:szCs w:val="24"/>
          <w:u w:val="single"/>
        </w:rPr>
        <w:t>Algunos de quienes proponen el helicóptero monetario, como Adair Turner, ex presidente de la Autoridad de Servicios Financieros del Reino Unido, argumentan que este riesgo se puede neutralizar con reglas claras que limiten el uso del estímulo monetario y fiscal. En teoría, tienen razón, ¿pero son limitaciones políticamente realistas?</w:t>
      </w:r>
    </w:p>
    <w:p w:rsidR="00A36CA9" w:rsidRPr="00A445B8" w:rsidRDefault="00A36CA9" w:rsidP="00A36CA9">
      <w:pPr>
        <w:spacing w:line="240" w:lineRule="auto"/>
        <w:jc w:val="both"/>
        <w:rPr>
          <w:rFonts w:ascii="Times New Roman" w:hAnsi="Times New Roman"/>
          <w:sz w:val="24"/>
          <w:szCs w:val="24"/>
          <w:u w:val="single"/>
        </w:rPr>
      </w:pPr>
      <w:r w:rsidRPr="00A445B8">
        <w:rPr>
          <w:rFonts w:ascii="Times New Roman" w:hAnsi="Times New Roman"/>
          <w:sz w:val="24"/>
          <w:szCs w:val="24"/>
          <w:u w:val="single"/>
        </w:rPr>
        <w:t>La verdad es que el banco central tendría que esforzarse por defender su independencia una vez que se haya violado el tabú de la financiación monetaria con deuda pública. Las autoridades lo presionarían para que siguiera utilizando este impulso gratuito al crecimiento, especialmente en los periodos preelectorales.</w:t>
      </w:r>
    </w:p>
    <w:p w:rsidR="00A36CA9" w:rsidRPr="00A445B8" w:rsidRDefault="00A36CA9" w:rsidP="00A36CA9">
      <w:pPr>
        <w:spacing w:line="240" w:lineRule="auto"/>
        <w:jc w:val="both"/>
        <w:rPr>
          <w:rFonts w:ascii="Times New Roman" w:hAnsi="Times New Roman"/>
          <w:color w:val="FF0000"/>
          <w:sz w:val="24"/>
          <w:szCs w:val="24"/>
          <w:u w:val="single"/>
        </w:rPr>
      </w:pPr>
      <w:r w:rsidRPr="00A445B8">
        <w:rPr>
          <w:rFonts w:ascii="Times New Roman" w:hAnsi="Times New Roman"/>
          <w:color w:val="FF0000"/>
          <w:sz w:val="24"/>
          <w:szCs w:val="24"/>
          <w:u w:val="single"/>
        </w:rPr>
        <w:t>Incluso si los bancos centrales conservaran su independencia, es dudoso que pudieran avanzar gradualmente a un objetivo inflacionario, por ejemplo de un 2%, y quedarse allí. Dispensar liquidez para impulsar la inflación es mucho más fácil que limitarla para evitar que los precios inicien una espiral sin control.</w:t>
      </w:r>
    </w:p>
    <w:p w:rsidR="00A36CA9" w:rsidRPr="00A445B8" w:rsidRDefault="00A36CA9" w:rsidP="00A36CA9">
      <w:pPr>
        <w:spacing w:line="240" w:lineRule="auto"/>
        <w:jc w:val="both"/>
        <w:rPr>
          <w:rFonts w:ascii="Times New Roman" w:hAnsi="Times New Roman"/>
          <w:color w:val="FF0000"/>
          <w:sz w:val="24"/>
          <w:szCs w:val="24"/>
          <w:u w:val="single"/>
        </w:rPr>
      </w:pPr>
      <w:r w:rsidRPr="00A445B8">
        <w:rPr>
          <w:rFonts w:ascii="Times New Roman" w:hAnsi="Times New Roman"/>
          <w:color w:val="FF0000"/>
          <w:sz w:val="24"/>
          <w:szCs w:val="24"/>
          <w:u w:val="single"/>
        </w:rPr>
        <w:t>El problema, identificado por Friedman en 1969, es que si bien el helicóptero monetario genera más demanda en la economía, no crea más oferta. Por ello, si se sigue recurriendo a él una vez que la economía haya regresado al uso normal de su capacidad (el punto de equilibrio entre oferta y demanda), comenzará a haber inflación.</w:t>
      </w:r>
    </w:p>
    <w:p w:rsidR="00A36CA9" w:rsidRPr="00A445B8" w:rsidRDefault="00A36CA9" w:rsidP="00A36CA9">
      <w:pPr>
        <w:spacing w:line="240" w:lineRule="auto"/>
        <w:jc w:val="both"/>
        <w:rPr>
          <w:rFonts w:ascii="Times New Roman" w:hAnsi="Times New Roman"/>
          <w:sz w:val="24"/>
          <w:szCs w:val="24"/>
          <w:u w:val="single"/>
        </w:rPr>
      </w:pPr>
      <w:r w:rsidRPr="00A445B8">
        <w:rPr>
          <w:rFonts w:ascii="Times New Roman" w:hAnsi="Times New Roman"/>
          <w:sz w:val="24"/>
          <w:szCs w:val="24"/>
          <w:u w:val="single"/>
        </w:rPr>
        <w:t>Las economías desarrolladas todavía no llegan a este punto, ya que las consecuencias de la crisis financiera de 2008 siguen afectando la demanda. Pero una vez se haya completado el desapalancamiento y cambie el ciclo del crédito, es probable que vuelva a haber presiones inflacionarias.</w:t>
      </w:r>
      <w:r w:rsidRPr="00CD2CD9">
        <w:rPr>
          <w:rFonts w:ascii="Times New Roman" w:hAnsi="Times New Roman"/>
          <w:sz w:val="24"/>
          <w:szCs w:val="24"/>
        </w:rPr>
        <w:t xml:space="preserve"> </w:t>
      </w:r>
      <w:r w:rsidRPr="00A445B8">
        <w:rPr>
          <w:rFonts w:ascii="Times New Roman" w:hAnsi="Times New Roman"/>
          <w:sz w:val="24"/>
          <w:szCs w:val="24"/>
          <w:u w:val="single"/>
        </w:rPr>
        <w:t>Y, tal como ocurrió en los años 80 y 90, las medidas de los bancos centrales para limitarla conllevarán costes importantes en términos de empleo y crecimiento.</w:t>
      </w:r>
    </w:p>
    <w:p w:rsidR="00A36CA9" w:rsidRPr="00A445B8" w:rsidRDefault="00A36CA9" w:rsidP="00A36CA9">
      <w:pPr>
        <w:spacing w:line="240" w:lineRule="auto"/>
        <w:jc w:val="both"/>
        <w:rPr>
          <w:rFonts w:ascii="Times New Roman" w:hAnsi="Times New Roman"/>
          <w:sz w:val="24"/>
          <w:szCs w:val="24"/>
          <w:u w:val="single"/>
        </w:rPr>
      </w:pPr>
      <w:r w:rsidRPr="00CD2CD9">
        <w:rPr>
          <w:rFonts w:ascii="Times New Roman" w:hAnsi="Times New Roman"/>
          <w:sz w:val="24"/>
          <w:szCs w:val="24"/>
        </w:rPr>
        <w:t xml:space="preserve">Pero incluso si, por ejemplo, China mantuviera el crecimiento de la oferta, evitando con ello el aumento de los precios de los bienes transables, el helicóptero monetario conllevaría costes importantes porque la deuda seguiría creciendo por sobre el PIB nominal. En el largo plazo, </w:t>
      </w:r>
      <w:r w:rsidRPr="00A445B8">
        <w:rPr>
          <w:rFonts w:ascii="Times New Roman" w:hAnsi="Times New Roman"/>
          <w:sz w:val="24"/>
          <w:szCs w:val="24"/>
          <w:u w:val="single"/>
        </w:rPr>
        <w:t>esto afectaría la confianza en el banco central, agobiado por los cobros a un gobierno sobreendeudado, y pondría en riesgo el sistema de dinero fiduciario.</w:t>
      </w:r>
      <w:r w:rsidRPr="00CD2CD9">
        <w:rPr>
          <w:rFonts w:ascii="Times New Roman" w:hAnsi="Times New Roman"/>
          <w:sz w:val="24"/>
          <w:szCs w:val="24"/>
        </w:rPr>
        <w:t xml:space="preserve"> </w:t>
      </w:r>
      <w:r w:rsidRPr="00A445B8">
        <w:rPr>
          <w:rFonts w:ascii="Times New Roman" w:hAnsi="Times New Roman"/>
          <w:sz w:val="24"/>
          <w:szCs w:val="24"/>
          <w:u w:val="single"/>
        </w:rPr>
        <w:t>Una vez que los inversionistas comenzaran a hacer que sus bienes se expresaran en monedas más estables, la moneda local se depreciaría y los precios de los bonos colapsarían.</w:t>
      </w:r>
    </w:p>
    <w:p w:rsidR="00A36CA9" w:rsidRPr="00A445B8" w:rsidRDefault="00A36CA9" w:rsidP="00A36CA9">
      <w:pPr>
        <w:spacing w:line="240" w:lineRule="auto"/>
        <w:jc w:val="both"/>
        <w:rPr>
          <w:rFonts w:ascii="Times New Roman" w:hAnsi="Times New Roman"/>
          <w:b/>
          <w:color w:val="FF0000"/>
          <w:sz w:val="24"/>
          <w:szCs w:val="24"/>
          <w:u w:val="single"/>
        </w:rPr>
      </w:pPr>
      <w:r w:rsidRPr="00A445B8">
        <w:rPr>
          <w:rFonts w:ascii="Times New Roman" w:hAnsi="Times New Roman"/>
          <w:b/>
          <w:color w:val="FF0000"/>
          <w:sz w:val="24"/>
          <w:szCs w:val="24"/>
          <w:u w:val="single"/>
        </w:rPr>
        <w:t>Todas las formas de estímulo monetario (desde la facilitación cuantitativa a las tasas de interés negativas) conllevan riesgos, pero el helicóptero monetario es especialmente peligroso; de hecho, no hay ningún escenario realista en que acabe bien.</w:t>
      </w:r>
    </w:p>
    <w:p w:rsidR="00A36CA9" w:rsidRPr="00A445B8" w:rsidRDefault="00A36CA9" w:rsidP="00A36CA9">
      <w:pPr>
        <w:spacing w:line="240" w:lineRule="auto"/>
        <w:jc w:val="both"/>
        <w:rPr>
          <w:rFonts w:ascii="Times New Roman" w:hAnsi="Times New Roman"/>
          <w:color w:val="FF0000"/>
          <w:sz w:val="24"/>
          <w:szCs w:val="24"/>
          <w:u w:val="single"/>
        </w:rPr>
      </w:pPr>
      <w:r w:rsidRPr="00A445B8">
        <w:rPr>
          <w:rFonts w:ascii="Times New Roman" w:hAnsi="Times New Roman"/>
          <w:color w:val="FF0000"/>
          <w:sz w:val="24"/>
          <w:szCs w:val="24"/>
          <w:u w:val="single"/>
        </w:rPr>
        <w:t>Es hora de reconocer de una vez por todas que los gobiernos, no los bancos centrales, tienen la responsabilidad de generar empleo y crecimiento en el largo plazo mediante condiciones más favorables para la inversión, un sistema educativo de alta calidad y mercados abiertos y competitivos. Las autoridades monetarias deben defender esta línea roja, lo que implica dejar los helicópteros en tierra.</w:t>
      </w:r>
    </w:p>
    <w:p w:rsidR="00A36CA9" w:rsidRDefault="00A36CA9" w:rsidP="00A36CA9">
      <w:pPr>
        <w:spacing w:line="240" w:lineRule="auto"/>
        <w:jc w:val="both"/>
        <w:rPr>
          <w:rFonts w:ascii="Times New Roman" w:hAnsi="Times New Roman"/>
          <w:sz w:val="24"/>
          <w:szCs w:val="24"/>
        </w:rPr>
      </w:pPr>
      <w:r>
        <w:rPr>
          <w:rFonts w:ascii="Times New Roman" w:hAnsi="Times New Roman"/>
          <w:sz w:val="24"/>
          <w:szCs w:val="24"/>
        </w:rPr>
        <w:lastRenderedPageBreak/>
        <w:t>(</w:t>
      </w:r>
      <w:r w:rsidRPr="00CD2CD9">
        <w:rPr>
          <w:rFonts w:ascii="Times New Roman" w:hAnsi="Times New Roman"/>
          <w:sz w:val="24"/>
          <w:szCs w:val="24"/>
        </w:rPr>
        <w:t>Michael Heise is Chief Economist of Allianz SE and the author of Emerging From the Euro Debt Crisis: Making the Sin</w:t>
      </w:r>
      <w:r>
        <w:rPr>
          <w:rFonts w:ascii="Times New Roman" w:hAnsi="Times New Roman"/>
          <w:sz w:val="24"/>
          <w:szCs w:val="24"/>
        </w:rPr>
        <w:t>gle Currency Work)</w:t>
      </w:r>
    </w:p>
    <w:p w:rsidR="00A36CA9" w:rsidRPr="00F002DC" w:rsidRDefault="00A36CA9" w:rsidP="00A36CA9">
      <w:pPr>
        <w:spacing w:line="240" w:lineRule="auto"/>
        <w:jc w:val="both"/>
        <w:rPr>
          <w:rFonts w:ascii="Times New Roman" w:hAnsi="Times New Roman"/>
          <w:sz w:val="24"/>
          <w:szCs w:val="24"/>
        </w:rPr>
      </w:pPr>
      <w:r>
        <w:rPr>
          <w:rFonts w:ascii="Times New Roman" w:hAnsi="Times New Roman"/>
          <w:sz w:val="24"/>
          <w:szCs w:val="24"/>
        </w:rPr>
        <w:t xml:space="preserve">- </w:t>
      </w:r>
      <w:r w:rsidRPr="00F002DC">
        <w:rPr>
          <w:rFonts w:ascii="Times New Roman" w:hAnsi="Times New Roman"/>
          <w:sz w:val="24"/>
          <w:szCs w:val="24"/>
          <w:u w:val="single"/>
        </w:rPr>
        <w:t>El Gran Estancamiento del Ingreso</w:t>
      </w:r>
      <w:r>
        <w:rPr>
          <w:rFonts w:ascii="Times New Roman" w:hAnsi="Times New Roman"/>
          <w:sz w:val="24"/>
          <w:szCs w:val="24"/>
        </w:rPr>
        <w:t xml:space="preserve"> (Project Syndicate - </w:t>
      </w:r>
      <w:r w:rsidRPr="00F002DC">
        <w:rPr>
          <w:rFonts w:ascii="Times New Roman" w:hAnsi="Times New Roman"/>
          <w:b/>
          <w:sz w:val="24"/>
          <w:szCs w:val="24"/>
        </w:rPr>
        <w:t>7/9/16</w:t>
      </w:r>
      <w:r>
        <w:rPr>
          <w:rFonts w:ascii="Times New Roman" w:hAnsi="Times New Roman"/>
          <w:sz w:val="24"/>
          <w:szCs w:val="24"/>
        </w:rPr>
        <w:t>)</w:t>
      </w:r>
    </w:p>
    <w:p w:rsidR="00A36CA9" w:rsidRPr="00DE053B" w:rsidRDefault="00A36CA9" w:rsidP="00A36CA9">
      <w:pPr>
        <w:spacing w:line="240" w:lineRule="auto"/>
        <w:jc w:val="both"/>
        <w:rPr>
          <w:rFonts w:ascii="Times New Roman" w:hAnsi="Times New Roman"/>
          <w:color w:val="FF0000"/>
          <w:sz w:val="24"/>
          <w:szCs w:val="24"/>
          <w:u w:val="single"/>
        </w:rPr>
      </w:pPr>
      <w:r>
        <w:rPr>
          <w:rFonts w:ascii="Times New Roman" w:hAnsi="Times New Roman"/>
          <w:sz w:val="24"/>
          <w:szCs w:val="24"/>
        </w:rPr>
        <w:t>Berkeley.-</w:t>
      </w:r>
      <w:r w:rsidRPr="00F002DC">
        <w:rPr>
          <w:rFonts w:ascii="Times New Roman" w:hAnsi="Times New Roman"/>
          <w:sz w:val="24"/>
          <w:szCs w:val="24"/>
        </w:rPr>
        <w:t xml:space="preserve"> </w:t>
      </w:r>
      <w:r w:rsidRPr="00DE053B">
        <w:rPr>
          <w:rFonts w:ascii="Times New Roman" w:hAnsi="Times New Roman"/>
          <w:color w:val="FF0000"/>
          <w:sz w:val="24"/>
          <w:szCs w:val="24"/>
          <w:u w:val="single"/>
        </w:rPr>
        <w:t>Actualmente el debate por la desigualdad suele centrarse en la acumulación desproporcionada del ingreso y la riqueza en una pequeña proporción de los hogares estadounidenses y de otras economías avanza</w:t>
      </w:r>
      <w:r>
        <w:rPr>
          <w:rFonts w:ascii="Times New Roman" w:hAnsi="Times New Roman"/>
          <w:color w:val="FF0000"/>
          <w:sz w:val="24"/>
          <w:szCs w:val="24"/>
          <w:u w:val="single"/>
        </w:rPr>
        <w:t>das. Algo que se percibe menos -</w:t>
      </w:r>
      <w:r w:rsidRPr="00DE053B">
        <w:rPr>
          <w:rFonts w:ascii="Times New Roman" w:hAnsi="Times New Roman"/>
          <w:color w:val="FF0000"/>
          <w:sz w:val="24"/>
          <w:szCs w:val="24"/>
          <w:u w:val="single"/>
        </w:rPr>
        <w:t>pe</w:t>
      </w:r>
      <w:r>
        <w:rPr>
          <w:rFonts w:ascii="Times New Roman" w:hAnsi="Times New Roman"/>
          <w:color w:val="FF0000"/>
          <w:sz w:val="24"/>
          <w:szCs w:val="24"/>
          <w:u w:val="single"/>
        </w:rPr>
        <w:t>ro resulta igualmente corrosivo-</w:t>
      </w:r>
      <w:r w:rsidRPr="00DE053B">
        <w:rPr>
          <w:rFonts w:ascii="Times New Roman" w:hAnsi="Times New Roman"/>
          <w:color w:val="FF0000"/>
          <w:sz w:val="24"/>
          <w:szCs w:val="24"/>
          <w:u w:val="single"/>
        </w:rPr>
        <w:t xml:space="preserve"> es la tendencia a la caída o el estancamiento del ingreso para la mayoría de los hogares.</w:t>
      </w:r>
    </w:p>
    <w:p w:rsidR="00A36CA9" w:rsidRPr="00DE053B" w:rsidRDefault="00A36CA9" w:rsidP="00A36CA9">
      <w:pPr>
        <w:spacing w:line="240" w:lineRule="auto"/>
        <w:jc w:val="both"/>
        <w:rPr>
          <w:rFonts w:ascii="Times New Roman" w:hAnsi="Times New Roman"/>
          <w:b/>
          <w:color w:val="FF0000"/>
          <w:sz w:val="24"/>
          <w:szCs w:val="24"/>
          <w:u w:val="single"/>
        </w:rPr>
      </w:pPr>
      <w:r w:rsidRPr="00DE053B">
        <w:rPr>
          <w:rFonts w:ascii="Times New Roman" w:hAnsi="Times New Roman"/>
          <w:b/>
          <w:color w:val="FF0000"/>
          <w:sz w:val="24"/>
          <w:szCs w:val="24"/>
          <w:u w:val="single"/>
        </w:rPr>
        <w:t>Durante gran parte del período posterior a la Segunda Guerra Mundial y hasta la década de 2000, un sólido crecimiento del PBI y el empleo en las economías avanzadas implicó que casi todos los hogares experimentaran un aumento de sus ingresos, tanto brutos como después de impuestos y transferencias. En consecuencia, una generación tras otra crecieron esperando estar mejor que sus padres. Pero según la nueva investigación del McKinsey Global Institute, es posible que ya no haya garantías para esa expectativa.</w:t>
      </w:r>
    </w:p>
    <w:p w:rsidR="00A36CA9" w:rsidRPr="00DE053B" w:rsidRDefault="00A36CA9" w:rsidP="00A36CA9">
      <w:pPr>
        <w:spacing w:line="240" w:lineRule="auto"/>
        <w:jc w:val="both"/>
        <w:rPr>
          <w:rFonts w:ascii="Times New Roman" w:hAnsi="Times New Roman"/>
          <w:b/>
          <w:color w:val="FF0000"/>
          <w:sz w:val="24"/>
          <w:szCs w:val="24"/>
          <w:u w:val="single"/>
        </w:rPr>
      </w:pPr>
      <w:r w:rsidRPr="00DE053B">
        <w:rPr>
          <w:rFonts w:ascii="Times New Roman" w:hAnsi="Times New Roman"/>
          <w:b/>
          <w:color w:val="FF0000"/>
          <w:sz w:val="24"/>
          <w:szCs w:val="24"/>
          <w:u w:val="single"/>
        </w:rPr>
        <w:t>Durante la última década, el crecimiento del ingreso se detuvo abruptamente para la mayoría de los hogares en los países desarrollados, entre los cuales se vieron más afectados los monoparentales con jefas de hogar mujeres, o con trabajadores jóvenes de menor nivel educativo. El ingreso real de los salarios y el capital para los hogares en el mismo segmento de la distribución del ingreso fue inferior en 2014 que en 2005 para aproximadamente dos tercios de los hogares en 25 economías avanzadas: más de 500 millones de personas. Entre 1993 y 2005, por el contrario, menos del 2 % de los hogares en esas economías tuvo ingresos iguales o menores.</w:t>
      </w:r>
    </w:p>
    <w:p w:rsidR="00A36CA9" w:rsidRPr="00DE053B" w:rsidRDefault="00A36CA9" w:rsidP="00A36CA9">
      <w:pPr>
        <w:spacing w:line="240" w:lineRule="auto"/>
        <w:jc w:val="both"/>
        <w:rPr>
          <w:rFonts w:ascii="Times New Roman" w:hAnsi="Times New Roman"/>
          <w:color w:val="FF0000"/>
          <w:sz w:val="24"/>
          <w:szCs w:val="24"/>
          <w:u w:val="single"/>
        </w:rPr>
      </w:pPr>
      <w:r w:rsidRPr="00DE053B">
        <w:rPr>
          <w:rFonts w:ascii="Times New Roman" w:hAnsi="Times New Roman"/>
          <w:color w:val="FF0000"/>
          <w:sz w:val="24"/>
          <w:szCs w:val="24"/>
          <w:u w:val="single"/>
        </w:rPr>
        <w:t>Los aumentos en las transferencias gubernamentales y las menores tasas fiscales redujeron el efecto del estancamiento o la caída del ingreso de mercado (antes de transferencias e impuestos) sobre los ingresos disponibles. Sin embargo, entre el 20 % y el 25 % de los hogares sufrieron un estancamiento o una caída del ingreso disponible entre 2005 y 2014, mientras que en los 12 años anteriores ese porcentaje había sido del 2 %.</w:t>
      </w:r>
    </w:p>
    <w:p w:rsidR="00A36CA9" w:rsidRPr="00DE053B" w:rsidRDefault="00A36CA9" w:rsidP="00A36CA9">
      <w:pPr>
        <w:spacing w:line="240" w:lineRule="auto"/>
        <w:jc w:val="both"/>
        <w:rPr>
          <w:rFonts w:ascii="Times New Roman" w:hAnsi="Times New Roman"/>
          <w:b/>
          <w:color w:val="FF0000"/>
          <w:sz w:val="24"/>
          <w:szCs w:val="24"/>
          <w:u w:val="single"/>
        </w:rPr>
      </w:pPr>
      <w:r w:rsidRPr="00DE053B">
        <w:rPr>
          <w:rFonts w:ascii="Times New Roman" w:hAnsi="Times New Roman"/>
          <w:b/>
          <w:color w:val="FF0000"/>
          <w:sz w:val="24"/>
          <w:szCs w:val="24"/>
          <w:u w:val="single"/>
        </w:rPr>
        <w:t>Entre los principales responsables de este cambio se cuentan la profunda recesión y la lenta recuperación posterior a la crisis económica de 2008 en las economías avanzadas. Entre 1993 y 2005 el crecimiento del PBI aportó aproximadamente 18 puntos porcentuales al crecimiento anual del ingreso medio de l</w:t>
      </w:r>
      <w:r>
        <w:rPr>
          <w:rFonts w:ascii="Times New Roman" w:hAnsi="Times New Roman"/>
          <w:b/>
          <w:color w:val="FF0000"/>
          <w:sz w:val="24"/>
          <w:szCs w:val="24"/>
          <w:u w:val="single"/>
        </w:rPr>
        <w:t>os hogares, en promedio, en EEUU</w:t>
      </w:r>
      <w:r w:rsidRPr="00DE053B">
        <w:rPr>
          <w:rFonts w:ascii="Times New Roman" w:hAnsi="Times New Roman"/>
          <w:b/>
          <w:color w:val="FF0000"/>
          <w:sz w:val="24"/>
          <w:szCs w:val="24"/>
          <w:u w:val="single"/>
        </w:rPr>
        <w:t xml:space="preserve"> y Europa; ese indicador se desplomó hasta los 4 puntos porcentuales entre 2005 y 2014.</w:t>
      </w:r>
    </w:p>
    <w:p w:rsidR="00A36CA9" w:rsidRPr="00DE053B" w:rsidRDefault="00A36CA9" w:rsidP="00A36CA9">
      <w:pPr>
        <w:spacing w:line="240" w:lineRule="auto"/>
        <w:jc w:val="both"/>
        <w:rPr>
          <w:rFonts w:ascii="Times New Roman" w:hAnsi="Times New Roman"/>
          <w:b/>
          <w:color w:val="FF0000"/>
          <w:sz w:val="24"/>
          <w:szCs w:val="24"/>
          <w:u w:val="single"/>
        </w:rPr>
      </w:pPr>
      <w:r w:rsidRPr="00DE053B">
        <w:rPr>
          <w:rFonts w:ascii="Times New Roman" w:hAnsi="Times New Roman"/>
          <w:b/>
          <w:color w:val="FF0000"/>
          <w:sz w:val="24"/>
          <w:szCs w:val="24"/>
          <w:u w:val="single"/>
        </w:rPr>
        <w:t>Pero la caída poscrisis del crecimiento dista de ser el único problema. (En ese caso, la última década podría simplemente constituir una anomalía). Existen factores de largo plazo, como la débil inversión, la desaceleración del crecimiento de la fuerza de trabajo y una violenta disminución del crecimiento de la productividad, que han reducido el crecimiento del ingreso para el hogar promedio en la mayoría de los países avanzados respecto del período 1993-2005.</w:t>
      </w:r>
    </w:p>
    <w:p w:rsidR="00A36CA9" w:rsidRPr="00DE053B" w:rsidRDefault="00A36CA9" w:rsidP="00A36CA9">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Los cambios demográficos -</w:t>
      </w:r>
      <w:r w:rsidRPr="00DE053B">
        <w:rPr>
          <w:rFonts w:ascii="Times New Roman" w:hAnsi="Times New Roman"/>
          <w:color w:val="FF0000"/>
          <w:sz w:val="24"/>
          <w:szCs w:val="24"/>
          <w:u w:val="single"/>
        </w:rPr>
        <w:t>entre los que se cuentan cambios en la estructura familiar, las bajas tasas de fertilidad y el</w:t>
      </w:r>
      <w:r>
        <w:rPr>
          <w:rFonts w:ascii="Times New Roman" w:hAnsi="Times New Roman"/>
          <w:color w:val="FF0000"/>
          <w:sz w:val="24"/>
          <w:szCs w:val="24"/>
          <w:u w:val="single"/>
        </w:rPr>
        <w:t xml:space="preserve"> envejecimiento de la población-</w:t>
      </w:r>
      <w:r w:rsidRPr="00DE053B">
        <w:rPr>
          <w:rFonts w:ascii="Times New Roman" w:hAnsi="Times New Roman"/>
          <w:color w:val="FF0000"/>
          <w:sz w:val="24"/>
          <w:szCs w:val="24"/>
          <w:u w:val="single"/>
        </w:rPr>
        <w:t xml:space="preserve"> llevaron a reducciones </w:t>
      </w:r>
      <w:r w:rsidRPr="00DE053B">
        <w:rPr>
          <w:rFonts w:ascii="Times New Roman" w:hAnsi="Times New Roman"/>
          <w:color w:val="FF0000"/>
          <w:sz w:val="24"/>
          <w:szCs w:val="24"/>
          <w:u w:val="single"/>
        </w:rPr>
        <w:lastRenderedPageBreak/>
        <w:t>tanto en el tamaño total de los hogares como en la cantidad de personas en edad de trabajar con ingresos por hogar. Y los ca</w:t>
      </w:r>
      <w:r>
        <w:rPr>
          <w:rFonts w:ascii="Times New Roman" w:hAnsi="Times New Roman"/>
          <w:color w:val="FF0000"/>
          <w:sz w:val="24"/>
          <w:szCs w:val="24"/>
          <w:u w:val="single"/>
        </w:rPr>
        <w:t>mbios en el mercado de trabajo -</w:t>
      </w:r>
      <w:r w:rsidRPr="00DE053B">
        <w:rPr>
          <w:rFonts w:ascii="Times New Roman" w:hAnsi="Times New Roman"/>
          <w:color w:val="FF0000"/>
          <w:sz w:val="24"/>
          <w:szCs w:val="24"/>
          <w:u w:val="single"/>
        </w:rPr>
        <w:t>impulsados por el cambio tecnológico, la globalización de los empleos con baja y media capacitación, y la creciente preponderancia del emp</w:t>
      </w:r>
      <w:r>
        <w:rPr>
          <w:rFonts w:ascii="Times New Roman" w:hAnsi="Times New Roman"/>
          <w:color w:val="FF0000"/>
          <w:sz w:val="24"/>
          <w:szCs w:val="24"/>
          <w:u w:val="single"/>
        </w:rPr>
        <w:t>leo temporal y a tiempo parcial-</w:t>
      </w:r>
      <w:r w:rsidRPr="00DE053B">
        <w:rPr>
          <w:rFonts w:ascii="Times New Roman" w:hAnsi="Times New Roman"/>
          <w:color w:val="FF0000"/>
          <w:sz w:val="24"/>
          <w:szCs w:val="24"/>
          <w:u w:val="single"/>
        </w:rPr>
        <w:t xml:space="preserve"> han llevado a que la participación del salario en el ingreso nacional baje y la distribución de ese ingreso entre los hogares resulte cada vez más desigual. Ninguna de esas tendencias se revertirá pronto, Por el contrario, es probable que algunas de ellas se profundicen.</w:t>
      </w:r>
    </w:p>
    <w:p w:rsidR="00A36CA9" w:rsidRPr="00DE053B" w:rsidRDefault="00A36CA9" w:rsidP="00A36CA9">
      <w:pPr>
        <w:spacing w:line="240" w:lineRule="auto"/>
        <w:jc w:val="both"/>
        <w:rPr>
          <w:rFonts w:ascii="Times New Roman" w:hAnsi="Times New Roman"/>
          <w:color w:val="FF0000"/>
          <w:sz w:val="24"/>
          <w:szCs w:val="24"/>
          <w:u w:val="single"/>
        </w:rPr>
      </w:pPr>
      <w:r w:rsidRPr="00DE053B">
        <w:rPr>
          <w:rFonts w:ascii="Times New Roman" w:hAnsi="Times New Roman"/>
          <w:color w:val="FF0000"/>
          <w:sz w:val="24"/>
          <w:szCs w:val="24"/>
          <w:u w:val="single"/>
        </w:rPr>
        <w:t>La investigación de McKinsey confirma que esos factores de largo plazo socavan el ingreso en la mayoría de los hogares y Muestra que el ingreso real de mercado en la mayoría de los hogares se mantuvo estable o cayó, aun cuando el crecimiento agregado fue positivo durante el período 2005-2014.</w:t>
      </w:r>
    </w:p>
    <w:p w:rsidR="00A36CA9" w:rsidRPr="00DE053B" w:rsidRDefault="00A36CA9" w:rsidP="00A36CA9">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Especialmente en EEUU</w:t>
      </w:r>
      <w:r w:rsidRPr="00DE053B">
        <w:rPr>
          <w:rFonts w:ascii="Times New Roman" w:hAnsi="Times New Roman"/>
          <w:b/>
          <w:color w:val="FF0000"/>
          <w:sz w:val="24"/>
          <w:szCs w:val="24"/>
          <w:u w:val="single"/>
        </w:rPr>
        <w:t>, la capacidad de los trabajadores para proteger su participación en el ingreso nacional y de los hogares de ingresos bajos y medios para mantener su participación en la masa salarial, se vieron sustancialmente erosionados. Por ello, el crecimiento real del ingreso medio disponible se redujo en nueve puntos porcentuales entre 1993 y 2005, y en otros siete puntos porcentuales entre 2005 y 2014.</w:t>
      </w:r>
    </w:p>
    <w:p w:rsidR="00A36CA9" w:rsidRPr="00F002DC" w:rsidRDefault="00A36CA9" w:rsidP="00A36CA9">
      <w:pPr>
        <w:spacing w:line="240" w:lineRule="auto"/>
        <w:jc w:val="both"/>
        <w:rPr>
          <w:rFonts w:ascii="Times New Roman" w:hAnsi="Times New Roman"/>
          <w:sz w:val="24"/>
          <w:szCs w:val="24"/>
        </w:rPr>
      </w:pPr>
      <w:r w:rsidRPr="00DE053B">
        <w:rPr>
          <w:rFonts w:ascii="Times New Roman" w:hAnsi="Times New Roman"/>
          <w:sz w:val="24"/>
          <w:szCs w:val="24"/>
          <w:u w:val="single"/>
        </w:rPr>
        <w:t>Suecia, donde los hogares promedio recibieron una mayor proporción de las ganancias del crecimiento del producto durante el período 2005-2014, logró revertir esta tendencia negativa</w:t>
      </w:r>
      <w:r w:rsidRPr="00F002DC">
        <w:rPr>
          <w:rFonts w:ascii="Times New Roman" w:hAnsi="Times New Roman"/>
          <w:sz w:val="24"/>
          <w:szCs w:val="24"/>
        </w:rPr>
        <w:t>. En respuesta al lento crecimiento de la última década, el gobierno sueco trabajó con los empleadores y los sindicatos para reducir la cantidad de horas de trabajo y conservar los empleos. Gracias a esas intervenciones, los ingresos de mercado cayeron o se estancaron en sólo el 20 % de los hogares y hubo generosas transferencias netas, que lograron que el ingreso disponible aumentara para casi todos los hogares.</w:t>
      </w:r>
    </w:p>
    <w:p w:rsidR="00A36CA9" w:rsidRPr="008D6E6C" w:rsidRDefault="00A36CA9" w:rsidP="00A36CA9">
      <w:pPr>
        <w:spacing w:line="240" w:lineRule="auto"/>
        <w:jc w:val="both"/>
        <w:rPr>
          <w:rFonts w:ascii="Times New Roman" w:hAnsi="Times New Roman"/>
          <w:sz w:val="24"/>
          <w:szCs w:val="24"/>
          <w:u w:val="single"/>
        </w:rPr>
      </w:pPr>
      <w:r>
        <w:rPr>
          <w:rFonts w:ascii="Times New Roman" w:hAnsi="Times New Roman"/>
          <w:sz w:val="24"/>
          <w:szCs w:val="24"/>
          <w:u w:val="single"/>
        </w:rPr>
        <w:t>Ciertamente, EEUU</w:t>
      </w:r>
      <w:r w:rsidRPr="00DE053B">
        <w:rPr>
          <w:rFonts w:ascii="Times New Roman" w:hAnsi="Times New Roman"/>
          <w:sz w:val="24"/>
          <w:szCs w:val="24"/>
          <w:u w:val="single"/>
        </w:rPr>
        <w:t xml:space="preserve"> también intervino después de la crisis: implementó un paquete de estímulo fiscal en 2009</w:t>
      </w:r>
      <w:r w:rsidRPr="00F002DC">
        <w:rPr>
          <w:rFonts w:ascii="Times New Roman" w:hAnsi="Times New Roman"/>
          <w:sz w:val="24"/>
          <w:szCs w:val="24"/>
        </w:rPr>
        <w:t xml:space="preserve"> que, junto con otras transferencias, aumentó el crecimiento del ingreso medio disponible en el equivalente a cinco puntos porcentuales. Una baja de cuatro puntos en el ingreso medio de mercado se convirtió así en una ganancia del 1% del ingreso medio disponible. </w:t>
      </w:r>
      <w:r w:rsidRPr="008D6E6C">
        <w:rPr>
          <w:rFonts w:ascii="Times New Roman" w:hAnsi="Times New Roman"/>
          <w:sz w:val="24"/>
          <w:szCs w:val="24"/>
          <w:u w:val="single"/>
        </w:rPr>
        <w:t>Pero eso no cambió el hecho de que entre 2005 y fines de 2013 los ingresos del mercado cayeron para el 81 % de los hogares estadounidenses.</w:t>
      </w:r>
    </w:p>
    <w:p w:rsidR="00A36CA9" w:rsidRPr="008D6E6C" w:rsidRDefault="00A36CA9" w:rsidP="00A36CA9">
      <w:pPr>
        <w:spacing w:line="240" w:lineRule="auto"/>
        <w:jc w:val="both"/>
        <w:rPr>
          <w:rFonts w:ascii="Times New Roman" w:hAnsi="Times New Roman"/>
          <w:sz w:val="24"/>
          <w:szCs w:val="24"/>
          <w:u w:val="single"/>
        </w:rPr>
      </w:pPr>
      <w:r w:rsidRPr="00F002DC">
        <w:rPr>
          <w:rFonts w:ascii="Times New Roman" w:hAnsi="Times New Roman"/>
          <w:sz w:val="24"/>
          <w:szCs w:val="24"/>
        </w:rPr>
        <w:t xml:space="preserve">De manera semejante, </w:t>
      </w:r>
      <w:r w:rsidRPr="008D6E6C">
        <w:rPr>
          <w:rFonts w:ascii="Times New Roman" w:hAnsi="Times New Roman"/>
          <w:sz w:val="24"/>
          <w:szCs w:val="24"/>
          <w:u w:val="single"/>
        </w:rPr>
        <w:t>la reciente investigación llevada a cabo por Emmanuel Saez, de Berkeley, muestra que el ingreso real de merca</w:t>
      </w:r>
      <w:r>
        <w:rPr>
          <w:rFonts w:ascii="Times New Roman" w:hAnsi="Times New Roman"/>
          <w:sz w:val="24"/>
          <w:szCs w:val="24"/>
          <w:u w:val="single"/>
        </w:rPr>
        <w:t>do para el 99 % inferior en EEUU</w:t>
      </w:r>
      <w:r w:rsidRPr="008D6E6C">
        <w:rPr>
          <w:rFonts w:ascii="Times New Roman" w:hAnsi="Times New Roman"/>
          <w:sz w:val="24"/>
          <w:szCs w:val="24"/>
          <w:u w:val="single"/>
        </w:rPr>
        <w:t xml:space="preserve"> creció tanto en 2014 como en 2015 a tasas que no se veían desde 1999. Sin embargo, para fines de 2015, los ingresos reales de mercado para ese grupo habían recuperado sólo dos tercios de las pérdidas que sufrieron durante la recesión de 2007-2009. En otras palabras, la intervención estadounidense fue mucho menos eficaz que la de su contraparte sueca para lograr que los trabajadores recuperaran sus niveles de ingreso anteriores.</w:t>
      </w:r>
    </w:p>
    <w:p w:rsidR="00A36CA9" w:rsidRPr="008D6E6C" w:rsidRDefault="00A36CA9" w:rsidP="00A36CA9">
      <w:pPr>
        <w:spacing w:line="240" w:lineRule="auto"/>
        <w:jc w:val="both"/>
        <w:rPr>
          <w:rFonts w:ascii="Times New Roman" w:hAnsi="Times New Roman"/>
          <w:color w:val="FF0000"/>
          <w:sz w:val="24"/>
          <w:szCs w:val="24"/>
          <w:u w:val="single"/>
        </w:rPr>
      </w:pPr>
      <w:r w:rsidRPr="008D6E6C">
        <w:rPr>
          <w:rFonts w:ascii="Times New Roman" w:hAnsi="Times New Roman"/>
          <w:color w:val="FF0000"/>
          <w:sz w:val="24"/>
          <w:szCs w:val="24"/>
          <w:u w:val="single"/>
        </w:rPr>
        <w:t>Las consecuencias de esos fracasos son de gran alcance. El estancamiento y la caída del ingreso real no sólo funcionan como un freno a la demanda de consumo y el crecimiento del PBI, sino que además alimentan el descontento social y político, ya que los ciudadanos pierden confianza en las estructuras económicas existentes.</w:t>
      </w:r>
    </w:p>
    <w:p w:rsidR="00A36CA9" w:rsidRPr="008D6E6C" w:rsidRDefault="00A36CA9" w:rsidP="00A36CA9">
      <w:pPr>
        <w:spacing w:line="240" w:lineRule="auto"/>
        <w:jc w:val="both"/>
        <w:rPr>
          <w:rFonts w:ascii="Times New Roman" w:hAnsi="Times New Roman"/>
          <w:color w:val="FF0000"/>
          <w:sz w:val="24"/>
          <w:szCs w:val="24"/>
          <w:u w:val="single"/>
        </w:rPr>
      </w:pPr>
      <w:r w:rsidRPr="008D6E6C">
        <w:rPr>
          <w:rFonts w:ascii="Times New Roman" w:hAnsi="Times New Roman"/>
          <w:color w:val="FF0000"/>
          <w:sz w:val="24"/>
          <w:szCs w:val="24"/>
          <w:u w:val="single"/>
        </w:rPr>
        <w:t>Encuestas de MGI e</w:t>
      </w:r>
      <w:r>
        <w:rPr>
          <w:rFonts w:ascii="Times New Roman" w:hAnsi="Times New Roman"/>
          <w:color w:val="FF0000"/>
          <w:sz w:val="24"/>
          <w:szCs w:val="24"/>
          <w:u w:val="single"/>
        </w:rPr>
        <w:t>n Francia, el Reino Unido y EEUU</w:t>
      </w:r>
      <w:r w:rsidRPr="008D6E6C">
        <w:rPr>
          <w:rFonts w:ascii="Times New Roman" w:hAnsi="Times New Roman"/>
          <w:color w:val="FF0000"/>
          <w:sz w:val="24"/>
          <w:szCs w:val="24"/>
          <w:u w:val="single"/>
        </w:rPr>
        <w:t xml:space="preserve"> han encontrado que las personas cuyos ingresos no crecen y que no prevén una mejora tienden a percibir el comercio y la inmigración de manera mucho más negativa que quienes experimentan o prevén </w:t>
      </w:r>
      <w:r w:rsidRPr="008D6E6C">
        <w:rPr>
          <w:rFonts w:ascii="Times New Roman" w:hAnsi="Times New Roman"/>
          <w:color w:val="FF0000"/>
          <w:sz w:val="24"/>
          <w:szCs w:val="24"/>
          <w:u w:val="single"/>
        </w:rPr>
        <w:lastRenderedPageBreak/>
        <w:t xml:space="preserve">ganancias. El voto por el brexit en el RU y la oposición bipartidaria a </w:t>
      </w:r>
      <w:r>
        <w:rPr>
          <w:rFonts w:ascii="Times New Roman" w:hAnsi="Times New Roman"/>
          <w:color w:val="FF0000"/>
          <w:sz w:val="24"/>
          <w:szCs w:val="24"/>
          <w:u w:val="single"/>
        </w:rPr>
        <w:t>los acuerdos comerciales en EEUU</w:t>
      </w:r>
      <w:r w:rsidRPr="008D6E6C">
        <w:rPr>
          <w:rFonts w:ascii="Times New Roman" w:hAnsi="Times New Roman"/>
          <w:color w:val="FF0000"/>
          <w:sz w:val="24"/>
          <w:szCs w:val="24"/>
          <w:u w:val="single"/>
        </w:rPr>
        <w:t xml:space="preserve"> son claras señales de esto.</w:t>
      </w:r>
    </w:p>
    <w:p w:rsidR="00A36CA9" w:rsidRPr="008D6E6C" w:rsidRDefault="00A36CA9" w:rsidP="00A36CA9">
      <w:pPr>
        <w:spacing w:line="240" w:lineRule="auto"/>
        <w:jc w:val="both"/>
        <w:rPr>
          <w:rFonts w:ascii="Times New Roman" w:hAnsi="Times New Roman"/>
          <w:color w:val="FF0000"/>
          <w:sz w:val="24"/>
          <w:szCs w:val="24"/>
          <w:u w:val="single"/>
        </w:rPr>
      </w:pPr>
      <w:r w:rsidRPr="008D6E6C">
        <w:rPr>
          <w:rFonts w:ascii="Times New Roman" w:hAnsi="Times New Roman"/>
          <w:color w:val="FF0000"/>
          <w:sz w:val="24"/>
          <w:szCs w:val="24"/>
          <w:u w:val="single"/>
        </w:rPr>
        <w:t>El debate reciente sobre la</w:t>
      </w:r>
      <w:r>
        <w:rPr>
          <w:rFonts w:ascii="Times New Roman" w:hAnsi="Times New Roman"/>
          <w:color w:val="FF0000"/>
          <w:sz w:val="24"/>
          <w:szCs w:val="24"/>
          <w:u w:val="single"/>
        </w:rPr>
        <w:t xml:space="preserve"> desigualdad del ingreso en EEUU</w:t>
      </w:r>
      <w:r w:rsidRPr="008D6E6C">
        <w:rPr>
          <w:rFonts w:ascii="Times New Roman" w:hAnsi="Times New Roman"/>
          <w:color w:val="FF0000"/>
          <w:sz w:val="24"/>
          <w:szCs w:val="24"/>
          <w:u w:val="single"/>
        </w:rPr>
        <w:t xml:space="preserve"> y otros países desarrollados se ha centrado en el rápido aumento de los ingresos para unos pocos, pero el estancamiento y la caída del ingreso para muchos suma una dimensión distinta al debate y exige distintos tipos de soluciones que enfaticen el crecimiento de los salarios para la mayoría en la distribución del ingreso. Frente a un continuo estancamiento y ca</w:t>
      </w:r>
      <w:r>
        <w:rPr>
          <w:rFonts w:ascii="Times New Roman" w:hAnsi="Times New Roman"/>
          <w:color w:val="FF0000"/>
          <w:sz w:val="24"/>
          <w:szCs w:val="24"/>
          <w:u w:val="single"/>
        </w:rPr>
        <w:t>ída del ingreso de los hogares -</w:t>
      </w:r>
      <w:r w:rsidRPr="008D6E6C">
        <w:rPr>
          <w:rFonts w:ascii="Times New Roman" w:hAnsi="Times New Roman"/>
          <w:color w:val="FF0000"/>
          <w:sz w:val="24"/>
          <w:szCs w:val="24"/>
          <w:u w:val="single"/>
        </w:rPr>
        <w:t>y con las generaciones más jóvenes camino a ser más pob</w:t>
      </w:r>
      <w:r>
        <w:rPr>
          <w:rFonts w:ascii="Times New Roman" w:hAnsi="Times New Roman"/>
          <w:color w:val="FF0000"/>
          <w:sz w:val="24"/>
          <w:szCs w:val="24"/>
          <w:u w:val="single"/>
        </w:rPr>
        <w:t>res que sus padres-</w:t>
      </w:r>
      <w:r w:rsidRPr="008D6E6C">
        <w:rPr>
          <w:rFonts w:ascii="Times New Roman" w:hAnsi="Times New Roman"/>
          <w:color w:val="FF0000"/>
          <w:sz w:val="24"/>
          <w:szCs w:val="24"/>
          <w:u w:val="single"/>
        </w:rPr>
        <w:t xml:space="preserve"> resulta urgente encontrar ese tipo de soluciones.</w:t>
      </w:r>
    </w:p>
    <w:p w:rsidR="00A36CA9" w:rsidRDefault="00A36CA9" w:rsidP="00A36CA9">
      <w:pPr>
        <w:spacing w:line="240" w:lineRule="auto"/>
        <w:jc w:val="both"/>
        <w:rPr>
          <w:rFonts w:ascii="Times New Roman" w:hAnsi="Times New Roman"/>
          <w:sz w:val="24"/>
          <w:szCs w:val="24"/>
        </w:rPr>
      </w:pPr>
      <w:r>
        <w:rPr>
          <w:rFonts w:ascii="Times New Roman" w:hAnsi="Times New Roman"/>
          <w:sz w:val="24"/>
          <w:szCs w:val="24"/>
        </w:rPr>
        <w:t>(</w:t>
      </w:r>
      <w:r w:rsidRPr="00F002DC">
        <w:rPr>
          <w:rFonts w:ascii="Times New Roman" w:hAnsi="Times New Roman"/>
          <w:sz w:val="24"/>
          <w:szCs w:val="24"/>
        </w:rPr>
        <w:t>Laura Tyson, a former chair of the US President's Council of Economic Advisers, is a professor at the Haas School of Business at the University of California, Berkeley, a senior adviser at the Rock Creek Group, and a member of the World Economic Forum Global A</w:t>
      </w:r>
      <w:r>
        <w:rPr>
          <w:rFonts w:ascii="Times New Roman" w:hAnsi="Times New Roman"/>
          <w:sz w:val="24"/>
          <w:szCs w:val="24"/>
        </w:rPr>
        <w:t xml:space="preserve">genda Council on Gender Parity. </w:t>
      </w:r>
      <w:r w:rsidRPr="00F002DC">
        <w:rPr>
          <w:rFonts w:ascii="Times New Roman" w:hAnsi="Times New Roman"/>
          <w:sz w:val="24"/>
          <w:szCs w:val="24"/>
        </w:rPr>
        <w:t>Anu Madgavkar is a Mc</w:t>
      </w:r>
      <w:r>
        <w:rPr>
          <w:rFonts w:ascii="Times New Roman" w:hAnsi="Times New Roman"/>
          <w:sz w:val="24"/>
          <w:szCs w:val="24"/>
        </w:rPr>
        <w:t>Kinsey Global Institute partner)</w:t>
      </w:r>
    </w:p>
    <w:p w:rsidR="00CA2DFE" w:rsidRPr="00CA2DFE" w:rsidRDefault="00CA2DFE" w:rsidP="00A36CA9">
      <w:pPr>
        <w:spacing w:line="240" w:lineRule="auto"/>
        <w:jc w:val="both"/>
        <w:rPr>
          <w:rFonts w:ascii="Times New Roman" w:hAnsi="Times New Roman"/>
          <w:b/>
          <w:sz w:val="24"/>
          <w:szCs w:val="24"/>
        </w:rPr>
      </w:pPr>
      <w:r w:rsidRPr="00CA2DFE">
        <w:rPr>
          <w:rFonts w:ascii="Times New Roman" w:hAnsi="Times New Roman"/>
          <w:b/>
          <w:sz w:val="24"/>
          <w:szCs w:val="24"/>
        </w:rPr>
        <w:t>No Comment (</w:t>
      </w:r>
      <w:r>
        <w:rPr>
          <w:rFonts w:ascii="Times New Roman" w:hAnsi="Times New Roman"/>
          <w:b/>
          <w:sz w:val="24"/>
          <w:szCs w:val="24"/>
        </w:rPr>
        <w:t xml:space="preserve">hay </w:t>
      </w:r>
      <w:r w:rsidRPr="00CA2DFE">
        <w:rPr>
          <w:rFonts w:ascii="Times New Roman" w:hAnsi="Times New Roman"/>
          <w:b/>
          <w:sz w:val="24"/>
          <w:szCs w:val="24"/>
        </w:rPr>
        <w:t>fotos que valen más que mil palabras)</w:t>
      </w:r>
    </w:p>
    <w:p w:rsidR="00CA2DFE" w:rsidRDefault="00CA2DFE" w:rsidP="00A36CA9">
      <w:pPr>
        <w:spacing w:line="240" w:lineRule="auto"/>
        <w:jc w:val="both"/>
        <w:rPr>
          <w:rFonts w:ascii="Times New Roman" w:hAnsi="Times New Roman"/>
          <w:sz w:val="24"/>
          <w:szCs w:val="24"/>
        </w:rPr>
      </w:pPr>
      <w:r>
        <w:rPr>
          <w:noProof/>
          <w:lang w:eastAsia="es-ES"/>
        </w:rPr>
        <w:drawing>
          <wp:inline distT="0" distB="0" distL="0" distR="0" wp14:anchorId="5E3C7680" wp14:editId="509B0223">
            <wp:extent cx="5397499" cy="2343150"/>
            <wp:effectExtent l="0" t="0" r="0" b="0"/>
            <wp:docPr id="105" name="Imagen 105" descr="Manifestación en Nueva Y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nifestación en Nueva York"/>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00040" cy="2344253"/>
                    </a:xfrm>
                    <a:prstGeom prst="rect">
                      <a:avLst/>
                    </a:prstGeom>
                    <a:noFill/>
                    <a:ln>
                      <a:noFill/>
                    </a:ln>
                  </pic:spPr>
                </pic:pic>
              </a:graphicData>
            </a:graphic>
          </wp:inline>
        </w:drawing>
      </w:r>
    </w:p>
    <w:p w:rsidR="00CA2DFE" w:rsidRDefault="00CA2DFE" w:rsidP="00A36CA9">
      <w:pPr>
        <w:spacing w:line="240" w:lineRule="auto"/>
        <w:jc w:val="both"/>
        <w:rPr>
          <w:rFonts w:ascii="Times New Roman" w:hAnsi="Times New Roman"/>
          <w:sz w:val="24"/>
          <w:szCs w:val="24"/>
        </w:rPr>
      </w:pPr>
      <w:r w:rsidRPr="003A28C9">
        <w:rPr>
          <w:rFonts w:ascii="Times New Roman" w:hAnsi="Times New Roman"/>
          <w:noProof/>
          <w:sz w:val="24"/>
          <w:szCs w:val="24"/>
          <w:lang w:eastAsia="es-ES"/>
        </w:rPr>
        <w:drawing>
          <wp:inline distT="0" distB="0" distL="0" distR="0" wp14:anchorId="25F465E3" wp14:editId="2BF57A07">
            <wp:extent cx="5429250" cy="2578100"/>
            <wp:effectExtent l="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429250" cy="2578100"/>
                    </a:xfrm>
                    <a:prstGeom prst="rect">
                      <a:avLst/>
                    </a:prstGeom>
                  </pic:spPr>
                </pic:pic>
              </a:graphicData>
            </a:graphic>
          </wp:inline>
        </w:drawing>
      </w:r>
    </w:p>
    <w:p w:rsidR="009768CE" w:rsidRPr="00845F2D" w:rsidRDefault="009E7E29" w:rsidP="00845F2D">
      <w:pPr>
        <w:spacing w:line="240" w:lineRule="auto"/>
        <w:jc w:val="both"/>
        <w:rPr>
          <w:rFonts w:ascii="Times New Roman" w:hAnsi="Times New Roman"/>
          <w:b/>
          <w:sz w:val="24"/>
          <w:szCs w:val="24"/>
        </w:rPr>
      </w:pPr>
      <w:r>
        <w:rPr>
          <w:rFonts w:ascii="Times New Roman" w:hAnsi="Times New Roman"/>
          <w:b/>
          <w:sz w:val="24"/>
          <w:szCs w:val="24"/>
        </w:rPr>
        <w:t>Mientras se constata el “estancamiento secular” o la “nueva mediocridad” ¿t</w:t>
      </w:r>
      <w:r w:rsidR="002050DE">
        <w:rPr>
          <w:rFonts w:ascii="Times New Roman" w:hAnsi="Times New Roman"/>
          <w:b/>
          <w:sz w:val="24"/>
          <w:szCs w:val="24"/>
        </w:rPr>
        <w:t>endremos que continuar hablando</w:t>
      </w:r>
      <w:r w:rsidR="00845F2D">
        <w:rPr>
          <w:rFonts w:ascii="Times New Roman" w:hAnsi="Times New Roman"/>
          <w:b/>
          <w:sz w:val="24"/>
          <w:szCs w:val="24"/>
        </w:rPr>
        <w:t xml:space="preserve"> de una “década perdida” tras otra?...  </w:t>
      </w:r>
      <w:r w:rsidR="00CA2DFE" w:rsidRPr="00CA2DFE">
        <w:rPr>
          <w:rFonts w:ascii="Times New Roman" w:hAnsi="Times New Roman"/>
          <w:b/>
          <w:sz w:val="24"/>
          <w:szCs w:val="24"/>
        </w:rPr>
        <w:t>Juzguen ustedes mismos…</w:t>
      </w:r>
    </w:p>
    <w:sectPr w:rsidR="009768CE" w:rsidRPr="00845F2D" w:rsidSect="005A04B2">
      <w:pgSz w:w="11906" w:h="16838"/>
      <w:pgMar w:top="1418" w:right="1701" w:bottom="1418"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246430"/>
    <w:multiLevelType w:val="multilevel"/>
    <w:tmpl w:val="877E5D6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nsid w:val="0D9837C8"/>
    <w:multiLevelType w:val="hybridMultilevel"/>
    <w:tmpl w:val="003A0312"/>
    <w:lvl w:ilvl="0" w:tplc="6A84E3C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4552A25"/>
    <w:multiLevelType w:val="hybridMultilevel"/>
    <w:tmpl w:val="21DEBD80"/>
    <w:lvl w:ilvl="0" w:tplc="5694FE3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90E5E57"/>
    <w:multiLevelType w:val="multilevel"/>
    <w:tmpl w:val="0212A9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D2D78B6"/>
    <w:multiLevelType w:val="hybridMultilevel"/>
    <w:tmpl w:val="2C2C23DE"/>
    <w:lvl w:ilvl="0" w:tplc="22407E48">
      <w:start w:val="19"/>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2522457C"/>
    <w:multiLevelType w:val="hybridMultilevel"/>
    <w:tmpl w:val="354884F0"/>
    <w:lvl w:ilvl="0" w:tplc="2C286BA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252F3B06"/>
    <w:multiLevelType w:val="hybridMultilevel"/>
    <w:tmpl w:val="34BEDB0E"/>
    <w:lvl w:ilvl="0" w:tplc="0BAE6B20">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2F90580E"/>
    <w:multiLevelType w:val="hybridMultilevel"/>
    <w:tmpl w:val="DADE04C2"/>
    <w:lvl w:ilvl="0" w:tplc="DA9E834E">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nsid w:val="398B56EC"/>
    <w:multiLevelType w:val="hybridMultilevel"/>
    <w:tmpl w:val="34B69382"/>
    <w:lvl w:ilvl="0" w:tplc="B142B786">
      <w:start w:val="1744"/>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3B9B5BA8"/>
    <w:multiLevelType w:val="multilevel"/>
    <w:tmpl w:val="2758A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3EE87979"/>
    <w:multiLevelType w:val="hybridMultilevel"/>
    <w:tmpl w:val="43AA5E6E"/>
    <w:lvl w:ilvl="0" w:tplc="D2FA6E34">
      <w:start w:val="1"/>
      <w:numFmt w:val="decimal"/>
      <w:lvlText w:val="%1."/>
      <w:lvlJc w:val="left"/>
      <w:pPr>
        <w:ind w:left="960" w:hanging="360"/>
      </w:pPr>
      <w:rPr>
        <w:rFonts w:hint="default"/>
      </w:rPr>
    </w:lvl>
    <w:lvl w:ilvl="1" w:tplc="0C0A0019" w:tentative="1">
      <w:start w:val="1"/>
      <w:numFmt w:val="lowerLetter"/>
      <w:lvlText w:val="%2."/>
      <w:lvlJc w:val="left"/>
      <w:pPr>
        <w:ind w:left="1680" w:hanging="360"/>
      </w:pPr>
    </w:lvl>
    <w:lvl w:ilvl="2" w:tplc="0C0A001B" w:tentative="1">
      <w:start w:val="1"/>
      <w:numFmt w:val="lowerRoman"/>
      <w:lvlText w:val="%3."/>
      <w:lvlJc w:val="right"/>
      <w:pPr>
        <w:ind w:left="2400" w:hanging="180"/>
      </w:pPr>
    </w:lvl>
    <w:lvl w:ilvl="3" w:tplc="0C0A000F" w:tentative="1">
      <w:start w:val="1"/>
      <w:numFmt w:val="decimal"/>
      <w:lvlText w:val="%4."/>
      <w:lvlJc w:val="left"/>
      <w:pPr>
        <w:ind w:left="3120" w:hanging="360"/>
      </w:pPr>
    </w:lvl>
    <w:lvl w:ilvl="4" w:tplc="0C0A0019" w:tentative="1">
      <w:start w:val="1"/>
      <w:numFmt w:val="lowerLetter"/>
      <w:lvlText w:val="%5."/>
      <w:lvlJc w:val="left"/>
      <w:pPr>
        <w:ind w:left="3840" w:hanging="360"/>
      </w:pPr>
    </w:lvl>
    <w:lvl w:ilvl="5" w:tplc="0C0A001B" w:tentative="1">
      <w:start w:val="1"/>
      <w:numFmt w:val="lowerRoman"/>
      <w:lvlText w:val="%6."/>
      <w:lvlJc w:val="right"/>
      <w:pPr>
        <w:ind w:left="4560" w:hanging="180"/>
      </w:pPr>
    </w:lvl>
    <w:lvl w:ilvl="6" w:tplc="0C0A000F" w:tentative="1">
      <w:start w:val="1"/>
      <w:numFmt w:val="decimal"/>
      <w:lvlText w:val="%7."/>
      <w:lvlJc w:val="left"/>
      <w:pPr>
        <w:ind w:left="5280" w:hanging="360"/>
      </w:pPr>
    </w:lvl>
    <w:lvl w:ilvl="7" w:tplc="0C0A0019" w:tentative="1">
      <w:start w:val="1"/>
      <w:numFmt w:val="lowerLetter"/>
      <w:lvlText w:val="%8."/>
      <w:lvlJc w:val="left"/>
      <w:pPr>
        <w:ind w:left="6000" w:hanging="360"/>
      </w:pPr>
    </w:lvl>
    <w:lvl w:ilvl="8" w:tplc="0C0A001B" w:tentative="1">
      <w:start w:val="1"/>
      <w:numFmt w:val="lowerRoman"/>
      <w:lvlText w:val="%9."/>
      <w:lvlJc w:val="right"/>
      <w:pPr>
        <w:ind w:left="6720" w:hanging="180"/>
      </w:pPr>
    </w:lvl>
  </w:abstractNum>
  <w:abstractNum w:abstractNumId="11">
    <w:nsid w:val="5BA17F2F"/>
    <w:multiLevelType w:val="multilevel"/>
    <w:tmpl w:val="247AE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5BD5582"/>
    <w:multiLevelType w:val="hybridMultilevel"/>
    <w:tmpl w:val="1A382AAA"/>
    <w:lvl w:ilvl="0" w:tplc="902674E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7A126984"/>
    <w:multiLevelType w:val="multilevel"/>
    <w:tmpl w:val="7D1E8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7ED20DB4"/>
    <w:multiLevelType w:val="hybridMultilevel"/>
    <w:tmpl w:val="06F2D21E"/>
    <w:lvl w:ilvl="0" w:tplc="82A2EED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2"/>
  </w:num>
  <w:num w:numId="2">
    <w:abstractNumId w:val="14"/>
  </w:num>
  <w:num w:numId="3">
    <w:abstractNumId w:val="1"/>
  </w:num>
  <w:num w:numId="4">
    <w:abstractNumId w:val="12"/>
  </w:num>
  <w:num w:numId="5">
    <w:abstractNumId w:val="9"/>
  </w:num>
  <w:num w:numId="6">
    <w:abstractNumId w:val="13"/>
  </w:num>
  <w:num w:numId="7">
    <w:abstractNumId w:val="11"/>
  </w:num>
  <w:num w:numId="8">
    <w:abstractNumId w:val="0"/>
  </w:num>
  <w:num w:numId="9">
    <w:abstractNumId w:val="3"/>
  </w:num>
  <w:num w:numId="10">
    <w:abstractNumId w:val="10"/>
  </w:num>
  <w:num w:numId="11">
    <w:abstractNumId w:val="4"/>
  </w:num>
  <w:num w:numId="12">
    <w:abstractNumId w:val="8"/>
  </w:num>
  <w:num w:numId="13">
    <w:abstractNumId w:val="7"/>
  </w:num>
  <w:num w:numId="14">
    <w:abstractNumId w:val="5"/>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60A8"/>
    <w:rsid w:val="00010572"/>
    <w:rsid w:val="000566AB"/>
    <w:rsid w:val="000701AF"/>
    <w:rsid w:val="000711BB"/>
    <w:rsid w:val="0008080F"/>
    <w:rsid w:val="00080D26"/>
    <w:rsid w:val="000973EF"/>
    <w:rsid w:val="000A4EA8"/>
    <w:rsid w:val="00102C07"/>
    <w:rsid w:val="0017064C"/>
    <w:rsid w:val="001E1E95"/>
    <w:rsid w:val="001E5E5F"/>
    <w:rsid w:val="002050DE"/>
    <w:rsid w:val="002430A8"/>
    <w:rsid w:val="002B55DB"/>
    <w:rsid w:val="002F4D48"/>
    <w:rsid w:val="00341B2D"/>
    <w:rsid w:val="003615F2"/>
    <w:rsid w:val="003B1882"/>
    <w:rsid w:val="004801E8"/>
    <w:rsid w:val="004B6BA4"/>
    <w:rsid w:val="00555ED0"/>
    <w:rsid w:val="00590CA6"/>
    <w:rsid w:val="005A04B2"/>
    <w:rsid w:val="006136BC"/>
    <w:rsid w:val="00636B03"/>
    <w:rsid w:val="006459B0"/>
    <w:rsid w:val="006857C9"/>
    <w:rsid w:val="006E60A8"/>
    <w:rsid w:val="00722DE1"/>
    <w:rsid w:val="007411D2"/>
    <w:rsid w:val="00766445"/>
    <w:rsid w:val="00784D4A"/>
    <w:rsid w:val="007859BA"/>
    <w:rsid w:val="00804FAA"/>
    <w:rsid w:val="008205AC"/>
    <w:rsid w:val="00845F2D"/>
    <w:rsid w:val="0085676B"/>
    <w:rsid w:val="008B704D"/>
    <w:rsid w:val="008D40FB"/>
    <w:rsid w:val="009768CE"/>
    <w:rsid w:val="00977233"/>
    <w:rsid w:val="009E1EE9"/>
    <w:rsid w:val="009E56D9"/>
    <w:rsid w:val="009E7E29"/>
    <w:rsid w:val="00A21D27"/>
    <w:rsid w:val="00A25B2F"/>
    <w:rsid w:val="00A36CA9"/>
    <w:rsid w:val="00BB21D6"/>
    <w:rsid w:val="00BC455A"/>
    <w:rsid w:val="00BE04EF"/>
    <w:rsid w:val="00C5031D"/>
    <w:rsid w:val="00C544E2"/>
    <w:rsid w:val="00CA2DFE"/>
    <w:rsid w:val="00D43A67"/>
    <w:rsid w:val="00E60D3C"/>
    <w:rsid w:val="00F3716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0711B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0711BB"/>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0711BB"/>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6">
    <w:name w:val="heading 6"/>
    <w:basedOn w:val="Normal"/>
    <w:next w:val="Normal"/>
    <w:link w:val="Ttulo6Car"/>
    <w:uiPriority w:val="9"/>
    <w:semiHidden/>
    <w:unhideWhenUsed/>
    <w:qFormat/>
    <w:rsid w:val="000711BB"/>
    <w:pPr>
      <w:keepNext/>
      <w:keepLines/>
      <w:spacing w:before="200" w:after="0"/>
      <w:outlineLvl w:val="5"/>
    </w:pPr>
    <w:rPr>
      <w:rFonts w:asciiTheme="majorHAnsi" w:eastAsiaTheme="majorEastAsia" w:hAnsiTheme="majorHAnsi" w:cstheme="majorBidi"/>
      <w:i/>
      <w:iCs/>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6E60A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E60A8"/>
    <w:rPr>
      <w:rFonts w:ascii="Tahoma" w:hAnsi="Tahoma" w:cs="Tahoma"/>
      <w:sz w:val="16"/>
      <w:szCs w:val="16"/>
    </w:rPr>
  </w:style>
  <w:style w:type="paragraph" w:styleId="Prrafodelista">
    <w:name w:val="List Paragraph"/>
    <w:basedOn w:val="Normal"/>
    <w:uiPriority w:val="34"/>
    <w:qFormat/>
    <w:rsid w:val="006459B0"/>
    <w:pPr>
      <w:ind w:left="720"/>
      <w:contextualSpacing/>
    </w:pPr>
  </w:style>
  <w:style w:type="character" w:customStyle="1" w:styleId="Ttulo1Car">
    <w:name w:val="Título 1 Car"/>
    <w:basedOn w:val="Fuentedeprrafopredeter"/>
    <w:link w:val="Ttulo1"/>
    <w:uiPriority w:val="9"/>
    <w:rsid w:val="000711BB"/>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0711BB"/>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rsid w:val="000711BB"/>
    <w:rPr>
      <w:rFonts w:asciiTheme="majorHAnsi" w:eastAsiaTheme="majorEastAsia" w:hAnsiTheme="majorHAnsi" w:cstheme="majorBidi"/>
      <w:b/>
      <w:bCs/>
      <w:color w:val="4F81BD" w:themeColor="accent1"/>
      <w:lang w:eastAsia="es-ES"/>
    </w:rPr>
  </w:style>
  <w:style w:type="character" w:customStyle="1" w:styleId="Ttulo6Car">
    <w:name w:val="Título 6 Car"/>
    <w:basedOn w:val="Fuentedeprrafopredeter"/>
    <w:link w:val="Ttulo6"/>
    <w:uiPriority w:val="9"/>
    <w:semiHidden/>
    <w:rsid w:val="000711BB"/>
    <w:rPr>
      <w:rFonts w:asciiTheme="majorHAnsi" w:eastAsiaTheme="majorEastAsia" w:hAnsiTheme="majorHAnsi" w:cstheme="majorBidi"/>
      <w:i/>
      <w:iCs/>
      <w:color w:val="243F60" w:themeColor="accent1" w:themeShade="7F"/>
      <w:lang w:eastAsia="es-ES"/>
    </w:rPr>
  </w:style>
  <w:style w:type="character" w:customStyle="1" w:styleId="apple-converted-space">
    <w:name w:val="apple-converted-space"/>
    <w:basedOn w:val="Fuentedeprrafopredeter"/>
    <w:rsid w:val="000711BB"/>
  </w:style>
  <w:style w:type="paragraph" w:styleId="NormalWeb">
    <w:name w:val="Normal (Web)"/>
    <w:basedOn w:val="Normal"/>
    <w:uiPriority w:val="99"/>
    <w:unhideWhenUsed/>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0711BB"/>
    <w:rPr>
      <w:b/>
      <w:bCs/>
    </w:rPr>
  </w:style>
  <w:style w:type="character" w:customStyle="1" w:styleId="media-captiontext">
    <w:name w:val="media-caption__text"/>
    <w:basedOn w:val="Fuentedeprrafopredeter"/>
    <w:rsid w:val="000711BB"/>
  </w:style>
  <w:style w:type="character" w:customStyle="1" w:styleId="bylinetitle">
    <w:name w:val="byline__title"/>
    <w:basedOn w:val="Fuentedeprrafopredeter"/>
    <w:rsid w:val="000711BB"/>
  </w:style>
  <w:style w:type="paragraph" w:customStyle="1" w:styleId="nssuperimpactfig">
    <w:name w:val="ns_super_impact__fig"/>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0711BB"/>
  </w:style>
  <w:style w:type="character" w:styleId="Hipervnculo">
    <w:name w:val="Hyperlink"/>
    <w:basedOn w:val="Fuentedeprrafopredeter"/>
    <w:uiPriority w:val="99"/>
    <w:unhideWhenUsed/>
    <w:rsid w:val="000711BB"/>
    <w:rPr>
      <w:color w:val="0000FF"/>
      <w:u w:val="single"/>
    </w:rPr>
  </w:style>
  <w:style w:type="character" w:styleId="nfasis">
    <w:name w:val="Emphasis"/>
    <w:basedOn w:val="Fuentedeprrafopredeter"/>
    <w:uiPriority w:val="20"/>
    <w:qFormat/>
    <w:rsid w:val="000711BB"/>
    <w:rPr>
      <w:i/>
      <w:iCs/>
    </w:rPr>
  </w:style>
  <w:style w:type="paragraph" w:customStyle="1" w:styleId="pre-header">
    <w:name w:val="pre-header"/>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tro">
    <w:name w:val="intro"/>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ame">
    <w:name w:val="name"/>
    <w:basedOn w:val="Fuentedeprrafopredeter"/>
    <w:rsid w:val="000711BB"/>
  </w:style>
  <w:style w:type="paragraph" w:customStyle="1" w:styleId="Epgrafe1">
    <w:name w:val="Epígrafe1"/>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pgrafe2">
    <w:name w:val="Epígrafe2"/>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headlinemeta">
    <w:name w:val="headline_meta"/>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mpany-name-type">
    <w:name w:val="company-name-type"/>
    <w:rsid w:val="000711BB"/>
    <w:rPr>
      <w:rFonts w:cs="Times New Roman"/>
    </w:rPr>
  </w:style>
  <w:style w:type="paragraph" w:customStyle="1" w:styleId="subhead">
    <w:name w:val="subhead"/>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yline">
    <w:name w:val="byline"/>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DireccinHTML">
    <w:name w:val="HTML Address"/>
    <w:basedOn w:val="Normal"/>
    <w:link w:val="DireccinHTMLCar"/>
    <w:uiPriority w:val="99"/>
    <w:semiHidden/>
    <w:unhideWhenUsed/>
    <w:rsid w:val="000711BB"/>
    <w:pPr>
      <w:spacing w:after="0" w:line="240" w:lineRule="auto"/>
    </w:pPr>
    <w:rPr>
      <w:rFonts w:ascii="Times New Roman" w:eastAsia="Times New Roman" w:hAnsi="Times New Roman" w:cs="Times New Roman"/>
      <w:sz w:val="24"/>
      <w:szCs w:val="24"/>
      <w:lang w:eastAsia="es-ES"/>
    </w:rPr>
  </w:style>
  <w:style w:type="character" w:customStyle="1" w:styleId="DireccinHTMLCar">
    <w:name w:val="Dirección HTML Car"/>
    <w:basedOn w:val="Fuentedeprrafopredeter"/>
    <w:link w:val="DireccinHTML"/>
    <w:uiPriority w:val="99"/>
    <w:semiHidden/>
    <w:rsid w:val="000711BB"/>
    <w:rPr>
      <w:rFonts w:ascii="Times New Roman" w:eastAsia="Times New Roman" w:hAnsi="Times New Roman" w:cs="Times New Roman"/>
      <w:sz w:val="24"/>
      <w:szCs w:val="24"/>
      <w:lang w:eastAsia="es-ES"/>
    </w:rPr>
  </w:style>
  <w:style w:type="paragraph" w:customStyle="1" w:styleId="entradilla">
    <w:name w:val="entradilla"/>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cint2">
    <w:name w:val="cint2"/>
    <w:basedOn w:val="Normal"/>
    <w:rsid w:val="000711BB"/>
    <w:pPr>
      <w:spacing w:before="165" w:after="0" w:line="240" w:lineRule="auto"/>
      <w:ind w:left="120"/>
    </w:pPr>
    <w:rPr>
      <w:rFonts w:ascii="Arial" w:eastAsia="Times New Roman" w:hAnsi="Arial" w:cs="Arial"/>
      <w:b/>
      <w:bCs/>
      <w:sz w:val="17"/>
      <w:szCs w:val="17"/>
      <w:lang w:eastAsia="es-ES"/>
    </w:rPr>
  </w:style>
  <w:style w:type="paragraph" w:customStyle="1" w:styleId="texto4">
    <w:name w:val="texto4"/>
    <w:basedOn w:val="Normal"/>
    <w:rsid w:val="000711BB"/>
    <w:pPr>
      <w:spacing w:after="0" w:line="315" w:lineRule="atLeast"/>
      <w:ind w:left="120"/>
    </w:pPr>
    <w:rPr>
      <w:rFonts w:ascii="Georgia" w:eastAsia="Times New Roman" w:hAnsi="Georgia" w:cs="Times New Roman"/>
      <w:b/>
      <w:bCs/>
      <w:color w:val="FFFFFF"/>
      <w:sz w:val="30"/>
      <w:szCs w:val="30"/>
      <w:lang w:eastAsia="es-ES"/>
    </w:rPr>
  </w:style>
  <w:style w:type="paragraph" w:customStyle="1" w:styleId="figcaption">
    <w:name w:val="figcaption"/>
    <w:basedOn w:val="Normal"/>
    <w:rsid w:val="000711BB"/>
    <w:pPr>
      <w:spacing w:after="0" w:line="240" w:lineRule="auto"/>
    </w:pPr>
    <w:rPr>
      <w:rFonts w:ascii="Times New Roman" w:eastAsia="Times New Roman" w:hAnsi="Times New Roman" w:cs="Times New Roman"/>
      <w:sz w:val="24"/>
      <w:szCs w:val="24"/>
      <w:lang w:eastAsia="es-ES"/>
    </w:rPr>
  </w:style>
  <w:style w:type="character" w:customStyle="1" w:styleId="firmafoto2">
    <w:name w:val="firmafoto2"/>
    <w:basedOn w:val="Fuentedeprrafopredeter"/>
    <w:rsid w:val="000711BB"/>
  </w:style>
  <w:style w:type="paragraph" w:customStyle="1" w:styleId="Default">
    <w:name w:val="Default"/>
    <w:rsid w:val="000711BB"/>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character" w:customStyle="1" w:styleId="st1">
    <w:name w:val="st1"/>
    <w:basedOn w:val="Fuentedeprrafopredeter"/>
    <w:rsid w:val="000711BB"/>
  </w:style>
  <w:style w:type="character" w:customStyle="1" w:styleId="relateditemlabel">
    <w:name w:val="related_item_label"/>
    <w:basedOn w:val="Fuentedeprrafopredeter"/>
    <w:rsid w:val="000711BB"/>
  </w:style>
  <w:style w:type="character" w:customStyle="1" w:styleId="tickerwrap">
    <w:name w:val="ticker_wrap"/>
    <w:basedOn w:val="Fuentedeprrafopredeter"/>
    <w:rsid w:val="000711B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0711B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0711BB"/>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0711BB"/>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6">
    <w:name w:val="heading 6"/>
    <w:basedOn w:val="Normal"/>
    <w:next w:val="Normal"/>
    <w:link w:val="Ttulo6Car"/>
    <w:uiPriority w:val="9"/>
    <w:semiHidden/>
    <w:unhideWhenUsed/>
    <w:qFormat/>
    <w:rsid w:val="000711BB"/>
    <w:pPr>
      <w:keepNext/>
      <w:keepLines/>
      <w:spacing w:before="200" w:after="0"/>
      <w:outlineLvl w:val="5"/>
    </w:pPr>
    <w:rPr>
      <w:rFonts w:asciiTheme="majorHAnsi" w:eastAsiaTheme="majorEastAsia" w:hAnsiTheme="majorHAnsi" w:cstheme="majorBidi"/>
      <w:i/>
      <w:iCs/>
      <w:color w:val="243F60"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6E60A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E60A8"/>
    <w:rPr>
      <w:rFonts w:ascii="Tahoma" w:hAnsi="Tahoma" w:cs="Tahoma"/>
      <w:sz w:val="16"/>
      <w:szCs w:val="16"/>
    </w:rPr>
  </w:style>
  <w:style w:type="paragraph" w:styleId="Prrafodelista">
    <w:name w:val="List Paragraph"/>
    <w:basedOn w:val="Normal"/>
    <w:uiPriority w:val="34"/>
    <w:qFormat/>
    <w:rsid w:val="006459B0"/>
    <w:pPr>
      <w:ind w:left="720"/>
      <w:contextualSpacing/>
    </w:pPr>
  </w:style>
  <w:style w:type="character" w:customStyle="1" w:styleId="Ttulo1Car">
    <w:name w:val="Título 1 Car"/>
    <w:basedOn w:val="Fuentedeprrafopredeter"/>
    <w:link w:val="Ttulo1"/>
    <w:uiPriority w:val="9"/>
    <w:rsid w:val="000711BB"/>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0711BB"/>
    <w:rPr>
      <w:rFonts w:asciiTheme="majorHAnsi" w:eastAsiaTheme="majorEastAsia" w:hAnsiTheme="majorHAnsi" w:cstheme="majorBidi"/>
      <w:b/>
      <w:bCs/>
      <w:color w:val="4F81BD" w:themeColor="accent1"/>
      <w:sz w:val="26"/>
      <w:szCs w:val="26"/>
      <w:lang w:eastAsia="es-ES"/>
    </w:rPr>
  </w:style>
  <w:style w:type="character" w:customStyle="1" w:styleId="Ttulo3Car">
    <w:name w:val="Título 3 Car"/>
    <w:basedOn w:val="Fuentedeprrafopredeter"/>
    <w:link w:val="Ttulo3"/>
    <w:uiPriority w:val="9"/>
    <w:rsid w:val="000711BB"/>
    <w:rPr>
      <w:rFonts w:asciiTheme="majorHAnsi" w:eastAsiaTheme="majorEastAsia" w:hAnsiTheme="majorHAnsi" w:cstheme="majorBidi"/>
      <w:b/>
      <w:bCs/>
      <w:color w:val="4F81BD" w:themeColor="accent1"/>
      <w:lang w:eastAsia="es-ES"/>
    </w:rPr>
  </w:style>
  <w:style w:type="character" w:customStyle="1" w:styleId="Ttulo6Car">
    <w:name w:val="Título 6 Car"/>
    <w:basedOn w:val="Fuentedeprrafopredeter"/>
    <w:link w:val="Ttulo6"/>
    <w:uiPriority w:val="9"/>
    <w:semiHidden/>
    <w:rsid w:val="000711BB"/>
    <w:rPr>
      <w:rFonts w:asciiTheme="majorHAnsi" w:eastAsiaTheme="majorEastAsia" w:hAnsiTheme="majorHAnsi" w:cstheme="majorBidi"/>
      <w:i/>
      <w:iCs/>
      <w:color w:val="243F60" w:themeColor="accent1" w:themeShade="7F"/>
      <w:lang w:eastAsia="es-ES"/>
    </w:rPr>
  </w:style>
  <w:style w:type="character" w:customStyle="1" w:styleId="apple-converted-space">
    <w:name w:val="apple-converted-space"/>
    <w:basedOn w:val="Fuentedeprrafopredeter"/>
    <w:rsid w:val="000711BB"/>
  </w:style>
  <w:style w:type="paragraph" w:styleId="NormalWeb">
    <w:name w:val="Normal (Web)"/>
    <w:basedOn w:val="Normal"/>
    <w:uiPriority w:val="99"/>
    <w:unhideWhenUsed/>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0711BB"/>
    <w:rPr>
      <w:b/>
      <w:bCs/>
    </w:rPr>
  </w:style>
  <w:style w:type="character" w:customStyle="1" w:styleId="media-captiontext">
    <w:name w:val="media-caption__text"/>
    <w:basedOn w:val="Fuentedeprrafopredeter"/>
    <w:rsid w:val="000711BB"/>
  </w:style>
  <w:style w:type="character" w:customStyle="1" w:styleId="bylinetitle">
    <w:name w:val="byline__title"/>
    <w:basedOn w:val="Fuentedeprrafopredeter"/>
    <w:rsid w:val="000711BB"/>
  </w:style>
  <w:style w:type="paragraph" w:customStyle="1" w:styleId="nssuperimpactfig">
    <w:name w:val="ns_super_impact__fig"/>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0711BB"/>
  </w:style>
  <w:style w:type="character" w:styleId="Hipervnculo">
    <w:name w:val="Hyperlink"/>
    <w:basedOn w:val="Fuentedeprrafopredeter"/>
    <w:uiPriority w:val="99"/>
    <w:unhideWhenUsed/>
    <w:rsid w:val="000711BB"/>
    <w:rPr>
      <w:color w:val="0000FF"/>
      <w:u w:val="single"/>
    </w:rPr>
  </w:style>
  <w:style w:type="character" w:styleId="nfasis">
    <w:name w:val="Emphasis"/>
    <w:basedOn w:val="Fuentedeprrafopredeter"/>
    <w:uiPriority w:val="20"/>
    <w:qFormat/>
    <w:rsid w:val="000711BB"/>
    <w:rPr>
      <w:i/>
      <w:iCs/>
    </w:rPr>
  </w:style>
  <w:style w:type="paragraph" w:customStyle="1" w:styleId="pre-header">
    <w:name w:val="pre-header"/>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intro">
    <w:name w:val="intro"/>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ame">
    <w:name w:val="name"/>
    <w:basedOn w:val="Fuentedeprrafopredeter"/>
    <w:rsid w:val="000711BB"/>
  </w:style>
  <w:style w:type="paragraph" w:customStyle="1" w:styleId="Epgrafe1">
    <w:name w:val="Epígrafe1"/>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pgrafe2">
    <w:name w:val="Epígrafe2"/>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headlinemeta">
    <w:name w:val="headline_meta"/>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mpany-name-type">
    <w:name w:val="company-name-type"/>
    <w:rsid w:val="000711BB"/>
    <w:rPr>
      <w:rFonts w:cs="Times New Roman"/>
    </w:rPr>
  </w:style>
  <w:style w:type="paragraph" w:customStyle="1" w:styleId="subhead">
    <w:name w:val="subhead"/>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yline">
    <w:name w:val="byline"/>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DireccinHTML">
    <w:name w:val="HTML Address"/>
    <w:basedOn w:val="Normal"/>
    <w:link w:val="DireccinHTMLCar"/>
    <w:uiPriority w:val="99"/>
    <w:semiHidden/>
    <w:unhideWhenUsed/>
    <w:rsid w:val="000711BB"/>
    <w:pPr>
      <w:spacing w:after="0" w:line="240" w:lineRule="auto"/>
    </w:pPr>
    <w:rPr>
      <w:rFonts w:ascii="Times New Roman" w:eastAsia="Times New Roman" w:hAnsi="Times New Roman" w:cs="Times New Roman"/>
      <w:sz w:val="24"/>
      <w:szCs w:val="24"/>
      <w:lang w:eastAsia="es-ES"/>
    </w:rPr>
  </w:style>
  <w:style w:type="character" w:customStyle="1" w:styleId="DireccinHTMLCar">
    <w:name w:val="Dirección HTML Car"/>
    <w:basedOn w:val="Fuentedeprrafopredeter"/>
    <w:link w:val="DireccinHTML"/>
    <w:uiPriority w:val="99"/>
    <w:semiHidden/>
    <w:rsid w:val="000711BB"/>
    <w:rPr>
      <w:rFonts w:ascii="Times New Roman" w:eastAsia="Times New Roman" w:hAnsi="Times New Roman" w:cs="Times New Roman"/>
      <w:sz w:val="24"/>
      <w:szCs w:val="24"/>
      <w:lang w:eastAsia="es-ES"/>
    </w:rPr>
  </w:style>
  <w:style w:type="paragraph" w:customStyle="1" w:styleId="entradilla">
    <w:name w:val="entradilla"/>
    <w:basedOn w:val="Normal"/>
    <w:rsid w:val="000711B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cint2">
    <w:name w:val="cint2"/>
    <w:basedOn w:val="Normal"/>
    <w:rsid w:val="000711BB"/>
    <w:pPr>
      <w:spacing w:before="165" w:after="0" w:line="240" w:lineRule="auto"/>
      <w:ind w:left="120"/>
    </w:pPr>
    <w:rPr>
      <w:rFonts w:ascii="Arial" w:eastAsia="Times New Roman" w:hAnsi="Arial" w:cs="Arial"/>
      <w:b/>
      <w:bCs/>
      <w:sz w:val="17"/>
      <w:szCs w:val="17"/>
      <w:lang w:eastAsia="es-ES"/>
    </w:rPr>
  </w:style>
  <w:style w:type="paragraph" w:customStyle="1" w:styleId="texto4">
    <w:name w:val="texto4"/>
    <w:basedOn w:val="Normal"/>
    <w:rsid w:val="000711BB"/>
    <w:pPr>
      <w:spacing w:after="0" w:line="315" w:lineRule="atLeast"/>
      <w:ind w:left="120"/>
    </w:pPr>
    <w:rPr>
      <w:rFonts w:ascii="Georgia" w:eastAsia="Times New Roman" w:hAnsi="Georgia" w:cs="Times New Roman"/>
      <w:b/>
      <w:bCs/>
      <w:color w:val="FFFFFF"/>
      <w:sz w:val="30"/>
      <w:szCs w:val="30"/>
      <w:lang w:eastAsia="es-ES"/>
    </w:rPr>
  </w:style>
  <w:style w:type="paragraph" w:customStyle="1" w:styleId="figcaption">
    <w:name w:val="figcaption"/>
    <w:basedOn w:val="Normal"/>
    <w:rsid w:val="000711BB"/>
    <w:pPr>
      <w:spacing w:after="0" w:line="240" w:lineRule="auto"/>
    </w:pPr>
    <w:rPr>
      <w:rFonts w:ascii="Times New Roman" w:eastAsia="Times New Roman" w:hAnsi="Times New Roman" w:cs="Times New Roman"/>
      <w:sz w:val="24"/>
      <w:szCs w:val="24"/>
      <w:lang w:eastAsia="es-ES"/>
    </w:rPr>
  </w:style>
  <w:style w:type="character" w:customStyle="1" w:styleId="firmafoto2">
    <w:name w:val="firmafoto2"/>
    <w:basedOn w:val="Fuentedeprrafopredeter"/>
    <w:rsid w:val="000711BB"/>
  </w:style>
  <w:style w:type="paragraph" w:customStyle="1" w:styleId="Default">
    <w:name w:val="Default"/>
    <w:rsid w:val="000711BB"/>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character" w:customStyle="1" w:styleId="st1">
    <w:name w:val="st1"/>
    <w:basedOn w:val="Fuentedeprrafopredeter"/>
    <w:rsid w:val="000711BB"/>
  </w:style>
  <w:style w:type="character" w:customStyle="1" w:styleId="relateditemlabel">
    <w:name w:val="related_item_label"/>
    <w:basedOn w:val="Fuentedeprrafopredeter"/>
    <w:rsid w:val="000711BB"/>
  </w:style>
  <w:style w:type="character" w:customStyle="1" w:styleId="tickerwrap">
    <w:name w:val="ticker_wrap"/>
    <w:basedOn w:val="Fuentedeprrafopredeter"/>
    <w:rsid w:val="000711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987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image" Target="media/image133.png"/><Relationship Id="rId159" Type="http://schemas.openxmlformats.org/officeDocument/2006/relationships/hyperlink" Target="https://www.treasury.gov/press-center/press-releases/Pages/hp1161.aspx" TargetMode="External"/><Relationship Id="rId170" Type="http://schemas.openxmlformats.org/officeDocument/2006/relationships/hyperlink" Target="http://www.imf.org/external/pubs/ft/weo/2016/01/" TargetMode="External"/><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8.png"/><Relationship Id="rId74" Type="http://schemas.openxmlformats.org/officeDocument/2006/relationships/image" Target="media/image69.png"/><Relationship Id="rId128" Type="http://schemas.openxmlformats.org/officeDocument/2006/relationships/image" Target="media/image123.png"/><Relationship Id="rId149" Type="http://schemas.openxmlformats.org/officeDocument/2006/relationships/image" Target="media/image144.png"/><Relationship Id="rId5" Type="http://schemas.openxmlformats.org/officeDocument/2006/relationships/webSettings" Target="webSettings.xml"/><Relationship Id="rId95" Type="http://schemas.openxmlformats.org/officeDocument/2006/relationships/image" Target="media/image90.png"/><Relationship Id="rId160" Type="http://schemas.openxmlformats.org/officeDocument/2006/relationships/hyperlink" Target="https://www.sec.gov/spotlight/money-market.shtml" TargetMode="External"/><Relationship Id="rId181" Type="http://schemas.openxmlformats.org/officeDocument/2006/relationships/image" Target="media/image148.jpeg"/><Relationship Id="rId22" Type="http://schemas.openxmlformats.org/officeDocument/2006/relationships/image" Target="media/image17.png"/><Relationship Id="rId43" Type="http://schemas.openxmlformats.org/officeDocument/2006/relationships/image" Target="media/image38.png"/><Relationship Id="rId64" Type="http://schemas.openxmlformats.org/officeDocument/2006/relationships/image" Target="media/image59.png"/><Relationship Id="rId118" Type="http://schemas.openxmlformats.org/officeDocument/2006/relationships/image" Target="media/image113.png"/><Relationship Id="rId139" Type="http://schemas.openxmlformats.org/officeDocument/2006/relationships/image" Target="media/image134.png"/><Relationship Id="rId85" Type="http://schemas.openxmlformats.org/officeDocument/2006/relationships/image" Target="media/image80.png"/><Relationship Id="rId150" Type="http://schemas.openxmlformats.org/officeDocument/2006/relationships/image" Target="media/image145.png"/><Relationship Id="rId171" Type="http://schemas.openxmlformats.org/officeDocument/2006/relationships/hyperlink" Target="http://yalebooks.com/book/9780300212655/unbalanced" TargetMode="External"/><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image" Target="media/image103.png"/><Relationship Id="rId129" Type="http://schemas.openxmlformats.org/officeDocument/2006/relationships/image" Target="media/image124.png"/><Relationship Id="rId54" Type="http://schemas.openxmlformats.org/officeDocument/2006/relationships/image" Target="media/image49.png"/><Relationship Id="rId75" Type="http://schemas.openxmlformats.org/officeDocument/2006/relationships/image" Target="media/image70.png"/><Relationship Id="rId96" Type="http://schemas.openxmlformats.org/officeDocument/2006/relationships/image" Target="media/image91.png"/><Relationship Id="rId140" Type="http://schemas.openxmlformats.org/officeDocument/2006/relationships/image" Target="media/image135.png"/><Relationship Id="rId161" Type="http://schemas.openxmlformats.org/officeDocument/2006/relationships/hyperlink" Target="http://www.squamlakegroup.org/Squam%20Lake%20MMF%20January%2014%20Final.pdf" TargetMode="External"/><Relationship Id="rId182" Type="http://schemas.openxmlformats.org/officeDocument/2006/relationships/image" Target="media/image149.png"/><Relationship Id="rId6" Type="http://schemas.openxmlformats.org/officeDocument/2006/relationships/image" Target="media/image1.png"/><Relationship Id="rId23" Type="http://schemas.openxmlformats.org/officeDocument/2006/relationships/image" Target="media/image18.png"/><Relationship Id="rId119" Type="http://schemas.openxmlformats.org/officeDocument/2006/relationships/image" Target="media/image114.png"/><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6.png"/><Relationship Id="rId86" Type="http://schemas.openxmlformats.org/officeDocument/2006/relationships/image" Target="media/image81.png"/><Relationship Id="rId130" Type="http://schemas.openxmlformats.org/officeDocument/2006/relationships/image" Target="media/image125.png"/><Relationship Id="rId135" Type="http://schemas.openxmlformats.org/officeDocument/2006/relationships/image" Target="media/image130.png"/><Relationship Id="rId151" Type="http://schemas.openxmlformats.org/officeDocument/2006/relationships/image" Target="media/image146.jpeg"/><Relationship Id="rId156" Type="http://schemas.openxmlformats.org/officeDocument/2006/relationships/hyperlink" Target="http://www.fsb.org/wp-content/uploads/Implementation-dashboard.pdf" TargetMode="External"/><Relationship Id="rId177" Type="http://schemas.openxmlformats.org/officeDocument/2006/relationships/hyperlink" Target="https://books.google.com/books?id=XK5VCwAAQBAJ&amp;pg=PT106&amp;lpg=PT106&amp;dq=If+we+are+tempted+to+assert+that+money+is+the+drink+which+stimulates+the+system+into+activity,+we+must+remind+ourselves+that+there+may+be+several+slips+between+the+cup+and+the+drink.&amp;source=bl&amp;ots=QXdVBU0Izk&amp;sig=CI8LBc9k94YPeY9LqRlrk8m7EQI&amp;hl=en&amp;sa=X&amp;ved=0ahUKEwix4YWl-e_MAhVL1ywKHadYB5oQ6AEIHDAA" TargetMode="External"/><Relationship Id="rId172" Type="http://schemas.openxmlformats.org/officeDocument/2006/relationships/hyperlink" Target="http://www.bankofengland.co.uk/monetarypolicy/pages/qe/default.aspx" TargetMode="External"/><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141" Type="http://schemas.openxmlformats.org/officeDocument/2006/relationships/image" Target="media/image136.png"/><Relationship Id="rId146" Type="http://schemas.openxmlformats.org/officeDocument/2006/relationships/image" Target="media/image141.png"/><Relationship Id="rId167" Type="http://schemas.openxmlformats.org/officeDocument/2006/relationships/hyperlink" Target="http://www.imf.org/external/pubs/ft/weo/2010/01/" TargetMode="External"/><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162" Type="http://schemas.openxmlformats.org/officeDocument/2006/relationships/hyperlink" Target="http://press.princeton.edu/titles/10421.html" TargetMode="External"/><Relationship Id="rId183"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image" Target="media/image131.png"/><Relationship Id="rId157" Type="http://schemas.openxmlformats.org/officeDocument/2006/relationships/hyperlink" Target="http://press.princeton.edu/titles/10230.html" TargetMode="External"/><Relationship Id="rId178" Type="http://schemas.openxmlformats.org/officeDocument/2006/relationships/hyperlink" Target="https://www.project-syndicate.org/onpoint/central-bankings-final-frontier-by-anatole-kaletsky-2016-05" TargetMode="External"/><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hyperlink" Target="http://www.eleconomista.es/economia/noticias/7314059/01/16/Rusia-mantiene-los-tipos-de-interes-al-11-mientras-que-la-inflacion-sube-un-13.html" TargetMode="External"/><Relationship Id="rId173" Type="http://schemas.openxmlformats.org/officeDocument/2006/relationships/hyperlink" Target="https://www.ecb.europa.eu/home/html/index.en.html" TargetMode="External"/><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168" Type="http://schemas.openxmlformats.org/officeDocument/2006/relationships/hyperlink" Target="http://www.federalreserve.gov/boardDocs/Speeches/2005/200503102/default.htm" TargetMode="External"/><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hyperlink" Target="https://www.cbo.gov/sites/default/files/114th-congress-2015-2016/reports/51129-2016Outlook.pdf" TargetMode="External"/><Relationship Id="rId184" Type="http://schemas.openxmlformats.org/officeDocument/2006/relationships/theme" Target="theme/theme1.xml"/><Relationship Id="rId3" Type="http://schemas.microsoft.com/office/2007/relationships/stylesWithEffects" Target="stylesWithEffect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hyperlink" Target="http://dealbook.nytimes.com/2008/09/17/money-market-fund-says-customers-could-lose-money/" TargetMode="External"/><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3" Type="http://schemas.openxmlformats.org/officeDocument/2006/relationships/hyperlink" Target="http://www.eleconomista.es/materias-primas/noticias/6346478/12/14/Deutsche-Bank-El-petroleo-sera-mas-barato-en-2015-el-superciclo-de-las-materias-primas-ha-terminado.html" TargetMode="External"/><Relationship Id="rId174" Type="http://schemas.openxmlformats.org/officeDocument/2006/relationships/hyperlink" Target="https://www.project-syndicate.org/commentary/italy-not-germany-leads-europe-by-anatole-kaletsky-2016-04" TargetMode="External"/><Relationship Id="rId179" Type="http://schemas.openxmlformats.org/officeDocument/2006/relationships/hyperlink" Target="http://larrysummers.com/2016/02/17/the-age-of-secular-stagnation/" TargetMode="External"/><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png"/><Relationship Id="rId148" Type="http://schemas.openxmlformats.org/officeDocument/2006/relationships/image" Target="media/image143.png"/><Relationship Id="rId164" Type="http://schemas.openxmlformats.org/officeDocument/2006/relationships/hyperlink" Target="http://www.imf.org/external/pubs/ft/fm/2016/01/pdf/fm1601.pdf" TargetMode="External"/><Relationship Id="rId169" Type="http://schemas.openxmlformats.org/officeDocument/2006/relationships/hyperlink" Target="http://www.bis.org/publ/work346.pdf" TargetMode="External"/><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hyperlink" Target="https://www.project-syndicate.org/columnist/lawrence-h--summers" TargetMode="External"/><Relationship Id="rId26" Type="http://schemas.openxmlformats.org/officeDocument/2006/relationships/image" Target="media/image21.pn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54" Type="http://schemas.openxmlformats.org/officeDocument/2006/relationships/image" Target="media/image147.png"/><Relationship Id="rId175" Type="http://schemas.openxmlformats.org/officeDocument/2006/relationships/hyperlink" Target="https://mises.org/profile/knut-wicksell-0" TargetMode="External"/><Relationship Id="rId16" Type="http://schemas.openxmlformats.org/officeDocument/2006/relationships/image" Target="media/image11.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png"/><Relationship Id="rId90" Type="http://schemas.openxmlformats.org/officeDocument/2006/relationships/image" Target="media/image85.png"/><Relationship Id="rId165" Type="http://schemas.openxmlformats.org/officeDocument/2006/relationships/hyperlink" Target="https://www.project-syndicate.org/commentary/us-trade-deficit-low-domestic-saving-by-stephen-s--roach-2016-04" TargetMode="External"/><Relationship Id="rId27" Type="http://schemas.openxmlformats.org/officeDocument/2006/relationships/image" Target="media/image22.png"/><Relationship Id="rId48" Type="http://schemas.openxmlformats.org/officeDocument/2006/relationships/image" Target="media/image43.png"/><Relationship Id="rId69" Type="http://schemas.openxmlformats.org/officeDocument/2006/relationships/image" Target="media/image64.png"/><Relationship Id="rId113" Type="http://schemas.openxmlformats.org/officeDocument/2006/relationships/image" Target="media/image108.png"/><Relationship Id="rId134" Type="http://schemas.openxmlformats.org/officeDocument/2006/relationships/image" Target="media/image129.png"/><Relationship Id="rId80" Type="http://schemas.openxmlformats.org/officeDocument/2006/relationships/image" Target="media/image75.png"/><Relationship Id="rId155" Type="http://schemas.openxmlformats.org/officeDocument/2006/relationships/hyperlink" Target="http://press.princeton.edu/titles/8967.html" TargetMode="External"/><Relationship Id="rId176" Type="http://schemas.openxmlformats.org/officeDocument/2006/relationships/hyperlink" Target="https://www.worldbank.org/content/dam/Worldbank/GEP/GEP2015b/Global-Economic-Prospects-June-2015-Global-economy-in-transition.pdf" TargetMode="External"/><Relationship Id="rId17" Type="http://schemas.openxmlformats.org/officeDocument/2006/relationships/image" Target="media/image12.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24" Type="http://schemas.openxmlformats.org/officeDocument/2006/relationships/image" Target="media/image119.png"/><Relationship Id="rId70" Type="http://schemas.openxmlformats.org/officeDocument/2006/relationships/image" Target="media/image65.png"/><Relationship Id="rId91" Type="http://schemas.openxmlformats.org/officeDocument/2006/relationships/image" Target="media/image86.png"/><Relationship Id="rId145" Type="http://schemas.openxmlformats.org/officeDocument/2006/relationships/image" Target="media/image140.png"/><Relationship Id="rId166" Type="http://schemas.openxmlformats.org/officeDocument/2006/relationships/hyperlink" Target="https://research.stlouisfed.org/fred2/series/W207RC1Q156SBEA" TargetMode="External"/><Relationship Id="rId1" Type="http://schemas.openxmlformats.org/officeDocument/2006/relationships/numbering" Target="numbering.xml"/><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247</Pages>
  <Words>93421</Words>
  <Characters>513817</Characters>
  <Application>Microsoft Office Word</Application>
  <DocSecurity>0</DocSecurity>
  <Lines>4281</Lines>
  <Paragraphs>1212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606026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2016-09-20T23:09:00Z</dcterms:created>
  <dcterms:modified xsi:type="dcterms:W3CDTF">2016-09-20T23:09:00Z</dcterms:modified>
</cp:coreProperties>
</file>