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427C" w:rsidRDefault="00BD5CCF" w:rsidP="00691E08">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¿En qué se empleó el dinero público durante la crisis 2007-2017? ¿En cuánto aumentó la deuda soberana?</w:t>
      </w:r>
    </w:p>
    <w:p w:rsidR="00BD5CCF" w:rsidRDefault="00BD5CCF" w:rsidP="00691E08">
      <w:pPr>
        <w:spacing w:line="240" w:lineRule="auto"/>
        <w:jc w:val="both"/>
        <w:rPr>
          <w:rFonts w:ascii="Times New Roman" w:hAnsi="Times New Roman" w:cs="Times New Roman"/>
          <w:b/>
          <w:sz w:val="24"/>
          <w:szCs w:val="24"/>
        </w:rPr>
      </w:pPr>
      <w:r>
        <w:rPr>
          <w:noProof/>
          <w:lang w:eastAsia="es-ES"/>
        </w:rPr>
        <w:drawing>
          <wp:inline distT="0" distB="0" distL="0" distR="0" wp14:anchorId="7C3D65BF" wp14:editId="5A754F50">
            <wp:extent cx="5726021" cy="2527300"/>
            <wp:effectExtent l="0" t="0" r="8255" b="6350"/>
            <wp:docPr id="652" name="Imagen 652" descr="Foto: Corredores de bolsa trabajan en el índice de acciones S&amp;P500.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Corredores de bolsa trabajan en el índice de acciones S&amp;P500. (EF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2529723"/>
                    </a:xfrm>
                    <a:prstGeom prst="rect">
                      <a:avLst/>
                    </a:prstGeom>
                    <a:noFill/>
                    <a:ln>
                      <a:noFill/>
                    </a:ln>
                  </pic:spPr>
                </pic:pic>
              </a:graphicData>
            </a:graphic>
          </wp:inline>
        </w:drawing>
      </w:r>
    </w:p>
    <w:p w:rsidR="00112E78" w:rsidRDefault="00D8427C" w:rsidP="00691E08">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 xml:space="preserve">- </w:t>
      </w:r>
      <w:r w:rsidR="00BD5CCF">
        <w:rPr>
          <w:rFonts w:ascii="Times New Roman" w:hAnsi="Times New Roman" w:cs="Times New Roman"/>
          <w:b/>
          <w:sz w:val="24"/>
          <w:szCs w:val="24"/>
        </w:rPr>
        <w:t>Introducción - La “década infame” y el “asno” de oro</w:t>
      </w:r>
      <w:r w:rsidR="00C03B79">
        <w:rPr>
          <w:rFonts w:ascii="Times New Roman" w:hAnsi="Times New Roman" w:cs="Times New Roman"/>
          <w:b/>
          <w:sz w:val="24"/>
          <w:szCs w:val="24"/>
        </w:rPr>
        <w:t xml:space="preserve"> (*)</w:t>
      </w:r>
      <w:r>
        <w:rPr>
          <w:rFonts w:ascii="Times New Roman" w:hAnsi="Times New Roman" w:cs="Times New Roman"/>
          <w:b/>
          <w:sz w:val="24"/>
          <w:szCs w:val="24"/>
        </w:rPr>
        <w:t xml:space="preserve"> </w:t>
      </w:r>
    </w:p>
    <w:p w:rsidR="00BD5CCF" w:rsidRPr="009D164F" w:rsidRDefault="009D164F" w:rsidP="00691E08">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009C2E92">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 xml:space="preserve"> </w:t>
      </w:r>
      <w:r>
        <w:rPr>
          <w:noProof/>
          <w:lang w:eastAsia="es-ES"/>
        </w:rPr>
        <w:drawing>
          <wp:inline distT="0" distB="0" distL="0" distR="0" wp14:anchorId="6170A4E0" wp14:editId="39720609">
            <wp:extent cx="4635500" cy="2667000"/>
            <wp:effectExtent l="0" t="0" r="0" b="0"/>
            <wp:docPr id="16" name="Imagen 16" descr="Bottle of champa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ttle of champagn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35500" cy="2667000"/>
                    </a:xfrm>
                    <a:prstGeom prst="rect">
                      <a:avLst/>
                    </a:prstGeom>
                    <a:noFill/>
                    <a:ln>
                      <a:noFill/>
                    </a:ln>
                  </pic:spPr>
                </pic:pic>
              </a:graphicData>
            </a:graphic>
          </wp:inline>
        </w:drawing>
      </w:r>
      <w:r w:rsidR="00BD5CCF">
        <w:rPr>
          <w:rFonts w:ascii="Times New Roman" w:hAnsi="Times New Roman" w:cs="Times New Roman"/>
          <w:b/>
          <w:sz w:val="24"/>
          <w:szCs w:val="24"/>
        </w:rPr>
        <w:t xml:space="preserve">                            </w:t>
      </w:r>
      <w:r w:rsidR="00660240">
        <w:rPr>
          <w:rFonts w:ascii="Times New Roman" w:hAnsi="Times New Roman" w:cs="Times New Roman"/>
          <w:b/>
          <w:sz w:val="24"/>
          <w:szCs w:val="24"/>
        </w:rPr>
        <w:t xml:space="preserve">                   </w:t>
      </w:r>
    </w:p>
    <w:p w:rsidR="00C03B79" w:rsidRDefault="00C03B79" w:rsidP="00C03B79">
      <w:pPr>
        <w:pStyle w:val="NormalWeb"/>
        <w:shd w:val="clear" w:color="auto" w:fill="FFFFFF"/>
        <w:spacing w:after="0"/>
        <w:jc w:val="both"/>
        <w:textAlignment w:val="baseline"/>
      </w:pPr>
      <w:r>
        <w:t>(*) el “asno” de oro es el sector financiero, que está “matando” al c</w:t>
      </w:r>
      <w:r w:rsidR="00EF3F2D">
        <w:t>apitalismo por exceso de adoración</w:t>
      </w:r>
      <w:r w:rsidR="00B94AB8">
        <w:t xml:space="preserve"> al</w:t>
      </w:r>
      <w:r>
        <w:t xml:space="preserve"> “becerro” de oro.</w:t>
      </w:r>
      <w:r w:rsidR="00B94AB8">
        <w:t xml:space="preserve"> </w:t>
      </w:r>
    </w:p>
    <w:p w:rsidR="00BD5CCF" w:rsidRPr="00D8427C" w:rsidRDefault="00DA41E1" w:rsidP="00691E08">
      <w:pPr>
        <w:spacing w:line="240" w:lineRule="auto"/>
        <w:jc w:val="both"/>
        <w:rPr>
          <w:rFonts w:ascii="Times New Roman" w:hAnsi="Times New Roman" w:cs="Times New Roman"/>
          <w:sz w:val="24"/>
          <w:szCs w:val="24"/>
        </w:rPr>
      </w:pPr>
      <w:r w:rsidRPr="00D8427C">
        <w:rPr>
          <w:rFonts w:ascii="Times New Roman" w:hAnsi="Times New Roman" w:cs="Times New Roman"/>
          <w:sz w:val="24"/>
          <w:szCs w:val="24"/>
        </w:rPr>
        <w:t>En Estados Unidos, la Fed mantuvo los tipos de interés a cero desde noviembre de 2008 a diciembre de 2015, durante el mayor período de la historia, y realizó compras de deuda hasta engordar su balance hasta los 4,5 billones de dólares</w:t>
      </w:r>
      <w:r w:rsidR="009D164F">
        <w:rPr>
          <w:rFonts w:ascii="Times New Roman" w:hAnsi="Times New Roman" w:cs="Times New Roman"/>
          <w:sz w:val="24"/>
          <w:szCs w:val="24"/>
        </w:rPr>
        <w:t>…</w:t>
      </w:r>
      <w:r w:rsidR="007B181F">
        <w:rPr>
          <w:rFonts w:ascii="Times New Roman" w:hAnsi="Times New Roman" w:cs="Times New Roman"/>
          <w:sz w:val="24"/>
          <w:szCs w:val="24"/>
        </w:rPr>
        <w:t xml:space="preserve"> para rescatar a los “bancos (americanos) demasiado grandes para caer” e inyectar “anabólicos” a los mercados bursátiles (inflando artificialmente el valor de los activos).    </w:t>
      </w:r>
    </w:p>
    <w:p w:rsidR="007B181F" w:rsidRDefault="00DA41E1" w:rsidP="00691E08">
      <w:pPr>
        <w:spacing w:line="240" w:lineRule="auto"/>
        <w:jc w:val="both"/>
        <w:rPr>
          <w:rFonts w:ascii="Times New Roman" w:hAnsi="Times New Roman" w:cs="Times New Roman"/>
          <w:sz w:val="24"/>
          <w:szCs w:val="24"/>
        </w:rPr>
      </w:pPr>
      <w:r w:rsidRPr="00D8427C">
        <w:rPr>
          <w:rFonts w:ascii="Times New Roman" w:hAnsi="Times New Roman" w:cs="Times New Roman"/>
          <w:sz w:val="24"/>
          <w:szCs w:val="24"/>
        </w:rPr>
        <w:t>El Banco Central Europeo ha acumulado 4,2 billones de euros en balance durante ese período</w:t>
      </w:r>
      <w:r w:rsidR="009D164F">
        <w:rPr>
          <w:rFonts w:ascii="Times New Roman" w:hAnsi="Times New Roman" w:cs="Times New Roman"/>
          <w:sz w:val="24"/>
          <w:szCs w:val="24"/>
        </w:rPr>
        <w:t>…</w:t>
      </w:r>
      <w:r w:rsidR="007B181F">
        <w:rPr>
          <w:rFonts w:ascii="Times New Roman" w:hAnsi="Times New Roman" w:cs="Times New Roman"/>
          <w:sz w:val="24"/>
          <w:szCs w:val="24"/>
        </w:rPr>
        <w:t xml:space="preserve"> para rescatar a los “bancos (europeos) demasiado grandes para caer” e inyectar “anabólicos” a los mercados bursátiles (inflando artificialmente el valor de los activos).  </w:t>
      </w:r>
    </w:p>
    <w:p w:rsidR="00660240" w:rsidRDefault="00DA41E1" w:rsidP="00691E08">
      <w:pPr>
        <w:spacing w:line="240" w:lineRule="auto"/>
        <w:jc w:val="both"/>
        <w:rPr>
          <w:rFonts w:ascii="Times New Roman" w:hAnsi="Times New Roman" w:cs="Times New Roman"/>
          <w:sz w:val="24"/>
          <w:szCs w:val="24"/>
        </w:rPr>
      </w:pPr>
      <w:r w:rsidRPr="00D8427C">
        <w:rPr>
          <w:rFonts w:ascii="Times New Roman" w:hAnsi="Times New Roman" w:cs="Times New Roman"/>
          <w:sz w:val="24"/>
          <w:szCs w:val="24"/>
        </w:rPr>
        <w:t>La dependencia de los bancos centrales sigue siendo enorme. Diez años después, aún no se ha logrado romper el vínculo entre riesgo bancario y riesgo soberano.</w:t>
      </w:r>
      <w:r w:rsidR="00260FC6" w:rsidRPr="00D8427C">
        <w:rPr>
          <w:rFonts w:ascii="Times New Roman" w:hAnsi="Times New Roman" w:cs="Times New Roman"/>
          <w:sz w:val="24"/>
          <w:szCs w:val="24"/>
        </w:rPr>
        <w:t xml:space="preserve"> Los elevados niveles de </w:t>
      </w:r>
      <w:r w:rsidR="00260FC6" w:rsidRPr="00D8427C">
        <w:rPr>
          <w:rFonts w:ascii="Times New Roman" w:hAnsi="Times New Roman" w:cs="Times New Roman"/>
          <w:sz w:val="24"/>
          <w:szCs w:val="24"/>
        </w:rPr>
        <w:lastRenderedPageBreak/>
        <w:t>deuda que deja la crisis plantean también el desafío de lograr unos niveles de crecimiento sostenibles con los que asegurar los pagos.</w:t>
      </w:r>
    </w:p>
    <w:p w:rsidR="00F26A6F" w:rsidRDefault="00F26A6F" w:rsidP="00F26A6F">
      <w:pPr>
        <w:pStyle w:val="NormalWeb"/>
        <w:shd w:val="clear" w:color="auto" w:fill="FFFFFF"/>
        <w:spacing w:after="0"/>
        <w:jc w:val="both"/>
        <w:textAlignment w:val="baseline"/>
      </w:pPr>
      <w:r w:rsidRPr="00F26A6F">
        <w:t>En Estados Unidos el sector financiero genera solo el 4% del empleo, pero representa más del 25% de los beneficios empresariales. Y la mitad de las compañías estadounidenses que generan ganancias del 25% o más son firmas tecnológicas. Lo mismo ha ocurrido al nivel organizacional. El 10% más rentable de las firmas estadounidenses es ocho veces más rentable que la empresa media. En los años 90, este múltiplo era solo tres.</w:t>
      </w:r>
    </w:p>
    <w:p w:rsidR="007E70F6" w:rsidRDefault="007E70F6" w:rsidP="007E70F6">
      <w:pPr>
        <w:pStyle w:val="NormalWeb"/>
        <w:shd w:val="clear" w:color="auto" w:fill="FFFFFF"/>
        <w:spacing w:after="0"/>
        <w:jc w:val="both"/>
        <w:textAlignment w:val="baseline"/>
      </w:pPr>
      <w:r>
        <w:rPr>
          <w:i/>
        </w:rPr>
        <w:t>“</w:t>
      </w:r>
      <w:r w:rsidRPr="00691E08">
        <w:rPr>
          <w:i/>
        </w:rPr>
        <w:t>La economía europea sigue gripada. El PIB crece menos del 2%, pese a los intensos estímulos monetarios puestos en marcha por el BCE. Los riesgos políticos cotizan al alza</w:t>
      </w:r>
      <w:r>
        <w:rPr>
          <w:i/>
        </w:rPr>
        <w:t xml:space="preserve">”… </w:t>
      </w:r>
      <w:r>
        <w:t>¿</w:t>
      </w:r>
      <w:r w:rsidRPr="0043466C">
        <w:rPr>
          <w:u w:val="single"/>
        </w:rPr>
        <w:t>Trampa de liquidez? La economía europea languidece, pese a los estímulos del BCE</w:t>
      </w:r>
      <w:r>
        <w:t xml:space="preserve"> (El Confidencial - Carlos Álvarez - </w:t>
      </w:r>
      <w:r w:rsidRPr="0043466C">
        <w:rPr>
          <w:b/>
        </w:rPr>
        <w:t>8/3/17</w:t>
      </w:r>
      <w:r>
        <w:t>)</w:t>
      </w:r>
    </w:p>
    <w:p w:rsidR="007E70F6" w:rsidRDefault="007E70F6" w:rsidP="007E70F6">
      <w:pPr>
        <w:pStyle w:val="NormalWeb"/>
        <w:shd w:val="clear" w:color="auto" w:fill="FFFFFF"/>
        <w:spacing w:after="0"/>
        <w:jc w:val="both"/>
        <w:textAlignment w:val="baseline"/>
        <w:rPr>
          <w:i/>
        </w:rPr>
      </w:pPr>
      <w:r>
        <w:rPr>
          <w:noProof/>
          <w:sz w:val="20"/>
          <w:szCs w:val="20"/>
        </w:rPr>
        <w:drawing>
          <wp:inline distT="0" distB="0" distL="0" distR="0" wp14:anchorId="665E46E2" wp14:editId="49D22E1C">
            <wp:extent cx="5734050" cy="2514600"/>
            <wp:effectExtent l="0" t="0" r="0" b="0"/>
            <wp:docPr id="11" name="Imagen 11" descr="Fo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oto: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2514600"/>
                    </a:xfrm>
                    <a:prstGeom prst="rect">
                      <a:avLst/>
                    </a:prstGeom>
                    <a:noFill/>
                    <a:ln>
                      <a:noFill/>
                    </a:ln>
                  </pic:spPr>
                </pic:pic>
              </a:graphicData>
            </a:graphic>
          </wp:inline>
        </w:drawing>
      </w:r>
    </w:p>
    <w:p w:rsidR="007E70F6" w:rsidRPr="00691E08" w:rsidRDefault="007E70F6" w:rsidP="007E70F6">
      <w:pPr>
        <w:pStyle w:val="NormalWeb"/>
        <w:shd w:val="clear" w:color="auto" w:fill="FFFFFF"/>
        <w:spacing w:after="0"/>
        <w:jc w:val="both"/>
        <w:textAlignment w:val="baseline"/>
        <w:rPr>
          <w:i/>
        </w:rPr>
      </w:pPr>
      <w:r>
        <w:rPr>
          <w:i/>
        </w:rPr>
        <w:t>“</w:t>
      </w:r>
      <w:r w:rsidRPr="00691E08">
        <w:rPr>
          <w:i/>
        </w:rPr>
        <w:t>Los QEs, llegaron a 4,2 billones de dólares y casi la mitad se fue a reservas excedentarias</w:t>
      </w:r>
      <w:r>
        <w:rPr>
          <w:i/>
        </w:rPr>
        <w:t xml:space="preserve">”… </w:t>
      </w:r>
      <w:r>
        <w:t xml:space="preserve">(Vozpópuli - </w:t>
      </w:r>
      <w:r w:rsidRPr="0005293D">
        <w:rPr>
          <w:b/>
        </w:rPr>
        <w:t>12/7/17</w:t>
      </w:r>
      <w:r>
        <w:t>)</w:t>
      </w:r>
    </w:p>
    <w:p w:rsidR="007E70F6" w:rsidRDefault="007E70F6" w:rsidP="007E70F6">
      <w:pPr>
        <w:spacing w:line="240" w:lineRule="auto"/>
        <w:jc w:val="both"/>
        <w:rPr>
          <w:rFonts w:ascii="Times New Roman" w:hAnsi="Times New Roman" w:cs="Times New Roman"/>
        </w:rPr>
      </w:pPr>
      <w:r>
        <w:rPr>
          <w:noProof/>
          <w:lang w:eastAsia="es-ES"/>
        </w:rPr>
        <w:drawing>
          <wp:inline distT="0" distB="0" distL="0" distR="0" wp14:anchorId="1F3FB221" wp14:editId="69A15A2D">
            <wp:extent cx="5734050" cy="2419350"/>
            <wp:effectExtent l="0" t="0" r="0" b="0"/>
            <wp:docPr id="12" name="Imagen 12" descr="Qtity of Money &amp; Excess of Rese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Qtity of Money &amp; Excess of Reserv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418278"/>
                    </a:xfrm>
                    <a:prstGeom prst="rect">
                      <a:avLst/>
                    </a:prstGeom>
                    <a:noFill/>
                    <a:ln>
                      <a:noFill/>
                    </a:ln>
                  </pic:spPr>
                </pic:pic>
              </a:graphicData>
            </a:graphic>
          </wp:inline>
        </w:drawing>
      </w:r>
    </w:p>
    <w:p w:rsidR="007E70F6" w:rsidRPr="007E70F6" w:rsidRDefault="007E70F6" w:rsidP="007E70F6">
      <w:pPr>
        <w:pStyle w:val="NormalWeb"/>
        <w:shd w:val="clear" w:color="auto" w:fill="FFFFFF"/>
        <w:spacing w:after="0"/>
        <w:jc w:val="both"/>
        <w:textAlignment w:val="baseline"/>
      </w:pPr>
      <w:r>
        <w:rPr>
          <w:i/>
        </w:rPr>
        <w:t>“</w:t>
      </w:r>
      <w:r w:rsidRPr="00691E08">
        <w:rPr>
          <w:i/>
        </w:rPr>
        <w:t xml:space="preserve">El BCE ha superado con mucho a la Fed. El balance del BCE ya supera el 36% del PIB de la Eurozona y controla el 10% de los bonos corporativos, una “nacionalización” del mercado de deuda corporativa viva de casi un 1% mensual. En el caso de EEUU, menos de </w:t>
      </w:r>
      <w:r w:rsidRPr="00691E08">
        <w:rPr>
          <w:i/>
        </w:rPr>
        <w:lastRenderedPageBreak/>
        <w:t>10 puntos por debajo. Solo el Banco de Japón, y ya sabemos el nivel de deuda y estancamiento que tiene el país, supera al BCE. Y el riesgo de seguir la senda de Japón no es pequeño</w:t>
      </w:r>
      <w:r>
        <w:rPr>
          <w:i/>
        </w:rPr>
        <w:t>”..</w:t>
      </w:r>
      <w:r w:rsidRPr="0043466C">
        <w:t>.</w:t>
      </w:r>
      <w:r>
        <w:t xml:space="preserve"> (El Español - Daniel Lacalle </w:t>
      </w:r>
      <w:r w:rsidRPr="0043466C">
        <w:rPr>
          <w:b/>
        </w:rPr>
        <w:t>15/5/17</w:t>
      </w:r>
      <w:r>
        <w:t>)</w:t>
      </w:r>
    </w:p>
    <w:p w:rsidR="007E70F6" w:rsidRPr="007F6651" w:rsidRDefault="007E70F6" w:rsidP="007E70F6">
      <w:pPr>
        <w:spacing w:line="240" w:lineRule="auto"/>
        <w:jc w:val="both"/>
        <w:rPr>
          <w:rFonts w:ascii="Times New Roman" w:hAnsi="Times New Roman" w:cs="Times New Roman"/>
          <w:sz w:val="24"/>
          <w:szCs w:val="24"/>
        </w:rPr>
      </w:pPr>
      <w:r w:rsidRPr="007F6651">
        <w:rPr>
          <w:rFonts w:ascii="Times New Roman" w:hAnsi="Times New Roman" w:cs="Times New Roman"/>
          <w:sz w:val="24"/>
          <w:szCs w:val="24"/>
        </w:rPr>
        <w:t xml:space="preserve">- Greenspan: “hay una burbuja, pero no en la Bolsa, sino en la deuda” (Expansión - </w:t>
      </w:r>
      <w:r w:rsidRPr="007F6651">
        <w:rPr>
          <w:rFonts w:ascii="Times New Roman" w:hAnsi="Times New Roman" w:cs="Times New Roman"/>
          <w:b/>
          <w:sz w:val="24"/>
          <w:szCs w:val="24"/>
        </w:rPr>
        <w:t>2/8/17</w:t>
      </w:r>
      <w:r w:rsidRPr="007F6651">
        <w:rPr>
          <w:rFonts w:ascii="Times New Roman" w:hAnsi="Times New Roman" w:cs="Times New Roman"/>
          <w:sz w:val="24"/>
          <w:szCs w:val="24"/>
        </w:rPr>
        <w:t>)</w:t>
      </w:r>
    </w:p>
    <w:p w:rsidR="007E70F6" w:rsidRPr="007F6651" w:rsidRDefault="007E70F6" w:rsidP="007E70F6">
      <w:pPr>
        <w:spacing w:line="240" w:lineRule="auto"/>
        <w:jc w:val="both"/>
        <w:textAlignment w:val="baseline"/>
        <w:rPr>
          <w:rFonts w:ascii="Times New Roman" w:hAnsi="Times New Roman" w:cs="Times New Roman"/>
          <w:color w:val="1A1A1A"/>
          <w:sz w:val="24"/>
          <w:szCs w:val="24"/>
        </w:rPr>
      </w:pPr>
      <w:r w:rsidRPr="007F6651">
        <w:rPr>
          <w:rFonts w:ascii="Times New Roman" w:hAnsi="Times New Roman" w:cs="Times New Roman"/>
          <w:color w:val="1A1A1A"/>
          <w:sz w:val="24"/>
          <w:szCs w:val="24"/>
        </w:rPr>
        <w:t xml:space="preserve">- El vicepresidente de la Fed advierte del riesgo de olvidar la situación que llevó a la crisis (Expansión - Financial Times - </w:t>
      </w:r>
      <w:r w:rsidRPr="007F6651">
        <w:rPr>
          <w:rFonts w:ascii="Times New Roman" w:hAnsi="Times New Roman" w:cs="Times New Roman"/>
          <w:b/>
          <w:color w:val="1A1A1A"/>
          <w:sz w:val="24"/>
          <w:szCs w:val="24"/>
        </w:rPr>
        <w:t>17/8/17</w:t>
      </w:r>
      <w:r w:rsidRPr="007F6651">
        <w:rPr>
          <w:rFonts w:ascii="Times New Roman" w:hAnsi="Times New Roman" w:cs="Times New Roman"/>
          <w:color w:val="1A1A1A"/>
          <w:sz w:val="24"/>
          <w:szCs w:val="24"/>
        </w:rPr>
        <w:t>)</w:t>
      </w:r>
    </w:p>
    <w:p w:rsidR="00A70C16" w:rsidRDefault="00A70C16" w:rsidP="00691E08">
      <w:pPr>
        <w:spacing w:line="240" w:lineRule="auto"/>
        <w:jc w:val="both"/>
        <w:rPr>
          <w:rFonts w:ascii="Times New Roman" w:hAnsi="Times New Roman" w:cs="Times New Roman"/>
          <w:sz w:val="24"/>
          <w:szCs w:val="24"/>
        </w:rPr>
      </w:pPr>
      <w:r w:rsidRPr="007F6651">
        <w:rPr>
          <w:rFonts w:ascii="Times New Roman" w:hAnsi="Times New Roman" w:cs="Times New Roman"/>
          <w:sz w:val="24"/>
          <w:szCs w:val="24"/>
        </w:rPr>
        <w:t xml:space="preserve">- El presidente de la EBA pide crear un banco malo con un billón de préstamos tóxicos (Expansión - Financial Times - </w:t>
      </w:r>
      <w:r w:rsidRPr="007F6651">
        <w:rPr>
          <w:rFonts w:ascii="Times New Roman" w:hAnsi="Times New Roman" w:cs="Times New Roman"/>
          <w:b/>
          <w:sz w:val="24"/>
          <w:szCs w:val="24"/>
        </w:rPr>
        <w:t>1/9/17</w:t>
      </w:r>
      <w:r w:rsidR="007E70F6" w:rsidRPr="007F6651">
        <w:rPr>
          <w:rFonts w:ascii="Times New Roman" w:hAnsi="Times New Roman" w:cs="Times New Roman"/>
          <w:sz w:val="24"/>
          <w:szCs w:val="24"/>
        </w:rPr>
        <w:t>)</w:t>
      </w:r>
    </w:p>
    <w:p w:rsidR="009C2E92" w:rsidRPr="007F6651" w:rsidRDefault="009C2E92" w:rsidP="00691E0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C2E92">
        <w:rPr>
          <w:rFonts w:ascii="Times New Roman" w:hAnsi="Times New Roman" w:cs="Times New Roman"/>
          <w:sz w:val="24"/>
          <w:szCs w:val="24"/>
        </w:rPr>
        <w:t>Fischer, número dos de la Fed, anuncia su dimisión por “motivos personales”</w:t>
      </w:r>
      <w:r>
        <w:rPr>
          <w:rFonts w:ascii="Times New Roman" w:hAnsi="Times New Roman" w:cs="Times New Roman"/>
          <w:sz w:val="24"/>
          <w:szCs w:val="24"/>
        </w:rPr>
        <w:t xml:space="preserve"> (Expansión - </w:t>
      </w:r>
      <w:r w:rsidRPr="008826F9">
        <w:rPr>
          <w:rFonts w:ascii="Times New Roman" w:hAnsi="Times New Roman" w:cs="Times New Roman"/>
          <w:b/>
          <w:sz w:val="24"/>
          <w:szCs w:val="24"/>
        </w:rPr>
        <w:t>6/9/17</w:t>
      </w:r>
      <w:r>
        <w:rPr>
          <w:rFonts w:ascii="Times New Roman" w:hAnsi="Times New Roman" w:cs="Times New Roman"/>
          <w:sz w:val="24"/>
          <w:szCs w:val="24"/>
        </w:rPr>
        <w:t>)</w:t>
      </w:r>
    </w:p>
    <w:p w:rsidR="00BB2A3F" w:rsidRPr="00D8427C" w:rsidRDefault="009C2E92" w:rsidP="00BB2A3F">
      <w:pPr>
        <w:pStyle w:val="NormalWeb"/>
        <w:shd w:val="clear" w:color="auto" w:fill="FFFFFF"/>
        <w:spacing w:after="0"/>
        <w:jc w:val="both"/>
        <w:textAlignment w:val="baseline"/>
      </w:pPr>
      <w:r>
        <w:t>Después de una década se “socialización” de las pérdidas, “monetización” de la deuda y “represión” financiera, l</w:t>
      </w:r>
      <w:r w:rsidR="00BB2A3F" w:rsidRPr="00D8427C">
        <w:t>a propaganda de la salida de la crisis no ha calado, a pesar del descenso en la tasa de ahorro precaución.</w:t>
      </w:r>
    </w:p>
    <w:p w:rsidR="007732BE" w:rsidRPr="008D763F" w:rsidRDefault="007732BE" w:rsidP="007732BE">
      <w:pPr>
        <w:pStyle w:val="NormalWeb"/>
        <w:shd w:val="clear" w:color="auto" w:fill="FFFFFF"/>
        <w:spacing w:after="0"/>
        <w:jc w:val="both"/>
        <w:textAlignment w:val="baseline"/>
      </w:pPr>
      <w:r w:rsidRPr="008D763F">
        <w:t>La diapositiva de las miserias de los afectados por la gran recesión muestra: pensionistas que ya no verán mejorar su poder adquisitivo de forma estructural, jóvenes que se mantendrán en el mercado laboral a base de contratos basura y con sueldos miserables, incapacidad de poder emanciparse, salvo compartiendo una habitación, mayores de 45 años que nunca más volverán a trabajar, en suma, toda una generación que, por primera vez en la reciente historia, vivirán mucho peor que sus padres. Cada vez hay más hogares que saben y sufren que el crecimiento ya no es sinónimo de prosperidad.</w:t>
      </w:r>
    </w:p>
    <w:p w:rsidR="007732BE" w:rsidRPr="008D763F" w:rsidRDefault="007732BE" w:rsidP="007732BE">
      <w:pPr>
        <w:pStyle w:val="NormalWeb"/>
        <w:shd w:val="clear" w:color="auto" w:fill="FFFFFF"/>
        <w:spacing w:after="0"/>
        <w:jc w:val="both"/>
        <w:textAlignment w:val="baseline"/>
      </w:pPr>
      <w:r w:rsidRPr="008D763F">
        <w:t>Las nuevas generaciones saben que trabajarán a tiempo parcial por imposición y consumirán todo compartido, también por imperativo de la nueva economía, mal llamada colaborativa.</w:t>
      </w:r>
    </w:p>
    <w:p w:rsidR="007F6651" w:rsidRPr="008D763F" w:rsidRDefault="007F6651" w:rsidP="007F6651">
      <w:pPr>
        <w:spacing w:line="240" w:lineRule="auto"/>
        <w:jc w:val="both"/>
        <w:rPr>
          <w:rFonts w:ascii="Times New Roman" w:hAnsi="Times New Roman" w:cs="Times New Roman"/>
          <w:sz w:val="24"/>
          <w:szCs w:val="24"/>
        </w:rPr>
      </w:pPr>
      <w:r w:rsidRPr="008D763F">
        <w:rPr>
          <w:rFonts w:ascii="Times New Roman" w:hAnsi="Times New Roman" w:cs="Times New Roman"/>
          <w:sz w:val="24"/>
          <w:szCs w:val="24"/>
        </w:rPr>
        <w:t>Un r</w:t>
      </w:r>
      <w:r w:rsidR="008D763F" w:rsidRPr="008D763F">
        <w:rPr>
          <w:rFonts w:ascii="Times New Roman" w:hAnsi="Times New Roman" w:cs="Times New Roman"/>
          <w:sz w:val="24"/>
          <w:szCs w:val="24"/>
        </w:rPr>
        <w:t>evelador artículo publicado en “The New York Times”</w:t>
      </w:r>
      <w:r w:rsidR="00E544AD">
        <w:rPr>
          <w:rFonts w:ascii="Times New Roman" w:hAnsi="Times New Roman" w:cs="Times New Roman"/>
          <w:sz w:val="24"/>
          <w:szCs w:val="24"/>
        </w:rPr>
        <w:t xml:space="preserve"> </w:t>
      </w:r>
      <w:r w:rsidRPr="008D763F">
        <w:rPr>
          <w:rFonts w:ascii="Times New Roman" w:hAnsi="Times New Roman" w:cs="Times New Roman"/>
          <w:sz w:val="24"/>
          <w:szCs w:val="24"/>
        </w:rPr>
        <w:t>compara la situación de dos empleadas de la limpieza de compañías prestigiosas: la Sra. Evans trabajaba para Eastman Kodak, la Sra. Ramos lo hace para Apple; la primera recogía y adecentaba las oficinas de la firma a principios de los 80, la segunda en la actualidad. En términos reales, sus salarios son equiparables, pero las condiciones resultan completamente distintas.</w:t>
      </w:r>
      <w:r w:rsidR="00E544AD">
        <w:rPr>
          <w:rFonts w:ascii="Times New Roman" w:hAnsi="Times New Roman" w:cs="Times New Roman"/>
          <w:sz w:val="24"/>
          <w:szCs w:val="24"/>
        </w:rPr>
        <w:t xml:space="preserve"> (El Confidencial - </w:t>
      </w:r>
      <w:r w:rsidR="00E544AD" w:rsidRPr="00D233B9">
        <w:rPr>
          <w:rFonts w:ascii="Times New Roman" w:hAnsi="Times New Roman" w:cs="Times New Roman"/>
          <w:b/>
          <w:sz w:val="24"/>
          <w:szCs w:val="24"/>
        </w:rPr>
        <w:t>5/9/17</w:t>
      </w:r>
      <w:r w:rsidR="00E544AD">
        <w:rPr>
          <w:rFonts w:ascii="Times New Roman" w:hAnsi="Times New Roman" w:cs="Times New Roman"/>
          <w:sz w:val="24"/>
          <w:szCs w:val="24"/>
        </w:rPr>
        <w:t>)</w:t>
      </w:r>
    </w:p>
    <w:p w:rsidR="007F6651" w:rsidRPr="008D763F" w:rsidRDefault="007F6651" w:rsidP="007F6651">
      <w:pPr>
        <w:spacing w:line="240" w:lineRule="auto"/>
        <w:jc w:val="both"/>
        <w:rPr>
          <w:rFonts w:ascii="Times New Roman" w:hAnsi="Times New Roman" w:cs="Times New Roman"/>
          <w:sz w:val="24"/>
          <w:szCs w:val="24"/>
        </w:rPr>
      </w:pPr>
      <w:r w:rsidRPr="008D763F">
        <w:rPr>
          <w:rFonts w:ascii="Times New Roman" w:hAnsi="Times New Roman" w:cs="Times New Roman"/>
          <w:sz w:val="24"/>
          <w:szCs w:val="24"/>
        </w:rPr>
        <w:t>Evans contaba con más de cuatro semanas de vacaciones por año, recibía ayudas de la empresa para cursar sus estudios universitarios y cada marzo recibía un bonus. Además, cuando cerraron las instalaciones en las que limpiaba, le fue asignado otro trabajo en la misma compañía. Ramos trabaja para una subcontrata, no tiene vacaciones, tampoco puede formarse tras el horario laboral y no cuenta con ninguna paga extra. El caso de Evans es especial, además, porque desarrolló una importante carrera dentro de Kodak: tras titularse en la universidad, desempeñó diversas tareas en la firma hasta ser nombrada directora de tecnología. La mejor opción de Ramos para subir en la escala laboral es ser ascendida a jefa de equipo y cobrar 50 centavos más por hora.</w:t>
      </w:r>
    </w:p>
    <w:p w:rsidR="007F6651" w:rsidRPr="008D763F" w:rsidRDefault="008D763F" w:rsidP="007F6651">
      <w:pPr>
        <w:spacing w:line="240" w:lineRule="auto"/>
        <w:jc w:val="both"/>
        <w:rPr>
          <w:rFonts w:ascii="Times New Roman" w:hAnsi="Times New Roman" w:cs="Times New Roman"/>
          <w:sz w:val="24"/>
          <w:szCs w:val="24"/>
        </w:rPr>
      </w:pPr>
      <w:r w:rsidRPr="008D763F">
        <w:rPr>
          <w:rFonts w:ascii="Times New Roman" w:hAnsi="Times New Roman" w:cs="Times New Roman"/>
          <w:sz w:val="24"/>
          <w:szCs w:val="24"/>
        </w:rPr>
        <w:t>U</w:t>
      </w:r>
      <w:r w:rsidR="007F6651" w:rsidRPr="008D763F">
        <w:rPr>
          <w:rFonts w:ascii="Times New Roman" w:hAnsi="Times New Roman" w:cs="Times New Roman"/>
          <w:sz w:val="24"/>
          <w:szCs w:val="24"/>
        </w:rPr>
        <w:t>na comparación similar</w:t>
      </w:r>
      <w:r w:rsidRPr="008D763F">
        <w:rPr>
          <w:rFonts w:ascii="Times New Roman" w:hAnsi="Times New Roman" w:cs="Times New Roman"/>
          <w:sz w:val="24"/>
          <w:szCs w:val="24"/>
        </w:rPr>
        <w:t xml:space="preserve"> puede hacerse</w:t>
      </w:r>
      <w:r w:rsidR="007F6651" w:rsidRPr="008D763F">
        <w:rPr>
          <w:rFonts w:ascii="Times New Roman" w:hAnsi="Times New Roman" w:cs="Times New Roman"/>
          <w:sz w:val="24"/>
          <w:szCs w:val="24"/>
        </w:rPr>
        <w:t xml:space="preserve"> e</w:t>
      </w:r>
      <w:r w:rsidRPr="008D763F">
        <w:rPr>
          <w:rFonts w:ascii="Times New Roman" w:hAnsi="Times New Roman" w:cs="Times New Roman"/>
          <w:sz w:val="24"/>
          <w:szCs w:val="24"/>
        </w:rPr>
        <w:t>n el ámbito del transporte. C</w:t>
      </w:r>
      <w:r w:rsidR="007F6651" w:rsidRPr="008D763F">
        <w:rPr>
          <w:rFonts w:ascii="Times New Roman" w:hAnsi="Times New Roman" w:cs="Times New Roman"/>
          <w:sz w:val="24"/>
          <w:szCs w:val="24"/>
        </w:rPr>
        <w:t>ontaba</w:t>
      </w:r>
      <w:r w:rsidRPr="008D763F">
        <w:rPr>
          <w:rFonts w:ascii="Times New Roman" w:hAnsi="Times New Roman" w:cs="Times New Roman"/>
          <w:sz w:val="24"/>
          <w:szCs w:val="24"/>
        </w:rPr>
        <w:t xml:space="preserve"> un transportista</w:t>
      </w:r>
      <w:r w:rsidR="007F6651" w:rsidRPr="008D763F">
        <w:rPr>
          <w:rFonts w:ascii="Times New Roman" w:hAnsi="Times New Roman" w:cs="Times New Roman"/>
          <w:sz w:val="24"/>
          <w:szCs w:val="24"/>
        </w:rPr>
        <w:t xml:space="preserve"> que hace poco más de una década, en su camión iban dos conductores si el trayecto era largo, para relevarse. En su empresa, apenas hay conductores en plantilla, porque los transportes los realizan autónomos que aportan su propio camión; como la legislación se ha relajado, sólo </w:t>
      </w:r>
      <w:r w:rsidR="007F6651" w:rsidRPr="008D763F">
        <w:rPr>
          <w:rFonts w:ascii="Times New Roman" w:hAnsi="Times New Roman" w:cs="Times New Roman"/>
          <w:sz w:val="24"/>
          <w:szCs w:val="24"/>
        </w:rPr>
        <w:lastRenderedPageBreak/>
        <w:t>conduce una persona, y está autorizado a hacerlo más horas de las que a ellos les permitían. Además, el autónomo debe cargar y descargar. Concluía que no era mal negocio: allí donde antes se necesitaba invertir en comprar camiones, pagar dos conductores y a la gente que cargaba, ahora sólo precisan una persona, que además es dueña del vehículo y que está dispuesta a trabajar las horas que sean necesarias.</w:t>
      </w:r>
    </w:p>
    <w:p w:rsidR="007F6651" w:rsidRPr="00E544AD" w:rsidRDefault="001E0CCE" w:rsidP="007F6651">
      <w:pPr>
        <w:spacing w:line="240" w:lineRule="auto"/>
        <w:jc w:val="both"/>
        <w:rPr>
          <w:rFonts w:ascii="Times New Roman" w:hAnsi="Times New Roman" w:cs="Times New Roman"/>
          <w:sz w:val="24"/>
          <w:szCs w:val="24"/>
        </w:rPr>
      </w:pPr>
      <w:r w:rsidRPr="00E544AD">
        <w:rPr>
          <w:rFonts w:ascii="Times New Roman" w:hAnsi="Times New Roman" w:cs="Times New Roman"/>
          <w:sz w:val="24"/>
          <w:szCs w:val="24"/>
        </w:rPr>
        <w:t>La última décadas en el mundo laboral ha</w:t>
      </w:r>
      <w:r w:rsidR="007F6651" w:rsidRPr="00E544AD">
        <w:rPr>
          <w:rFonts w:ascii="Times New Roman" w:hAnsi="Times New Roman" w:cs="Times New Roman"/>
          <w:sz w:val="24"/>
          <w:szCs w:val="24"/>
        </w:rPr>
        <w:t xml:space="preserve"> sido de cambios continuos y sostenidos (y las reformas de la normativa laboral form</w:t>
      </w:r>
      <w:r w:rsidRPr="00E544AD">
        <w:rPr>
          <w:rFonts w:ascii="Times New Roman" w:hAnsi="Times New Roman" w:cs="Times New Roman"/>
          <w:sz w:val="24"/>
          <w:szCs w:val="24"/>
        </w:rPr>
        <w:t>an parte de ese proceso), en la</w:t>
      </w:r>
      <w:r w:rsidR="007F6651" w:rsidRPr="00E544AD">
        <w:rPr>
          <w:rFonts w:ascii="Times New Roman" w:hAnsi="Times New Roman" w:cs="Times New Roman"/>
          <w:sz w:val="24"/>
          <w:szCs w:val="24"/>
        </w:rPr>
        <w:t xml:space="preserve"> que han ido sucediéndose nuevas formas de gestión, siempre con nombres llamativos. Todas ellas han empujado en la misma dirección. La deslocalización, la externaliza</w:t>
      </w:r>
      <w:r w:rsidRPr="00E544AD">
        <w:rPr>
          <w:rFonts w:ascii="Times New Roman" w:hAnsi="Times New Roman" w:cs="Times New Roman"/>
          <w:sz w:val="24"/>
          <w:szCs w:val="24"/>
        </w:rPr>
        <w:t>ción, las prejubilaciones, las regulaciones de empleo</w:t>
      </w:r>
      <w:r w:rsidR="007F6651" w:rsidRPr="00E544AD">
        <w:rPr>
          <w:rFonts w:ascii="Times New Roman" w:hAnsi="Times New Roman" w:cs="Times New Roman"/>
          <w:sz w:val="24"/>
          <w:szCs w:val="24"/>
        </w:rPr>
        <w:t xml:space="preserve"> y las reorganizaciones estructurales tenían un objetivo común: reducir el peso del factor trabajo en los costes.</w:t>
      </w:r>
    </w:p>
    <w:p w:rsidR="007F6651" w:rsidRPr="00E544AD" w:rsidRDefault="007F6651" w:rsidP="007F6651">
      <w:pPr>
        <w:spacing w:line="240" w:lineRule="auto"/>
        <w:jc w:val="both"/>
        <w:rPr>
          <w:rFonts w:ascii="Times New Roman" w:hAnsi="Times New Roman" w:cs="Times New Roman"/>
          <w:sz w:val="24"/>
          <w:szCs w:val="24"/>
        </w:rPr>
      </w:pPr>
      <w:r w:rsidRPr="00E544AD">
        <w:rPr>
          <w:rFonts w:ascii="Times New Roman" w:hAnsi="Times New Roman" w:cs="Times New Roman"/>
          <w:sz w:val="24"/>
          <w:szCs w:val="24"/>
        </w:rPr>
        <w:t>Las compañías se han preocupado de aumentar ingresos, aunque en general han optado por tomar atajos como las fusiones o las adquisiciones en lugar de mejorar el producto o el servicio, pero sobre todo de reducir gastos. La trabajadora de Apple lo sabe porque carece de esas vacaciones pagadas, de las oportunidades profesionales o de la estabilidad laboral que tenía su compañera de Kodak. También lo saben los falsos autónomos, como muchos transportistas, porque se han hecho cargo de los costes derivados del desarrollo de la actividad (hasta han comprado un camión), que se</w:t>
      </w:r>
      <w:r w:rsidR="001E0CCE" w:rsidRPr="00E544AD">
        <w:rPr>
          <w:rFonts w:ascii="Times New Roman" w:hAnsi="Times New Roman" w:cs="Times New Roman"/>
          <w:sz w:val="24"/>
          <w:szCs w:val="24"/>
        </w:rPr>
        <w:t xml:space="preserve"> ven sometidos a una alienante</w:t>
      </w:r>
      <w:r w:rsidRPr="00E544AD">
        <w:rPr>
          <w:rFonts w:ascii="Times New Roman" w:hAnsi="Times New Roman" w:cs="Times New Roman"/>
          <w:sz w:val="24"/>
          <w:szCs w:val="24"/>
        </w:rPr>
        <w:t xml:space="preserve"> precariedad y a jornadas de trabajo más largas, además de a una mucho menor protección social. Algo que no ocurre sólo en los empleos de baja cualificación, sino que se ha extendido a toda clase de profesionales.</w:t>
      </w:r>
    </w:p>
    <w:p w:rsidR="007F6651" w:rsidRPr="00E544AD" w:rsidRDefault="007F6651" w:rsidP="007F6651">
      <w:pPr>
        <w:spacing w:line="240" w:lineRule="auto"/>
        <w:jc w:val="both"/>
        <w:rPr>
          <w:rFonts w:ascii="Times New Roman" w:hAnsi="Times New Roman" w:cs="Times New Roman"/>
          <w:sz w:val="24"/>
          <w:szCs w:val="24"/>
        </w:rPr>
      </w:pPr>
      <w:r w:rsidRPr="00E544AD">
        <w:rPr>
          <w:rFonts w:ascii="Times New Roman" w:hAnsi="Times New Roman" w:cs="Times New Roman"/>
          <w:sz w:val="24"/>
          <w:szCs w:val="24"/>
        </w:rPr>
        <w:t>Producto de este deseo de hacer más con menos, también han llegado las reducciones de plantilla, de forma que la misma carga de trabajo es repartida entre los empleados que quedan. Esta tendencia está detrás de las horas extras que no se pagan, de la extensión del tiempo de trabajo a la vida privada, de la gente pendiente del móvil o del ordenador en su casa. Pero también de los deficientes servicios que prestan muchas empresas (y también los servicios públicos externalizados), en los que la falta de mano de obra provoca retrasos, fallos o equivocaciones. Y está, obviamente, detrás de la menor oferta de puestos de trabajo.</w:t>
      </w:r>
    </w:p>
    <w:p w:rsidR="007F6651" w:rsidRPr="00E544AD" w:rsidRDefault="008D763F" w:rsidP="007F6651">
      <w:pPr>
        <w:spacing w:line="240" w:lineRule="auto"/>
        <w:jc w:val="both"/>
        <w:rPr>
          <w:rFonts w:ascii="Times New Roman" w:hAnsi="Times New Roman" w:cs="Times New Roman"/>
          <w:sz w:val="24"/>
          <w:szCs w:val="24"/>
        </w:rPr>
      </w:pPr>
      <w:r w:rsidRPr="00E544AD">
        <w:rPr>
          <w:rFonts w:ascii="Times New Roman" w:hAnsi="Times New Roman" w:cs="Times New Roman"/>
          <w:sz w:val="24"/>
          <w:szCs w:val="24"/>
        </w:rPr>
        <w:t>Escribe Lawrence Summers en Financial Times (5/9/17): “</w:t>
      </w:r>
      <w:r w:rsidR="007F6651" w:rsidRPr="00E544AD">
        <w:rPr>
          <w:rFonts w:ascii="Times New Roman" w:hAnsi="Times New Roman" w:cs="Times New Roman"/>
          <w:sz w:val="24"/>
          <w:szCs w:val="24"/>
        </w:rPr>
        <w:t>El principal asunto de la política de EEUU es la seguridad económica de la clase media y las oportunidades para sus hijos. Una sensación dominante de vulnerabilidad y de falta de oportunidades lleva a la insatisfacción, reduce la fe en el Gobierno y las instituciones, la disposición a ayudar a los menos afortunados, aumenta el resentimiento hacia los miembros de otros grupos étnicos y la agresividad hacia otros países. Mientras una mayoría sustancial de adultos estadounidenses crea que sus hijos no tendrán la calidad de vida que ellos, nuestra política seguirá siendo divisoria. El nerviosismo de la clase media seguramente estará alimentado también por el lento crecimiento salarial, aunque nos encontramos en el noveno año de recuperación económica y los niveles de desempleo están en mínimos históricos.</w:t>
      </w:r>
    </w:p>
    <w:p w:rsidR="007F6651" w:rsidRPr="00E544AD" w:rsidRDefault="007F6651" w:rsidP="007F6651">
      <w:pPr>
        <w:spacing w:line="240" w:lineRule="auto"/>
        <w:jc w:val="both"/>
        <w:rPr>
          <w:rFonts w:ascii="Times New Roman" w:hAnsi="Times New Roman" w:cs="Times New Roman"/>
          <w:sz w:val="24"/>
          <w:szCs w:val="24"/>
        </w:rPr>
      </w:pPr>
      <w:r w:rsidRPr="00E544AD">
        <w:rPr>
          <w:rFonts w:ascii="Times New Roman" w:hAnsi="Times New Roman" w:cs="Times New Roman"/>
          <w:sz w:val="24"/>
          <w:szCs w:val="24"/>
        </w:rPr>
        <w:t>La curva de Phillips- que establece una relación inversa entre empleo e inflación- parece haberse roto. La Oficina de Estadísticas Laborales de EEUU acaba de publicar que el mes pasado, los ingresos medios por hora aumentaron poco más de un 0,1%. Durante el último año, sólo han subido un 2,5%. El dato contrasta con los beneficios del S&amp;P 500 que aumentan a un ritmo del 16% anual. ¿Qué está pasando?</w:t>
      </w:r>
    </w:p>
    <w:p w:rsidR="008D763F" w:rsidRPr="00E544AD" w:rsidRDefault="008D763F" w:rsidP="008D763F">
      <w:pPr>
        <w:spacing w:line="240" w:lineRule="auto"/>
        <w:jc w:val="both"/>
        <w:rPr>
          <w:rFonts w:ascii="Times New Roman" w:hAnsi="Times New Roman" w:cs="Times New Roman"/>
          <w:sz w:val="24"/>
          <w:szCs w:val="24"/>
        </w:rPr>
      </w:pPr>
      <w:r w:rsidRPr="00E544AD">
        <w:rPr>
          <w:rFonts w:ascii="Times New Roman" w:hAnsi="Times New Roman" w:cs="Times New Roman"/>
          <w:sz w:val="24"/>
          <w:szCs w:val="24"/>
        </w:rPr>
        <w:t xml:space="preserve">La tecnología ha dado a las empresas más margen para sustituir a los estadounidenses por mano de obra extranjera. Sin embargo, creo que el factor que explica lo que está ocurriendo </w:t>
      </w:r>
      <w:r w:rsidRPr="00E544AD">
        <w:rPr>
          <w:rFonts w:ascii="Times New Roman" w:hAnsi="Times New Roman" w:cs="Times New Roman"/>
          <w:sz w:val="24"/>
          <w:szCs w:val="24"/>
        </w:rPr>
        <w:lastRenderedPageBreak/>
        <w:t>es que el poder negociador de las empresas ha aumentado y el de los empleados se ha debilitado.</w:t>
      </w:r>
    </w:p>
    <w:p w:rsidR="008D763F" w:rsidRPr="00E544AD" w:rsidRDefault="008D763F" w:rsidP="008D763F">
      <w:pPr>
        <w:spacing w:line="240" w:lineRule="auto"/>
        <w:jc w:val="both"/>
        <w:rPr>
          <w:rFonts w:ascii="Times New Roman" w:hAnsi="Times New Roman" w:cs="Times New Roman"/>
          <w:sz w:val="24"/>
          <w:szCs w:val="24"/>
        </w:rPr>
      </w:pPr>
      <w:r w:rsidRPr="00E544AD">
        <w:rPr>
          <w:rFonts w:ascii="Times New Roman" w:hAnsi="Times New Roman" w:cs="Times New Roman"/>
          <w:sz w:val="24"/>
          <w:szCs w:val="24"/>
        </w:rPr>
        <w:t>La tecnología ha dado a las empresas más margen para contratar extranjeros, para sustituir a sus empleados por avances tecnológicos o para hacer contrataciones esporádicas, en línea con lo que se conoce como gig economy.</w:t>
      </w:r>
    </w:p>
    <w:p w:rsidR="008D763F" w:rsidRPr="00E544AD" w:rsidRDefault="008D763F" w:rsidP="008D763F">
      <w:pPr>
        <w:spacing w:line="240" w:lineRule="auto"/>
        <w:jc w:val="both"/>
        <w:rPr>
          <w:rFonts w:ascii="Times New Roman" w:hAnsi="Times New Roman" w:cs="Times New Roman"/>
          <w:sz w:val="24"/>
          <w:szCs w:val="24"/>
        </w:rPr>
      </w:pPr>
      <w:r w:rsidRPr="00E544AD">
        <w:rPr>
          <w:rFonts w:ascii="Times New Roman" w:hAnsi="Times New Roman" w:cs="Times New Roman"/>
          <w:sz w:val="24"/>
          <w:szCs w:val="24"/>
        </w:rPr>
        <w:t>Esto explica el poder de las empresas para mantener bajos los salarios. Por otra parte, hay varios factores que han hecho perder posiciones a los empleados. Cada vez con más frecuencia, las empresas ofrecen empleos esporádicos. Por distintas razones, incluida el menor acceso al crédito hipotecario y la pérdida de poder adquisitivo de los hogares, es más difícil encontrar oportunidades.</w:t>
      </w:r>
    </w:p>
    <w:p w:rsidR="008D763F" w:rsidRPr="00E544AD" w:rsidRDefault="008D763F" w:rsidP="008D763F">
      <w:pPr>
        <w:spacing w:line="240" w:lineRule="auto"/>
        <w:jc w:val="both"/>
        <w:rPr>
          <w:rFonts w:ascii="Times New Roman" w:hAnsi="Times New Roman" w:cs="Times New Roman"/>
          <w:sz w:val="24"/>
          <w:szCs w:val="24"/>
        </w:rPr>
      </w:pPr>
      <w:r w:rsidRPr="00E544AD">
        <w:rPr>
          <w:rFonts w:ascii="Times New Roman" w:hAnsi="Times New Roman" w:cs="Times New Roman"/>
          <w:sz w:val="24"/>
          <w:szCs w:val="24"/>
        </w:rPr>
        <w:t>La menor cantidad de ahorros a raíz de la crisis implica que muchas familias no se pueden permitir ni siquiera dejar de trabajar durante un mínimo periodo de tiempo”…</w:t>
      </w:r>
    </w:p>
    <w:p w:rsidR="00BB2A3F" w:rsidRPr="00E544AD" w:rsidRDefault="007F6651" w:rsidP="007732BE">
      <w:pPr>
        <w:pStyle w:val="NormalWeb"/>
        <w:shd w:val="clear" w:color="auto" w:fill="FFFFFF"/>
        <w:spacing w:after="0"/>
        <w:jc w:val="both"/>
        <w:textAlignment w:val="baseline"/>
      </w:pPr>
      <w:r w:rsidRPr="00E544AD">
        <w:t>El futuro que nos espera parece adentrarse aún más en ese pozo.</w:t>
      </w:r>
      <w:r w:rsidR="009C2E92">
        <w:t xml:space="preserve"> </w:t>
      </w:r>
      <w:r w:rsidR="007732BE" w:rsidRPr="00E544AD">
        <w:t>Los más audaces siguen apostando que esta situación es la lógica tras el enorme socavón que supuso la crisis de 2008 y que el mecanismo autorregulador del sistema equilibrará la situación, transfiriendo parte del excedente empresarial a los asalariados, casi por arte de magia.</w:t>
      </w:r>
    </w:p>
    <w:p w:rsidR="00BB2A3F" w:rsidRPr="00E544AD" w:rsidRDefault="00BB2A3F" w:rsidP="00BB2A3F">
      <w:pPr>
        <w:pStyle w:val="NormalWeb"/>
        <w:shd w:val="clear" w:color="auto" w:fill="FFFFFF"/>
        <w:spacing w:after="0"/>
        <w:jc w:val="both"/>
        <w:textAlignment w:val="baseline"/>
      </w:pPr>
      <w:r w:rsidRPr="00E544AD">
        <w:t>Probablemente hayamos entrado en la fase más desigual que recordemos, siempre en términos relativos, pero lo más dramático es que la sociedad ya no tiene herramientas para luchar contra ello.</w:t>
      </w:r>
    </w:p>
    <w:p w:rsidR="00BB2A3F" w:rsidRPr="00E544AD" w:rsidRDefault="00BB2A3F" w:rsidP="00BB2A3F">
      <w:pPr>
        <w:pStyle w:val="NormalWeb"/>
        <w:shd w:val="clear" w:color="auto" w:fill="FFFFFF"/>
        <w:spacing w:after="0"/>
        <w:jc w:val="both"/>
        <w:textAlignment w:val="baseline"/>
      </w:pPr>
      <w:r w:rsidRPr="00E544AD">
        <w:t xml:space="preserve">El eslabón que se comunica con el activo más miedoso, el dinero, es decir, la banca, ya ha empezado a dibujar un panorama oscuro fruto del fracaso de la inserción de gran parte de la población expulsada tras la última debacle del sistema a partir de 2008. El Credit Suisse ha bautizado el estado de ánimo actual como el de las </w:t>
      </w:r>
      <w:r w:rsidR="00ED7FAB">
        <w:t>“</w:t>
      </w:r>
      <w:r w:rsidRPr="00ED7FAB">
        <w:t>Sociedades Enfadadas</w:t>
      </w:r>
      <w:r w:rsidR="00ED7FAB">
        <w:t>”</w:t>
      </w:r>
      <w:r w:rsidRPr="00E544AD">
        <w:t>, lo que indica que las señales de alarma ya se han encendido, sin que los gestores públicos y privados que manejan el cuadro de mandos mundial sepan las consecuencias que puede tener si este aparente enfado culminase con algo peor.</w:t>
      </w:r>
    </w:p>
    <w:p w:rsidR="00BB2A3F" w:rsidRPr="00E544AD" w:rsidRDefault="00BB2A3F" w:rsidP="00BB2A3F">
      <w:pPr>
        <w:pStyle w:val="NormalWeb"/>
        <w:shd w:val="clear" w:color="auto" w:fill="FFFFFF"/>
        <w:spacing w:after="0"/>
        <w:jc w:val="both"/>
        <w:textAlignment w:val="baseline"/>
      </w:pPr>
      <w:r w:rsidRPr="00E544AD">
        <w:t>Las condiciones objetivas para una revuelta social están dadas, aunque algunos mecanismos internos de solidaridad intergeneracional están retrasando el estallido. El intento por convencer a gran parte de la población que ya hemos salido de la crisis y que el crecimiento ha llegado para quedarse no ha cuajado, máxime si gran parte de esta población apenas ha visto mejorada su situación.</w:t>
      </w:r>
    </w:p>
    <w:p w:rsidR="00C03B79" w:rsidRDefault="007732BE" w:rsidP="007732BE">
      <w:pPr>
        <w:pStyle w:val="NormalWeb"/>
        <w:shd w:val="clear" w:color="auto" w:fill="FFFFFF"/>
        <w:spacing w:after="0"/>
        <w:jc w:val="both"/>
        <w:textAlignment w:val="baseline"/>
      </w:pPr>
      <w:r w:rsidRPr="00E544AD">
        <w:t>Por todo ello, no parece sorprender que surjan movimientos extraparlamentarios que compensen la inacción del ejecutivo y el legislativo</w:t>
      </w:r>
      <w:r w:rsidR="001E0CCE" w:rsidRPr="00E544AD">
        <w:t xml:space="preserve">. </w:t>
      </w:r>
      <w:r w:rsidR="001E0CCE">
        <w:t xml:space="preserve">La democracia </w:t>
      </w:r>
      <w:r w:rsidRPr="00D8427C">
        <w:t>es útil siempre que esté pegada al terreno y tenga los mecanismos suficientes para revertir externalidades negativas de la avaricia del capital</w:t>
      </w:r>
      <w:r w:rsidR="001E0CCE">
        <w:t xml:space="preserve"> (el “asno” de oro)</w:t>
      </w:r>
      <w:r w:rsidRPr="00D8427C">
        <w:t>, como es el caso que nos ocupa. Las mayorías silenciosas, porque muy combativas ya no son, pueden irse abriendo camino hasta reventar el maltrecho pacto social que la vieja socialdemocracia firmó a finales de la II Guerra Mundial. No se trata de revanchismo, sino de restablecer la regla de oro que nos ha perseguido desde que tenemos uso de razón: que nuestros hijos vivan mejor que nosotros. Si no es así, veremos a pensionistas trayendo nuestras pizzas de Deliveroo, nuestra habitación en casa paterna y materna alquilada para pagar la dentadura, los temporeros cogiendo lechugas a 2cts/euro y l</w:t>
      </w:r>
      <w:r w:rsidR="00564905">
        <w:t xml:space="preserve">as camareras de piso limpiando las </w:t>
      </w:r>
      <w:r w:rsidR="007B181F">
        <w:t>habitaciones de hotel</w:t>
      </w:r>
      <w:r w:rsidRPr="00D8427C">
        <w:t xml:space="preserve"> a 2</w:t>
      </w:r>
      <w:r w:rsidR="001E0CCE">
        <w:t xml:space="preserve"> euros. </w:t>
      </w:r>
      <w:r w:rsidRPr="00D8427C">
        <w:t>Todo eso será parte del m</w:t>
      </w:r>
      <w:r w:rsidR="001E0CCE">
        <w:t>ilagro de crecer, aunque financiando</w:t>
      </w:r>
      <w:r w:rsidRPr="00D8427C">
        <w:t xml:space="preserve"> el crecimiento con desigualdad.</w:t>
      </w:r>
    </w:p>
    <w:p w:rsidR="00BD5CCF" w:rsidRPr="00D8427C" w:rsidRDefault="00BD5CCF" w:rsidP="007732BE">
      <w:pPr>
        <w:pStyle w:val="NormalWeb"/>
        <w:shd w:val="clear" w:color="auto" w:fill="FFFFFF"/>
        <w:spacing w:after="0"/>
        <w:jc w:val="both"/>
        <w:textAlignment w:val="baseline"/>
      </w:pPr>
      <w:r>
        <w:rPr>
          <w:b/>
        </w:rPr>
        <w:lastRenderedPageBreak/>
        <w:t xml:space="preserve">- </w:t>
      </w:r>
      <w:r w:rsidR="00A70C16">
        <w:rPr>
          <w:b/>
        </w:rPr>
        <w:t>La “m</w:t>
      </w:r>
      <w:r w:rsidR="00E02699">
        <w:rPr>
          <w:b/>
        </w:rPr>
        <w:t xml:space="preserve">aldita </w:t>
      </w:r>
      <w:r w:rsidR="00003D7C">
        <w:rPr>
          <w:b/>
        </w:rPr>
        <w:t>hemeroteca</w:t>
      </w:r>
      <w:r w:rsidR="00E02699">
        <w:rPr>
          <w:b/>
        </w:rPr>
        <w:t>”</w:t>
      </w:r>
      <w:r w:rsidR="00C03B79">
        <w:rPr>
          <w:b/>
        </w:rPr>
        <w:t xml:space="preserve">: </w:t>
      </w:r>
      <w:r w:rsidR="00A70C16">
        <w:rPr>
          <w:b/>
        </w:rPr>
        <w:t>10 años</w:t>
      </w:r>
      <w:r w:rsidR="00C03B79">
        <w:rPr>
          <w:b/>
        </w:rPr>
        <w:t xml:space="preserve"> después </w:t>
      </w:r>
      <w:r w:rsidRPr="00BD5CCF">
        <w:rPr>
          <w:b/>
        </w:rPr>
        <w:t>de la m</w:t>
      </w:r>
      <w:r w:rsidR="00BE061B">
        <w:rPr>
          <w:b/>
        </w:rPr>
        <w:t>ayor crisis económica desde 1929</w:t>
      </w:r>
    </w:p>
    <w:p w:rsidR="00BE061B" w:rsidRPr="00D8427C" w:rsidRDefault="00003D7C" w:rsidP="00003D7C">
      <w:pPr>
        <w:pStyle w:val="NormalWeb"/>
        <w:shd w:val="clear" w:color="auto" w:fill="FFFFFF"/>
        <w:spacing w:after="0"/>
        <w:jc w:val="both"/>
        <w:textAlignment w:val="baseline"/>
      </w:pPr>
      <w:r>
        <w:rPr>
          <w:noProof/>
        </w:rPr>
        <w:drawing>
          <wp:inline distT="0" distB="0" distL="0" distR="0" wp14:anchorId="6E0D6768" wp14:editId="1344F2AD">
            <wp:extent cx="5726020" cy="2432050"/>
            <wp:effectExtent l="0" t="0" r="8255" b="6350"/>
            <wp:docPr id="8" name="Imagen 8" descr="Foto: Generalmente suele datarse el inicio de la actual crisis económica y financiera el día de la quiebra del banco Lehman Brothers, el 15 de septiembre de 2008.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Generalmente suele datarse el inicio de la actual crisis económica y financiera el día de la quiebra del banco Lehman Brothers, el 15 de septiembre de 2008. (EF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2434382"/>
                    </a:xfrm>
                    <a:prstGeom prst="rect">
                      <a:avLst/>
                    </a:prstGeom>
                    <a:noFill/>
                    <a:ln>
                      <a:noFill/>
                    </a:ln>
                  </pic:spPr>
                </pic:pic>
              </a:graphicData>
            </a:graphic>
          </wp:inline>
        </w:drawing>
      </w:r>
    </w:p>
    <w:p w:rsidR="00BE061B" w:rsidRPr="00BE061B" w:rsidRDefault="00BE061B" w:rsidP="00691E08">
      <w:pPr>
        <w:spacing w:line="240" w:lineRule="auto"/>
        <w:jc w:val="both"/>
        <w:rPr>
          <w:rFonts w:ascii="Times New Roman" w:hAnsi="Times New Roman" w:cs="Times New Roman"/>
          <w:sz w:val="24"/>
          <w:szCs w:val="24"/>
        </w:rPr>
      </w:pPr>
      <w:r>
        <w:rPr>
          <w:rFonts w:ascii="Times New Roman" w:hAnsi="Times New Roman" w:cs="Times New Roman"/>
          <w:i/>
        </w:rPr>
        <w:t>“</w:t>
      </w:r>
      <w:r w:rsidRPr="00BE061B">
        <w:rPr>
          <w:rFonts w:ascii="Times New Roman" w:hAnsi="Times New Roman" w:cs="Times New Roman"/>
          <w:i/>
        </w:rPr>
        <w:t>La que pasará a los libros de historia como la Gran Recesión, solo comparable a la Gran Depresión de 1929, dejará momentos que van a permanecer grabados en la memoria colectiva, como la crisis de Lehman Brothers o la caída de Bankia. Y también en la experiencia vital de cada uno, bien por un despido, una rebaja de sueldo, la pérdida del ahorro en las preferentes o un desahucio... Pero el momento en que empezó todo fue hace ya casi diez años, cuando dos fondos de la gestora estadounidense Bear Stearns se declararon en quiebra el 18 de julio de 2007, incapaces de permitir el reembolso de la inversión a sus partícipes. Fue el inicio de una espiral en la que salió a la luz con toda su crudeza la podredumbre del sistema financiero, que durante años había asumido riesgos de forma desmesurada y que en una búsqueda del máximo beneficio inundó de activos tóxicos -y de pérdidas- a la banca de todo el planeta</w:t>
      </w:r>
      <w:r>
        <w:rPr>
          <w:rFonts w:ascii="Times New Roman" w:hAnsi="Times New Roman" w:cs="Times New Roman"/>
          <w:i/>
        </w:rPr>
        <w:t xml:space="preserve">”… </w:t>
      </w:r>
      <w:r w:rsidRPr="008D4F7E">
        <w:rPr>
          <w:rFonts w:ascii="Times New Roman" w:hAnsi="Times New Roman" w:cs="Times New Roman"/>
          <w:sz w:val="24"/>
          <w:szCs w:val="24"/>
          <w:u w:val="single"/>
        </w:rPr>
        <w:t>Cómo es el mundo diez años desp</w:t>
      </w:r>
      <w:r>
        <w:rPr>
          <w:rFonts w:ascii="Times New Roman" w:hAnsi="Times New Roman" w:cs="Times New Roman"/>
          <w:sz w:val="24"/>
          <w:szCs w:val="24"/>
          <w:u w:val="single"/>
        </w:rPr>
        <w:t>ués del estallido de la crisis “subprime”</w:t>
      </w:r>
      <w:r>
        <w:rPr>
          <w:rFonts w:ascii="Times New Roman" w:hAnsi="Times New Roman" w:cs="Times New Roman"/>
          <w:sz w:val="24"/>
          <w:szCs w:val="24"/>
        </w:rPr>
        <w:t xml:space="preserve"> (Cinco Días - </w:t>
      </w:r>
      <w:r w:rsidRPr="00BE061B">
        <w:rPr>
          <w:rFonts w:ascii="Times New Roman" w:hAnsi="Times New Roman" w:cs="Times New Roman"/>
          <w:b/>
          <w:sz w:val="24"/>
          <w:szCs w:val="24"/>
        </w:rPr>
        <w:t>1/7/17</w:t>
      </w:r>
      <w:r>
        <w:rPr>
          <w:rFonts w:ascii="Times New Roman" w:hAnsi="Times New Roman" w:cs="Times New Roman"/>
          <w:sz w:val="24"/>
          <w:szCs w:val="24"/>
        </w:rPr>
        <w:t>)</w:t>
      </w:r>
    </w:p>
    <w:p w:rsidR="00BE061B" w:rsidRPr="00BE061B" w:rsidRDefault="00BE061B" w:rsidP="00691E08">
      <w:pPr>
        <w:spacing w:line="240" w:lineRule="auto"/>
        <w:jc w:val="both"/>
        <w:rPr>
          <w:rFonts w:ascii="Times New Roman" w:hAnsi="Times New Roman" w:cs="Times New Roman"/>
        </w:rPr>
      </w:pPr>
      <w:r w:rsidRPr="00BE061B">
        <w:rPr>
          <w:rFonts w:ascii="Times New Roman" w:hAnsi="Times New Roman" w:cs="Times New Roman"/>
        </w:rPr>
        <w:t>La crisis de las hipotecas subprime tuvo su origen en el mercado hipotecario estadounidense y en la práctica extendida entre los gigantes de Wall Street de crear complejos productos financieros con el riesgo de esos clientes que se hipotecaban. Traspasaban ese riesgo a otras entidades financieras, a cambio de la correspondiente rentabilidad, en una peligrosa cadena que se rompió en pedazos cuando se vio con claridad que quienes contrataron esas hipotecas no las podían pagar. Todos los inversores que adquirieron esas titulizaciones se encontraron con que no valían nada, lo que provocó pérdidas multimillonarias en la banca europea e inyecciones públicas sin precedentes en la banca estadounidense. Lehman Brothers cayó pero el pánico que desató su derrumbe impulsó al Tesoro de EEUU a socorrer con capital público a todos los gigantes de Wall Street, demasiado grandes para caer sin que colapsara el sistema.</w:t>
      </w:r>
    </w:p>
    <w:p w:rsidR="00BE061B" w:rsidRPr="00BE061B" w:rsidRDefault="00BE061B" w:rsidP="00691E08">
      <w:pPr>
        <w:spacing w:line="240" w:lineRule="auto"/>
        <w:jc w:val="both"/>
        <w:rPr>
          <w:rFonts w:ascii="Times New Roman" w:hAnsi="Times New Roman" w:cs="Times New Roman"/>
        </w:rPr>
      </w:pPr>
      <w:r w:rsidRPr="00BE061B">
        <w:rPr>
          <w:rFonts w:ascii="Times New Roman" w:hAnsi="Times New Roman" w:cs="Times New Roman"/>
        </w:rPr>
        <w:t>La crisis de las hipotecas basura de EEUU puso de relieve la importancia de la banca en el engranaje de las economías desarrolladas, mayor aún en una economía globalizada. Si caían los bancos, se evaporaba también el ahorro de sus clientes y desaparecía la vía de financiación de la que dependían familias y empresas.</w:t>
      </w:r>
    </w:p>
    <w:p w:rsidR="00BE061B" w:rsidRPr="00BE061B" w:rsidRDefault="00BE061B" w:rsidP="00691E08">
      <w:pPr>
        <w:spacing w:line="240" w:lineRule="auto"/>
        <w:jc w:val="both"/>
        <w:rPr>
          <w:rFonts w:ascii="Times New Roman" w:hAnsi="Times New Roman" w:cs="Times New Roman"/>
        </w:rPr>
      </w:pPr>
      <w:r w:rsidRPr="00BE061B">
        <w:rPr>
          <w:rFonts w:ascii="Times New Roman" w:hAnsi="Times New Roman" w:cs="Times New Roman"/>
        </w:rPr>
        <w:t>La crisis desatada en EEUU y de magnitud global tuvo por tanto un componente puramente bancario, que se trasladó con mayor intensidad si cabe al otro lado del Atlántico. Su réplica europea afloró las debilidades con que se había construido la zona euro, un proyecto en el que habían convergido economías realmente desiguales y en el que no se había previsto qué hacer cuando uno de sus miembros tuviera verdaderas dificultades financieras. El euro quedó a merced de la desconfianza de los inversores, hasta poner en peligro su supervivencia. La crisis bancaria mutó en la zona euro a crisis de deuda soberana, en la que se puso en cuestión la capacidad de pago de los países más débiles, incluida España, que tuvo su propia crisis de hipotecas basura.</w:t>
      </w:r>
    </w:p>
    <w:p w:rsidR="00BE061B" w:rsidRPr="00DA41E1" w:rsidRDefault="00BE061B" w:rsidP="00691E08">
      <w:pPr>
        <w:spacing w:line="240" w:lineRule="auto"/>
        <w:jc w:val="both"/>
        <w:rPr>
          <w:rFonts w:ascii="Times New Roman" w:hAnsi="Times New Roman" w:cs="Times New Roman"/>
        </w:rPr>
      </w:pPr>
      <w:r w:rsidRPr="00DA41E1">
        <w:rPr>
          <w:rFonts w:ascii="Times New Roman" w:hAnsi="Times New Roman" w:cs="Times New Roman"/>
        </w:rPr>
        <w:lastRenderedPageBreak/>
        <w:t xml:space="preserve">Diez años después, las economías ya crecen, aunque la crisis ha dejado una profunda huella social, política y financiera. </w:t>
      </w:r>
    </w:p>
    <w:p w:rsidR="00BE061B" w:rsidRPr="00DA41E1" w:rsidRDefault="00BE061B" w:rsidP="00691E08">
      <w:pPr>
        <w:spacing w:line="240" w:lineRule="auto"/>
        <w:jc w:val="both"/>
        <w:rPr>
          <w:rFonts w:ascii="Times New Roman" w:hAnsi="Times New Roman" w:cs="Times New Roman"/>
        </w:rPr>
      </w:pPr>
      <w:r w:rsidRPr="00DA41E1">
        <w:rPr>
          <w:rFonts w:ascii="Times New Roman" w:hAnsi="Times New Roman" w:cs="Times New Roman"/>
        </w:rPr>
        <w:t>Para empezar, la banca ya no es la que era. Ha tenido que encajar una intensa regulación que ha elevado las exigencias de capital y mejorado la transparencia en la relación con los clientes y en los términos en que ha de vender sus productos. Los futuros rescates bancarios no los volverá a pagar el contribuyente. Al menos es la voluntad política sobre el papel, a la vista de que la regulación marca la vía en que un banco ha de rescatarse a sí mismo. No en vano, la crisis deja economías enormemente endeudadas, en gran medida por el coste de sus rescates bancarios y por la caída de la recaudación de impuestos.</w:t>
      </w:r>
    </w:p>
    <w:p w:rsidR="00BE061B" w:rsidRPr="00DA41E1" w:rsidRDefault="00BE061B" w:rsidP="00691E08">
      <w:pPr>
        <w:spacing w:line="240" w:lineRule="auto"/>
        <w:jc w:val="both"/>
        <w:rPr>
          <w:rFonts w:ascii="Times New Roman" w:hAnsi="Times New Roman" w:cs="Times New Roman"/>
        </w:rPr>
      </w:pPr>
      <w:r w:rsidRPr="00DA41E1">
        <w:rPr>
          <w:rFonts w:ascii="Times New Roman" w:hAnsi="Times New Roman" w:cs="Times New Roman"/>
        </w:rPr>
        <w:t xml:space="preserve">La banca sobrevivió a sus activos tóxicos gracias por tanto a la ayuda de sus gobiernos, aunque el verdadero sostén de la estabilidad del conjunto del sistema financiero fueron los bancos centrales. La actuación concertada de la Reserva Federal, el BCE, el Banco de Japón o el Banco de Inglaterra fue determinante para suministrar liquidez en los momentos más críticos, cuando el mercado interbancario había colapsado, y para estabilizar el sistema financiero. </w:t>
      </w:r>
    </w:p>
    <w:p w:rsidR="00BE061B" w:rsidRPr="00DA41E1" w:rsidRDefault="00BE061B" w:rsidP="00691E08">
      <w:pPr>
        <w:spacing w:line="240" w:lineRule="auto"/>
        <w:jc w:val="both"/>
        <w:rPr>
          <w:rFonts w:ascii="Times New Roman" w:hAnsi="Times New Roman" w:cs="Times New Roman"/>
        </w:rPr>
      </w:pPr>
      <w:r w:rsidRPr="00DA41E1">
        <w:rPr>
          <w:rFonts w:ascii="Times New Roman" w:hAnsi="Times New Roman" w:cs="Times New Roman"/>
        </w:rPr>
        <w:t>En el caso del euro, la intervención del BCE fue decisiva para su supervivencia. En julio de 2012, cuando la presión sobre la deuda soberana era ya insostenible para gigantes de la zona euro como España o Italia, Mario Draghi aseguró que haría todo lo necesario para proteger la divisa. Y desde entonces no ha parado. Llevó los tipos a cero y comenzó un programa de compras de deuda sin precedentes -emulando el de la Fed o el Banco de Japón-, tras el que ha acumulado 4,2 billones de euros en balance. Sus compras han asegurado un entorno de financiación barata a gobiernos y empresas, que tendrán que afrontar tipos más altos una vez que ese programa de adquisiciones desaparezca, previsiblemente en 2018.</w:t>
      </w:r>
    </w:p>
    <w:p w:rsidR="00DA41E1" w:rsidRPr="00DA41E1" w:rsidRDefault="00BE061B" w:rsidP="00691E08">
      <w:pPr>
        <w:spacing w:line="240" w:lineRule="auto"/>
        <w:jc w:val="both"/>
        <w:rPr>
          <w:rFonts w:ascii="Times New Roman" w:hAnsi="Times New Roman" w:cs="Times New Roman"/>
        </w:rPr>
      </w:pPr>
      <w:r w:rsidRPr="00DA41E1">
        <w:rPr>
          <w:rFonts w:ascii="Times New Roman" w:hAnsi="Times New Roman" w:cs="Times New Roman"/>
        </w:rPr>
        <w:t xml:space="preserve"> “La dependencia del BCE sigue siendo enorme. Diez años después, aún no se ha logrado romper el vínculo entre riesgo bancario y riesgo soberano. Y el mercado interbancario no ha recuperado su funcionalidad, los bancos continúan depositando en el BCE su exceso de liquidez antes que prestarla, incluso a pesar de pa</w:t>
      </w:r>
      <w:r w:rsidR="00DA41E1" w:rsidRPr="00DA41E1">
        <w:rPr>
          <w:rFonts w:ascii="Times New Roman" w:hAnsi="Times New Roman" w:cs="Times New Roman"/>
        </w:rPr>
        <w:t xml:space="preserve">gar una penalización del 0,4%. </w:t>
      </w:r>
      <w:r w:rsidRPr="00DA41E1">
        <w:rPr>
          <w:rFonts w:ascii="Times New Roman" w:hAnsi="Times New Roman" w:cs="Times New Roman"/>
        </w:rPr>
        <w:t xml:space="preserve">Los elevados niveles de deuda que deja la crisis plantean también el desafío de lograr unos niveles de crecimiento sostenibles con los que asegurar los pagos. </w:t>
      </w:r>
    </w:p>
    <w:p w:rsidR="00DA41E1" w:rsidRPr="00DA41E1" w:rsidRDefault="00BE061B" w:rsidP="00691E08">
      <w:pPr>
        <w:spacing w:line="240" w:lineRule="auto"/>
        <w:jc w:val="both"/>
        <w:rPr>
          <w:rFonts w:ascii="Times New Roman" w:hAnsi="Times New Roman" w:cs="Times New Roman"/>
        </w:rPr>
      </w:pPr>
      <w:r w:rsidRPr="00DA41E1">
        <w:rPr>
          <w:rFonts w:ascii="Times New Roman" w:hAnsi="Times New Roman" w:cs="Times New Roman"/>
        </w:rPr>
        <w:t>Las economías no terminan de levantar cabeza cuando de hecho están ya afrontando nuevos retos que apuntan a un futuro de crecimiento débil y baja inflación. El envejecimiento de la población y el avance de las tecnolog</w:t>
      </w:r>
      <w:r w:rsidR="00DA41E1" w:rsidRPr="00DA41E1">
        <w:rPr>
          <w:rFonts w:ascii="Times New Roman" w:hAnsi="Times New Roman" w:cs="Times New Roman"/>
        </w:rPr>
        <w:t xml:space="preserve">ías son los próximos desafíos. </w:t>
      </w:r>
      <w:r w:rsidRPr="00DA41E1">
        <w:rPr>
          <w:rFonts w:ascii="Times New Roman" w:hAnsi="Times New Roman" w:cs="Times New Roman"/>
        </w:rPr>
        <w:t>Son efectos que se mezclan y retroalimentan: con menor crecimiento, menor capacidad de pagar l</w:t>
      </w:r>
      <w:r w:rsidR="00DA41E1" w:rsidRPr="00DA41E1">
        <w:rPr>
          <w:rFonts w:ascii="Times New Roman" w:hAnsi="Times New Roman" w:cs="Times New Roman"/>
        </w:rPr>
        <w:t xml:space="preserve">a deuda. </w:t>
      </w:r>
      <w:r w:rsidRPr="00DA41E1">
        <w:rPr>
          <w:rFonts w:ascii="Times New Roman" w:hAnsi="Times New Roman" w:cs="Times New Roman"/>
        </w:rPr>
        <w:t xml:space="preserve">¿Y si estalla una nueva crisis? Los bancos centrales, con una pesada carga de deuda en sus balances, quedan con menos margen para encararla. </w:t>
      </w:r>
    </w:p>
    <w:p w:rsidR="00BE061B" w:rsidRPr="00DA41E1" w:rsidRDefault="00DA41E1" w:rsidP="00691E08">
      <w:pPr>
        <w:spacing w:line="240" w:lineRule="auto"/>
        <w:jc w:val="both"/>
        <w:rPr>
          <w:rFonts w:ascii="Times New Roman" w:hAnsi="Times New Roman" w:cs="Times New Roman"/>
        </w:rPr>
      </w:pPr>
      <w:r>
        <w:rPr>
          <w:rFonts w:ascii="Times New Roman" w:hAnsi="Times New Roman" w:cs="Times New Roman"/>
          <w:i/>
        </w:rPr>
        <w:t>“</w:t>
      </w:r>
      <w:r w:rsidR="00BE061B" w:rsidRPr="00DA41E1">
        <w:rPr>
          <w:rFonts w:ascii="Times New Roman" w:hAnsi="Times New Roman" w:cs="Times New Roman"/>
          <w:i/>
        </w:rPr>
        <w:t>Diez años después del inicio de la crisis subprime, el Ibex cae todavía el 33% desde los máximos alcanzados en noviembre de 2007, Wall Street, el Dax alemán y el Ftse londinense cotizan en niveles récord y el rendimiento de los bonos, aunque ya no en mínimos históricos, sigue en niveles insólitamente bajos. El estallido de la crisis subprime</w:t>
      </w:r>
      <w:r>
        <w:rPr>
          <w:rFonts w:ascii="Times New Roman" w:hAnsi="Times New Roman" w:cs="Times New Roman"/>
          <w:i/>
        </w:rPr>
        <w:t xml:space="preserve"> en EE</w:t>
      </w:r>
      <w:r w:rsidR="00BE061B" w:rsidRPr="00DA41E1">
        <w:rPr>
          <w:rFonts w:ascii="Times New Roman" w:hAnsi="Times New Roman" w:cs="Times New Roman"/>
          <w:i/>
        </w:rPr>
        <w:t>UU y el arrollador co</w:t>
      </w:r>
      <w:r w:rsidRPr="00DA41E1">
        <w:rPr>
          <w:rFonts w:ascii="Times New Roman" w:hAnsi="Times New Roman" w:cs="Times New Roman"/>
          <w:i/>
        </w:rPr>
        <w:t>ntagio que tuvo a nivel global -</w:t>
      </w:r>
      <w:r w:rsidR="00BE061B" w:rsidRPr="00DA41E1">
        <w:rPr>
          <w:rFonts w:ascii="Times New Roman" w:hAnsi="Times New Roman" w:cs="Times New Roman"/>
          <w:i/>
        </w:rPr>
        <w:t>con una particular versión de crisis de</w:t>
      </w:r>
      <w:r w:rsidRPr="00DA41E1">
        <w:rPr>
          <w:rFonts w:ascii="Times New Roman" w:hAnsi="Times New Roman" w:cs="Times New Roman"/>
          <w:i/>
        </w:rPr>
        <w:t xml:space="preserve"> deuda soberana en la zona euro-</w:t>
      </w:r>
      <w:r w:rsidR="00BE061B" w:rsidRPr="00DA41E1">
        <w:rPr>
          <w:rFonts w:ascii="Times New Roman" w:hAnsi="Times New Roman" w:cs="Times New Roman"/>
          <w:i/>
        </w:rPr>
        <w:t xml:space="preserve"> deja un balance desigual en el mundo de la inversión, aunque su dimensión fue tan grande que las secuelas perviven todavía y de hecho prometen seguir condicionando l</w:t>
      </w:r>
      <w:r>
        <w:rPr>
          <w:rFonts w:ascii="Times New Roman" w:hAnsi="Times New Roman" w:cs="Times New Roman"/>
          <w:i/>
        </w:rPr>
        <w:t>a inversión en los próximos años”..</w:t>
      </w:r>
      <w:r w:rsidR="00BE061B" w:rsidRPr="00DA41E1">
        <w:rPr>
          <w:rFonts w:ascii="Times New Roman" w:hAnsi="Times New Roman" w:cs="Times New Roman"/>
          <w:i/>
        </w:rPr>
        <w:t>.</w:t>
      </w:r>
      <w:r>
        <w:rPr>
          <w:rFonts w:ascii="Times New Roman" w:hAnsi="Times New Roman" w:cs="Times New Roman"/>
          <w:i/>
        </w:rPr>
        <w:t xml:space="preserve"> </w:t>
      </w:r>
      <w:r w:rsidRPr="006C155A">
        <w:rPr>
          <w:rFonts w:ascii="Times New Roman" w:hAnsi="Times New Roman" w:cs="Times New Roman"/>
          <w:u w:val="single"/>
        </w:rPr>
        <w:t>El pinchazo de los bonos, el gran temor que deja la crisis en el mercado</w:t>
      </w:r>
      <w:r>
        <w:rPr>
          <w:rFonts w:ascii="Times New Roman" w:hAnsi="Times New Roman" w:cs="Times New Roman"/>
        </w:rPr>
        <w:t xml:space="preserve"> (Cinco Días - </w:t>
      </w:r>
      <w:r w:rsidRPr="006C155A">
        <w:rPr>
          <w:rFonts w:ascii="Times New Roman" w:hAnsi="Times New Roman" w:cs="Times New Roman"/>
          <w:b/>
        </w:rPr>
        <w:t>2/7/17</w:t>
      </w:r>
      <w:r>
        <w:rPr>
          <w:rFonts w:ascii="Times New Roman" w:hAnsi="Times New Roman" w:cs="Times New Roman"/>
        </w:rPr>
        <w:t>)</w:t>
      </w:r>
    </w:p>
    <w:p w:rsidR="00BE061B" w:rsidRPr="00DA41E1" w:rsidRDefault="00BE061B" w:rsidP="00691E08">
      <w:pPr>
        <w:spacing w:line="240" w:lineRule="auto"/>
        <w:jc w:val="both"/>
        <w:rPr>
          <w:rFonts w:ascii="Times New Roman" w:hAnsi="Times New Roman" w:cs="Times New Roman"/>
        </w:rPr>
      </w:pPr>
      <w:r w:rsidRPr="00DA41E1">
        <w:rPr>
          <w:rFonts w:ascii="Times New Roman" w:hAnsi="Times New Roman" w:cs="Times New Roman"/>
        </w:rPr>
        <w:t xml:space="preserve">La ya conocida como Gran Recesión, solo comparable en la historia reciente a la Gran Depresión de 1929, provocó una movilización sin precedentes de los bancos centrales de los países desarrollados. La constatación de que el sistema financiero global estaba carcomido por los activos tóxicos dinamitó el sistema, provocó la inyección multimillonaria de ayudas públicas a la banca y la acción concertada de los bancos centrales para garantizar la liquidez. Pero dieron un paso más, impensable antes de 2007, con la decisión de lanzarse a la compra de bonos, no solo soberanos sino corporativos, una </w:t>
      </w:r>
      <w:r w:rsidRPr="00DA41E1">
        <w:rPr>
          <w:rFonts w:ascii="Times New Roman" w:hAnsi="Times New Roman" w:cs="Times New Roman"/>
        </w:rPr>
        <w:lastRenderedPageBreak/>
        <w:t>medida que ha sido decisiva para salir de la crisis y que a su vez ha distorsionado por completo el mundo de la inversión.</w:t>
      </w:r>
    </w:p>
    <w:p w:rsidR="00BE061B" w:rsidRPr="006C155A" w:rsidRDefault="00BE061B" w:rsidP="00691E08">
      <w:pPr>
        <w:spacing w:line="240" w:lineRule="auto"/>
        <w:jc w:val="both"/>
        <w:rPr>
          <w:rFonts w:ascii="Times New Roman" w:hAnsi="Times New Roman" w:cs="Times New Roman"/>
        </w:rPr>
      </w:pPr>
      <w:r w:rsidRPr="006C155A">
        <w:rPr>
          <w:rFonts w:ascii="Times New Roman" w:hAnsi="Times New Roman" w:cs="Times New Roman"/>
        </w:rPr>
        <w:t>Después de dejar los tipos de interés a cero, la Reserva Federal, el BCE y el Banco de Japón tuvieron que echar mano de medidas extraordinarias con las que garantizar la estabilidad financiera, el acceso a la financiación de familias y empresas –a la vista de que el crédito bancario se había secado– y la recuperación de la economía.</w:t>
      </w:r>
    </w:p>
    <w:p w:rsidR="00BE061B" w:rsidRPr="00DA41E1" w:rsidRDefault="00BE061B" w:rsidP="00691E08">
      <w:pPr>
        <w:spacing w:line="240" w:lineRule="auto"/>
        <w:jc w:val="both"/>
        <w:rPr>
          <w:rFonts w:ascii="Times New Roman" w:hAnsi="Times New Roman" w:cs="Times New Roman"/>
        </w:rPr>
      </w:pPr>
      <w:r w:rsidRPr="00DA41E1">
        <w:rPr>
          <w:rFonts w:ascii="Times New Roman" w:hAnsi="Times New Roman" w:cs="Times New Roman"/>
        </w:rPr>
        <w:t>En Estados Unidos, la Fed mantuvo los tipos de interés a cero desde noviembre de 2008 a diciembre de 2015, durante el mayor período de la historia, y realizó compras de deuda hasta engordar su balance hasta los 4,5 billones de dólares. En la zona euro, el BCE sigue comprando bonos a un ritmo de 60.000 millones de euros al mes hasta fin de año y los tipos están al cero desde marzo de 2016, sin que se esperen subidas hasta finales de 2018 o principios de 2019 como muy pronto.</w:t>
      </w:r>
    </w:p>
    <w:p w:rsidR="00BE061B" w:rsidRPr="00260FC6" w:rsidRDefault="00BE061B" w:rsidP="00691E08">
      <w:pPr>
        <w:spacing w:line="240" w:lineRule="auto"/>
        <w:jc w:val="both"/>
        <w:rPr>
          <w:rFonts w:ascii="Times New Roman" w:hAnsi="Times New Roman" w:cs="Times New Roman"/>
        </w:rPr>
      </w:pPr>
      <w:r w:rsidRPr="00260FC6">
        <w:rPr>
          <w:rFonts w:ascii="Times New Roman" w:hAnsi="Times New Roman" w:cs="Times New Roman"/>
        </w:rPr>
        <w:t>En el mercado queda ahora la secuela de unos bonos sobrevalorados y ya s</w:t>
      </w:r>
      <w:r w:rsidR="00260FC6" w:rsidRPr="00260FC6">
        <w:rPr>
          <w:rFonts w:ascii="Times New Roman" w:hAnsi="Times New Roman" w:cs="Times New Roman"/>
        </w:rPr>
        <w:t>in mucho más recorrido al alza -</w:t>
      </w:r>
      <w:r w:rsidRPr="00260FC6">
        <w:rPr>
          <w:rFonts w:ascii="Times New Roman" w:hAnsi="Times New Roman" w:cs="Times New Roman"/>
        </w:rPr>
        <w:t>tras años de impulso incesante con</w:t>
      </w:r>
      <w:r w:rsidR="00260FC6" w:rsidRPr="00260FC6">
        <w:rPr>
          <w:rFonts w:ascii="Times New Roman" w:hAnsi="Times New Roman" w:cs="Times New Roman"/>
        </w:rPr>
        <w:t xml:space="preserve"> las compras de la Fed o el BCE-</w:t>
      </w:r>
      <w:r w:rsidRPr="00260FC6">
        <w:rPr>
          <w:rFonts w:ascii="Times New Roman" w:hAnsi="Times New Roman" w:cs="Times New Roman"/>
        </w:rPr>
        <w:t xml:space="preserve"> y una renta variable que queda como reducto para obtener rentabilidad, en un entorno de tipos de interés aún en mínimos.</w:t>
      </w:r>
      <w:r w:rsidR="00260FC6" w:rsidRPr="00260FC6">
        <w:rPr>
          <w:rFonts w:ascii="Times New Roman" w:hAnsi="Times New Roman" w:cs="Times New Roman"/>
        </w:rPr>
        <w:t xml:space="preserve"> </w:t>
      </w:r>
      <w:r w:rsidRPr="00260FC6">
        <w:rPr>
          <w:rFonts w:ascii="Times New Roman" w:hAnsi="Times New Roman" w:cs="Times New Roman"/>
        </w:rPr>
        <w:t>No hay alternativas a la Bolsa y se aprecia cierta complacencia entre los inversores</w:t>
      </w:r>
      <w:r w:rsidR="00260FC6" w:rsidRPr="00260FC6">
        <w:rPr>
          <w:rFonts w:ascii="Times New Roman" w:hAnsi="Times New Roman" w:cs="Times New Roman"/>
        </w:rPr>
        <w:t>.</w:t>
      </w:r>
      <w:r w:rsidRPr="00260FC6">
        <w:rPr>
          <w:rFonts w:ascii="Times New Roman" w:hAnsi="Times New Roman" w:cs="Times New Roman"/>
        </w:rPr>
        <w:t xml:space="preserve"> </w:t>
      </w:r>
    </w:p>
    <w:p w:rsidR="00BE061B" w:rsidRPr="00260FC6" w:rsidRDefault="00BE061B" w:rsidP="00691E08">
      <w:pPr>
        <w:spacing w:line="240" w:lineRule="auto"/>
        <w:jc w:val="both"/>
        <w:rPr>
          <w:rFonts w:ascii="Times New Roman" w:hAnsi="Times New Roman" w:cs="Times New Roman"/>
        </w:rPr>
      </w:pPr>
      <w:r w:rsidRPr="00260FC6">
        <w:rPr>
          <w:rFonts w:ascii="Times New Roman" w:hAnsi="Times New Roman" w:cs="Times New Roman"/>
        </w:rPr>
        <w:t>La liquidez con la que han inundado el mercado los bancos centrales ha sido clave en el alza bursátil, con repuntes desde los mínimos de la crisis del 260% para el S&amp;P, que suma ocho años ininterrumpidos de a</w:t>
      </w:r>
      <w:r w:rsidR="00260FC6" w:rsidRPr="00260FC6">
        <w:rPr>
          <w:rFonts w:ascii="Times New Roman" w:hAnsi="Times New Roman" w:cs="Times New Roman"/>
        </w:rPr>
        <w:t xml:space="preserve">vances. </w:t>
      </w:r>
      <w:r w:rsidRPr="00260FC6">
        <w:rPr>
          <w:rFonts w:ascii="Times New Roman" w:hAnsi="Times New Roman" w:cs="Times New Roman"/>
        </w:rPr>
        <w:t>Estas subidas conviven con una suerte de calma chicha, de volatilidad en mínimos en la que también tiene mucho que ver la estabilidad que han proporcionado al mercado las medidas respuestas a la crisis de los bancos centrales.</w:t>
      </w:r>
    </w:p>
    <w:p w:rsidR="00BE061B" w:rsidRPr="00260FC6" w:rsidRDefault="00BE061B" w:rsidP="00691E08">
      <w:pPr>
        <w:spacing w:line="240" w:lineRule="auto"/>
        <w:jc w:val="both"/>
        <w:rPr>
          <w:rFonts w:ascii="Times New Roman" w:hAnsi="Times New Roman" w:cs="Times New Roman"/>
        </w:rPr>
      </w:pPr>
      <w:r w:rsidRPr="00260FC6">
        <w:rPr>
          <w:rFonts w:ascii="Times New Roman" w:hAnsi="Times New Roman" w:cs="Times New Roman"/>
        </w:rPr>
        <w:t>La renta fija ha vivido un rally desbordante gracias a las compras de los bancos centrales y el gran temor de los inversores es cómo será la vuelt</w:t>
      </w:r>
      <w:r w:rsidR="00260FC6" w:rsidRPr="00260FC6">
        <w:rPr>
          <w:rFonts w:ascii="Times New Roman" w:hAnsi="Times New Roman" w:cs="Times New Roman"/>
        </w:rPr>
        <w:t>a a un escenario de normalidad -</w:t>
      </w:r>
      <w:r w:rsidRPr="00260FC6">
        <w:rPr>
          <w:rFonts w:ascii="Times New Roman" w:hAnsi="Times New Roman" w:cs="Times New Roman"/>
        </w:rPr>
        <w:t>con tipos de interés más altos y ya sin el</w:t>
      </w:r>
      <w:r w:rsidR="00260FC6" w:rsidRPr="00260FC6">
        <w:rPr>
          <w:rFonts w:ascii="Times New Roman" w:hAnsi="Times New Roman" w:cs="Times New Roman"/>
        </w:rPr>
        <w:t xml:space="preserve"> sostén de las compras de bonos-</w:t>
      </w:r>
      <w:r w:rsidRPr="00260FC6">
        <w:rPr>
          <w:rFonts w:ascii="Times New Roman" w:hAnsi="Times New Roman" w:cs="Times New Roman"/>
        </w:rPr>
        <w:t xml:space="preserve"> sin que se produzca un descalabro en el precio de los bonos, con el agravante además de que las economías están mucho más endeudadas que con anterioridad a la crisis. Así, el aumento de la deuda ha sido el recurso inevitable para hacer frente al déficit público y al coste de los rescates bancarios.</w:t>
      </w:r>
    </w:p>
    <w:p w:rsidR="00BE061B" w:rsidRPr="00260FC6" w:rsidRDefault="00BE061B" w:rsidP="00691E08">
      <w:pPr>
        <w:spacing w:line="240" w:lineRule="auto"/>
        <w:jc w:val="both"/>
        <w:rPr>
          <w:rFonts w:ascii="Times New Roman" w:hAnsi="Times New Roman" w:cs="Times New Roman"/>
        </w:rPr>
      </w:pPr>
      <w:r w:rsidRPr="00260FC6">
        <w:rPr>
          <w:rFonts w:ascii="Times New Roman" w:hAnsi="Times New Roman" w:cs="Times New Roman"/>
        </w:rPr>
        <w:t>Tanto la Fed como el BCE insisten en que los pasos hacia la normalización de la política monetaria se darán con suma cautela. La retirada gradual de los estímulos aplicados durante la crisis será decisiva para no provocar una venta masiva de bonos, ya sin un banco central que los compre, y con ello el alza de las rentabilidades y del coste de financiación.</w:t>
      </w:r>
    </w:p>
    <w:p w:rsidR="00BE061B" w:rsidRDefault="00BE061B" w:rsidP="00691E08">
      <w:pPr>
        <w:spacing w:line="240" w:lineRule="auto"/>
        <w:jc w:val="both"/>
        <w:rPr>
          <w:rFonts w:ascii="Times New Roman" w:hAnsi="Times New Roman" w:cs="Times New Roman"/>
        </w:rPr>
      </w:pPr>
      <w:r w:rsidRPr="00260FC6">
        <w:rPr>
          <w:rFonts w:ascii="Times New Roman" w:hAnsi="Times New Roman" w:cs="Times New Roman"/>
        </w:rPr>
        <w:t>La Fed va un paso por delante: ya ha subido tipos en cuatro ocasiones, hasta el 1%-1,25%, y estudia reducir su balance. Con los tipos aún a cero, el BCE aún tiene camino por delante hasta estar en condiciones de haber pasado página a la crisis.</w:t>
      </w:r>
    </w:p>
    <w:p w:rsidR="00260FC6" w:rsidRPr="00260FC6" w:rsidRDefault="00260FC6" w:rsidP="00691E08">
      <w:pPr>
        <w:spacing w:line="240" w:lineRule="auto"/>
        <w:jc w:val="both"/>
        <w:rPr>
          <w:rFonts w:ascii="Times New Roman" w:hAnsi="Times New Roman" w:cs="Times New Roman"/>
        </w:rPr>
      </w:pPr>
      <w:r>
        <w:rPr>
          <w:rFonts w:ascii="Times New Roman" w:hAnsi="Times New Roman" w:cs="Times New Roman"/>
          <w:i/>
        </w:rPr>
        <w:t>“</w:t>
      </w:r>
      <w:r w:rsidRPr="00260FC6">
        <w:rPr>
          <w:rFonts w:ascii="Times New Roman" w:hAnsi="Times New Roman" w:cs="Times New Roman"/>
          <w:i/>
        </w:rPr>
        <w:t>El volumen global de deuda ha alcanzado un nuevo récord de 217 billones de dólares (190 billones de euros) en el primer trimestre del año, una cifra equivalente al 327% del PIB mundial, según los datos del Instituto Internacional de Finanzas (IIF)</w:t>
      </w:r>
      <w:r>
        <w:rPr>
          <w:rFonts w:ascii="Times New Roman" w:hAnsi="Times New Roman" w:cs="Times New Roman"/>
          <w:i/>
        </w:rPr>
        <w:t>”..</w:t>
      </w:r>
      <w:r w:rsidRPr="00260FC6">
        <w:rPr>
          <w:rFonts w:ascii="Times New Roman" w:hAnsi="Times New Roman" w:cs="Times New Roman"/>
          <w:i/>
        </w:rPr>
        <w:t>.</w:t>
      </w:r>
      <w:r w:rsidRPr="00260FC6">
        <w:rPr>
          <w:rFonts w:ascii="Times New Roman" w:hAnsi="Times New Roman" w:cs="Times New Roman"/>
        </w:rPr>
        <w:t xml:space="preserve"> </w:t>
      </w:r>
      <w:r w:rsidRPr="00260FC6">
        <w:rPr>
          <w:rFonts w:ascii="Times New Roman" w:hAnsi="Times New Roman" w:cs="Times New Roman"/>
          <w:u w:val="single"/>
        </w:rPr>
        <w:t>La deuda global escala a 190 billones, el 327% del PIB mundial</w:t>
      </w:r>
      <w:r w:rsidRPr="00260FC6">
        <w:rPr>
          <w:rFonts w:ascii="Times New Roman" w:hAnsi="Times New Roman" w:cs="Times New Roman"/>
        </w:rPr>
        <w:t xml:space="preserve"> (El Economista - </w:t>
      </w:r>
      <w:r w:rsidRPr="00260FC6">
        <w:rPr>
          <w:rFonts w:ascii="Times New Roman" w:hAnsi="Times New Roman" w:cs="Times New Roman"/>
          <w:b/>
        </w:rPr>
        <w:t>2/7/17</w:t>
      </w:r>
      <w:r>
        <w:rPr>
          <w:rFonts w:ascii="Times New Roman" w:hAnsi="Times New Roman" w:cs="Times New Roman"/>
        </w:rPr>
        <w:t>)</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De este modo, la deuda global se ha incrementado en los últimos doce meses en más de medio billón de dólares, tras cerrar el primer trimestre de 2016 en 216,4 billones de dólares (189,4 billones de euros) y elevándose un 46% por encima de los 149 billones de dólares (130,5 billones de euros) de hace diez años.</w:t>
      </w:r>
    </w:p>
    <w:p w:rsidR="00260FC6" w:rsidRPr="00260FC6" w:rsidRDefault="00260FC6" w:rsidP="00691E08">
      <w:pPr>
        <w:spacing w:line="240" w:lineRule="auto"/>
        <w:jc w:val="both"/>
        <w:rPr>
          <w:rFonts w:ascii="Times New Roman" w:hAnsi="Times New Roman" w:cs="Times New Roman"/>
        </w:rPr>
      </w:pPr>
      <w:r>
        <w:rPr>
          <w:rFonts w:ascii="Times New Roman" w:hAnsi="Times New Roman" w:cs="Times New Roman"/>
        </w:rPr>
        <w:t>Las “economías maduras”</w:t>
      </w:r>
      <w:r w:rsidRPr="00260FC6">
        <w:rPr>
          <w:rFonts w:ascii="Times New Roman" w:hAnsi="Times New Roman" w:cs="Times New Roman"/>
        </w:rPr>
        <w:t xml:space="preserve"> sumaban al finalizar el primer trimestre del año una deuda total de 160,6 billones de dólares (140,7 billones de euros), un 1,4% menos que un año antes, mientras que la deuda de los países emergentes llegaba a 56,4 billones de dólares (49,3 billones de euros), un 5,4% más.</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 xml:space="preserve">El incremento registrado en el último año se explica por el mayor endeudamiento de los hogares, con 40,9 billones de dólares (35,8 billones de euros), frente a los 40,3 billones de dólares (35,3 billones de </w:t>
      </w:r>
      <w:r w:rsidRPr="00260FC6">
        <w:rPr>
          <w:rFonts w:ascii="Times New Roman" w:hAnsi="Times New Roman" w:cs="Times New Roman"/>
        </w:rPr>
        <w:lastRenderedPageBreak/>
        <w:t>euros) del primer trimestre de 2016, así como de las empresas, cuya deuda sumaba 63,5 billones de dólares (55,6 billones de euros), frente a los 63 billones de dólares (55,2 billones de euros) del año anterior.</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Por su parte, la deuda de los gobiernos se mantuvo prácticamente estable en 58,8 billones de dólares (51,5 billones de euros) y disminuyó entre el sector financiero, con un total de 54,1 billones de dólares (47,4 billones de euros), frente a los 54,9 billones de dólares (48 billones de euros) del primer trimestre del año pasado.</w:t>
      </w:r>
    </w:p>
    <w:p w:rsidR="00260FC6" w:rsidRPr="00260FC6" w:rsidRDefault="00260FC6" w:rsidP="00691E08">
      <w:pPr>
        <w:spacing w:line="240" w:lineRule="auto"/>
        <w:jc w:val="both"/>
        <w:rPr>
          <w:rFonts w:ascii="Times New Roman" w:hAnsi="Times New Roman" w:cs="Times New Roman"/>
        </w:rPr>
      </w:pPr>
      <w:r>
        <w:rPr>
          <w:rFonts w:ascii="Times New Roman" w:hAnsi="Times New Roman" w:cs="Times New Roman"/>
        </w:rPr>
        <w:t>“</w:t>
      </w:r>
      <w:r w:rsidRPr="00260FC6">
        <w:rPr>
          <w:rFonts w:ascii="Times New Roman" w:hAnsi="Times New Roman" w:cs="Times New Roman"/>
        </w:rPr>
        <w:t>Mientras los niveles de deuda y tolerancia al endeudamiento difieren significativamente entre países y sectores, el persistente incremento en los niveles de deuda mundial junto al deterioro de la calidad del crédito en el sector empresarial, particularmente en los mercados emergentes, supone mayores pasivos contingentes para muchos emisores soberanos y en algunos casos ha comenzado a lastrar la solvencia soberana, incluy</w:t>
      </w:r>
      <w:r>
        <w:rPr>
          <w:rFonts w:ascii="Times New Roman" w:hAnsi="Times New Roman" w:cs="Times New Roman"/>
        </w:rPr>
        <w:t>endo países como China y Canadá”</w:t>
      </w:r>
      <w:r w:rsidRPr="00260FC6">
        <w:rPr>
          <w:rFonts w:ascii="Times New Roman" w:hAnsi="Times New Roman" w:cs="Times New Roman"/>
        </w:rPr>
        <w:t>, indican los analistas de IIF.</w:t>
      </w:r>
    </w:p>
    <w:p w:rsid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De hecho, según los cálculos del IIF, el volumen total de deuda de China habría alcanzado en el primer trimestre de 2017 el 304% del PIB ante la aceleración del endeudamiento de los hogares, mientras las empresas han frenado en cierta medida su apalancamiento.</w:t>
      </w:r>
    </w:p>
    <w:p w:rsidR="00260FC6" w:rsidRPr="00260FC6" w:rsidRDefault="00260FC6" w:rsidP="00691E08">
      <w:pPr>
        <w:spacing w:line="240" w:lineRule="auto"/>
        <w:jc w:val="both"/>
        <w:rPr>
          <w:rFonts w:ascii="Times New Roman" w:hAnsi="Times New Roman" w:cs="Times New Roman"/>
          <w:i/>
        </w:rPr>
      </w:pPr>
      <w:r>
        <w:rPr>
          <w:rFonts w:ascii="Times New Roman" w:hAnsi="Times New Roman" w:cs="Times New Roman"/>
          <w:i/>
        </w:rPr>
        <w:t>“</w:t>
      </w:r>
      <w:r w:rsidRPr="00260FC6">
        <w:rPr>
          <w:rFonts w:ascii="Times New Roman" w:hAnsi="Times New Roman" w:cs="Times New Roman"/>
          <w:i/>
        </w:rPr>
        <w:t xml:space="preserve">El Banco Central Europeo (BCE) ha destinado un total de 194.791 millones de euros a la adquisición de deuda soberana española, una cifra que representa el 11,9% del total invertido por el banco central a través de su programa de compra de activos públicos, conocido popularmente como QE, que entró en funcionamiento en marzo de </w:t>
      </w:r>
      <w:r>
        <w:rPr>
          <w:rFonts w:ascii="Times New Roman" w:hAnsi="Times New Roman" w:cs="Times New Roman"/>
          <w:i/>
        </w:rPr>
        <w:t xml:space="preserve">2015”… </w:t>
      </w:r>
      <w:r w:rsidRPr="00260FC6">
        <w:rPr>
          <w:rFonts w:ascii="Times New Roman" w:hAnsi="Times New Roman" w:cs="Times New Roman"/>
          <w:u w:val="single"/>
        </w:rPr>
        <w:t>El BCE invierte más de 194.000 millones en deuda pública española a través del QE</w:t>
      </w:r>
      <w:r w:rsidRPr="00260FC6">
        <w:rPr>
          <w:rFonts w:ascii="Times New Roman" w:hAnsi="Times New Roman" w:cs="Times New Roman"/>
        </w:rPr>
        <w:t xml:space="preserve"> (El Economista - </w:t>
      </w:r>
      <w:r w:rsidRPr="00260FC6">
        <w:rPr>
          <w:rFonts w:ascii="Times New Roman" w:hAnsi="Times New Roman" w:cs="Times New Roman"/>
          <w:b/>
        </w:rPr>
        <w:t>4/7/17</w:t>
      </w:r>
      <w:r w:rsidRPr="00260FC6">
        <w:rPr>
          <w:rFonts w:ascii="Times New Roman" w:hAnsi="Times New Roman" w:cs="Times New Roman"/>
        </w:rPr>
        <w:t>)</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En el mes de junio, la institución ha adquirido bonos soberanos españoles por importe de 6.202 millones, una cifra un 2,6% superior a los 6.043 millones comprados en mayo.</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De este modo, la española era la cuarta deuda soberana con mayor presencia en la cartera del BCE a 30 de junio, solo por detrás de Alemania (391.895 millones), Francia (315.244 millones) e Italia (274.086 millones), en línea con las estimaciones en función de la clave de capital correspondiente a cada uno de los países.</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Por contra, los socios del euro con menor presencia en la cartera de deuda adquirida entre marzo de 2015 y junio de 2017 por el banco central de la eurozona fueron Estonia, con un total de 65 millones, seguido de Chipre, con 215 millones, y de Malta, con un total de 956 millones.</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De este modo, el desglose de las compras del BCE confirma que solo Grecia se mantiene al margen del programa de expansión cuantitativa más de dos años después de haber sido puesto en marcha por la institución.</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Asimismo, el BCE ha informado de que la deuda española adquirida en el marco de este programa cuenta con un plazo de vencimiento medio de 8,51 años, frente a los 8,60 años del mes anterior, lo que convierte a la española en la undécima con mayor plazo medio de vencimiento, mientras que el promedio del programa se situaba en 7,90 años.</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La deuda de Malta, con 11,03 años, por delante de la de Bélgica, con 10,22 años, y Eslovenia, con 9,33 años, eran las que mayores plazos de vencimiento mostraban, mientras la deuda con menor vencimiento medio ponderado adquirida en el marco del PSPP correspondía a Estonia (1,03 años), seguida de la de Chipre (4,69 años) y la de Luxemburgo (5,65 años).</w:t>
      </w:r>
    </w:p>
    <w:p w:rsidR="00691E08" w:rsidRDefault="00260FC6" w:rsidP="00691E08">
      <w:pPr>
        <w:spacing w:line="240" w:lineRule="auto"/>
        <w:jc w:val="both"/>
        <w:rPr>
          <w:rFonts w:ascii="Times New Roman" w:hAnsi="Times New Roman" w:cs="Times New Roman"/>
        </w:rPr>
      </w:pPr>
      <w:r w:rsidRPr="00260FC6">
        <w:rPr>
          <w:rFonts w:ascii="Times New Roman" w:hAnsi="Times New Roman" w:cs="Times New Roman"/>
        </w:rPr>
        <w:t>En su conjunto, el BCE invirtió en junio un total 51.607 millones de euros en deuda pública de la zona euro, una cifra un 0,2% por encima de la adquirida en mayo, alcanzando así un importe agregado de 1,638 billones de euros desde marzo de 2015.</w:t>
      </w:r>
    </w:p>
    <w:p w:rsidR="00E544AD" w:rsidRDefault="00E544AD" w:rsidP="00691E08">
      <w:pPr>
        <w:spacing w:line="240" w:lineRule="auto"/>
        <w:jc w:val="both"/>
        <w:rPr>
          <w:rFonts w:ascii="Times New Roman" w:hAnsi="Times New Roman" w:cs="Times New Roman"/>
        </w:rPr>
      </w:pP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lastRenderedPageBreak/>
        <w:t>Deuda empresarial</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Además de las compras de deuda pública, la expansión cuantitativa del BCE incluye también la adquisición de deuda de empresas, que en junio sumó 7.028 millones de euros, hasta alcanzar 96.620 millones desde su inicio en junio de 2016.</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Por su parte, el volumen de titulizaciones en cartera del BCE se incrementó en junio en 496 millones, hasta 24.135 millones, mientras que las cédulas hipotecarias crecieron en 3.263 millones de euros, por lo que la institución acumula 222.630 millones desde el otoño de 2014.</w:t>
      </w:r>
    </w:p>
    <w:p w:rsidR="00260FC6" w:rsidRPr="00260FC6" w:rsidRDefault="00260FC6" w:rsidP="00691E08">
      <w:pPr>
        <w:spacing w:line="240" w:lineRule="auto"/>
        <w:jc w:val="both"/>
        <w:rPr>
          <w:rFonts w:ascii="Times New Roman" w:hAnsi="Times New Roman" w:cs="Times New Roman"/>
        </w:rPr>
      </w:pPr>
      <w:r w:rsidRPr="00260FC6">
        <w:rPr>
          <w:rFonts w:ascii="Times New Roman" w:hAnsi="Times New Roman" w:cs="Times New Roman"/>
        </w:rPr>
        <w:t>De este modo, en el mes de junio el BCE invirtió un total de 62.394 millones de euros en la compra de activos, una cifra por encima del objetivo de 60.000 millones de euros mensuales que mantiene la entidad desde el pasado mes de abril.</w:t>
      </w:r>
    </w:p>
    <w:p w:rsidR="00691E08" w:rsidRPr="007E70F6" w:rsidRDefault="00260FC6" w:rsidP="007E70F6">
      <w:pPr>
        <w:spacing w:line="240" w:lineRule="auto"/>
        <w:jc w:val="both"/>
        <w:rPr>
          <w:rFonts w:ascii="Times New Roman" w:hAnsi="Times New Roman" w:cs="Times New Roman"/>
        </w:rPr>
      </w:pPr>
      <w:r w:rsidRPr="00260FC6">
        <w:rPr>
          <w:rFonts w:ascii="Times New Roman" w:hAnsi="Times New Roman" w:cs="Times New Roman"/>
        </w:rPr>
        <w:t>Según anunció el BCE, estas compras de activos se mantendrán al menos hasta finales de diciembre de 2017, lo que implica al menos la suma de otros 360.000 millones de euros al balance de la entidad.</w:t>
      </w:r>
    </w:p>
    <w:p w:rsidR="006C4115" w:rsidRPr="006C4115" w:rsidRDefault="006C4115" w:rsidP="006C4115">
      <w:pPr>
        <w:pStyle w:val="selectionshareable"/>
        <w:shd w:val="clear" w:color="auto" w:fill="FFFFFF"/>
        <w:spacing w:before="0" w:beforeAutospacing="0" w:after="300" w:afterAutospacing="0"/>
        <w:jc w:val="both"/>
        <w:textAlignment w:val="baseline"/>
        <w:rPr>
          <w:i/>
        </w:rPr>
      </w:pPr>
      <w:r>
        <w:rPr>
          <w:i/>
        </w:rPr>
        <w:t>“</w:t>
      </w:r>
      <w:r w:rsidRPr="006C4115">
        <w:rPr>
          <w:i/>
        </w:rPr>
        <w:t>La tecnología y la globalización están eliminando la clase media en los países desarrollados. Janet Yellen, presidenta de la Reserva Federal de EEUU, reconoció ayer ante el Congreso que los salarios y los puestos de trabajo que requieren una calificación baja o media están disminuyendo, lo que presiona a la baja las rentas procedentes del trabajo e intensifica la desigualdad de ingresos</w:t>
      </w:r>
      <w:r>
        <w:rPr>
          <w:i/>
        </w:rPr>
        <w:t>”..</w:t>
      </w:r>
      <w:r w:rsidRPr="006C4115">
        <w:rPr>
          <w:i/>
        </w:rPr>
        <w:t>.</w:t>
      </w:r>
      <w:r>
        <w:rPr>
          <w:i/>
        </w:rPr>
        <w:t xml:space="preserve"> </w:t>
      </w:r>
      <w:r w:rsidRPr="0029767E">
        <w:rPr>
          <w:u w:val="single"/>
        </w:rPr>
        <w:t>La Fed reconoce que la tecnología y la globalización están aniquilando a la clase media</w:t>
      </w:r>
      <w:r>
        <w:t xml:space="preserve"> (El Economista - </w:t>
      </w:r>
      <w:r w:rsidRPr="0029767E">
        <w:rPr>
          <w:b/>
        </w:rPr>
        <w:t>13/7/17</w:t>
      </w:r>
      <w:r>
        <w:t>)</w:t>
      </w:r>
    </w:p>
    <w:p w:rsidR="006C4115" w:rsidRPr="00EF2B71" w:rsidRDefault="006C4115" w:rsidP="006C4115">
      <w:pPr>
        <w:pStyle w:val="selectionshareable"/>
        <w:shd w:val="clear" w:color="auto" w:fill="FFFFFF"/>
        <w:spacing w:before="0" w:beforeAutospacing="0" w:after="300" w:afterAutospacing="0"/>
        <w:jc w:val="both"/>
        <w:textAlignment w:val="baseline"/>
      </w:pPr>
      <w:r w:rsidRPr="00EF2B71">
        <w:t>“Los salarios y los trabajos de las familias de clase media han ido perdiendo peso y disminuyendo sus oportunidades. Los salarios de la clase media han sufrido una presión a la baja, por una lado el cambio tecnológico ha eliminado puestos de trabajo y la globalización ha reformado el impacto de la tecnología”, ha sentenciado la presidenta de la Reserva Federal.</w:t>
      </w:r>
    </w:p>
    <w:p w:rsidR="006C4115" w:rsidRPr="00EF2B71" w:rsidRDefault="006C4115" w:rsidP="006C4115">
      <w:pPr>
        <w:pStyle w:val="selectionshareable"/>
        <w:shd w:val="clear" w:color="auto" w:fill="FFFFFF"/>
        <w:spacing w:before="0" w:beforeAutospacing="0" w:after="0" w:afterAutospacing="0"/>
        <w:jc w:val="both"/>
        <w:textAlignment w:val="baseline"/>
      </w:pPr>
      <w:r w:rsidRPr="00EF2B71">
        <w:t>Yellen ha querido “culpar” a la tecnología de la mayor parte de este proceso, en línea con los trabajos realizados por algunos investigadores como Michael J. Hicks, profesor de Economía en el Miller College of Business, y Srikant Devaraj, investigador del Center for Business and Economic Research, que sostienen que </w:t>
      </w:r>
      <w:hyperlink r:id="rId11" w:history="1">
        <w:r w:rsidRPr="00EF2B71">
          <w:rPr>
            <w:rStyle w:val="Hipervnculo"/>
            <w:color w:val="auto"/>
            <w:u w:val="none"/>
            <w:bdr w:val="none" w:sz="0" w:space="0" w:color="auto" w:frame="1"/>
          </w:rPr>
          <w:t>de forma abrumadora, el mayor impacto sobre el empleo ha sido el aumento de la productividad.</w:t>
        </w:r>
      </w:hyperlink>
      <w:r w:rsidRPr="00EF2B71">
        <w:t> Ahora se produce más cantidad de bienes y servicios con menos capital humano y con más capital físico (edificios, máquinas, equipos técnicos y tecnologías usadas en el proceso intermedio de producción).</w:t>
      </w:r>
    </w:p>
    <w:p w:rsidR="006C4115" w:rsidRPr="00EF2B71" w:rsidRDefault="006C4115" w:rsidP="006C4115">
      <w:pPr>
        <w:pStyle w:val="selectionshareable"/>
        <w:shd w:val="clear" w:color="auto" w:fill="FFFFFF"/>
        <w:spacing w:before="0" w:beforeAutospacing="0" w:after="0" w:afterAutospacing="0"/>
        <w:jc w:val="both"/>
        <w:textAlignment w:val="baseline"/>
      </w:pPr>
    </w:p>
    <w:p w:rsidR="006C4115" w:rsidRPr="00EF2B71" w:rsidRDefault="006C4115" w:rsidP="006C4115">
      <w:pPr>
        <w:pStyle w:val="selectionshareable"/>
        <w:shd w:val="clear" w:color="auto" w:fill="FFFFFF"/>
        <w:spacing w:before="0" w:beforeAutospacing="0" w:after="300" w:afterAutospacing="0"/>
        <w:jc w:val="both"/>
        <w:textAlignment w:val="baseline"/>
      </w:pPr>
      <w:r w:rsidRPr="00EF2B71">
        <w:t>“Casi el 88% (entre 1999 y 2013) de los empleos perdido en las industria se pueden atribuir el fuerte crecimiento de la productividad de las fábricas de EEUU debido al mayor uso del factor capital”, aseguran estos expertos.</w:t>
      </w:r>
    </w:p>
    <w:p w:rsidR="006C4115" w:rsidRPr="00EF2B71" w:rsidRDefault="006C4115" w:rsidP="006C4115">
      <w:pPr>
        <w:pStyle w:val="selectionshareable"/>
        <w:shd w:val="clear" w:color="auto" w:fill="FFFFFF"/>
        <w:spacing w:before="0" w:beforeAutospacing="0" w:after="300" w:afterAutospacing="0"/>
        <w:jc w:val="both"/>
        <w:textAlignment w:val="baseline"/>
      </w:pPr>
      <w:r w:rsidRPr="00EF2B71">
        <w:t>Además, Yellen también ha reconocido que “durante varios años, las empresas estadounidenses han estado sentados sobre mucho dinero y no han querido invertir al ritmo que nos hubiera gustado ver”.</w:t>
      </w:r>
    </w:p>
    <w:p w:rsidR="006C4115" w:rsidRPr="00EF2B71" w:rsidRDefault="006C4115" w:rsidP="006C4115">
      <w:pPr>
        <w:pStyle w:val="selectionshareable"/>
        <w:shd w:val="clear" w:color="auto" w:fill="FFFFFF"/>
        <w:spacing w:before="0" w:beforeAutospacing="0" w:after="300" w:afterAutospacing="0"/>
        <w:jc w:val="both"/>
        <w:textAlignment w:val="baseline"/>
      </w:pPr>
      <w:r w:rsidRPr="00EF2B71">
        <w:t>Esa falta de inversión doméstica, ya sea en nuevas plantas o contrataciones, tampoco ha ayudado a la hora de generar empleos y presionar al alza los salarios. En junio, la economía de EEUU creo 222.000 empleos, mientras que la tasa de paro se encuentra en el 4,4%, ambos datos son muy buenos, pero los salarios no acompañan.</w:t>
      </w:r>
    </w:p>
    <w:p w:rsidR="006C4115" w:rsidRPr="00EF2B71" w:rsidRDefault="006C4115" w:rsidP="006C4115">
      <w:pPr>
        <w:shd w:val="clear" w:color="auto" w:fill="FFFFFF"/>
        <w:spacing w:line="240" w:lineRule="auto"/>
        <w:jc w:val="both"/>
        <w:textAlignment w:val="baseline"/>
        <w:rPr>
          <w:rFonts w:ascii="Times New Roman" w:hAnsi="Times New Roman" w:cs="Times New Roman"/>
          <w:sz w:val="24"/>
          <w:szCs w:val="24"/>
        </w:rPr>
      </w:pPr>
      <w:r w:rsidRPr="00EF2B71">
        <w:rPr>
          <w:rFonts w:ascii="Times New Roman" w:hAnsi="Times New Roman" w:cs="Times New Roman"/>
          <w:noProof/>
          <w:sz w:val="24"/>
          <w:szCs w:val="24"/>
          <w:lang w:eastAsia="es-ES"/>
        </w:rPr>
        <w:lastRenderedPageBreak/>
        <w:drawing>
          <wp:inline distT="0" distB="0" distL="0" distR="0" wp14:anchorId="571E8DEB" wp14:editId="4A375D9E">
            <wp:extent cx="5740400" cy="2444750"/>
            <wp:effectExtent l="0" t="0" r="0" b="0"/>
            <wp:docPr id="578" name="Imagen 578" descr="http://s03.s3c.es/imag/_v0/770x347/2/9/d/crecimiento-salario-h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72827" descr="http://s03.s3c.es/imag/_v0/770x347/2/9/d/crecimiento-salario-hor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0400" cy="2444750"/>
                    </a:xfrm>
                    <a:prstGeom prst="rect">
                      <a:avLst/>
                    </a:prstGeom>
                    <a:noFill/>
                    <a:ln>
                      <a:noFill/>
                    </a:ln>
                  </pic:spPr>
                </pic:pic>
              </a:graphicData>
            </a:graphic>
          </wp:inline>
        </w:drawing>
      </w:r>
    </w:p>
    <w:p w:rsidR="006C4115" w:rsidRPr="00EF2B71" w:rsidRDefault="006C4115" w:rsidP="006C4115">
      <w:pPr>
        <w:pStyle w:val="Ttulo5"/>
        <w:pBdr>
          <w:bottom w:val="single" w:sz="6" w:space="4" w:color="F0F0F0"/>
        </w:pBdr>
        <w:shd w:val="clear" w:color="auto" w:fill="FFFFFF"/>
        <w:spacing w:before="0" w:after="225" w:line="240" w:lineRule="auto"/>
        <w:jc w:val="both"/>
        <w:textAlignment w:val="baseline"/>
        <w:rPr>
          <w:rFonts w:ascii="Times New Roman" w:hAnsi="Times New Roman" w:cs="Times New Roman"/>
          <w:color w:val="auto"/>
          <w:sz w:val="24"/>
          <w:szCs w:val="24"/>
        </w:rPr>
      </w:pPr>
      <w:r w:rsidRPr="00EF2B71">
        <w:rPr>
          <w:rFonts w:ascii="Times New Roman" w:hAnsi="Times New Roman" w:cs="Times New Roman"/>
          <w:bCs/>
          <w:color w:val="auto"/>
          <w:sz w:val="24"/>
          <w:szCs w:val="24"/>
        </w:rPr>
        <w:t>Crecimiento interanual del salario por hora en EEUU. // Fuente: Reserva Federal de San Luis</w:t>
      </w:r>
    </w:p>
    <w:p w:rsidR="006C4115" w:rsidRPr="00EF2B71" w:rsidRDefault="006C4115" w:rsidP="006C4115">
      <w:pPr>
        <w:pStyle w:val="selectionshareable"/>
        <w:shd w:val="clear" w:color="auto" w:fill="FFFFFF"/>
        <w:spacing w:before="0" w:beforeAutospacing="0" w:after="300" w:afterAutospacing="0"/>
        <w:jc w:val="both"/>
        <w:textAlignment w:val="baseline"/>
      </w:pPr>
      <w:r w:rsidRPr="00EF2B71">
        <w:t>El crecimiento salarial crece a un ritmo del 2,5% anual, un nivel que se encuentra alrededor de un punto porcentual por debajo del que se registró en los años previos a la crisis financiera.</w:t>
      </w:r>
    </w:p>
    <w:p w:rsidR="006C4115" w:rsidRPr="00EF2B71" w:rsidRDefault="006C4115" w:rsidP="006C4115">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rPr>
      </w:pPr>
      <w:r w:rsidRPr="00EF2B71">
        <w:rPr>
          <w:rFonts w:ascii="Times New Roman" w:hAnsi="Times New Roman" w:cs="Times New Roman"/>
          <w:b w:val="0"/>
          <w:bCs w:val="0"/>
          <w:color w:val="auto"/>
          <w:sz w:val="24"/>
          <w:szCs w:val="24"/>
        </w:rPr>
        <w:t>En Europa la situación es la misma</w:t>
      </w:r>
    </w:p>
    <w:p w:rsidR="006C4115" w:rsidRPr="00EF2B71" w:rsidRDefault="006C4115" w:rsidP="006C4115">
      <w:pPr>
        <w:pStyle w:val="selectionshareable"/>
        <w:shd w:val="clear" w:color="auto" w:fill="FFFFFF"/>
        <w:spacing w:before="0" w:beforeAutospacing="0" w:after="0" w:afterAutospacing="0"/>
        <w:jc w:val="both"/>
        <w:textAlignment w:val="baseline"/>
      </w:pPr>
      <w:r w:rsidRPr="00EF2B71">
        <w:t>Esta tendencia que preocupa a la Reserva Federal de EEUU también está en la lista de problemas del Banco Central Europeo. En la eurozona también </w:t>
      </w:r>
      <w:hyperlink r:id="rId13" w:tooltip="Un mercado laboral de ricos y pobres" w:history="1">
        <w:r w:rsidRPr="00EF2B71">
          <w:rPr>
            <w:rStyle w:val="Hipervnculo"/>
            <w:color w:val="auto"/>
            <w:u w:val="none"/>
            <w:bdr w:val="none" w:sz="0" w:space="0" w:color="auto" w:frame="1"/>
          </w:rPr>
          <w:t>está desapareciendo la clase media</w:t>
        </w:r>
      </w:hyperlink>
      <w:r w:rsidRPr="00EF2B71">
        <w:t> con unos efectos similares a los de EEUU.</w:t>
      </w:r>
    </w:p>
    <w:p w:rsidR="006C4115" w:rsidRPr="00EF2B71" w:rsidRDefault="006C4115" w:rsidP="006C4115">
      <w:pPr>
        <w:pStyle w:val="selectionshareable"/>
        <w:shd w:val="clear" w:color="auto" w:fill="FFFFFF"/>
        <w:spacing w:before="0" w:beforeAutospacing="0" w:after="0" w:afterAutospacing="0"/>
        <w:jc w:val="both"/>
        <w:textAlignment w:val="baseline"/>
      </w:pPr>
    </w:p>
    <w:p w:rsidR="006C4115" w:rsidRPr="00EF2B71" w:rsidRDefault="006C4115" w:rsidP="006C4115">
      <w:pPr>
        <w:pStyle w:val="selectionshareable"/>
        <w:shd w:val="clear" w:color="auto" w:fill="FFFFFF"/>
        <w:spacing w:before="0" w:beforeAutospacing="0" w:after="300" w:afterAutospacing="0"/>
        <w:jc w:val="both"/>
        <w:textAlignment w:val="baseline"/>
      </w:pPr>
      <w:r w:rsidRPr="00EF2B71">
        <w:t>Como destacan los economistas de CaixaBank Research en su último informe mensual, “el mercado laboral europeo está cada vez más polarizado: el aumento del empleo es especialmente pronunciado en ocupaciones de cualificaciones y salarios altos, y en ocupaciones de cualificaciones y salarios bajos”.</w:t>
      </w:r>
    </w:p>
    <w:p w:rsidR="006C4115" w:rsidRPr="00EF2B71" w:rsidRDefault="006C4115" w:rsidP="006C4115">
      <w:pPr>
        <w:pStyle w:val="selectionshareable"/>
        <w:shd w:val="clear" w:color="auto" w:fill="FFFFFF"/>
        <w:spacing w:before="0" w:beforeAutospacing="0" w:after="300" w:afterAutospacing="0"/>
        <w:jc w:val="both"/>
        <w:textAlignment w:val="baseline"/>
      </w:pPr>
      <w:r w:rsidRPr="00EF2B71">
        <w:t>Según el documento de los investigadores del banco, entre 1995 y 2015, la proporción de ocupados de cualificación alta respecto al total de ocupados aumentó en 8,1 puntos porcentuales, mientras que los de cualificación baja lo hizo 3,4 porcentuales.</w:t>
      </w:r>
    </w:p>
    <w:p w:rsidR="006C4115" w:rsidRPr="00EF2B71" w:rsidRDefault="006C4115" w:rsidP="006C4115">
      <w:pPr>
        <w:pStyle w:val="selectionshareable"/>
        <w:shd w:val="clear" w:color="auto" w:fill="FFFFFF"/>
        <w:spacing w:before="0" w:beforeAutospacing="0" w:after="300" w:afterAutospacing="0"/>
        <w:jc w:val="both"/>
        <w:textAlignment w:val="baseline"/>
      </w:pPr>
      <w:r w:rsidRPr="00EF2B71">
        <w:t>Por el contrario, la proporción de ocupados de cualificación media se re</w:t>
      </w:r>
      <w:r w:rsidR="00EF2B71" w:rsidRPr="00EF2B71">
        <w:t>dujo 11,5 puntos porcentuales. “</w:t>
      </w:r>
      <w:r w:rsidRPr="00EF2B71">
        <w:t>Esta polarización ha tenido lugar en todos los países de la eurozona, pero con distinta</w:t>
      </w:r>
      <w:r w:rsidR="00EF2B71" w:rsidRPr="00EF2B71">
        <w:t xml:space="preserve"> intensidad en función del país”</w:t>
      </w:r>
      <w:r w:rsidRPr="00EF2B71">
        <w:t>, señalan los economistas de CaixaBank.</w:t>
      </w:r>
    </w:p>
    <w:p w:rsidR="006C4115" w:rsidRDefault="00EF2B71" w:rsidP="006C4115">
      <w:pPr>
        <w:pStyle w:val="selectionshareable"/>
        <w:shd w:val="clear" w:color="auto" w:fill="FFFFFF"/>
        <w:spacing w:before="0" w:beforeAutospacing="0" w:after="300" w:afterAutospacing="0"/>
        <w:jc w:val="both"/>
        <w:textAlignment w:val="baseline"/>
      </w:pPr>
      <w:r w:rsidRPr="00EF2B71">
        <w:t>El documento destaca que “</w:t>
      </w:r>
      <w:r w:rsidR="006C4115" w:rsidRPr="00EF2B71">
        <w:t>las ocupaciones de cualificación media, las que han perdido peso respecto al empleo total, se caracterizan por s</w:t>
      </w:r>
      <w:r w:rsidRPr="00EF2B71">
        <w:t>er rutinarias y deslocalizables”</w:t>
      </w:r>
      <w:r w:rsidR="006C4115" w:rsidRPr="00EF2B71">
        <w:t>. Por el contrario, en los empleos que requieren una cualificación baja o elevada, las tareas q</w:t>
      </w:r>
      <w:r w:rsidRPr="00EF2B71">
        <w:t>ue se tienen que llevar a cabo “</w:t>
      </w:r>
      <w:r w:rsidR="006C4115" w:rsidRPr="00EF2B71">
        <w:t>son mayoritariamente no rutinarias,</w:t>
      </w:r>
      <w:r w:rsidRPr="00EF2B71">
        <w:t xml:space="preserve"> tanto cognitivas como manuales”</w:t>
      </w:r>
      <w:r w:rsidR="006C4115" w:rsidRPr="00EF2B71">
        <w:t>.</w:t>
      </w:r>
    </w:p>
    <w:p w:rsidR="00EF2B71" w:rsidRPr="00EF2B71" w:rsidRDefault="00EF2B71" w:rsidP="00EF2B71">
      <w:pPr>
        <w:pStyle w:val="NormalWeb"/>
        <w:shd w:val="clear" w:color="auto" w:fill="FFFFFF"/>
        <w:spacing w:after="0"/>
        <w:jc w:val="both"/>
        <w:textAlignment w:val="baseline"/>
      </w:pPr>
      <w:r>
        <w:rPr>
          <w:i/>
          <w:color w:val="000000"/>
        </w:rPr>
        <w:t>“</w:t>
      </w:r>
      <w:r w:rsidRPr="00EF2B71">
        <w:rPr>
          <w:i/>
          <w:color w:val="000000"/>
        </w:rPr>
        <w:t>Los representantes sindicales de la zona euro están a punto de comprobar si el mayor crecimiento económico de los últimos años finalmente puede traducirse e</w:t>
      </w:r>
      <w:r>
        <w:rPr>
          <w:i/>
          <w:color w:val="000000"/>
        </w:rPr>
        <w:t>n un aumento salarial aceptable”…</w:t>
      </w:r>
      <w:r w:rsidRPr="00EF2B71">
        <w:t xml:space="preserve"> </w:t>
      </w:r>
      <w:r>
        <w:t>¿</w:t>
      </w:r>
      <w:r w:rsidRPr="00AB3697">
        <w:rPr>
          <w:u w:val="single"/>
        </w:rPr>
        <w:t>Cuándo subirán los salarios en la Eurozona? Las cicatrices de la crisis siguen presentes</w:t>
      </w:r>
      <w:r>
        <w:t xml:space="preserve"> (El Economista - </w:t>
      </w:r>
      <w:r w:rsidRPr="00AB3697">
        <w:rPr>
          <w:b/>
        </w:rPr>
        <w:t>14/6/17</w:t>
      </w:r>
      <w:r>
        <w:t>)</w:t>
      </w:r>
      <w:r w:rsidRPr="00AB3697">
        <w:t xml:space="preserve"> </w:t>
      </w:r>
    </w:p>
    <w:p w:rsidR="00EF2B71" w:rsidRDefault="00EF2B71" w:rsidP="00EF2B71">
      <w:pPr>
        <w:pStyle w:val="selectionshareable"/>
        <w:shd w:val="clear" w:color="auto" w:fill="FFFFFF"/>
        <w:spacing w:before="0" w:beforeAutospacing="0" w:after="0" w:afterAutospacing="0"/>
        <w:jc w:val="both"/>
        <w:textAlignment w:val="baseline"/>
        <w:rPr>
          <w:color w:val="000000"/>
        </w:rPr>
      </w:pPr>
      <w:r w:rsidRPr="00AB3697">
        <w:rPr>
          <w:color w:val="000000"/>
        </w:rPr>
        <w:lastRenderedPageBreak/>
        <w:t>Los sindicatos de las principales naciones del bloque monetario, que han sido entrevistados este mes por </w:t>
      </w:r>
      <w:r w:rsidRPr="00AB3697">
        <w:rPr>
          <w:i/>
          <w:iCs/>
          <w:color w:val="000000"/>
          <w:bdr w:val="none" w:sz="0" w:space="0" w:color="auto" w:frame="1"/>
        </w:rPr>
        <w:t>Bloomberg</w:t>
      </w:r>
      <w:r w:rsidRPr="00AB3697">
        <w:rPr>
          <w:color w:val="000000"/>
        </w:rPr>
        <w:t>, atribuyen los bajos aumentos de salarios a la disminución de las expectativas de los trabajadores desde las crisis financieras y a las reformas estructurales que han debilitado su poder de negociación. Ahora pueden poner como argumento los cuatro años de recuperación económica y el retorno de la inflación, para instar a los empresarios a aceptar mayores aumentos en los acuerdos de negociación colectiva.</w:t>
      </w:r>
    </w:p>
    <w:p w:rsidR="00EF2B71" w:rsidRPr="00AB3697" w:rsidRDefault="00EF2B71" w:rsidP="00EF2B71">
      <w:pPr>
        <w:pStyle w:val="selectionshareable"/>
        <w:shd w:val="clear" w:color="auto" w:fill="FFFFFF"/>
        <w:spacing w:before="0" w:beforeAutospacing="0" w:after="0" w:afterAutospacing="0"/>
        <w:jc w:val="both"/>
        <w:textAlignment w:val="baseline"/>
        <w:rPr>
          <w:color w:val="000000"/>
        </w:rPr>
      </w:pPr>
    </w:p>
    <w:p w:rsidR="00EF2B71" w:rsidRPr="00EF2B71" w:rsidRDefault="00EF2B71" w:rsidP="00EF2B71">
      <w:pPr>
        <w:pStyle w:val="selectionshareable"/>
        <w:shd w:val="clear" w:color="auto" w:fill="FFFFFF"/>
        <w:spacing w:before="0" w:beforeAutospacing="0" w:after="0" w:afterAutospacing="0"/>
        <w:jc w:val="both"/>
        <w:textAlignment w:val="baseline"/>
      </w:pPr>
      <w:r w:rsidRPr="00AB3697">
        <w:rPr>
          <w:color w:val="000000"/>
        </w:rPr>
        <w:t>Una remuneración más elevada es fundamental no sólo para los trabajadores. A los gobiernos les preocupa el resurgimiento del populismo, y el Banco Central Europeo, que se reunirá en una semana, no puede dejar de proporcionar un estímulo extraordinario mientras se esfuerza por alcanzar su meta de inflación. </w:t>
      </w:r>
      <w:hyperlink r:id="rId14" w:history="1">
        <w:r w:rsidRPr="00EF2B71">
          <w:rPr>
            <w:rStyle w:val="Hipervnculo"/>
            <w:color w:val="auto"/>
            <w:u w:val="none"/>
            <w:bdr w:val="none" w:sz="0" w:space="0" w:color="auto" w:frame="1"/>
          </w:rPr>
          <w:t>El presidente del BCE, Mario Draghi, ha expresado su particular preocupación</w:t>
        </w:r>
      </w:hyperlink>
      <w:r w:rsidRPr="00EF2B71">
        <w:t> puesto que la escasa remuneración podría estar frenando la economía.</w:t>
      </w:r>
    </w:p>
    <w:p w:rsidR="00EF2B71" w:rsidRPr="00AB3697" w:rsidRDefault="00EF2B71" w:rsidP="00EF2B71">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España: curar heridas</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En España, donde los sindicatos y las patronales actualmente están en conversaciones sobre las remuneraciones del próximo año, hay señales incipientes de que los aumentos podrían estar en camino.</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El país es un claro ejemplo de la conmoción que ha causado a los trabajadores las dificultades financieras de Europa. El desempleo se triplicó hasta llegar a superar el 26%, e incluso ahora, con un índice por debajo del 19%, el país supone la cuarta parte de todos los desempleados del bloque monetario. Martín dice que las cicatrices, más las reformas laborales aprobadas en los últimos años, han dado ventaja a los empresarios.</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noProof/>
          <w:color w:val="000000"/>
        </w:rPr>
        <w:drawing>
          <wp:inline distT="0" distB="0" distL="0" distR="0" wp14:anchorId="490F49CB" wp14:editId="6A8ED0F4">
            <wp:extent cx="5892800" cy="2940050"/>
            <wp:effectExtent l="0" t="0" r="0" b="0"/>
            <wp:docPr id="641" name="Imagen 641" descr="http://s03.s3c.es/imag/_v0/800x533/c/6/1/proportion-eurozone-jobl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800x533/c/6/1/proportion-eurozone-jobless.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2800" cy="2940050"/>
                    </a:xfrm>
                    <a:prstGeom prst="rect">
                      <a:avLst/>
                    </a:prstGeom>
                    <a:noFill/>
                    <a:ln>
                      <a:noFill/>
                    </a:ln>
                  </pic:spPr>
                </pic:pic>
              </a:graphicData>
            </a:graphic>
          </wp:inline>
        </w:drawing>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El crecimiento anual de sueldos y salarios españoles desde que la zona euro salió de la recesión en 2013 ha promediado apenas el 0,8%. Sin embargo, la economía, la cuarta del bloque en tamaño, crecerá al menos un 3% este año, y los precios al consumidor están subiendo de nuevo después de dos años de deflación.</w:t>
      </w:r>
    </w:p>
    <w:p w:rsidR="00EF2B71" w:rsidRPr="00AB3697" w:rsidRDefault="00EF2B71" w:rsidP="00EF2B71">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lastRenderedPageBreak/>
        <w:t>Italia: dos frentes</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Los trabajadores italianos al parecer se enfrentarán a una batalla mucho más dura. El Gobierno y los sindicatos actualmente están negociando pequeños aumentos salariales para los empleados estatales, pero esto después de años de congelamiento, y el margen para un mayor incremento ya sea en el sector público o el privado se ve limitado por las perspectivas económicas. El crecimiento de los salarios promedia un 0,3% desde 2013.</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noProof/>
          <w:color w:val="000000"/>
        </w:rPr>
        <w:drawing>
          <wp:inline distT="0" distB="0" distL="0" distR="0" wp14:anchorId="03F3032D" wp14:editId="1CCD835B">
            <wp:extent cx="5708650" cy="3060700"/>
            <wp:effectExtent l="0" t="0" r="6350" b="6350"/>
            <wp:docPr id="642" name="Imagen 642" descr="http://s03.s3c.es/imag/_v0/800x450/e/3/4/salarios-espana-italia-fran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800x450/e/3/4/salarios-espana-italia-francia.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08650" cy="3060700"/>
                    </a:xfrm>
                    <a:prstGeom prst="rect">
                      <a:avLst/>
                    </a:prstGeom>
                    <a:noFill/>
                    <a:ln>
                      <a:noFill/>
                    </a:ln>
                  </pic:spPr>
                </pic:pic>
              </a:graphicData>
            </a:graphic>
          </wp:inline>
        </w:drawing>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Se prevé que la tercera mayor economía de la región crezca un 1,2% este año y sólo un 1% en 2018, de acuerdo con las estimaciones recabadas por Bloomberg. Riccardo Sanna, economista jefe del principal sindicato de trabajadores de Italia, CGIL, dice que el Gobierno debe poner fin a la congelación de la contratación e impulsar la inversión.</w:t>
      </w:r>
    </w:p>
    <w:p w:rsidR="00EF2B71" w:rsidRPr="00AB3697" w:rsidRDefault="00EF2B71" w:rsidP="00EF2B71">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Francia: Macron contra los aumentos</w:t>
      </w:r>
    </w:p>
    <w:p w:rsidR="00EF2B71" w:rsidRDefault="00EF2B71" w:rsidP="00EF2B71">
      <w:pPr>
        <w:pStyle w:val="selectionshareable"/>
        <w:shd w:val="clear" w:color="auto" w:fill="FFFFFF"/>
        <w:spacing w:before="0" w:beforeAutospacing="0" w:after="0" w:afterAutospacing="0"/>
        <w:jc w:val="both"/>
        <w:textAlignment w:val="baseline"/>
        <w:rPr>
          <w:color w:val="000000"/>
        </w:rPr>
      </w:pPr>
      <w:r w:rsidRPr="00AB3697">
        <w:rPr>
          <w:color w:val="000000"/>
        </w:rPr>
        <w:t>En la segunda economía de la zona del euro, los sindicatos franceses deben enfrentarse a un nuevo presidente que ya ha cancelado un aumento de sueldo para los trabajadores del sector público. Emmanuel Macron también está emprendiendo una revisión de las leyes laborales para debilitar la negociación central y trasladar las negociaciones a nivel de empresa, una forma de flexibilización interna que ha demostrado ser más resistente ante los </w:t>
      </w:r>
      <w:r w:rsidRPr="00EF2B71">
        <w:rPr>
          <w:i/>
          <w:iCs/>
          <w:color w:val="000000"/>
          <w:bdr w:val="none" w:sz="0" w:space="0" w:color="auto" w:frame="1"/>
        </w:rPr>
        <w:t>shocks</w:t>
      </w:r>
      <w:r w:rsidRPr="00AB3697">
        <w:rPr>
          <w:color w:val="000000"/>
        </w:rPr>
        <w:t> económicos.</w:t>
      </w:r>
    </w:p>
    <w:p w:rsidR="00EF2B71" w:rsidRPr="00AB3697" w:rsidRDefault="00EF2B71" w:rsidP="00EF2B71">
      <w:pPr>
        <w:pStyle w:val="selectionshareable"/>
        <w:shd w:val="clear" w:color="auto" w:fill="FFFFFF"/>
        <w:spacing w:before="0" w:beforeAutospacing="0" w:after="0" w:afterAutospacing="0"/>
        <w:jc w:val="both"/>
        <w:textAlignment w:val="baseline"/>
        <w:rPr>
          <w:color w:val="000000"/>
        </w:rPr>
      </w:pP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Los empleados del Estado conforman alrededor de un quinto de los trabajadores franceses y el gasto público representa más del 56% de la economía, lo que significa que la política de remuneraciones de Macron repercutirá en todo el sector privado. El crecimiento salarial ha promediado un 1,6% en los últimos cuatro años.</w:t>
      </w:r>
    </w:p>
    <w:p w:rsidR="00EF2B71" w:rsidRPr="00AB3697" w:rsidRDefault="00EF2B71" w:rsidP="00EF2B71">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Alemania: dinero no lo es todo</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Si hay una economía de la zona euro que muestra lo difícil que es poner en marcha el crecimiento de los salarios en la era posterior a la crisis, es la más grande de todas: Alemania.</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lastRenderedPageBreak/>
        <w:t>Los trabajadores alemanes tienen más poder de negociación que otros, gracias a un desempleo en mínimos récord y al auge de las exportaciones, pero el crecimiento anual de los salarios desde 2013 sólo ha sido del 2,1%. Los datos del jueves mostraron una inflación de 1,6%.</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El sindicato de la industria metalúrgica y electrónica del país, con 3,8 millones de afiliados, pondrá a prueba el estado de ánimo este otoño cuando comience a elaborar demandas salariales.</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Pr>
          <w:color w:val="000000"/>
        </w:rPr>
        <w:t>“</w:t>
      </w:r>
      <w:r w:rsidRPr="00AB3697">
        <w:rPr>
          <w:color w:val="000000"/>
        </w:rPr>
        <w:t>El fruto de nuestras exportaciones no se está trasladando a</w:t>
      </w:r>
      <w:r>
        <w:rPr>
          <w:color w:val="000000"/>
        </w:rPr>
        <w:t>decuadamente a los trabajadores”</w:t>
      </w:r>
      <w:r w:rsidRPr="00AB3697">
        <w:rPr>
          <w:color w:val="000000"/>
        </w:rPr>
        <w:t>, comenta Gustav Horn, director de una fundación de investigación vinculada a la C</w:t>
      </w:r>
      <w:r>
        <w:rPr>
          <w:color w:val="000000"/>
        </w:rPr>
        <w:t>onfederación Sindical Alemana. “</w:t>
      </w:r>
      <w:r w:rsidRPr="00AB3697">
        <w:rPr>
          <w:color w:val="000000"/>
        </w:rPr>
        <w:t>Aumentar los salarios sería útil para aumentar el poder adquisitivo que luego</w:t>
      </w:r>
      <w:r>
        <w:rPr>
          <w:color w:val="000000"/>
        </w:rPr>
        <w:t xml:space="preserve"> se traduce en un mayor consumo”</w:t>
      </w:r>
      <w:r w:rsidRPr="00AB3697">
        <w:rPr>
          <w:color w:val="000000"/>
        </w:rPr>
        <w:t>.</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Si bien el banco central del país dice que el crecimiento salarial debería mejorar el próximo año, Horn ve un problema en la presión a la baja que genera la infrautilización de empleados a los que les gustaría trabajar más más horas, una tendencia creciente.</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Alemania también demuestra que el dinero no lo es todo. Más de la mitad de los afiliados al sindicato ferroviario y de transporte decidieron renunciar a un 2,6% de aumento de sueldo a partir del próximo año con el fin de tener seis días más de vacaciones.</w:t>
      </w:r>
    </w:p>
    <w:p w:rsidR="00EF2B71" w:rsidRPr="00AB3697" w:rsidRDefault="00EF2B71" w:rsidP="00EF2B71">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Ser pacientes</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 xml:space="preserve">El bajo nivel de remuneración es, en cierta medida, un fenómeno mundial, incluso en los países con mercados laborales en pleno empleo. En el Reino Unido, las </w:t>
      </w:r>
      <w:r>
        <w:rPr>
          <w:color w:val="000000"/>
        </w:rPr>
        <w:t xml:space="preserve">cifras recientes </w:t>
      </w:r>
      <w:r w:rsidRPr="00AB3697">
        <w:rPr>
          <w:color w:val="000000"/>
        </w:rPr>
        <w:t xml:space="preserve"> mostraron que el ingreso real cayó al ritmo más rápido desde agosto de 2014, incluso con el desempleo más bajo en 42 años.</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El economista jefe del BCE, Peter Praet, dice que la relación entre el desempleo y los salarios no se ha roto sino que se ha convertido en un proceso más lento que requiere paciencia. Eso es algo que a los sindicatos les resultará difícil escuchar.</w:t>
      </w:r>
    </w:p>
    <w:p w:rsidR="00EF2B71" w:rsidRPr="00EF2B71" w:rsidRDefault="00EF2B71" w:rsidP="00EF2B71">
      <w:pPr>
        <w:pStyle w:val="selectionshareable"/>
        <w:shd w:val="clear" w:color="auto" w:fill="FFFFFF"/>
        <w:spacing w:before="0" w:beforeAutospacing="0" w:after="300" w:afterAutospacing="0"/>
        <w:jc w:val="both"/>
        <w:textAlignment w:val="baseline"/>
        <w:rPr>
          <w:i/>
          <w:color w:val="000000"/>
        </w:rPr>
      </w:pPr>
      <w:r>
        <w:rPr>
          <w:i/>
          <w:color w:val="000000"/>
        </w:rPr>
        <w:t>“</w:t>
      </w:r>
      <w:r w:rsidRPr="00EF2B71">
        <w:rPr>
          <w:i/>
          <w:color w:val="000000"/>
        </w:rPr>
        <w:t>España tiene la tercera tasa de empleo más baja de la Unión Europea (UE) para recién graduados, con un 68%, sólo por delante de la que presentan Italia (52,9%) y Grecia (49,2%), según un informe del Instituto de Estudios Económicos (IEE) a partir de datos de Eurostat</w:t>
      </w:r>
      <w:r>
        <w:rPr>
          <w:i/>
          <w:color w:val="000000"/>
        </w:rPr>
        <w:t>”..</w:t>
      </w:r>
      <w:r w:rsidRPr="00EF2B71">
        <w:rPr>
          <w:i/>
          <w:color w:val="000000"/>
        </w:rPr>
        <w:t>.</w:t>
      </w:r>
      <w:r>
        <w:rPr>
          <w:i/>
          <w:color w:val="000000"/>
        </w:rPr>
        <w:t xml:space="preserve"> </w:t>
      </w:r>
      <w:r w:rsidRPr="00AB3697">
        <w:rPr>
          <w:u w:val="single"/>
        </w:rPr>
        <w:t>España presenta la tercera tasa de empleo más baja de la UE para recién graduados</w:t>
      </w:r>
      <w:r>
        <w:t xml:space="preserve"> (El Economista - </w:t>
      </w:r>
      <w:r w:rsidRPr="00AB3697">
        <w:rPr>
          <w:b/>
        </w:rPr>
        <w:t>13/6/17</w:t>
      </w:r>
      <w:r>
        <w:t>)</w:t>
      </w:r>
    </w:p>
    <w:p w:rsidR="006F1361" w:rsidRDefault="00EF2B71"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t>La tasa española se encuentra diez puntos por debajo del promedio europeo, que se situó a cierre de 2016 en el 78,2%, lejos del 82% que se registraba a comienzo de la crisis y del 75,4% alcanzado en 2013.</w:t>
      </w:r>
      <w:r w:rsidR="006F1361">
        <w:rPr>
          <w:color w:val="000000"/>
        </w:rPr>
        <w:t xml:space="preserve"> </w:t>
      </w:r>
    </w:p>
    <w:p w:rsidR="004C136B" w:rsidRPr="00AB3697" w:rsidRDefault="004C136B" w:rsidP="004C136B">
      <w:pPr>
        <w:pStyle w:val="selectionshareable"/>
        <w:shd w:val="clear" w:color="auto" w:fill="FFFFFF"/>
        <w:spacing w:before="0" w:beforeAutospacing="0" w:after="300" w:afterAutospacing="0"/>
        <w:jc w:val="both"/>
        <w:textAlignment w:val="baseline"/>
        <w:rPr>
          <w:color w:val="000000"/>
        </w:rPr>
      </w:pPr>
      <w:r w:rsidRPr="00AB3697">
        <w:rPr>
          <w:color w:val="000000"/>
        </w:rPr>
        <w:t>Los países europeos que ofrecen la mayor tasa de empleo a los recién graduados, con un nivel educativo mínimo de enseñanza secundaria superior, son Malta (96,6%), Alemania (90,2%) y Países Bajos (90,1%).</w:t>
      </w:r>
    </w:p>
    <w:p w:rsidR="004C136B" w:rsidRPr="00AB3697" w:rsidRDefault="004C136B" w:rsidP="004C136B">
      <w:pPr>
        <w:pStyle w:val="selectionshareable"/>
        <w:shd w:val="clear" w:color="auto" w:fill="FFFFFF"/>
        <w:spacing w:before="0" w:beforeAutospacing="0" w:after="300" w:afterAutospacing="0"/>
        <w:jc w:val="both"/>
        <w:textAlignment w:val="baseline"/>
        <w:rPr>
          <w:color w:val="000000"/>
        </w:rPr>
      </w:pPr>
      <w:r w:rsidRPr="00AB3697">
        <w:rPr>
          <w:color w:val="000000"/>
        </w:rPr>
        <w:t>Con tasas de entre el 80% y el 88% se encuentran Austria, Suecia, República Checa, Luxemburgo, Hungría, Reino Unido, Dinamarca, Lituania, Letonia, Bélgica y Polonia. Eslovaquia e Irlanda, por su parte, se sitúan en la banda del 79%.</w:t>
      </w:r>
    </w:p>
    <w:p w:rsidR="004C136B" w:rsidRDefault="004C136B" w:rsidP="00EF2B71">
      <w:pPr>
        <w:pStyle w:val="selectionshareable"/>
        <w:shd w:val="clear" w:color="auto" w:fill="FFFFFF"/>
        <w:spacing w:before="0" w:beforeAutospacing="0" w:after="300" w:afterAutospacing="0"/>
        <w:jc w:val="both"/>
        <w:textAlignment w:val="baseline"/>
        <w:rPr>
          <w:color w:val="000000"/>
        </w:rPr>
      </w:pPr>
      <w:r w:rsidRPr="00AB3697">
        <w:rPr>
          <w:color w:val="000000"/>
        </w:rPr>
        <w:lastRenderedPageBreak/>
        <w:t>Por debajo del promedio europeo del 78,2% aparecen Finlandia, Estonia, Eslovenia, Portugal, Chipre, Croacia, Bulgaria y Francia, con tasas superiores al 70%, mientras que Rumanía se queda en el 69,3%. Los últimos tres países de la tabla, con las menores tasas de empleo para recién graduados, son España, Italia y Grecia.</w:t>
      </w:r>
    </w:p>
    <w:p w:rsidR="00EF2B71" w:rsidRPr="00AB3697" w:rsidRDefault="00EF2B71" w:rsidP="00EF2B71">
      <w:pPr>
        <w:pStyle w:val="selectionshareable"/>
        <w:shd w:val="clear" w:color="auto" w:fill="FFFFFF"/>
        <w:spacing w:before="0" w:beforeAutospacing="0" w:after="300" w:afterAutospacing="0"/>
        <w:jc w:val="both"/>
        <w:textAlignment w:val="baseline"/>
        <w:rPr>
          <w:color w:val="000000"/>
        </w:rPr>
      </w:pPr>
      <w:r w:rsidRPr="00AB3697">
        <w:rPr>
          <w:noProof/>
          <w:color w:val="000000"/>
        </w:rPr>
        <w:drawing>
          <wp:inline distT="0" distB="0" distL="0" distR="0" wp14:anchorId="133501C5" wp14:editId="73918F85">
            <wp:extent cx="6330950" cy="4121150"/>
            <wp:effectExtent l="0" t="0" r="0" b="0"/>
            <wp:docPr id="643" name="Imagen 643" descr="http://s03.s3c.es/imag/_v0/665x433/d/8/b/tasa-empleo-gradua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03.s3c.es/imag/_v0/665x433/d/8/b/tasa-empleo-graduados.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0950" cy="4121150"/>
                    </a:xfrm>
                    <a:prstGeom prst="rect">
                      <a:avLst/>
                    </a:prstGeom>
                    <a:noFill/>
                    <a:ln>
                      <a:noFill/>
                    </a:ln>
                  </pic:spPr>
                </pic:pic>
              </a:graphicData>
            </a:graphic>
          </wp:inline>
        </w:drawing>
      </w:r>
    </w:p>
    <w:p w:rsidR="007732BE" w:rsidRPr="003054D3" w:rsidRDefault="007732BE" w:rsidP="007732BE">
      <w:pPr>
        <w:pStyle w:val="NormalWeb"/>
        <w:shd w:val="clear" w:color="auto" w:fill="FFFFFF"/>
        <w:spacing w:after="0"/>
        <w:jc w:val="both"/>
        <w:textAlignment w:val="baseline"/>
      </w:pPr>
      <w:r>
        <w:t xml:space="preserve">- </w:t>
      </w:r>
      <w:r w:rsidRPr="0096221C">
        <w:rPr>
          <w:u w:val="single"/>
        </w:rPr>
        <w:t xml:space="preserve">Evolución social y del empleo en Europa: el estudio de 2017 muestra tendencias positivas, pero pone de relieve la elevada carga que recae sobre los </w:t>
      </w:r>
      <w:r w:rsidRPr="003054D3">
        <w:rPr>
          <w:u w:val="single"/>
        </w:rPr>
        <w:t>jóvenes</w:t>
      </w:r>
      <w:r w:rsidR="003054D3">
        <w:t xml:space="preserve"> </w:t>
      </w:r>
      <w:r w:rsidR="003054D3" w:rsidRPr="003054D3">
        <w:t xml:space="preserve"> </w:t>
      </w:r>
      <w:r w:rsidR="003054D3">
        <w:t>(</w:t>
      </w:r>
      <w:r w:rsidRPr="003054D3">
        <w:t>Comisión Europea - Comunicado de prensa</w:t>
      </w:r>
      <w:r w:rsidR="003054D3">
        <w:t xml:space="preserve"> - </w:t>
      </w:r>
      <w:r w:rsidR="003054D3" w:rsidRPr="003054D3">
        <w:rPr>
          <w:b/>
        </w:rPr>
        <w:t>17/7/17</w:t>
      </w:r>
      <w:r w:rsidR="003054D3">
        <w:t>)</w:t>
      </w:r>
    </w:p>
    <w:p w:rsidR="007732BE" w:rsidRPr="0096221C" w:rsidRDefault="007732BE" w:rsidP="007732BE">
      <w:pPr>
        <w:pStyle w:val="NormalWeb"/>
        <w:shd w:val="clear" w:color="auto" w:fill="FFFFFF"/>
        <w:spacing w:after="0"/>
        <w:jc w:val="both"/>
        <w:textAlignment w:val="baseline"/>
        <w:rPr>
          <w:u w:val="single"/>
        </w:rPr>
      </w:pPr>
      <w:r w:rsidRPr="0096221C">
        <w:rPr>
          <w:u w:val="single"/>
        </w:rPr>
        <w:t>La Comisión ha publicado hoy la edición de 2017 de su estudio anual sobre la evolución social y del empleo en Europa (ESDE).</w:t>
      </w:r>
    </w:p>
    <w:p w:rsidR="007732BE" w:rsidRPr="0096221C" w:rsidRDefault="007732BE" w:rsidP="007732BE">
      <w:pPr>
        <w:pStyle w:val="NormalWeb"/>
        <w:shd w:val="clear" w:color="auto" w:fill="FFFFFF"/>
        <w:spacing w:after="0"/>
        <w:jc w:val="both"/>
        <w:textAlignment w:val="baseline"/>
        <w:rPr>
          <w:u w:val="single"/>
        </w:rPr>
      </w:pPr>
      <w:r w:rsidRPr="0096221C">
        <w:rPr>
          <w:u w:val="single"/>
        </w:rPr>
        <w:t>La edición de este año confirma las tendencias positivas en el mercado de trabajo y en el ámbito social, así como un crecimiento económico constante. Con más de 234 millones de personas que tienen un puesto de trabajo, el empleo en la UE nunca ha sido tan elevado como en la actualidad, y la tasa de desempleo es la más baja desde diciembre de 2008</w:t>
      </w:r>
      <w:r w:rsidRPr="00C943AF">
        <w:t xml:space="preserve">. </w:t>
      </w:r>
      <w:r w:rsidRPr="0096221C">
        <w:rPr>
          <w:u w:val="single"/>
        </w:rPr>
        <w:t>Desde 2013, se han creado diez millones de puestos de trabajo en la UE.</w:t>
      </w:r>
      <w:r w:rsidRPr="00C943AF">
        <w:t xml:space="preserve"> </w:t>
      </w:r>
      <w:r w:rsidRPr="0096221C">
        <w:rPr>
          <w:color w:val="FF0000"/>
          <w:u w:val="single"/>
        </w:rPr>
        <w:t>Sin embargo, más allá del progreso social y económico general, los datos revelan que las generaciones más jóvenes soportan una carga particularmente elevada: suelen tener más dificultades para encontrar trabajo, están más expuestos a formas de empleo atípicas y precaria</w:t>
      </w:r>
      <w:r w:rsidR="004C136B">
        <w:rPr>
          <w:color w:val="FF0000"/>
          <w:u w:val="single"/>
        </w:rPr>
        <w:t>s</w:t>
      </w:r>
      <w:r w:rsidRPr="0096221C">
        <w:rPr>
          <w:color w:val="FF0000"/>
          <w:u w:val="single"/>
        </w:rPr>
        <w:t>, incluidos los contratos temporales, lo que puede dar lugar a una menor cobertura de protección social. También es probable que reciban pensiones más bajas, respecto a los salarios</w:t>
      </w:r>
      <w:r w:rsidRPr="00C943AF">
        <w:t>.</w:t>
      </w:r>
      <w:r>
        <w:t xml:space="preserve"> </w:t>
      </w:r>
      <w:r w:rsidRPr="0096221C">
        <w:rPr>
          <w:u w:val="single"/>
        </w:rPr>
        <w:t>Por eso el estudio ESDE de 2017 se centra en la equidad intergeneracional: tenemos que asegurarnos de que todas las generaciones puedan beneficiarse de la actual evolución económica favorable.</w:t>
      </w:r>
    </w:p>
    <w:p w:rsidR="007732BE" w:rsidRPr="00C943AF" w:rsidRDefault="007732BE" w:rsidP="007732BE">
      <w:pPr>
        <w:pStyle w:val="NormalWeb"/>
        <w:shd w:val="clear" w:color="auto" w:fill="FFFFFF"/>
        <w:spacing w:after="0"/>
        <w:jc w:val="both"/>
        <w:textAlignment w:val="baseline"/>
      </w:pPr>
      <w:r w:rsidRPr="00C943AF">
        <w:lastRenderedPageBreak/>
        <w:t>Marianne Thyssen, comisaria de Empleo, Asuntos Sociales, Capacidades y Movi</w:t>
      </w:r>
      <w:r w:rsidR="003054D3">
        <w:t>lidad Laboral, ha manifestado: “</w:t>
      </w:r>
      <w:r w:rsidRPr="00C943AF">
        <w:t xml:space="preserve">El presente estudio anual pone de manifiesto una vez más que nos encaminamos con determinación hacia un mayor crecimiento y empleo. Sin embargo, </w:t>
      </w:r>
      <w:r w:rsidRPr="0096221C">
        <w:rPr>
          <w:color w:val="FF0000"/>
          <w:u w:val="single"/>
        </w:rPr>
        <w:t>es posible que los jóvenes de hoy y sus hijos acaben teniendo una situación peor que la de sus padres</w:t>
      </w:r>
      <w:r w:rsidRPr="00C943AF">
        <w:t>. Esto no es lo que queremos. Es necesario actuar con rapidez. Con el pilar europeo de derechos sociales queremos preservar y mejorar nuestra normativa social y nuestras condiciones de vida para las g</w:t>
      </w:r>
      <w:r w:rsidR="003054D3">
        <w:t>eneraciones futuras”.</w:t>
      </w:r>
    </w:p>
    <w:p w:rsidR="007732BE" w:rsidRPr="0096221C" w:rsidRDefault="007732BE" w:rsidP="007732BE">
      <w:pPr>
        <w:pStyle w:val="NormalWeb"/>
        <w:shd w:val="clear" w:color="auto" w:fill="FFFFFF"/>
        <w:spacing w:after="0"/>
        <w:jc w:val="both"/>
        <w:textAlignment w:val="baseline"/>
        <w:rPr>
          <w:color w:val="FF0000"/>
          <w:u w:val="single"/>
        </w:rPr>
      </w:pPr>
      <w:r w:rsidRPr="0096221C">
        <w:rPr>
          <w:color w:val="FF0000"/>
          <w:u w:val="single"/>
        </w:rPr>
        <w:t>El informe muestra que, a pesar de una mejora constante del nivel de vida en la UE, los jóvenes no se benefician de esta evolución positiva tanto como las generaciones de más edad. Además, a lo largo del tiempo la participación de los grupos de edad más jóvenes en la renta del trabajo ha disminuido. Estos retos afectan a las decisiones de las parejas jóvenes, incluso en lo que respecta al hecho de tener hijos y de comprar una casa. A su vez, esto puede tener consecuencias negativas sobre las tasas de fertilidad y, en consecuencia, sobre la sostenibilidad de los sistemas de pensiones y el crecimiento.</w:t>
      </w:r>
    </w:p>
    <w:p w:rsidR="007732BE" w:rsidRPr="0096221C" w:rsidRDefault="007732BE" w:rsidP="007732BE">
      <w:pPr>
        <w:pStyle w:val="NormalWeb"/>
        <w:shd w:val="clear" w:color="auto" w:fill="FFFFFF"/>
        <w:spacing w:after="0"/>
        <w:jc w:val="both"/>
        <w:textAlignment w:val="baseline"/>
        <w:rPr>
          <w:u w:val="single"/>
        </w:rPr>
      </w:pPr>
      <w:r w:rsidRPr="0096221C">
        <w:rPr>
          <w:u w:val="single"/>
        </w:rPr>
        <w:t>Se prevé que la población en edad de trabajar disminuya un 0,3 % cada año hasta 2060. Esto significa que una mano de obra menos numerosa tendrá que mantener el actual camino hacia el crecimiento. También significa que, al mismo tiempo, un número menor de contribuyentes cotiza</w:t>
      </w:r>
      <w:r w:rsidR="003054D3">
        <w:rPr>
          <w:u w:val="single"/>
        </w:rPr>
        <w:t>rá a los sistemas de pensiones -</w:t>
      </w:r>
      <w:r w:rsidRPr="0096221C">
        <w:rPr>
          <w:u w:val="single"/>
        </w:rPr>
        <w:t>en muchos casos con cotizaciones inferiores o irregulares, ya que no corresponderán a un trabajo a tiempo com</w:t>
      </w:r>
      <w:r w:rsidR="003054D3">
        <w:rPr>
          <w:u w:val="single"/>
        </w:rPr>
        <w:t>pleto ni/o a un trabajo clásico-</w:t>
      </w:r>
      <w:r w:rsidRPr="0096221C">
        <w:rPr>
          <w:u w:val="single"/>
        </w:rPr>
        <w:t>, mientras que más pensionistas dependerán de ellos. Por consiguiente, parece que los trabajadores jóvenes de hoy y las generaciones futuras se enfrentan a una doble carga resultante del cambio demográfico y de la necesidad de garantizar la sostenibilidad de los sistemas de pensiones.</w:t>
      </w:r>
    </w:p>
    <w:p w:rsidR="007732BE" w:rsidRPr="00C943AF" w:rsidRDefault="007732BE" w:rsidP="007732BE">
      <w:pPr>
        <w:pStyle w:val="NormalWeb"/>
        <w:shd w:val="clear" w:color="auto" w:fill="FFFFFF"/>
        <w:spacing w:after="0"/>
        <w:jc w:val="both"/>
        <w:textAlignment w:val="baseline"/>
      </w:pPr>
      <w:r w:rsidRPr="00C943AF">
        <w:t>Siguientes pasos</w:t>
      </w:r>
    </w:p>
    <w:p w:rsidR="007732BE" w:rsidRPr="0096221C" w:rsidRDefault="007732BE" w:rsidP="007732BE">
      <w:pPr>
        <w:pStyle w:val="NormalWeb"/>
        <w:shd w:val="clear" w:color="auto" w:fill="FFFFFF"/>
        <w:spacing w:after="0"/>
        <w:jc w:val="both"/>
        <w:textAlignment w:val="baseline"/>
        <w:rPr>
          <w:color w:val="FF0000"/>
          <w:u w:val="single"/>
        </w:rPr>
      </w:pPr>
      <w:r w:rsidRPr="0096221C">
        <w:rPr>
          <w:color w:val="FF0000"/>
          <w:u w:val="single"/>
        </w:rPr>
        <w:t>Los responsables políticos pueden anticipar esos cambios y mitigarlos de varias formas. En primer lugar, tenemos que aprovechar plenamente nuestro potencial humano en el mercado laboral, activando y dotando a todos los grupos generacionales de las de capacidades adecuadas y velando por que haya un equilibrio entre la duración de su vida laboral y sus expectativas de vida. Los esfuerzos políticos dirigidos a un incremento de la fertilidad y a una gestión eficaz de las migraciones también pueden ayudar, así como el apoyo a la innovación y una mayor eficacia en los gastos de inversión destinados a las competencias y la formación de los jóvenes y de las personas de más edad.</w:t>
      </w:r>
    </w:p>
    <w:p w:rsidR="007732BE" w:rsidRPr="0096221C" w:rsidRDefault="007732BE" w:rsidP="007732BE">
      <w:pPr>
        <w:pStyle w:val="NormalWeb"/>
        <w:shd w:val="clear" w:color="auto" w:fill="FFFFFF"/>
        <w:spacing w:after="0"/>
        <w:jc w:val="both"/>
        <w:textAlignment w:val="baseline"/>
        <w:rPr>
          <w:color w:val="FF0000"/>
          <w:u w:val="single"/>
        </w:rPr>
      </w:pPr>
      <w:r w:rsidRPr="0096221C">
        <w:rPr>
          <w:color w:val="FF0000"/>
          <w:u w:val="single"/>
        </w:rPr>
        <w:t>Por último, los interlocutores sociales pueden contribuir significativamente a salvar la brecha entre los más jóvenes y los trabajadores de más edad a fin de promover un mercado laboral más justo para ambos. Esto incluye promover el aprendizaje permanente, conceder prestaciones de protección social y participar en el diseño y la ejecución de la legislación sobre protección del empleo y de las políticas activas del mercado laboral.</w:t>
      </w:r>
    </w:p>
    <w:p w:rsidR="007732BE" w:rsidRPr="00C943AF" w:rsidRDefault="007732BE" w:rsidP="007732BE">
      <w:pPr>
        <w:pStyle w:val="NormalWeb"/>
        <w:shd w:val="clear" w:color="auto" w:fill="FFFFFF"/>
        <w:spacing w:after="0"/>
        <w:jc w:val="both"/>
        <w:textAlignment w:val="baseline"/>
      </w:pPr>
      <w:r w:rsidRPr="00C943AF">
        <w:t>Antecedentes</w:t>
      </w:r>
    </w:p>
    <w:p w:rsidR="007732BE" w:rsidRPr="0096221C" w:rsidRDefault="007732BE" w:rsidP="007732BE">
      <w:pPr>
        <w:pStyle w:val="NormalWeb"/>
        <w:shd w:val="clear" w:color="auto" w:fill="FFFFFF"/>
        <w:spacing w:after="0"/>
        <w:jc w:val="both"/>
        <w:textAlignment w:val="baseline"/>
        <w:rPr>
          <w:color w:val="FF0000"/>
          <w:u w:val="single"/>
        </w:rPr>
      </w:pPr>
      <w:r w:rsidRPr="00C943AF">
        <w:t xml:space="preserve">En el estudio anual sobre la evolución del empleo y de la situación social se informa sobre las últimas tendencias en materia social y de empleo, y se exponen los retos futuros y las posibles respuestas políticas. </w:t>
      </w:r>
      <w:r w:rsidRPr="0096221C">
        <w:rPr>
          <w:color w:val="FF0000"/>
          <w:u w:val="single"/>
        </w:rPr>
        <w:t>Es el principal informe de la Comisión Europea que facilita datos y análisis y examina las tendencias actuales y futuras del mercado laboral.</w:t>
      </w:r>
    </w:p>
    <w:p w:rsidR="007732BE" w:rsidRPr="00C943AF" w:rsidRDefault="007732BE" w:rsidP="007732BE">
      <w:pPr>
        <w:pStyle w:val="NormalWeb"/>
        <w:shd w:val="clear" w:color="auto" w:fill="FFFFFF"/>
        <w:spacing w:after="0"/>
        <w:jc w:val="both"/>
        <w:textAlignment w:val="baseline"/>
      </w:pPr>
      <w:r w:rsidRPr="00C943AF">
        <w:lastRenderedPageBreak/>
        <w:t>En los informes anuales ESDE hay muchos ejemplos concretos de cómo la Comisión intenta responder a los retos planteados. Por ejemplo, el pilar europeo de derechos sociales sirve para orientar hacia unos mercados laborales justos y que funcionen correctamente. Está dirigido a garantizar que nuestros modelos sociales sean aptos para el siglo XXI, especialmente en el contexto del envejecimiento de la sociedad y la digitalización. Las iniciativas complementarias, como las consultas de los interlocutores sociales sobre la modernización de los contratos laborales y el acceso a la protección social, tienen como finalidad clarificar las condiciones de trabajo y la protección social también para las modalidades de empleo atípicas.</w:t>
      </w:r>
    </w:p>
    <w:p w:rsidR="007732BE" w:rsidRPr="00C943AF" w:rsidRDefault="007732BE" w:rsidP="007732BE">
      <w:pPr>
        <w:pStyle w:val="NormalWeb"/>
        <w:shd w:val="clear" w:color="auto" w:fill="FFFFFF"/>
        <w:spacing w:after="0"/>
        <w:jc w:val="both"/>
        <w:textAlignment w:val="baseline"/>
      </w:pPr>
      <w:r w:rsidRPr="00C943AF">
        <w:t xml:space="preserve">Invertir en las personas y capacitarlas para que aprovechen las oportunidades de empleo de calidad es exactamente el objetivo de la </w:t>
      </w:r>
      <w:r w:rsidR="003054D3">
        <w:rPr>
          <w:b/>
          <w:color w:val="FF0000"/>
          <w:u w:val="single"/>
        </w:rPr>
        <w:t>“</w:t>
      </w:r>
      <w:r w:rsidRPr="0096221C">
        <w:rPr>
          <w:b/>
          <w:color w:val="FF0000"/>
          <w:u w:val="single"/>
        </w:rPr>
        <w:t>Nueva Ag</w:t>
      </w:r>
      <w:r w:rsidR="003054D3">
        <w:rPr>
          <w:b/>
          <w:color w:val="FF0000"/>
          <w:u w:val="single"/>
        </w:rPr>
        <w:t>enda de Capacidades para Europa”</w:t>
      </w:r>
      <w:r w:rsidRPr="0096221C">
        <w:rPr>
          <w:b/>
          <w:color w:val="FF0000"/>
          <w:u w:val="single"/>
        </w:rPr>
        <w:t>.</w:t>
      </w:r>
      <w:r w:rsidRPr="0096221C">
        <w:rPr>
          <w:color w:val="FF0000"/>
        </w:rPr>
        <w:t xml:space="preserve"> </w:t>
      </w:r>
      <w:r w:rsidRPr="00C943AF">
        <w:t>Tiene por objeto apoyar el desarrollo de las competencias de los ciudadanos y prepararlos para los cambios en el mundo laboral.</w:t>
      </w:r>
    </w:p>
    <w:p w:rsidR="007732BE" w:rsidRDefault="007732BE" w:rsidP="007732BE">
      <w:pPr>
        <w:pStyle w:val="NormalWeb"/>
        <w:shd w:val="clear" w:color="auto" w:fill="FFFFFF"/>
        <w:spacing w:after="0"/>
        <w:jc w:val="both"/>
        <w:textAlignment w:val="baseline"/>
      </w:pPr>
      <w:r w:rsidRPr="00C943AF">
        <w:t xml:space="preserve">Por último, </w:t>
      </w:r>
      <w:r w:rsidRPr="0096221C">
        <w:rPr>
          <w:u w:val="single"/>
        </w:rPr>
        <w:t>los esfuerzos desplegados por la Comisión para reducir el desempleo en general, y el desempleo juvenil en particular, están dando sus frutos. Desde el punto álgido de la crisis en 2013, en la UE hay 1,8 millones menos de jóvenes desempleados y 1 millón menos de jóvenes que no tienen trabajo, ni educación ni formación (los denominados ninis).</w:t>
      </w:r>
      <w:r w:rsidRPr="00C943AF">
        <w:t xml:space="preserve"> Con la prórroga de la Garantía Juvenil, la garantía financiera complementaria de la Iniciativa de Empleo Juvenil y la iniciativa recientemente presentada Invertir en la Juventud Europea, la Comisión pretende maximizar las posibilidades de los jóvenes en el mercado laboral.</w:t>
      </w:r>
    </w:p>
    <w:p w:rsidR="00EF5A1F" w:rsidRPr="00EF5A1F" w:rsidRDefault="00EF5A1F" w:rsidP="00EF5A1F">
      <w:pPr>
        <w:pStyle w:val="NormalWeb"/>
        <w:shd w:val="clear" w:color="auto" w:fill="FFFFFF"/>
        <w:spacing w:after="0"/>
        <w:jc w:val="both"/>
        <w:textAlignment w:val="baseline"/>
      </w:pPr>
      <w:r>
        <w:rPr>
          <w:i/>
        </w:rPr>
        <w:t>“</w:t>
      </w:r>
      <w:r w:rsidRPr="00EF5A1F">
        <w:rPr>
          <w:i/>
        </w:rPr>
        <w:t xml:space="preserve">El mundo laboral está tomando una extraña deriva, impulsada en gran medida por la aparición de compañías ligadas a la tecnología, como Uber, Amazon, Deliveroo o Airbnb. Pero estas no son las únicas formas en las que el mercado laboral está cambiando. La palabra más usada en los últimos tiempos en el management es VUCA, acrónimo </w:t>
      </w:r>
      <w:r>
        <w:rPr>
          <w:i/>
        </w:rPr>
        <w:t>de volatilidad, incertidumbre (“uncertainty”</w:t>
      </w:r>
      <w:r w:rsidRPr="00EF5A1F">
        <w:rPr>
          <w:i/>
        </w:rPr>
        <w:t xml:space="preserve"> en inglés), complejidad y ambigüedad. Con ese término se quiere reflejar una realidad, la del mundo en el que nos movemos, que genera obvias consecuencias en el entorno del empleo. Nos obliga, más que nunca, a prepararnos, a ser más flexibles, a estar esperando siempre la disrupción. Es otra manera de decir que las cosas se están poniendo difíciles, pero que si nos responsabilizamos de nuestro destino, si somos capaces de anticipar lo que viene, todo estará en nuestras manos. Es un mundo complejo, lleno de riesgos pero también de oportunidades, y quien sepa intuir la dirección correcta saldrá muy beneficiado</w:t>
      </w:r>
      <w:r>
        <w:rPr>
          <w:i/>
        </w:rPr>
        <w:t>”..</w:t>
      </w:r>
      <w:r w:rsidRPr="00EF5A1F">
        <w:rPr>
          <w:i/>
        </w:rPr>
        <w:t>.</w:t>
      </w:r>
      <w:r>
        <w:rPr>
          <w:i/>
        </w:rPr>
        <w:t xml:space="preserve"> </w:t>
      </w:r>
      <w:r>
        <w:rPr>
          <w:u w:val="single"/>
        </w:rPr>
        <w:t>De los “paquetes de horas”</w:t>
      </w:r>
      <w:r w:rsidRPr="000B18A0">
        <w:rPr>
          <w:u w:val="single"/>
        </w:rPr>
        <w:t xml:space="preserve"> a no poder irte de tu empresa: las 2 nuevas tendencias laborales</w:t>
      </w:r>
      <w:r>
        <w:t xml:space="preserve"> (El Confidencial - </w:t>
      </w:r>
      <w:r w:rsidRPr="000B18A0">
        <w:rPr>
          <w:b/>
        </w:rPr>
        <w:t>25/7/17</w:t>
      </w:r>
      <w:r>
        <w:t>)</w:t>
      </w:r>
    </w:p>
    <w:p w:rsidR="00EF5A1F" w:rsidRPr="00EF5A1F" w:rsidRDefault="00EF5A1F" w:rsidP="00EF5A1F">
      <w:pPr>
        <w:pStyle w:val="NormalWeb"/>
        <w:shd w:val="clear" w:color="auto" w:fill="FFFFFF"/>
        <w:spacing w:after="0"/>
        <w:jc w:val="both"/>
        <w:textAlignment w:val="baseline"/>
      </w:pPr>
      <w:r w:rsidRPr="00EF5A1F">
        <w:t xml:space="preserve">Este contexto, nos aseguran, conducirá a formas más flexibles de relación laboral. A partir de ahora, la mayoría de los </w:t>
      </w:r>
      <w:r>
        <w:t>empleados nos convertiremos en “slashers”</w:t>
      </w:r>
      <w:r w:rsidRPr="00EF5A1F">
        <w:t>, es decir, en “trabajadores independientes que no se atan a una sola compañía y cuya trayectoria está compuesta por multitud de proyectos”. Los profesionales deben convertirse en un producto o servicio que las empresas deseen contratar. Así, “el mercado laboral avanza hacia un modelo más independiente y flexible. El contrato indefinido de las ocho horas irá desapareciendo y se pasará a contratar a los profesionales por paquetes de horas. A partir de ahora, los profesionales deben ser capaces de crea</w:t>
      </w:r>
      <w:r>
        <w:t>r su propio puesto de trabajo”.</w:t>
      </w:r>
    </w:p>
    <w:p w:rsidR="00EF5A1F" w:rsidRPr="00EF5A1F" w:rsidRDefault="00EF5A1F" w:rsidP="00EF5A1F">
      <w:pPr>
        <w:pStyle w:val="NormalWeb"/>
        <w:shd w:val="clear" w:color="auto" w:fill="FFFFFF"/>
        <w:spacing w:after="0"/>
        <w:jc w:val="both"/>
        <w:textAlignment w:val="baseline"/>
      </w:pPr>
      <w:r w:rsidRPr="00EF5A1F">
        <w:t>Esta distribución del tiempo laboral encaja bastante bien con las necesidades de las nuevas compañías, con un trabajador que se mueve por proyectos, que dedica horas a diferentes empleos, y que está siempre activo y dispuesto. La uberización del trabajo es, en síntesis, esto, y es el modelo hacia el que se trata de empujar a los sistemas legales occidentales.</w:t>
      </w:r>
    </w:p>
    <w:p w:rsidR="00EF5A1F" w:rsidRPr="00EF5A1F" w:rsidRDefault="00EF5A1F" w:rsidP="00EF5A1F">
      <w:pPr>
        <w:pStyle w:val="NormalWeb"/>
        <w:shd w:val="clear" w:color="auto" w:fill="FFFFFF"/>
        <w:spacing w:after="0"/>
        <w:jc w:val="both"/>
        <w:textAlignment w:val="baseline"/>
      </w:pPr>
      <w:r w:rsidRPr="00EF5A1F">
        <w:lastRenderedPageBreak/>
        <w:t>Como nos adentramos en un nuevo contexto, el de la cuarta revolución industrial, las normas que habíamos utilizado hasta la fecha ya no son útiles, nos dicen, porque entorpecen el desarrollo individual, ponen trabas al crecimiento y no sirven para aumentar la productividad. Son reglas que se oponen al talento. Y será mucho mejor que quienes saben moverse en el nuevo mundo tengan la oportunidad de elegir dónde quieren ir, cuánto tiempo de su vida dedican al trabajo y qué remuneración quieren conseguir. En este orden, el mercado laboral sin trabajo fijo, donde todos seamos autónomos y veamos en qué empleamos nuestro paquete de horas es</w:t>
      </w:r>
      <w:r>
        <w:t xml:space="preserve"> el idóneo. ¿Correcto? Pues no.</w:t>
      </w:r>
    </w:p>
    <w:p w:rsidR="00EF5A1F" w:rsidRPr="00EF5A1F" w:rsidRDefault="00EF5A1F" w:rsidP="00EF5A1F">
      <w:pPr>
        <w:pStyle w:val="NormalWeb"/>
        <w:shd w:val="clear" w:color="auto" w:fill="FFFFFF"/>
        <w:spacing w:after="0"/>
        <w:jc w:val="both"/>
        <w:textAlignment w:val="baseline"/>
      </w:pPr>
      <w:r w:rsidRPr="00EF5A1F">
        <w:t>Y no porque se entienda que este tipo de reorganización del mercado laboral es poco ética, fragiliza a la sociedad, aumenta la desigualdad o consideraciones similares. El problema es otro, como nos recuerdan los legisladores de Idaho, que han puesto en marcha un sistema legal que hace muy difícil a los empleados marcharse a otra empresa simplemente porque les paguen más o les ofrezcan mejo</w:t>
      </w:r>
      <w:r>
        <w:t>res condiciones laborales. Las “cláusulas de no competencia”</w:t>
      </w:r>
      <w:r w:rsidRPr="00EF5A1F">
        <w:t>, que impiden a los trabajadores marcharse a otra compañía del sector, se han instaurado como norma en el Estado norteamericano, y no afectan sólo a empleados clave, a aquellos que cuentan con mayor responsabilidad y salarios estrella, sino a la totalidad de l</w:t>
      </w:r>
      <w:r>
        <w:t>os trabajadores, según explica “The New York Times”</w:t>
      </w:r>
      <w:r w:rsidRPr="00EF5A1F">
        <w:t>.</w:t>
      </w:r>
    </w:p>
    <w:p w:rsidR="00EF5A1F" w:rsidRPr="00EF5A1F" w:rsidRDefault="00EF5A1F" w:rsidP="00EF5A1F">
      <w:pPr>
        <w:pStyle w:val="NormalWeb"/>
        <w:shd w:val="clear" w:color="auto" w:fill="FFFFFF"/>
        <w:spacing w:after="0"/>
        <w:jc w:val="both"/>
        <w:textAlignment w:val="baseline"/>
      </w:pPr>
      <w:r w:rsidRPr="00EF5A1F">
        <w:t>El motivo que lleva a adoptar esta legislación es descrito por Alex LaBeau, presidente de la Asociación de Comercio e Industria de Idaho, el colectivo que representa</w:t>
      </w:r>
      <w:r>
        <w:t xml:space="preserve"> a las empresas de ese Estado: “</w:t>
      </w:r>
      <w:r w:rsidRPr="00EF5A1F">
        <w:t>Las compañías tratan de proteger sus acti</w:t>
      </w:r>
      <w:r>
        <w:t>vos en un mercado competitivo”.</w:t>
      </w:r>
    </w:p>
    <w:p w:rsidR="00EF5A1F" w:rsidRPr="00EF5A1F" w:rsidRDefault="00EF5A1F" w:rsidP="00EF5A1F">
      <w:pPr>
        <w:pStyle w:val="NormalWeb"/>
        <w:shd w:val="clear" w:color="auto" w:fill="FFFFFF"/>
        <w:spacing w:after="0"/>
        <w:jc w:val="both"/>
        <w:textAlignment w:val="baseline"/>
      </w:pPr>
      <w:r w:rsidRPr="00EF5A1F">
        <w:t>Pero no se trata únicamente de una normativa que opera a nivel local, sino de una tendencia que se está extendiendo mucho más allá de Idaho. Aunque hay Estados cuyas leyes favorecen el cambio de empresas prohibiendo estas cláusulas, lo cierto es que uno de cada cinco trabajadores estadounidenses, sean ejecutivos o peluqueros, ha firmado un contrato que la contiene. Y a menudo sin que los empleados sean conscientes, porque suelen estar sepultadas bajo un montón de jerga legal que pocas personas pueden entender.</w:t>
      </w:r>
    </w:p>
    <w:p w:rsidR="00EF5A1F" w:rsidRPr="00EF5A1F" w:rsidRDefault="00EF5A1F" w:rsidP="00EF5A1F">
      <w:pPr>
        <w:pStyle w:val="NormalWeb"/>
        <w:shd w:val="clear" w:color="auto" w:fill="FFFFFF"/>
        <w:spacing w:after="0"/>
        <w:jc w:val="both"/>
        <w:textAlignment w:val="baseline"/>
      </w:pPr>
      <w:r w:rsidRPr="00EF5A1F">
        <w:t>Es, por tanto, un contexto contradictorio porque por una parte se nos señala que debemos convertirnos en autónomos, buscar distintas opciones laborales y hacernos atractivos a los ojos de diferentes empleadores que puedan contratar nuestros “paquete de horas”, y por otra se insiste en que, para proteger sus activos, las compañías están obligadas a prevenir el cambio de empresa de los trabajadores que sí tienen un contrato. O quizá no lo sea tanto, y bajo esta retórica de los nuevos modelos de negocio y de la incertidumbre no exista más que la intención que describía Eric Peters, jefe de inversiones del hedge fund One River, la de “reducir los salarios a niveles de subsistencia”.</w:t>
      </w:r>
    </w:p>
    <w:p w:rsidR="00EF5A1F" w:rsidRDefault="00EF5A1F" w:rsidP="00EF5A1F">
      <w:pPr>
        <w:pStyle w:val="NormalWeb"/>
        <w:shd w:val="clear" w:color="auto" w:fill="FFFFFF"/>
        <w:spacing w:after="0"/>
        <w:jc w:val="both"/>
        <w:textAlignment w:val="baseline"/>
      </w:pPr>
      <w:r w:rsidRPr="00EF5A1F">
        <w:t xml:space="preserve">Un autónomo sale bastante más barato porque asume muchos costes derivados de la actividad y porque no cobra indemnización alguna si se prescinde de él, y un empleado sujeto a un pacto de no competencia se queda sin el instrumento más utilizado hoy para aumentar su salario: marcharse a otra empresa (o conseguir que, fruto de esa oferta, la compañía en la que trabaja acceda a subirle el sueldo). Lo mismo soy un malpensado y existe una clara intención de que nos adaptemos a contextos cambiantes, de que nos preparemos para la cuarta revolución industrial y que nos pongamos a la altura de los tiempos, </w:t>
      </w:r>
      <w:r>
        <w:t>pero francamente, todo suena a “vamos a reducir costes”</w:t>
      </w:r>
      <w:r w:rsidRPr="00EF5A1F">
        <w:t>.</w:t>
      </w:r>
    </w:p>
    <w:p w:rsidR="004C136B" w:rsidRDefault="004C136B" w:rsidP="00EF5A1F">
      <w:pPr>
        <w:pStyle w:val="NormalWeb"/>
        <w:shd w:val="clear" w:color="auto" w:fill="FFFFFF"/>
        <w:spacing w:after="0"/>
        <w:jc w:val="both"/>
        <w:textAlignment w:val="baseline"/>
      </w:pPr>
    </w:p>
    <w:p w:rsidR="00EF5A1F" w:rsidRDefault="00EF5A1F" w:rsidP="00EF5A1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Greenspan: “</w:t>
      </w:r>
      <w:r w:rsidRPr="005358BC">
        <w:rPr>
          <w:rFonts w:ascii="Times New Roman" w:hAnsi="Times New Roman" w:cs="Times New Roman"/>
          <w:sz w:val="24"/>
          <w:szCs w:val="24"/>
          <w:u w:val="single"/>
        </w:rPr>
        <w:t>hay una burbuja, pero no en la Bolsa, sino en la deuda</w:t>
      </w:r>
      <w:r>
        <w:rPr>
          <w:rFonts w:ascii="Times New Roman" w:hAnsi="Times New Roman" w:cs="Times New Roman"/>
          <w:sz w:val="24"/>
          <w:szCs w:val="24"/>
        </w:rPr>
        <w:t xml:space="preserve">” (Expansión - </w:t>
      </w:r>
      <w:r w:rsidRPr="005358BC">
        <w:rPr>
          <w:rFonts w:ascii="Times New Roman" w:hAnsi="Times New Roman" w:cs="Times New Roman"/>
          <w:b/>
          <w:sz w:val="24"/>
          <w:szCs w:val="24"/>
        </w:rPr>
        <w:t>2/8/17</w:t>
      </w:r>
      <w:r>
        <w:rPr>
          <w:rFonts w:ascii="Times New Roman" w:hAnsi="Times New Roman" w:cs="Times New Roman"/>
          <w:sz w:val="24"/>
          <w:szCs w:val="24"/>
        </w:rPr>
        <w:t>)</w:t>
      </w:r>
    </w:p>
    <w:p w:rsidR="00EF5A1F" w:rsidRPr="00B240D8" w:rsidRDefault="00EF5A1F" w:rsidP="00EF5A1F">
      <w:pPr>
        <w:spacing w:line="240" w:lineRule="auto"/>
        <w:jc w:val="both"/>
        <w:rPr>
          <w:rFonts w:ascii="Times New Roman" w:hAnsi="Times New Roman" w:cs="Times New Roman"/>
          <w:color w:val="FF0000"/>
          <w:sz w:val="24"/>
          <w:szCs w:val="24"/>
          <w:u w:val="single"/>
        </w:rPr>
      </w:pPr>
      <w:r w:rsidRPr="00B240D8">
        <w:rPr>
          <w:rFonts w:ascii="Times New Roman" w:hAnsi="Times New Roman" w:cs="Times New Roman"/>
          <w:color w:val="FF0000"/>
          <w:sz w:val="24"/>
          <w:szCs w:val="24"/>
          <w:u w:val="single"/>
        </w:rPr>
        <w:t>El que fuera presidente de la Reserva Federal en lo</w:t>
      </w:r>
      <w:r>
        <w:rPr>
          <w:rFonts w:ascii="Times New Roman" w:hAnsi="Times New Roman" w:cs="Times New Roman"/>
          <w:color w:val="FF0000"/>
          <w:sz w:val="24"/>
          <w:szCs w:val="24"/>
          <w:u w:val="single"/>
        </w:rPr>
        <w:t>s tiempos de la burbuja de las “puntocom”</w:t>
      </w:r>
      <w:r w:rsidRPr="00B240D8">
        <w:rPr>
          <w:rFonts w:ascii="Times New Roman" w:hAnsi="Times New Roman" w:cs="Times New Roman"/>
          <w:color w:val="FF0000"/>
          <w:sz w:val="24"/>
          <w:szCs w:val="24"/>
          <w:u w:val="single"/>
        </w:rPr>
        <w:t xml:space="preserve"> advierte del riesgo de un desplome del precio de los bonos que arrastre a los índices de Wall Street.</w:t>
      </w:r>
    </w:p>
    <w:p w:rsidR="00EF5A1F" w:rsidRPr="00B240D8" w:rsidRDefault="00EF5A1F" w:rsidP="00EF5A1F">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padre de la “exuberancia irracional”</w:t>
      </w:r>
      <w:r w:rsidRPr="00B240D8">
        <w:rPr>
          <w:rFonts w:ascii="Times New Roman" w:hAnsi="Times New Roman" w:cs="Times New Roman"/>
          <w:color w:val="FF0000"/>
          <w:sz w:val="24"/>
          <w:szCs w:val="24"/>
          <w:u w:val="single"/>
        </w:rPr>
        <w:t xml:space="preserve"> ataca de nuevo. Alan Greenspan, presidente de la Reserva Federal de 1987 a 2006, advirtió ayer en una entrevista concedida a Bloomberg TV que el mundo está siendo testigo de una nueva burbuja, esta vez en el mercado de bonos.</w:t>
      </w:r>
    </w:p>
    <w:p w:rsidR="00EF5A1F" w:rsidRPr="005358BC" w:rsidRDefault="00EF5A1F" w:rsidP="00EF5A1F">
      <w:pPr>
        <w:spacing w:line="240" w:lineRule="auto"/>
        <w:jc w:val="both"/>
        <w:rPr>
          <w:rFonts w:ascii="Times New Roman" w:hAnsi="Times New Roman" w:cs="Times New Roman"/>
          <w:sz w:val="24"/>
          <w:szCs w:val="24"/>
        </w:rPr>
      </w:pPr>
      <w:r w:rsidRPr="005358BC">
        <w:rPr>
          <w:rFonts w:ascii="Times New Roman" w:hAnsi="Times New Roman" w:cs="Times New Roman"/>
          <w:sz w:val="24"/>
          <w:szCs w:val="24"/>
        </w:rPr>
        <w:t xml:space="preserve">Hace prácticamente 21 años que Greenspan acuñó su famosa expresión. En el momento de aquel discurso, en diciembre de 1996, el índice S&amp;P 500 había subido casi un 21% en el año. Tres años después, la burbuja de las puntocom explotó provocando caídas del 34% en el Dow Jones, del 47% en el </w:t>
      </w:r>
      <w:r>
        <w:rPr>
          <w:rFonts w:ascii="Times New Roman" w:hAnsi="Times New Roman" w:cs="Times New Roman"/>
          <w:sz w:val="24"/>
          <w:szCs w:val="24"/>
        </w:rPr>
        <w:t>S&amp;P 500 y del 77% en el Nasdaq.</w:t>
      </w:r>
    </w:p>
    <w:p w:rsidR="00EF5A1F" w:rsidRPr="00B240D8" w:rsidRDefault="00EF5A1F" w:rsidP="00EF5A1F">
      <w:pPr>
        <w:spacing w:line="240" w:lineRule="auto"/>
        <w:jc w:val="both"/>
        <w:rPr>
          <w:rFonts w:ascii="Times New Roman" w:hAnsi="Times New Roman" w:cs="Times New Roman"/>
          <w:sz w:val="24"/>
          <w:szCs w:val="24"/>
          <w:u w:val="single"/>
        </w:rPr>
      </w:pPr>
      <w:r w:rsidRPr="00B240D8">
        <w:rPr>
          <w:rFonts w:ascii="Times New Roman" w:hAnsi="Times New Roman" w:cs="Times New Roman"/>
          <w:sz w:val="24"/>
          <w:szCs w:val="24"/>
          <w:u w:val="single"/>
        </w:rPr>
        <w:t>Ahora los inversores miran con miedo a los tres grandes índices de Wall Street, entre los que se ha convertido en costumbre batir jornada a jornada los máximos anuales. Sin embargo, para Greenspan el problema no está en el precio de las acc</w:t>
      </w:r>
      <w:r>
        <w:rPr>
          <w:rFonts w:ascii="Times New Roman" w:hAnsi="Times New Roman" w:cs="Times New Roman"/>
          <w:sz w:val="24"/>
          <w:szCs w:val="24"/>
          <w:u w:val="single"/>
        </w:rPr>
        <w:t>iones, sino en el de la deuda. “</w:t>
      </w:r>
      <w:r w:rsidRPr="00B240D8">
        <w:rPr>
          <w:rFonts w:ascii="Times New Roman" w:hAnsi="Times New Roman" w:cs="Times New Roman"/>
          <w:sz w:val="24"/>
          <w:szCs w:val="24"/>
          <w:u w:val="single"/>
        </w:rPr>
        <w:t>Bajo cualquier prisma, los tipos de interés reales a largo plazo están excesivamente bajos y, por lo tanto, son insos</w:t>
      </w:r>
      <w:r>
        <w:rPr>
          <w:rFonts w:ascii="Times New Roman" w:hAnsi="Times New Roman" w:cs="Times New Roman"/>
          <w:sz w:val="24"/>
          <w:szCs w:val="24"/>
          <w:u w:val="single"/>
        </w:rPr>
        <w:t xml:space="preserve">tenibles. Cuando suban </w:t>
      </w:r>
      <w:r w:rsidRPr="00B240D8">
        <w:rPr>
          <w:rFonts w:ascii="Times New Roman" w:hAnsi="Times New Roman" w:cs="Times New Roman"/>
          <w:sz w:val="24"/>
          <w:szCs w:val="24"/>
          <w:u w:val="single"/>
        </w:rPr>
        <w:t>es probable que lo hagan rápidamente. Estamos viviendo una burbuja, no en las Bolsas</w:t>
      </w:r>
      <w:r>
        <w:rPr>
          <w:rFonts w:ascii="Times New Roman" w:hAnsi="Times New Roman" w:cs="Times New Roman"/>
          <w:sz w:val="24"/>
          <w:szCs w:val="24"/>
          <w:u w:val="single"/>
        </w:rPr>
        <w:t xml:space="preserve"> sino en el precio de los bonos”</w:t>
      </w:r>
      <w:r w:rsidRPr="00B240D8">
        <w:rPr>
          <w:rFonts w:ascii="Times New Roman" w:hAnsi="Times New Roman" w:cs="Times New Roman"/>
          <w:sz w:val="24"/>
          <w:szCs w:val="24"/>
          <w:u w:val="single"/>
        </w:rPr>
        <w:t>, señaló el expresidente de la autoridad monetaria estadounidense, que añadió qu</w:t>
      </w:r>
      <w:r>
        <w:rPr>
          <w:rFonts w:ascii="Times New Roman" w:hAnsi="Times New Roman" w:cs="Times New Roman"/>
          <w:sz w:val="24"/>
          <w:szCs w:val="24"/>
          <w:u w:val="single"/>
        </w:rPr>
        <w:t>e el estallido de esta burbuja “</w:t>
      </w:r>
      <w:r w:rsidRPr="00B240D8">
        <w:rPr>
          <w:rFonts w:ascii="Times New Roman" w:hAnsi="Times New Roman" w:cs="Times New Roman"/>
          <w:sz w:val="24"/>
          <w:szCs w:val="24"/>
          <w:u w:val="single"/>
        </w:rPr>
        <w:t xml:space="preserve">no </w:t>
      </w:r>
      <w:r>
        <w:rPr>
          <w:rFonts w:ascii="Times New Roman" w:hAnsi="Times New Roman" w:cs="Times New Roman"/>
          <w:sz w:val="24"/>
          <w:szCs w:val="24"/>
          <w:u w:val="single"/>
        </w:rPr>
        <w:t>está descontado en los mercados”</w:t>
      </w:r>
      <w:r w:rsidRPr="00B240D8">
        <w:rPr>
          <w:rFonts w:ascii="Times New Roman" w:hAnsi="Times New Roman" w:cs="Times New Roman"/>
          <w:sz w:val="24"/>
          <w:szCs w:val="24"/>
          <w:u w:val="single"/>
        </w:rPr>
        <w:t>.</w:t>
      </w:r>
    </w:p>
    <w:p w:rsidR="00EF5A1F" w:rsidRPr="005358BC" w:rsidRDefault="00EF5A1F" w:rsidP="00EF5A1F">
      <w:pPr>
        <w:spacing w:line="240" w:lineRule="auto"/>
        <w:jc w:val="both"/>
        <w:rPr>
          <w:rFonts w:ascii="Times New Roman" w:hAnsi="Times New Roman" w:cs="Times New Roman"/>
          <w:sz w:val="24"/>
          <w:szCs w:val="24"/>
        </w:rPr>
      </w:pPr>
      <w:r w:rsidRPr="005358BC">
        <w:rPr>
          <w:rFonts w:ascii="Times New Roman" w:hAnsi="Times New Roman" w:cs="Times New Roman"/>
          <w:sz w:val="24"/>
          <w:szCs w:val="24"/>
        </w:rPr>
        <w:t>Hacia la estanflación</w:t>
      </w:r>
    </w:p>
    <w:p w:rsidR="00EF5A1F" w:rsidRPr="00B240D8" w:rsidRDefault="00EF5A1F" w:rsidP="00EF5A1F">
      <w:pPr>
        <w:spacing w:line="240" w:lineRule="auto"/>
        <w:jc w:val="both"/>
        <w:rPr>
          <w:rFonts w:ascii="Times New Roman" w:hAnsi="Times New Roman" w:cs="Times New Roman"/>
          <w:color w:val="FF0000"/>
          <w:sz w:val="24"/>
          <w:szCs w:val="24"/>
          <w:u w:val="single"/>
        </w:rPr>
      </w:pPr>
      <w:r w:rsidRPr="005358BC">
        <w:rPr>
          <w:rFonts w:ascii="Times New Roman" w:hAnsi="Times New Roman" w:cs="Times New Roman"/>
          <w:sz w:val="24"/>
          <w:szCs w:val="24"/>
        </w:rPr>
        <w:t xml:space="preserve">Para Greenspan, la economía estadounidense se está moviendo hacia una nueva fase: </w:t>
      </w:r>
      <w:r>
        <w:rPr>
          <w:rFonts w:ascii="Times New Roman" w:hAnsi="Times New Roman" w:cs="Times New Roman"/>
          <w:color w:val="FF0000"/>
          <w:sz w:val="24"/>
          <w:szCs w:val="24"/>
          <w:u w:val="single"/>
        </w:rPr>
        <w:t>“</w:t>
      </w:r>
      <w:r w:rsidRPr="00B240D8">
        <w:rPr>
          <w:rFonts w:ascii="Times New Roman" w:hAnsi="Times New Roman" w:cs="Times New Roman"/>
          <w:color w:val="FF0000"/>
          <w:sz w:val="24"/>
          <w:szCs w:val="24"/>
          <w:u w:val="single"/>
        </w:rPr>
        <w:t>Vamos hacia una estanflación desconocida desde los años 70. Es algo muy negativ</w:t>
      </w:r>
      <w:r>
        <w:rPr>
          <w:rFonts w:ascii="Times New Roman" w:hAnsi="Times New Roman" w:cs="Times New Roman"/>
          <w:color w:val="FF0000"/>
          <w:sz w:val="24"/>
          <w:szCs w:val="24"/>
          <w:u w:val="single"/>
        </w:rPr>
        <w:t>o para el precio de los activos”</w:t>
      </w:r>
      <w:r w:rsidRPr="00B240D8">
        <w:rPr>
          <w:rFonts w:ascii="Times New Roman" w:hAnsi="Times New Roman" w:cs="Times New Roman"/>
          <w:color w:val="FF0000"/>
          <w:sz w:val="24"/>
          <w:szCs w:val="24"/>
          <w:u w:val="single"/>
        </w:rPr>
        <w:t>, comentó.</w:t>
      </w:r>
    </w:p>
    <w:p w:rsidR="00EF5A1F" w:rsidRPr="00B240D8" w:rsidRDefault="00EF5A1F" w:rsidP="00EF5A1F">
      <w:pPr>
        <w:spacing w:line="240" w:lineRule="auto"/>
        <w:jc w:val="both"/>
        <w:rPr>
          <w:rFonts w:ascii="Times New Roman" w:hAnsi="Times New Roman" w:cs="Times New Roman"/>
          <w:sz w:val="24"/>
          <w:szCs w:val="24"/>
          <w:u w:val="single"/>
        </w:rPr>
      </w:pPr>
      <w:r w:rsidRPr="00B240D8">
        <w:rPr>
          <w:rFonts w:ascii="Times New Roman" w:hAnsi="Times New Roman" w:cs="Times New Roman"/>
          <w:sz w:val="24"/>
          <w:szCs w:val="24"/>
          <w:u w:val="single"/>
        </w:rPr>
        <w:t xml:space="preserve">Si la inflación termina por repuntar con fuerza, pero sin crecimiento económico, los precios de </w:t>
      </w:r>
      <w:r>
        <w:rPr>
          <w:rFonts w:ascii="Times New Roman" w:hAnsi="Times New Roman" w:cs="Times New Roman"/>
          <w:sz w:val="24"/>
          <w:szCs w:val="24"/>
          <w:u w:val="single"/>
        </w:rPr>
        <w:t>los bonos podrían desplomarse. “</w:t>
      </w:r>
      <w:r w:rsidRPr="00B240D8">
        <w:rPr>
          <w:rFonts w:ascii="Times New Roman" w:hAnsi="Times New Roman" w:cs="Times New Roman"/>
          <w:sz w:val="24"/>
          <w:szCs w:val="24"/>
          <w:u w:val="single"/>
        </w:rPr>
        <w:t>Se trata de un regreso a la época de Jimmy Carter en la Casa Blanca y de Paul Volcker al frente de la Fed. Un periodo en el que los tipos de interés en Estados Unidos se elevaron hasta el 20% y en el que el comportamiento de los activos, tanto Bolsa como deuda, fue realmente mal</w:t>
      </w:r>
      <w:r w:rsidR="00003D7C">
        <w:rPr>
          <w:rFonts w:ascii="Times New Roman" w:hAnsi="Times New Roman" w:cs="Times New Roman"/>
          <w:sz w:val="24"/>
          <w:szCs w:val="24"/>
          <w:u w:val="single"/>
        </w:rPr>
        <w:t>o”</w:t>
      </w:r>
      <w:r w:rsidRPr="00B240D8">
        <w:rPr>
          <w:rFonts w:ascii="Times New Roman" w:hAnsi="Times New Roman" w:cs="Times New Roman"/>
          <w:sz w:val="24"/>
          <w:szCs w:val="24"/>
          <w:u w:val="single"/>
        </w:rPr>
        <w:t>, explican fuentes financieras.</w:t>
      </w:r>
    </w:p>
    <w:p w:rsidR="00EF5A1F" w:rsidRDefault="00EF5A1F" w:rsidP="00EF5A1F">
      <w:pPr>
        <w:spacing w:line="240" w:lineRule="auto"/>
        <w:jc w:val="both"/>
        <w:rPr>
          <w:rFonts w:ascii="Times New Roman" w:hAnsi="Times New Roman" w:cs="Times New Roman"/>
          <w:sz w:val="24"/>
          <w:szCs w:val="24"/>
        </w:rPr>
      </w:pPr>
      <w:r w:rsidRPr="005358BC">
        <w:rPr>
          <w:rFonts w:ascii="Times New Roman" w:hAnsi="Times New Roman" w:cs="Times New Roman"/>
          <w:sz w:val="24"/>
          <w:szCs w:val="24"/>
        </w:rPr>
        <w:t>Greenspan augura de esta forma el fin de más de 30 años de mercado alcista para los bonos, el fin a una tendencia que provocaría una fuerte sacudida en los mercados capaz de hacer temblar los cimientos tanto de la renta fija como de la renta variable.</w:t>
      </w:r>
    </w:p>
    <w:p w:rsidR="00003D7C" w:rsidRPr="00A450E8" w:rsidRDefault="00003D7C" w:rsidP="00003D7C">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003D7C">
        <w:rPr>
          <w:rFonts w:ascii="Times New Roman" w:hAnsi="Times New Roman" w:cs="Times New Roman"/>
          <w:i/>
          <w:sz w:val="24"/>
          <w:szCs w:val="24"/>
        </w:rPr>
        <w:t>La crisis actual es el resultado del ciclo expansivo previo, durante el cual, el “veneno” de la expansión artificial del crédito fue inoculado en la economía por los bancos centrales</w:t>
      </w:r>
      <w:r>
        <w:rPr>
          <w:rFonts w:ascii="Times New Roman" w:hAnsi="Times New Roman" w:cs="Times New Roman"/>
          <w:i/>
          <w:sz w:val="24"/>
          <w:szCs w:val="24"/>
        </w:rPr>
        <w:t>”…</w:t>
      </w:r>
      <w:r w:rsidRPr="00003D7C">
        <w:rPr>
          <w:rFonts w:ascii="Times New Roman" w:hAnsi="Times New Roman" w:cs="Times New Roman"/>
          <w:sz w:val="24"/>
          <w:szCs w:val="24"/>
          <w:u w:val="single"/>
        </w:rPr>
        <w:t xml:space="preserve"> </w:t>
      </w:r>
      <w:r w:rsidRPr="00417EBB">
        <w:rPr>
          <w:rFonts w:ascii="Times New Roman" w:hAnsi="Times New Roman" w:cs="Times New Roman"/>
          <w:sz w:val="24"/>
          <w:szCs w:val="24"/>
          <w:u w:val="single"/>
        </w:rPr>
        <w:t>Qué hemos aprendido en 10 años de crisis financiera</w:t>
      </w:r>
      <w:r>
        <w:rPr>
          <w:rFonts w:ascii="Times New Roman" w:hAnsi="Times New Roman" w:cs="Times New Roman"/>
          <w:sz w:val="24"/>
          <w:szCs w:val="24"/>
        </w:rPr>
        <w:t xml:space="preserve"> (El Confidencial - </w:t>
      </w:r>
      <w:r w:rsidRPr="00417EBB">
        <w:rPr>
          <w:rFonts w:ascii="Times New Roman" w:hAnsi="Times New Roman" w:cs="Times New Roman"/>
          <w:b/>
          <w:sz w:val="24"/>
          <w:szCs w:val="24"/>
        </w:rPr>
        <w:t>3/8/17</w:t>
      </w:r>
      <w:r>
        <w:rPr>
          <w:rFonts w:ascii="Times New Roman" w:hAnsi="Times New Roman" w:cs="Times New Roman"/>
          <w:sz w:val="24"/>
          <w:szCs w:val="24"/>
        </w:rPr>
        <w:t>)</w:t>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sz w:val="24"/>
          <w:szCs w:val="24"/>
          <w:lang w:eastAsia="es-ES"/>
        </w:rPr>
        <w:t xml:space="preserve">Posiblemente han escuchado alguna vez cómo funciona el mecanismo de los raticidas más habitualmente utilizados en el control de plagas, como la warfarina o la bromadiolona. Derivados de un compuesto químico presente de forma natural en muchas plantas, como el trébol, este tipo de venenos operan inhibiendo la síntesis de vitamina K e impidiendo la coagulación de la sangre, provocando hemorragias internas letales al cabo de varios días. Al no ser inmediato su efecto, los roedores no asocian la muerte con la ingestión del cebo, logrando así envenenar al máximo número de ratas. Pues bien, de forma similar funciona la inflación crediticia, veneno letal para la economía, que debilita internamente su estructura </w:t>
      </w:r>
      <w:r w:rsidRPr="00003D7C">
        <w:rPr>
          <w:rFonts w:ascii="Times New Roman" w:eastAsia="Times New Roman" w:hAnsi="Times New Roman" w:cs="Times New Roman"/>
          <w:sz w:val="24"/>
          <w:szCs w:val="24"/>
          <w:lang w:eastAsia="es-ES"/>
        </w:rPr>
        <w:lastRenderedPageBreak/>
        <w:t>productiva y desemboca en crisis sólo años después, dificultando la identificación del origen del “envenenamiento”.</w:t>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w:t>
      </w:r>
      <w:r w:rsidRPr="00003D7C">
        <w:rPr>
          <w:rFonts w:ascii="Times New Roman" w:eastAsia="Times New Roman" w:hAnsi="Times New Roman" w:cs="Times New Roman"/>
          <w:sz w:val="24"/>
          <w:szCs w:val="24"/>
          <w:lang w:eastAsia="es-ES"/>
        </w:rPr>
        <w:t>l 6 de agosto</w:t>
      </w:r>
      <w:r>
        <w:rPr>
          <w:rFonts w:ascii="Times New Roman" w:eastAsia="Times New Roman" w:hAnsi="Times New Roman" w:cs="Times New Roman"/>
          <w:sz w:val="24"/>
          <w:szCs w:val="24"/>
          <w:lang w:eastAsia="es-ES"/>
        </w:rPr>
        <w:t xml:space="preserve"> de 2017</w:t>
      </w:r>
      <w:r w:rsidRPr="00003D7C">
        <w:rPr>
          <w:rFonts w:ascii="Times New Roman" w:eastAsia="Times New Roman" w:hAnsi="Times New Roman" w:cs="Times New Roman"/>
          <w:sz w:val="24"/>
          <w:szCs w:val="24"/>
          <w:lang w:eastAsia="es-ES"/>
        </w:rPr>
        <w:t>, se cumplirán diez años del primer susto serio, aviso de la </w:t>
      </w:r>
      <w:hyperlink r:id="rId18" w:history="1">
        <w:r w:rsidRPr="00003D7C">
          <w:rPr>
            <w:rFonts w:ascii="Times New Roman" w:eastAsia="Times New Roman" w:hAnsi="Times New Roman" w:cs="Times New Roman"/>
            <w:bCs/>
            <w:sz w:val="24"/>
            <w:szCs w:val="24"/>
            <w:lang w:eastAsia="es-ES"/>
          </w:rPr>
          <w:t>tormenta financiera</w:t>
        </w:r>
      </w:hyperlink>
      <w:r w:rsidRPr="00003D7C">
        <w:rPr>
          <w:rFonts w:ascii="Times New Roman" w:eastAsia="Times New Roman" w:hAnsi="Times New Roman" w:cs="Times New Roman"/>
          <w:sz w:val="24"/>
          <w:szCs w:val="24"/>
          <w:lang w:eastAsia="es-ES"/>
        </w:rPr>
        <w:t> que vendría luego con la </w:t>
      </w:r>
      <w:hyperlink r:id="rId19" w:history="1">
        <w:r w:rsidRPr="00003D7C">
          <w:rPr>
            <w:rFonts w:ascii="Times New Roman" w:eastAsia="Times New Roman" w:hAnsi="Times New Roman" w:cs="Times New Roman"/>
            <w:bCs/>
            <w:sz w:val="24"/>
            <w:szCs w:val="24"/>
            <w:lang w:eastAsia="es-ES"/>
          </w:rPr>
          <w:t>quiebra de la compañía </w:t>
        </w:r>
        <w:r w:rsidRPr="00003D7C">
          <w:rPr>
            <w:rFonts w:ascii="Times New Roman" w:eastAsia="Times New Roman" w:hAnsi="Times New Roman" w:cs="Times New Roman"/>
            <w:bCs/>
            <w:sz w:val="24"/>
            <w:szCs w:val="24"/>
            <w:bdr w:val="none" w:sz="0" w:space="0" w:color="auto" w:frame="1"/>
            <w:lang w:eastAsia="es-ES"/>
          </w:rPr>
          <w:t>American Home Mortgage</w:t>
        </w:r>
      </w:hyperlink>
      <w:r w:rsidRPr="00003D7C">
        <w:rPr>
          <w:rFonts w:ascii="Times New Roman" w:eastAsia="Times New Roman" w:hAnsi="Times New Roman" w:cs="Times New Roman"/>
          <w:sz w:val="24"/>
          <w:szCs w:val="24"/>
          <w:lang w:eastAsia="es-ES"/>
        </w:rPr>
        <w:t>, dedicada a conceder préstamos hipotecarios para la compra de vivienda. Le seguiría unas jornadas después la </w:t>
      </w:r>
      <w:hyperlink r:id="rId20" w:history="1">
        <w:r w:rsidRPr="00003D7C">
          <w:rPr>
            <w:rFonts w:ascii="Times New Roman" w:eastAsia="Times New Roman" w:hAnsi="Times New Roman" w:cs="Times New Roman"/>
            <w:bCs/>
            <w:sz w:val="24"/>
            <w:szCs w:val="24"/>
            <w:lang w:eastAsia="es-ES"/>
          </w:rPr>
          <w:t>suspensión de los reembolsos de tres fondos de inversión de </w:t>
        </w:r>
        <w:r w:rsidRPr="00003D7C">
          <w:rPr>
            <w:rFonts w:ascii="Times New Roman" w:eastAsia="Times New Roman" w:hAnsi="Times New Roman" w:cs="Times New Roman"/>
            <w:bCs/>
            <w:sz w:val="24"/>
            <w:szCs w:val="24"/>
            <w:bdr w:val="none" w:sz="0" w:space="0" w:color="auto" w:frame="1"/>
            <w:lang w:eastAsia="es-ES"/>
          </w:rPr>
          <w:t>BNP</w:t>
        </w:r>
      </w:hyperlink>
      <w:r w:rsidRPr="00003D7C">
        <w:rPr>
          <w:rFonts w:ascii="Times New Roman" w:eastAsia="Times New Roman" w:hAnsi="Times New Roman" w:cs="Times New Roman"/>
          <w:sz w:val="24"/>
          <w:szCs w:val="24"/>
          <w:lang w:eastAsia="es-ES"/>
        </w:rPr>
        <w:t>, afectados por la crisis subprime norteamericana. A la noticia le acompañaban rumores sobre que </w:t>
      </w:r>
      <w:hyperlink r:id="rId21" w:history="1">
        <w:r w:rsidRPr="00003D7C">
          <w:rPr>
            <w:rFonts w:ascii="Times New Roman" w:eastAsia="Times New Roman" w:hAnsi="Times New Roman" w:cs="Times New Roman"/>
            <w:bCs/>
            <w:sz w:val="24"/>
            <w:szCs w:val="24"/>
            <w:bdr w:val="none" w:sz="0" w:space="0" w:color="auto" w:frame="1"/>
            <w:lang w:eastAsia="es-ES"/>
          </w:rPr>
          <w:t>Goldman Sachs</w:t>
        </w:r>
        <w:r w:rsidRPr="00003D7C">
          <w:rPr>
            <w:rFonts w:ascii="Times New Roman" w:eastAsia="Times New Roman" w:hAnsi="Times New Roman" w:cs="Times New Roman"/>
            <w:bCs/>
            <w:sz w:val="24"/>
            <w:szCs w:val="24"/>
            <w:lang w:eastAsia="es-ES"/>
          </w:rPr>
          <w:t> estaría planteándose hacer algo parecido con uno de sus fondos</w:t>
        </w:r>
      </w:hyperlink>
      <w:r w:rsidRPr="00003D7C">
        <w:rPr>
          <w:rFonts w:ascii="Times New Roman" w:eastAsia="Times New Roman" w:hAnsi="Times New Roman" w:cs="Times New Roman"/>
          <w:sz w:val="24"/>
          <w:szCs w:val="24"/>
          <w:lang w:eastAsia="es-ES"/>
        </w:rPr>
        <w:t>, los planes de </w:t>
      </w:r>
      <w:hyperlink r:id="rId22" w:history="1">
        <w:r w:rsidRPr="00003D7C">
          <w:rPr>
            <w:rFonts w:ascii="Times New Roman" w:eastAsia="Times New Roman" w:hAnsi="Times New Roman" w:cs="Times New Roman"/>
            <w:bCs/>
            <w:sz w:val="24"/>
            <w:szCs w:val="24"/>
            <w:lang w:eastAsia="es-ES"/>
          </w:rPr>
          <w:t>rescate del </w:t>
        </w:r>
        <w:r w:rsidRPr="00003D7C">
          <w:rPr>
            <w:rFonts w:ascii="Times New Roman" w:eastAsia="Times New Roman" w:hAnsi="Times New Roman" w:cs="Times New Roman"/>
            <w:bCs/>
            <w:sz w:val="24"/>
            <w:szCs w:val="24"/>
            <w:bdr w:val="none" w:sz="0" w:space="0" w:color="auto" w:frame="1"/>
            <w:lang w:eastAsia="es-ES"/>
          </w:rPr>
          <w:t>Bundesbank</w:t>
        </w:r>
        <w:r w:rsidRPr="00003D7C">
          <w:rPr>
            <w:rFonts w:ascii="Times New Roman" w:eastAsia="Times New Roman" w:hAnsi="Times New Roman" w:cs="Times New Roman"/>
            <w:bCs/>
            <w:sz w:val="24"/>
            <w:szCs w:val="24"/>
            <w:lang w:eastAsia="es-ES"/>
          </w:rPr>
          <w:t> a la entidad crediticia </w:t>
        </w:r>
        <w:r w:rsidRPr="00003D7C">
          <w:rPr>
            <w:rFonts w:ascii="Times New Roman" w:eastAsia="Times New Roman" w:hAnsi="Times New Roman" w:cs="Times New Roman"/>
            <w:bCs/>
            <w:sz w:val="24"/>
            <w:szCs w:val="24"/>
            <w:bdr w:val="none" w:sz="0" w:space="0" w:color="auto" w:frame="1"/>
            <w:lang w:eastAsia="es-ES"/>
          </w:rPr>
          <w:t>IKB</w:t>
        </w:r>
      </w:hyperlink>
      <w:r w:rsidRPr="00003D7C">
        <w:rPr>
          <w:rFonts w:ascii="Times New Roman" w:eastAsia="Times New Roman" w:hAnsi="Times New Roman" w:cs="Times New Roman"/>
          <w:sz w:val="24"/>
          <w:szCs w:val="24"/>
          <w:lang w:eastAsia="es-ES"/>
        </w:rPr>
        <w:t> o la primera </w:t>
      </w:r>
      <w:hyperlink r:id="rId23" w:history="1">
        <w:r w:rsidRPr="00003D7C">
          <w:rPr>
            <w:rFonts w:ascii="Times New Roman" w:eastAsia="Times New Roman" w:hAnsi="Times New Roman" w:cs="Times New Roman"/>
            <w:bCs/>
            <w:sz w:val="24"/>
            <w:szCs w:val="24"/>
            <w:lang w:eastAsia="es-ES"/>
          </w:rPr>
          <w:t>acción concertada por los principales bancos centrales del mundo para inyectar liquidez</w:t>
        </w:r>
      </w:hyperlink>
      <w:r w:rsidRPr="00003D7C">
        <w:rPr>
          <w:rFonts w:ascii="Times New Roman" w:eastAsia="Times New Roman" w:hAnsi="Times New Roman" w:cs="Times New Roman"/>
          <w:sz w:val="24"/>
          <w:szCs w:val="24"/>
          <w:lang w:eastAsia="es-ES"/>
        </w:rPr>
        <w:t> -más veneno- ante el nerviosismo por un eventual colapso del sistema financiero mundial: 200.000 millones de euros en pocas horas.</w:t>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sz w:val="24"/>
          <w:szCs w:val="24"/>
          <w:lang w:eastAsia="es-ES"/>
        </w:rPr>
        <w:t>Por eso, quizás sea más preciso establecer en esta fecha el estallido formal de la </w:t>
      </w:r>
      <w:r w:rsidRPr="00003D7C">
        <w:rPr>
          <w:rFonts w:ascii="Times New Roman" w:eastAsia="Times New Roman" w:hAnsi="Times New Roman" w:cs="Times New Roman"/>
          <w:bCs/>
          <w:sz w:val="24"/>
          <w:szCs w:val="24"/>
          <w:bdr w:val="none" w:sz="0" w:space="0" w:color="auto" w:frame="1"/>
          <w:lang w:eastAsia="es-ES"/>
        </w:rPr>
        <w:t>Gran Recesión,</w:t>
      </w:r>
      <w:r w:rsidRPr="00003D7C">
        <w:rPr>
          <w:rFonts w:ascii="Times New Roman" w:eastAsia="Times New Roman" w:hAnsi="Times New Roman" w:cs="Times New Roman"/>
          <w:sz w:val="24"/>
          <w:szCs w:val="24"/>
          <w:lang w:eastAsia="es-ES"/>
        </w:rPr>
        <w:t> aunque generalmente suele datarse el inicio de la actual crisis económica y financiera el día de la quiebra del banco </w:t>
      </w:r>
      <w:r w:rsidRPr="00003D7C">
        <w:rPr>
          <w:rFonts w:ascii="Times New Roman" w:eastAsia="Times New Roman" w:hAnsi="Times New Roman" w:cs="Times New Roman"/>
          <w:bCs/>
          <w:sz w:val="24"/>
          <w:szCs w:val="24"/>
          <w:bdr w:val="none" w:sz="0" w:space="0" w:color="auto" w:frame="1"/>
          <w:lang w:eastAsia="es-ES"/>
        </w:rPr>
        <w:t>Lehman Brothers</w:t>
      </w:r>
      <w:r w:rsidRPr="00003D7C">
        <w:rPr>
          <w:rFonts w:ascii="Times New Roman" w:eastAsia="Times New Roman" w:hAnsi="Times New Roman" w:cs="Times New Roman"/>
          <w:sz w:val="24"/>
          <w:szCs w:val="24"/>
          <w:lang w:eastAsia="es-ES"/>
        </w:rPr>
        <w:t>, el 15 de septiembre de 2008. De igual forma, se estableció el origen cronológico de la </w:t>
      </w:r>
      <w:r w:rsidRPr="00003D7C">
        <w:rPr>
          <w:rFonts w:ascii="Times New Roman" w:eastAsia="Times New Roman" w:hAnsi="Times New Roman" w:cs="Times New Roman"/>
          <w:bCs/>
          <w:sz w:val="24"/>
          <w:szCs w:val="24"/>
          <w:bdr w:val="none" w:sz="0" w:space="0" w:color="auto" w:frame="1"/>
          <w:lang w:eastAsia="es-ES"/>
        </w:rPr>
        <w:t>Gran Depresión</w:t>
      </w:r>
      <w:r w:rsidRPr="00003D7C">
        <w:rPr>
          <w:rFonts w:ascii="Times New Roman" w:eastAsia="Times New Roman" w:hAnsi="Times New Roman" w:cs="Times New Roman"/>
          <w:sz w:val="24"/>
          <w:szCs w:val="24"/>
          <w:lang w:eastAsia="es-ES"/>
        </w:rPr>
        <w:t> el famoso </w:t>
      </w:r>
      <w:r w:rsidRPr="00003D7C">
        <w:rPr>
          <w:rFonts w:ascii="Times New Roman" w:eastAsia="Times New Roman" w:hAnsi="Times New Roman" w:cs="Times New Roman"/>
          <w:bCs/>
          <w:sz w:val="24"/>
          <w:szCs w:val="24"/>
          <w:bdr w:val="none" w:sz="0" w:space="0" w:color="auto" w:frame="1"/>
          <w:lang w:eastAsia="es-ES"/>
        </w:rPr>
        <w:t>martes negro</w:t>
      </w:r>
      <w:r w:rsidRPr="00003D7C">
        <w:rPr>
          <w:rFonts w:ascii="Times New Roman" w:eastAsia="Times New Roman" w:hAnsi="Times New Roman" w:cs="Times New Roman"/>
          <w:sz w:val="24"/>
          <w:szCs w:val="24"/>
          <w:lang w:eastAsia="es-ES"/>
        </w:rPr>
        <w:t> -29 de octubre de 1929- con el crack bursátil de Wall Street, que arrojó pérdidas del 40% en un solo día, aunque fuera precedido de un jueves negro con caídas del 20% y de un viernes y lunes entre medias que no fueron mejores. Aunque son fechas marcadas por eventos espectaculares, útiles para la necesaria simplificación de los titulares de prensa y los libros de historia, la realidad es que </w:t>
      </w:r>
      <w:r w:rsidRPr="00003D7C">
        <w:rPr>
          <w:rFonts w:ascii="Times New Roman" w:eastAsia="Times New Roman" w:hAnsi="Times New Roman" w:cs="Times New Roman"/>
          <w:bCs/>
          <w:sz w:val="24"/>
          <w:szCs w:val="24"/>
          <w:bdr w:val="none" w:sz="0" w:space="0" w:color="auto" w:frame="1"/>
          <w:lang w:eastAsia="es-ES"/>
        </w:rPr>
        <w:t>en ambos casos los síntomas de cambio de ciclo hacía tiempo que se hacían sentir</w:t>
      </w:r>
      <w:r w:rsidRPr="00003D7C">
        <w:rPr>
          <w:rFonts w:ascii="Times New Roman" w:eastAsia="Times New Roman" w:hAnsi="Times New Roman" w:cs="Times New Roman"/>
          <w:sz w:val="24"/>
          <w:szCs w:val="24"/>
          <w:lang w:eastAsia="es-ES"/>
        </w:rPr>
        <w:t>.</w:t>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03D7C" w:rsidRPr="00003D7C" w:rsidRDefault="00003D7C" w:rsidP="00003D7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noProof/>
          <w:sz w:val="24"/>
          <w:szCs w:val="24"/>
          <w:lang w:eastAsia="es-ES"/>
        </w:rPr>
        <w:drawing>
          <wp:inline distT="0" distB="0" distL="0" distR="0" wp14:anchorId="323BE0EC" wp14:editId="3E307E19">
            <wp:extent cx="5842000" cy="2876550"/>
            <wp:effectExtent l="0" t="0" r="6350" b="0"/>
            <wp:docPr id="645" name="Imagen 6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2000" cy="2876550"/>
                    </a:xfrm>
                    <a:prstGeom prst="rect">
                      <a:avLst/>
                    </a:prstGeom>
                    <a:noFill/>
                    <a:ln>
                      <a:noFill/>
                    </a:ln>
                  </pic:spPr>
                </pic:pic>
              </a:graphicData>
            </a:graphic>
          </wp:inline>
        </w:drawing>
      </w:r>
    </w:p>
    <w:p w:rsid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sz w:val="24"/>
          <w:szCs w:val="24"/>
          <w:lang w:eastAsia="es-ES"/>
        </w:rPr>
        <w:t>Así, la gigantesca inflación crediticia de los locos años 20 -Roaring Twenties- finalizó en realidad hacia finales de 1928, al alcanzar su zenit la oferta monetaria, que había crecido desbocada durante la década, al calor de las políticas de la Reserva Federal. Fue a partir de entonces cuando la economía quedó sentenciada, haciendo inevitable el ajuste en forma de depresión, como ocurrió meses después. Y es que siempre hay un lapso de tiempo entre la paralización -o ralentización- de la expansión del crédito y la manifestación de las malas inversiones generalizadas que ésta provoca. </w:t>
      </w:r>
      <w:r w:rsidRPr="00003D7C">
        <w:rPr>
          <w:rFonts w:ascii="Times New Roman" w:eastAsia="Times New Roman" w:hAnsi="Times New Roman" w:cs="Times New Roman"/>
          <w:bCs/>
          <w:sz w:val="24"/>
          <w:szCs w:val="24"/>
          <w:bdr w:val="none" w:sz="0" w:space="0" w:color="auto" w:frame="1"/>
          <w:lang w:eastAsia="es-ES"/>
        </w:rPr>
        <w:t xml:space="preserve">Errores que empezaron a ser visibles en julio de 1929, marcando el inicio real de la depresión económica, que luego sería certificada el 29 de </w:t>
      </w:r>
      <w:r w:rsidRPr="00003D7C">
        <w:rPr>
          <w:rFonts w:ascii="Times New Roman" w:eastAsia="Times New Roman" w:hAnsi="Times New Roman" w:cs="Times New Roman"/>
          <w:bCs/>
          <w:sz w:val="24"/>
          <w:szCs w:val="24"/>
          <w:bdr w:val="none" w:sz="0" w:space="0" w:color="auto" w:frame="1"/>
          <w:lang w:eastAsia="es-ES"/>
        </w:rPr>
        <w:lastRenderedPageBreak/>
        <w:t>octubre</w:t>
      </w:r>
      <w:r w:rsidRPr="00003D7C">
        <w:rPr>
          <w:rFonts w:ascii="Times New Roman" w:eastAsia="Times New Roman" w:hAnsi="Times New Roman" w:cs="Times New Roman"/>
          <w:sz w:val="24"/>
          <w:szCs w:val="24"/>
          <w:lang w:eastAsia="es-ES"/>
        </w:rPr>
        <w:t>, a la sazón martes negro -permítanme sugerirles como lectura estival los relatos de Rothbard y Robbins</w:t>
      </w:r>
      <w:r w:rsidR="00945AD1">
        <w:rPr>
          <w:rFonts w:ascii="Times New Roman" w:eastAsia="Times New Roman" w:hAnsi="Times New Roman" w:cs="Times New Roman"/>
          <w:sz w:val="24"/>
          <w:szCs w:val="24"/>
          <w:lang w:eastAsia="es-ES"/>
        </w:rPr>
        <w:t xml:space="preserve"> </w:t>
      </w:r>
      <w:r w:rsidRPr="00003D7C">
        <w:rPr>
          <w:rFonts w:ascii="Times New Roman" w:eastAsia="Times New Roman" w:hAnsi="Times New Roman" w:cs="Times New Roman"/>
          <w:sz w:val="24"/>
          <w:szCs w:val="24"/>
          <w:lang w:eastAsia="es-ES"/>
        </w:rPr>
        <w:t>(*).</w:t>
      </w:r>
    </w:p>
    <w:p w:rsidR="004C136B" w:rsidRPr="00003D7C" w:rsidRDefault="004C136B"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03D7C" w:rsidRPr="00003D7C" w:rsidRDefault="00003D7C" w:rsidP="00003D7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noProof/>
          <w:sz w:val="24"/>
          <w:szCs w:val="24"/>
          <w:lang w:eastAsia="es-ES"/>
        </w:rPr>
        <w:drawing>
          <wp:inline distT="0" distB="0" distL="0" distR="0" wp14:anchorId="6562600B" wp14:editId="0A0B7378">
            <wp:extent cx="5918200" cy="2387600"/>
            <wp:effectExtent l="0" t="0" r="6350" b="0"/>
            <wp:docPr id="646" name="Imagen 6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8200" cy="2387600"/>
                    </a:xfrm>
                    <a:prstGeom prst="rect">
                      <a:avLst/>
                    </a:prstGeom>
                    <a:noFill/>
                    <a:ln>
                      <a:noFill/>
                    </a:ln>
                  </pic:spPr>
                </pic:pic>
              </a:graphicData>
            </a:graphic>
          </wp:inline>
        </w:drawing>
      </w:r>
    </w:p>
    <w:p w:rsidR="00003D7C" w:rsidRPr="00003D7C" w:rsidRDefault="00003D7C" w:rsidP="00003D7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noProof/>
          <w:sz w:val="24"/>
          <w:szCs w:val="24"/>
          <w:lang w:eastAsia="es-ES"/>
        </w:rPr>
        <w:drawing>
          <wp:inline distT="0" distB="0" distL="0" distR="0" wp14:anchorId="74598487" wp14:editId="293E2941">
            <wp:extent cx="5689600" cy="2578100"/>
            <wp:effectExtent l="0" t="0" r="6350" b="0"/>
            <wp:docPr id="647" name="Imagen 6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89600" cy="2578100"/>
                    </a:xfrm>
                    <a:prstGeom prst="rect">
                      <a:avLst/>
                    </a:prstGeom>
                    <a:noFill/>
                    <a:ln>
                      <a:noFill/>
                    </a:ln>
                  </pic:spPr>
                </pic:pic>
              </a:graphicData>
            </a:graphic>
          </wp:inline>
        </w:drawing>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sz w:val="24"/>
          <w:szCs w:val="24"/>
          <w:lang w:eastAsia="es-ES"/>
        </w:rPr>
        <w:t>De igual modo, </w:t>
      </w:r>
      <w:r w:rsidRPr="00003D7C">
        <w:rPr>
          <w:rFonts w:ascii="Times New Roman" w:eastAsia="Times New Roman" w:hAnsi="Times New Roman" w:cs="Times New Roman"/>
          <w:bCs/>
          <w:sz w:val="24"/>
          <w:szCs w:val="24"/>
          <w:bdr w:val="none" w:sz="0" w:space="0" w:color="auto" w:frame="1"/>
          <w:lang w:eastAsia="es-ES"/>
        </w:rPr>
        <w:t>la crisis actual es el resultado del ciclo expansivo previo, durante el cual, el “veneno” de la expansión artificial del crédito fue inoculado en la economía</w:t>
      </w:r>
      <w:r w:rsidRPr="00003D7C">
        <w:rPr>
          <w:rFonts w:ascii="Times New Roman" w:eastAsia="Times New Roman" w:hAnsi="Times New Roman" w:cs="Times New Roman"/>
          <w:sz w:val="24"/>
          <w:szCs w:val="24"/>
          <w:lang w:eastAsia="es-ES"/>
        </w:rPr>
        <w:t> por los bancos centrales. Tras la crisis de 1992, la Reserva Federal se embarcó en una política monetaria expansiva sin precedentes desde los años previos al crack del 29, cuando hizo lo propio tras la recesión de 1920. Una expansión reforzada e intensificada en 2001 tras el 11/S. En consecuencia, durante el periodo 1993-2008, la oferta monetaria creció a ritmos superiores al 6% gracias a nuevos préstamos -sobre todo hipotecarios- a tipos excepcionalmente bajos e incluso negativos descontando la inflación, </w:t>
      </w:r>
      <w:r w:rsidRPr="00003D7C">
        <w:rPr>
          <w:rFonts w:ascii="Times New Roman" w:eastAsia="Times New Roman" w:hAnsi="Times New Roman" w:cs="Times New Roman"/>
          <w:bCs/>
          <w:sz w:val="24"/>
          <w:szCs w:val="24"/>
          <w:bdr w:val="none" w:sz="0" w:space="0" w:color="auto" w:frame="1"/>
          <w:lang w:eastAsia="es-ES"/>
        </w:rPr>
        <w:t>alimentando la burbuja inmobiliaria, pero también la inflación del precio de otros activos financieros y la proliferación de productos derivados complejos.</w:t>
      </w:r>
    </w:p>
    <w:p w:rsidR="00003D7C" w:rsidRPr="00003D7C" w:rsidRDefault="00003D7C" w:rsidP="00003D7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noProof/>
          <w:sz w:val="24"/>
          <w:szCs w:val="24"/>
          <w:lang w:eastAsia="es-ES"/>
        </w:rPr>
        <w:lastRenderedPageBreak/>
        <w:drawing>
          <wp:inline distT="0" distB="0" distL="0" distR="0" wp14:anchorId="50C15FFB" wp14:editId="258BF0F5">
            <wp:extent cx="5613400" cy="2108200"/>
            <wp:effectExtent l="0" t="0" r="6350" b="6350"/>
            <wp:docPr id="648" name="Imagen 6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3400" cy="2108200"/>
                    </a:xfrm>
                    <a:prstGeom prst="rect">
                      <a:avLst/>
                    </a:prstGeom>
                    <a:noFill/>
                    <a:ln>
                      <a:noFill/>
                    </a:ln>
                  </pic:spPr>
                </pic:pic>
              </a:graphicData>
            </a:graphic>
          </wp:inline>
        </w:drawing>
      </w:r>
    </w:p>
    <w:p w:rsidR="00003D7C" w:rsidRPr="00003D7C" w:rsidRDefault="00003D7C" w:rsidP="00003D7C">
      <w:pPr>
        <w:spacing w:after="0" w:line="240" w:lineRule="auto"/>
        <w:jc w:val="both"/>
        <w:rPr>
          <w:rFonts w:ascii="Times New Roman" w:eastAsia="Times New Roman" w:hAnsi="Times New Roman" w:cs="Times New Roman"/>
          <w:sz w:val="24"/>
          <w:szCs w:val="24"/>
          <w:lang w:eastAsia="es-ES"/>
        </w:rPr>
      </w:pPr>
    </w:p>
    <w:p w:rsidR="00003D7C" w:rsidRPr="00003D7C" w:rsidRDefault="00003D7C" w:rsidP="00003D7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noProof/>
          <w:sz w:val="24"/>
          <w:szCs w:val="24"/>
          <w:lang w:eastAsia="es-ES"/>
        </w:rPr>
        <w:drawing>
          <wp:inline distT="0" distB="0" distL="0" distR="0" wp14:anchorId="04A7B981" wp14:editId="31843CD1">
            <wp:extent cx="5670550" cy="2628900"/>
            <wp:effectExtent l="0" t="0" r="6350" b="0"/>
            <wp:docPr id="649" name="Imagen 6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0550" cy="2628900"/>
                    </a:xfrm>
                    <a:prstGeom prst="rect">
                      <a:avLst/>
                    </a:prstGeom>
                    <a:noFill/>
                    <a:ln>
                      <a:noFill/>
                    </a:ln>
                  </pic:spPr>
                </pic:pic>
              </a:graphicData>
            </a:graphic>
          </wp:inline>
        </w:drawing>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003D7C">
        <w:rPr>
          <w:rFonts w:ascii="Times New Roman" w:eastAsia="Times New Roman" w:hAnsi="Times New Roman" w:cs="Times New Roman"/>
          <w:bCs/>
          <w:sz w:val="24"/>
          <w:szCs w:val="24"/>
          <w:bdr w:val="none" w:sz="0" w:space="0" w:color="auto" w:frame="1"/>
          <w:lang w:eastAsia="es-ES"/>
        </w:rPr>
        <w:t>Transcurridos diez años, cabe preguntarse si hemos aprendido algo</w:t>
      </w:r>
      <w:r w:rsidRPr="00003D7C">
        <w:rPr>
          <w:rFonts w:ascii="Times New Roman" w:eastAsia="Times New Roman" w:hAnsi="Times New Roman" w:cs="Times New Roman"/>
          <w:sz w:val="24"/>
          <w:szCs w:val="24"/>
          <w:lang w:eastAsia="es-ES"/>
        </w:rPr>
        <w:t> durante la prolongada travesía por el desierto, ahora que empezamos a ver síntomas de recuperación. Sobre todo, necesitamos saber si hemos llegado al final estamos ante un mero espejismo. Porque </w:t>
      </w:r>
      <w:r w:rsidRPr="00003D7C">
        <w:rPr>
          <w:rFonts w:ascii="Times New Roman" w:eastAsia="Times New Roman" w:hAnsi="Times New Roman" w:cs="Times New Roman"/>
          <w:bCs/>
          <w:sz w:val="24"/>
          <w:szCs w:val="24"/>
          <w:bdr w:val="none" w:sz="0" w:space="0" w:color="auto" w:frame="1"/>
          <w:lang w:eastAsia="es-ES"/>
        </w:rPr>
        <w:t>la realidad es que hemos aprendido poco o nada de la Gran Recesión, ya que se ha tratado de combatir el problema de la crisis financiera y económica con las mismas medidas que causaron la anterior burbuja inmobiliaria</w:t>
      </w:r>
      <w:r w:rsidRPr="00003D7C">
        <w:rPr>
          <w:rFonts w:ascii="Times New Roman" w:eastAsia="Times New Roman" w:hAnsi="Times New Roman" w:cs="Times New Roman"/>
          <w:sz w:val="24"/>
          <w:szCs w:val="24"/>
          <w:lang w:eastAsia="es-ES"/>
        </w:rPr>
        <w:t>. Y es que las políticas monetarias ultra expansivas -tipos de interés negativos, inyecciones de liquidez, compras de activos por los bancos centrales- difícilmente pueden resolver una crisis que esas mismas políticas han contribuido a generar. </w:t>
      </w:r>
      <w:r w:rsidRPr="00003D7C">
        <w:rPr>
          <w:rFonts w:ascii="Times New Roman" w:eastAsia="Times New Roman" w:hAnsi="Times New Roman" w:cs="Times New Roman"/>
          <w:bCs/>
          <w:sz w:val="24"/>
          <w:szCs w:val="24"/>
          <w:bdr w:val="none" w:sz="0" w:space="0" w:color="auto" w:frame="1"/>
          <w:lang w:eastAsia="es-ES"/>
        </w:rPr>
        <w:t>Hemos utilizado como antídoto el mismo veneno pero en dosis incrementadas.</w:t>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sz w:val="24"/>
          <w:szCs w:val="24"/>
          <w:lang w:eastAsia="es-ES"/>
        </w:rPr>
        <w:t>Antes bien, </w:t>
      </w:r>
      <w:r w:rsidRPr="00003D7C">
        <w:rPr>
          <w:rFonts w:ascii="Times New Roman" w:eastAsia="Times New Roman" w:hAnsi="Times New Roman" w:cs="Times New Roman"/>
          <w:bCs/>
          <w:sz w:val="24"/>
          <w:szCs w:val="24"/>
          <w:bdr w:val="none" w:sz="0" w:space="0" w:color="auto" w:frame="1"/>
          <w:lang w:eastAsia="es-ES"/>
        </w:rPr>
        <w:t>seguramente lo único que se haya logrado sea retrasar solución natural de los graves desequilibrios económicos</w:t>
      </w:r>
      <w:r w:rsidRPr="00003D7C">
        <w:rPr>
          <w:rFonts w:ascii="Times New Roman" w:eastAsia="Times New Roman" w:hAnsi="Times New Roman" w:cs="Times New Roman"/>
          <w:sz w:val="24"/>
          <w:szCs w:val="24"/>
          <w:lang w:eastAsia="es-ES"/>
        </w:rPr>
        <w:t> generados por el exceso de endeudamiento previo, retrasando innecesariamente el ajuste requerido para liquidar las inversiones erróneas y reasignar los recursos productivos allí donde realmente se necesitan. Muy al contrario, </w:t>
      </w:r>
      <w:hyperlink r:id="rId29" w:history="1">
        <w:r w:rsidRPr="00003D7C">
          <w:rPr>
            <w:rFonts w:ascii="Times New Roman" w:eastAsia="Times New Roman" w:hAnsi="Times New Roman" w:cs="Times New Roman"/>
            <w:bCs/>
            <w:sz w:val="24"/>
            <w:szCs w:val="24"/>
            <w:lang w:eastAsia="es-ES"/>
          </w:rPr>
          <w:t>estas políticas han generado una burbuja mucho mayor</w:t>
        </w:r>
      </w:hyperlink>
      <w:r w:rsidRPr="00003D7C">
        <w:rPr>
          <w:rFonts w:ascii="Times New Roman" w:eastAsia="Times New Roman" w:hAnsi="Times New Roman" w:cs="Times New Roman"/>
          <w:sz w:val="24"/>
          <w:szCs w:val="24"/>
          <w:lang w:eastAsia="es-ES"/>
        </w:rPr>
        <w:t> que la anterior en otra categoría de activos: los activos financieros, es decir, bonos y renta variable. Y todo ello </w:t>
      </w:r>
      <w:r w:rsidRPr="00003D7C">
        <w:rPr>
          <w:rFonts w:ascii="Times New Roman" w:eastAsia="Times New Roman" w:hAnsi="Times New Roman" w:cs="Times New Roman"/>
          <w:bCs/>
          <w:sz w:val="24"/>
          <w:szCs w:val="24"/>
          <w:bdr w:val="none" w:sz="0" w:space="0" w:color="auto" w:frame="1"/>
          <w:lang w:eastAsia="es-ES"/>
        </w:rPr>
        <w:t>con un nivel de endeudamiento muy superior al de partida, cuando arrancó la crisis en 2007</w:t>
      </w:r>
      <w:r w:rsidRPr="00003D7C">
        <w:rPr>
          <w:rFonts w:ascii="Times New Roman" w:eastAsia="Times New Roman" w:hAnsi="Times New Roman" w:cs="Times New Roman"/>
          <w:sz w:val="24"/>
          <w:szCs w:val="24"/>
          <w:lang w:eastAsia="es-ES"/>
        </w:rPr>
        <w:t>, tras haberle añadido un 100% extra del PIB (gráfico vía </w:t>
      </w:r>
      <w:hyperlink r:id="rId30" w:history="1">
        <w:r w:rsidRPr="00003D7C">
          <w:rPr>
            <w:rFonts w:ascii="Times New Roman" w:eastAsia="Times New Roman" w:hAnsi="Times New Roman" w:cs="Times New Roman"/>
            <w:bCs/>
            <w:sz w:val="24"/>
            <w:szCs w:val="24"/>
            <w:lang w:eastAsia="es-ES"/>
          </w:rPr>
          <w:t>ZeroHedge</w:t>
        </w:r>
      </w:hyperlink>
      <w:r w:rsidRPr="00003D7C">
        <w:rPr>
          <w:rFonts w:ascii="Times New Roman" w:eastAsia="Times New Roman" w:hAnsi="Times New Roman" w:cs="Times New Roman"/>
          <w:sz w:val="24"/>
          <w:szCs w:val="24"/>
          <w:lang w:eastAsia="es-ES"/>
        </w:rPr>
        <w:t>).</w:t>
      </w:r>
    </w:p>
    <w:p w:rsidR="00003D7C" w:rsidRPr="00003D7C" w:rsidRDefault="00003D7C" w:rsidP="00003D7C">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noProof/>
          <w:sz w:val="24"/>
          <w:szCs w:val="24"/>
          <w:lang w:eastAsia="es-ES"/>
        </w:rPr>
        <w:lastRenderedPageBreak/>
        <w:drawing>
          <wp:inline distT="0" distB="0" distL="0" distR="0" wp14:anchorId="391DE52F" wp14:editId="4AEE0BF3">
            <wp:extent cx="5702300" cy="2851150"/>
            <wp:effectExtent l="0" t="0" r="0" b="6350"/>
            <wp:docPr id="650" name="Imagen 6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02300" cy="2851150"/>
                    </a:xfrm>
                    <a:prstGeom prst="rect">
                      <a:avLst/>
                    </a:prstGeom>
                    <a:noFill/>
                    <a:ln>
                      <a:noFill/>
                    </a:ln>
                  </pic:spPr>
                </pic:pic>
              </a:graphicData>
            </a:graphic>
          </wp:inline>
        </w:drawing>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sz w:val="24"/>
          <w:szCs w:val="24"/>
          <w:lang w:eastAsia="es-ES"/>
        </w:rPr>
        <w:t>Porque </w:t>
      </w:r>
      <w:r w:rsidRPr="00003D7C">
        <w:rPr>
          <w:rFonts w:ascii="Times New Roman" w:eastAsia="Times New Roman" w:hAnsi="Times New Roman" w:cs="Times New Roman"/>
          <w:bCs/>
          <w:sz w:val="24"/>
          <w:szCs w:val="24"/>
          <w:bdr w:val="none" w:sz="0" w:space="0" w:color="auto" w:frame="1"/>
          <w:lang w:eastAsia="es-ES"/>
        </w:rPr>
        <w:t>todo el dinero que los bancos centrales han “impreso” (en sentido figurado) en estos últimos diez años no ha ido a parar a la economía real</w:t>
      </w:r>
      <w:r w:rsidRPr="00003D7C">
        <w:rPr>
          <w:rFonts w:ascii="Times New Roman" w:eastAsia="Times New Roman" w:hAnsi="Times New Roman" w:cs="Times New Roman"/>
          <w:sz w:val="24"/>
          <w:szCs w:val="24"/>
          <w:lang w:eastAsia="es-ES"/>
        </w:rPr>
        <w:t>, sino que se ha canalizado hacia los mercados financieros -bonos, acciones, derivados- </w:t>
      </w:r>
      <w:r w:rsidRPr="00003D7C">
        <w:rPr>
          <w:rFonts w:ascii="Times New Roman" w:eastAsia="Times New Roman" w:hAnsi="Times New Roman" w:cs="Times New Roman"/>
          <w:bCs/>
          <w:sz w:val="24"/>
          <w:szCs w:val="24"/>
          <w:bdr w:val="none" w:sz="0" w:space="0" w:color="auto" w:frame="1"/>
          <w:lang w:eastAsia="es-ES"/>
        </w:rPr>
        <w:t>sin generar ningún impacto tangible en la estructura productiva en términos de nuevas inversiones</w:t>
      </w:r>
      <w:r w:rsidRPr="00003D7C">
        <w:rPr>
          <w:rFonts w:ascii="Times New Roman" w:eastAsia="Times New Roman" w:hAnsi="Times New Roman" w:cs="Times New Roman"/>
          <w:sz w:val="24"/>
          <w:szCs w:val="24"/>
          <w:lang w:eastAsia="es-ES"/>
        </w:rPr>
        <w:t>. En el ámbito privado, el nuevo dinero creado de la nada por los bancos centrales ha ido a parar en su mayoría a la refinanciación de deudas adquiridas en la fase de boom anterior, o bien a la recompra de acciones aprovechando los bajos tipos de interés. Es decir, muy poco de ese dinero se ha empleado en financiar nuevas inversiones que alimenten una recuperación sana de la productividad.</w:t>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sz w:val="24"/>
          <w:szCs w:val="24"/>
          <w:lang w:eastAsia="es-ES"/>
        </w:rPr>
        <w:t>Por otro lado, en el ámbito público, </w:t>
      </w:r>
      <w:r w:rsidRPr="00003D7C">
        <w:rPr>
          <w:rFonts w:ascii="Times New Roman" w:eastAsia="Times New Roman" w:hAnsi="Times New Roman" w:cs="Times New Roman"/>
          <w:bCs/>
          <w:sz w:val="24"/>
          <w:szCs w:val="24"/>
          <w:bdr w:val="none" w:sz="0" w:space="0" w:color="auto" w:frame="1"/>
          <w:lang w:eastAsia="es-ES"/>
        </w:rPr>
        <w:t xml:space="preserve">la inyección monetaria de los bancos centrales se ha utilizado, indirectamente a través de los bancos, para financiar </w:t>
      </w:r>
      <w:r w:rsidR="00DC73AB" w:rsidRPr="00003D7C">
        <w:rPr>
          <w:rFonts w:ascii="Times New Roman" w:eastAsia="Times New Roman" w:hAnsi="Times New Roman" w:cs="Times New Roman"/>
          <w:bCs/>
          <w:sz w:val="24"/>
          <w:szCs w:val="24"/>
          <w:bdr w:val="none" w:sz="0" w:space="0" w:color="auto" w:frame="1"/>
          <w:lang w:eastAsia="es-ES"/>
        </w:rPr>
        <w:t>el importante déficit fiscal</w:t>
      </w:r>
      <w:r w:rsidRPr="00003D7C">
        <w:rPr>
          <w:rFonts w:ascii="Times New Roman" w:eastAsia="Times New Roman" w:hAnsi="Times New Roman" w:cs="Times New Roman"/>
          <w:bCs/>
          <w:sz w:val="24"/>
          <w:szCs w:val="24"/>
          <w:bdr w:val="none" w:sz="0" w:space="0" w:color="auto" w:frame="1"/>
          <w:lang w:eastAsia="es-ES"/>
        </w:rPr>
        <w:t xml:space="preserve"> de los países desarrollados</w:t>
      </w:r>
      <w:r w:rsidRPr="00003D7C">
        <w:rPr>
          <w:rFonts w:ascii="Times New Roman" w:eastAsia="Times New Roman" w:hAnsi="Times New Roman" w:cs="Times New Roman"/>
          <w:sz w:val="24"/>
          <w:szCs w:val="24"/>
          <w:lang w:eastAsia="es-ES"/>
        </w:rPr>
        <w:t>, cuyos gobiernos han perdido todo incentivo para ajustar sus presupuestos a la disponibilidad real de recursos, haciendo las reformas necesarias. Por tanto, todo ese dinero no ha contribuido a aumentar inversiones productivas, ni siquiera en infraestructuras públicas, sino más bien a financiar gasto corriente casi exclusivamente. De ahí que el crecimiento estos años haya sido exiguo y, </w:t>
      </w:r>
      <w:hyperlink r:id="rId32" w:history="1">
        <w:r w:rsidRPr="00003D7C">
          <w:rPr>
            <w:rFonts w:ascii="Times New Roman" w:eastAsia="Times New Roman" w:hAnsi="Times New Roman" w:cs="Times New Roman"/>
            <w:bCs/>
            <w:sz w:val="24"/>
            <w:szCs w:val="24"/>
            <w:lang w:eastAsia="es-ES"/>
          </w:rPr>
          <w:t>la productividad, como el mismo Banco de Pagos Internacionales (BIS) alertó hace un par de años ha venido decreciendo</w:t>
        </w:r>
      </w:hyperlink>
      <w:r w:rsidRPr="00003D7C">
        <w:rPr>
          <w:rFonts w:ascii="Times New Roman" w:eastAsia="Times New Roman" w:hAnsi="Times New Roman" w:cs="Times New Roman"/>
          <w:sz w:val="24"/>
          <w:szCs w:val="24"/>
          <w:lang w:eastAsia="es-ES"/>
        </w:rPr>
        <w:t>, al tiempo que </w:t>
      </w:r>
      <w:hyperlink r:id="rId33" w:history="1">
        <w:r w:rsidRPr="00003D7C">
          <w:rPr>
            <w:rFonts w:ascii="Times New Roman" w:eastAsia="Times New Roman" w:hAnsi="Times New Roman" w:cs="Times New Roman"/>
            <w:bCs/>
            <w:sz w:val="24"/>
            <w:szCs w:val="24"/>
            <w:lang w:eastAsia="es-ES"/>
          </w:rPr>
          <w:t>ha aumentado la desigualdad</w:t>
        </w:r>
      </w:hyperlink>
      <w:r w:rsidRPr="00003D7C">
        <w:rPr>
          <w:rFonts w:ascii="Times New Roman" w:eastAsia="Times New Roman" w:hAnsi="Times New Roman" w:cs="Times New Roman"/>
          <w:sz w:val="24"/>
          <w:szCs w:val="24"/>
          <w:lang w:eastAsia="es-ES"/>
        </w:rPr>
        <w:t>.</w:t>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03D7C">
        <w:rPr>
          <w:rFonts w:ascii="Times New Roman" w:eastAsia="Times New Roman" w:hAnsi="Times New Roman" w:cs="Times New Roman"/>
          <w:sz w:val="24"/>
          <w:szCs w:val="24"/>
          <w:lang w:eastAsia="es-ES"/>
        </w:rPr>
        <w:t>Por todo ello, es más que probable que, sin ser conscientes de ello, por las arterias de la economía esté circulando ya el veneno de la próxima crisis. Por lo que </w:t>
      </w:r>
      <w:r w:rsidRPr="00003D7C">
        <w:rPr>
          <w:rFonts w:ascii="Times New Roman" w:eastAsia="Times New Roman" w:hAnsi="Times New Roman" w:cs="Times New Roman"/>
          <w:bCs/>
          <w:sz w:val="24"/>
          <w:szCs w:val="24"/>
          <w:bdr w:val="none" w:sz="0" w:space="0" w:color="auto" w:frame="1"/>
          <w:lang w:eastAsia="es-ES"/>
        </w:rPr>
        <w:t>no cabe sino recomendar prudencia, aun teniendo una sana esperanza en la recuperación económica.</w:t>
      </w:r>
    </w:p>
    <w:p w:rsidR="00003D7C" w:rsidRP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03D7C" w:rsidRDefault="00003D7C" w:rsidP="00003D7C">
      <w:pPr>
        <w:shd w:val="clear" w:color="auto" w:fill="FFFFFF"/>
        <w:spacing w:after="0" w:line="240" w:lineRule="auto"/>
        <w:jc w:val="both"/>
        <w:textAlignment w:val="baseline"/>
        <w:rPr>
          <w:rFonts w:ascii="Times New Roman" w:eastAsia="Times New Roman" w:hAnsi="Times New Roman" w:cs="Times New Roman"/>
          <w:sz w:val="24"/>
          <w:szCs w:val="24"/>
          <w:lang w:val="en-GB" w:eastAsia="es-ES"/>
        </w:rPr>
      </w:pPr>
      <w:r w:rsidRPr="00003D7C">
        <w:rPr>
          <w:rFonts w:ascii="Times New Roman" w:eastAsia="Times New Roman" w:hAnsi="Times New Roman" w:cs="Times New Roman"/>
          <w:sz w:val="24"/>
          <w:szCs w:val="24"/>
          <w:lang w:val="en-GB" w:eastAsia="es-ES"/>
        </w:rPr>
        <w:t>(*) Murray N. Rothbard, America’s Great Depression y Lionel Robbins, The Great Depression, ambos descargables gratuitamente en el Mises Institute.</w:t>
      </w:r>
    </w:p>
    <w:p w:rsidR="00754EC9" w:rsidRDefault="00754EC9" w:rsidP="00003D7C">
      <w:pPr>
        <w:shd w:val="clear" w:color="auto" w:fill="FFFFFF"/>
        <w:spacing w:after="0" w:line="240" w:lineRule="auto"/>
        <w:jc w:val="both"/>
        <w:textAlignment w:val="baseline"/>
        <w:rPr>
          <w:rFonts w:ascii="Times New Roman" w:eastAsia="Times New Roman" w:hAnsi="Times New Roman" w:cs="Times New Roman"/>
          <w:sz w:val="24"/>
          <w:szCs w:val="24"/>
          <w:lang w:val="en-GB" w:eastAsia="es-ES"/>
        </w:rPr>
      </w:pPr>
    </w:p>
    <w:p w:rsidR="00754EC9" w:rsidRDefault="00754EC9" w:rsidP="00754EC9">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754EC9">
        <w:rPr>
          <w:rFonts w:ascii="Times New Roman" w:hAnsi="Times New Roman" w:cs="Times New Roman"/>
          <w:i/>
          <w:sz w:val="24"/>
          <w:szCs w:val="24"/>
        </w:rPr>
        <w:t>Los inversores globales están preocupados ante las especulaciones que apuntan al posible fin de los planes de estímulos del BCE. Sin embargo, otro aspecto de su experimento de compra de bonos que dura ya más de dos años empieza a acaparar la atención</w:t>
      </w:r>
      <w:r>
        <w:rPr>
          <w:rFonts w:ascii="Times New Roman" w:hAnsi="Times New Roman" w:cs="Times New Roman"/>
          <w:i/>
          <w:sz w:val="24"/>
          <w:szCs w:val="24"/>
        </w:rPr>
        <w:t>”..</w:t>
      </w:r>
      <w:r w:rsidRPr="00754EC9">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u w:val="single"/>
        </w:rPr>
        <w:t>Los “estímulos silenciosos”</w:t>
      </w:r>
      <w:r w:rsidRPr="008617F3">
        <w:rPr>
          <w:rFonts w:ascii="Times New Roman" w:hAnsi="Times New Roman" w:cs="Times New Roman"/>
          <w:sz w:val="24"/>
          <w:szCs w:val="24"/>
          <w:u w:val="single"/>
        </w:rPr>
        <w:t xml:space="preserve"> del BCE para la eurozona</w:t>
      </w:r>
      <w:r>
        <w:rPr>
          <w:rFonts w:ascii="Times New Roman" w:hAnsi="Times New Roman" w:cs="Times New Roman"/>
          <w:sz w:val="24"/>
          <w:szCs w:val="24"/>
        </w:rPr>
        <w:t xml:space="preserve"> (Expansión - Financial Times - </w:t>
      </w:r>
      <w:r w:rsidRPr="008617F3">
        <w:rPr>
          <w:rFonts w:ascii="Times New Roman" w:hAnsi="Times New Roman" w:cs="Times New Roman"/>
          <w:b/>
          <w:sz w:val="24"/>
          <w:szCs w:val="24"/>
        </w:rPr>
        <w:t>4/8/17</w:t>
      </w:r>
      <w:r>
        <w:rPr>
          <w:rFonts w:ascii="Times New Roman" w:hAnsi="Times New Roman" w:cs="Times New Roman"/>
          <w:sz w:val="24"/>
          <w:szCs w:val="24"/>
        </w:rPr>
        <w:t>)</w:t>
      </w:r>
    </w:p>
    <w:p w:rsidR="00754EC9" w:rsidRPr="00754EC9" w:rsidRDefault="00754EC9" w:rsidP="00754EC9">
      <w:pPr>
        <w:spacing w:line="240" w:lineRule="auto"/>
        <w:jc w:val="both"/>
        <w:rPr>
          <w:rFonts w:ascii="Times New Roman" w:hAnsi="Times New Roman" w:cs="Times New Roman"/>
          <w:i/>
          <w:sz w:val="24"/>
          <w:szCs w:val="24"/>
        </w:rPr>
      </w:pPr>
    </w:p>
    <w:p w:rsidR="00754EC9" w:rsidRPr="00754EC9" w:rsidRDefault="00754EC9" w:rsidP="00754EC9">
      <w:pPr>
        <w:spacing w:line="240" w:lineRule="auto"/>
        <w:jc w:val="both"/>
        <w:rPr>
          <w:rFonts w:ascii="Times New Roman" w:hAnsi="Times New Roman" w:cs="Times New Roman"/>
          <w:sz w:val="24"/>
          <w:szCs w:val="24"/>
        </w:rPr>
      </w:pPr>
      <w:r w:rsidRPr="00754EC9">
        <w:rPr>
          <w:rFonts w:ascii="Times New Roman" w:hAnsi="Times New Roman" w:cs="Times New Roman"/>
          <w:sz w:val="24"/>
          <w:szCs w:val="24"/>
        </w:rPr>
        <w:lastRenderedPageBreak/>
        <w:t>Siguiendo con su programa de relajación cuantitativa (QE), en marzo el BCE comenzó a reinvertir todo su balance (4,2 billones) de deuda a vencimiento en el mercado de deuda de la eurozona. Este proceso se acelerará en los próximos meses y años, a medida que la deuda del BCE vaya venciendo. Según cálculos de Nordea Bank, las reinversiones superarán los 120.000 millones de euros el próximo año, lo que aumenta la presencia de la autoridad monetaria en los mercados de deuda de la eurozona, tras la retirada formal de su programa de QE. Esta política mantendrá controlada la rentabilidad de los bonos, mientras los costes de la deuda seguirán siendo una importante fuente de apoyo para la economía, las acciones y otros tipos de deuda más arriesgados.</w:t>
      </w:r>
    </w:p>
    <w:p w:rsidR="00754EC9" w:rsidRPr="00754EC9" w:rsidRDefault="00754EC9" w:rsidP="00754EC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54EC9">
        <w:rPr>
          <w:rFonts w:ascii="Times New Roman" w:hAnsi="Times New Roman" w:cs="Times New Roman"/>
          <w:sz w:val="24"/>
          <w:szCs w:val="24"/>
        </w:rPr>
        <w:t xml:space="preserve">La reinversión es una medida de estímulo encubierta que los </w:t>
      </w:r>
      <w:r>
        <w:rPr>
          <w:rFonts w:ascii="Times New Roman" w:hAnsi="Times New Roman" w:cs="Times New Roman"/>
          <w:sz w:val="24"/>
          <w:szCs w:val="24"/>
        </w:rPr>
        <w:t>mercados no deberían subestimar”</w:t>
      </w:r>
      <w:r w:rsidRPr="00754EC9">
        <w:rPr>
          <w:rFonts w:ascii="Times New Roman" w:hAnsi="Times New Roman" w:cs="Times New Roman"/>
          <w:sz w:val="24"/>
          <w:szCs w:val="24"/>
        </w:rPr>
        <w:t>, opina Piet Christiansen, estratega de Nordea.</w:t>
      </w:r>
    </w:p>
    <w:p w:rsidR="00754EC9" w:rsidRPr="00754EC9" w:rsidRDefault="00754EC9" w:rsidP="00754EC9">
      <w:pPr>
        <w:spacing w:line="240" w:lineRule="auto"/>
        <w:jc w:val="both"/>
        <w:rPr>
          <w:rFonts w:ascii="Times New Roman" w:hAnsi="Times New Roman" w:cs="Times New Roman"/>
          <w:sz w:val="24"/>
          <w:szCs w:val="24"/>
        </w:rPr>
      </w:pPr>
      <w:r w:rsidRPr="00754EC9">
        <w:rPr>
          <w:rFonts w:ascii="Times New Roman" w:hAnsi="Times New Roman" w:cs="Times New Roman"/>
          <w:sz w:val="24"/>
          <w:szCs w:val="24"/>
        </w:rPr>
        <w:t>Los planes de reinversión del BCE son similares a los programas de QE de EEUU y Reino Unido, donde la rentabilidad de los bonos del Tesoro a largo plazo sigue siendo baja. Tras detener las compras de deuda en octubre de 2014, la Fed siguió reinvirtiendo las ganancias de la deuda de su balance.</w:t>
      </w:r>
    </w:p>
    <w:p w:rsidR="00754EC9" w:rsidRPr="00754EC9" w:rsidRDefault="00754EC9" w:rsidP="00754EC9">
      <w:pPr>
        <w:spacing w:line="240" w:lineRule="auto"/>
        <w:jc w:val="both"/>
        <w:rPr>
          <w:rFonts w:ascii="Times New Roman" w:hAnsi="Times New Roman" w:cs="Times New Roman"/>
          <w:sz w:val="24"/>
          <w:szCs w:val="24"/>
        </w:rPr>
      </w:pPr>
      <w:r w:rsidRPr="00754EC9">
        <w:rPr>
          <w:rFonts w:ascii="Times New Roman" w:hAnsi="Times New Roman" w:cs="Times New Roman"/>
          <w:sz w:val="24"/>
          <w:szCs w:val="24"/>
        </w:rPr>
        <w:t>No obstante, para los inversores hay diferencias importantes entre los bancos centrales de la eurozona y EEUU sobre la forma en la que funciona el reciclado de la deuda a vencimiento. La que más destaca es la falta de detalles que aporta el BCE sobre el destino que tendrá el dinero.</w:t>
      </w:r>
    </w:p>
    <w:p w:rsidR="00754EC9" w:rsidRPr="00754EC9" w:rsidRDefault="00754EC9" w:rsidP="00754EC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54EC9">
        <w:rPr>
          <w:rFonts w:ascii="Times New Roman" w:hAnsi="Times New Roman" w:cs="Times New Roman"/>
          <w:sz w:val="24"/>
          <w:szCs w:val="24"/>
        </w:rPr>
        <w:t>No sabemos con exactitud la forma en la que el BCE l</w:t>
      </w:r>
      <w:r>
        <w:rPr>
          <w:rFonts w:ascii="Times New Roman" w:hAnsi="Times New Roman" w:cs="Times New Roman"/>
          <w:sz w:val="24"/>
          <w:szCs w:val="24"/>
        </w:rPr>
        <w:t>levará a cabo sus reinversiones”</w:t>
      </w:r>
      <w:r w:rsidRPr="00754EC9">
        <w:rPr>
          <w:rFonts w:ascii="Times New Roman" w:hAnsi="Times New Roman" w:cs="Times New Roman"/>
          <w:sz w:val="24"/>
          <w:szCs w:val="24"/>
        </w:rPr>
        <w:t>, reconoce Louis Harreau,</w:t>
      </w:r>
      <w:r>
        <w:rPr>
          <w:rFonts w:ascii="Times New Roman" w:hAnsi="Times New Roman" w:cs="Times New Roman"/>
          <w:sz w:val="24"/>
          <w:szCs w:val="24"/>
        </w:rPr>
        <w:t xml:space="preserve"> estratega de Crédit Agricole. “</w:t>
      </w:r>
      <w:r w:rsidRPr="00754EC9">
        <w:rPr>
          <w:rFonts w:ascii="Times New Roman" w:hAnsi="Times New Roman" w:cs="Times New Roman"/>
          <w:sz w:val="24"/>
          <w:szCs w:val="24"/>
        </w:rPr>
        <w:t>Una consecuencia de la falta de información es que el asunto ha escapado a la atención de los inversores en deuda, obsesionados con la posibilidad de que el BCE anuncie más estímulos de compras</w:t>
      </w:r>
      <w:r>
        <w:rPr>
          <w:rFonts w:ascii="Times New Roman" w:hAnsi="Times New Roman" w:cs="Times New Roman"/>
          <w:sz w:val="24"/>
          <w:szCs w:val="24"/>
        </w:rPr>
        <w:t xml:space="preserve"> de bonos a finales de este año”</w:t>
      </w:r>
      <w:r w:rsidRPr="00754EC9">
        <w:rPr>
          <w:rFonts w:ascii="Times New Roman" w:hAnsi="Times New Roman" w:cs="Times New Roman"/>
          <w:sz w:val="24"/>
          <w:szCs w:val="24"/>
        </w:rPr>
        <w:t>, añade Christiansen de Nordea.</w:t>
      </w:r>
    </w:p>
    <w:p w:rsidR="00754EC9" w:rsidRDefault="00754EC9" w:rsidP="00754EC9">
      <w:pPr>
        <w:spacing w:line="240" w:lineRule="auto"/>
        <w:jc w:val="both"/>
        <w:rPr>
          <w:rFonts w:ascii="Times New Roman" w:hAnsi="Times New Roman" w:cs="Times New Roman"/>
          <w:sz w:val="24"/>
          <w:szCs w:val="24"/>
        </w:rPr>
      </w:pPr>
      <w:r w:rsidRPr="00754EC9">
        <w:rPr>
          <w:rFonts w:ascii="Times New Roman" w:hAnsi="Times New Roman" w:cs="Times New Roman"/>
          <w:sz w:val="24"/>
          <w:szCs w:val="24"/>
        </w:rPr>
        <w:t>Cuando dio a conocer por primera vez su programa de reinversiones en diciembre de 2015, el presidente del BCE, Mario Draghi, aseguró que garantizaría la</w:t>
      </w:r>
      <w:r>
        <w:rPr>
          <w:rFonts w:ascii="Times New Roman" w:hAnsi="Times New Roman" w:cs="Times New Roman"/>
          <w:sz w:val="24"/>
          <w:szCs w:val="24"/>
        </w:rPr>
        <w:t>s condiciones para que hubiera “</w:t>
      </w:r>
      <w:r w:rsidRPr="00754EC9">
        <w:rPr>
          <w:rFonts w:ascii="Times New Roman" w:hAnsi="Times New Roman" w:cs="Times New Roman"/>
          <w:sz w:val="24"/>
          <w:szCs w:val="24"/>
        </w:rPr>
        <w:t>abundante liqui</w:t>
      </w:r>
      <w:r>
        <w:rPr>
          <w:rFonts w:ascii="Times New Roman" w:hAnsi="Times New Roman" w:cs="Times New Roman"/>
          <w:sz w:val="24"/>
          <w:szCs w:val="24"/>
        </w:rPr>
        <w:t>dez durante mucho, mucho tiempo”</w:t>
      </w:r>
      <w:r w:rsidRPr="00754EC9">
        <w:rPr>
          <w:rFonts w:ascii="Times New Roman" w:hAnsi="Times New Roman" w:cs="Times New Roman"/>
          <w:sz w:val="24"/>
          <w:szCs w:val="24"/>
        </w:rPr>
        <w:t>. Según cálculos de Crédit Agricole, las reinversiones alcanzarán un máximo de 212.000 millones de euros en 2019 y otro en 2023. Para entonces, los mercados esperan que el BCE esté inmerso en el ciclo de ajustes de los tipos de interés después de que las compras de bonos comiencen a perder fuerza a finales de 2018. Con independencia de cuáles sean las políticas que se lleven a cabo, los inversores harían bien en prestar atención a las declaraciones de Draghi, que asegura que la retirada de los estímulos será siempre gradual. En EEUU creen que se seguirá hablando de los estímulos monetarios de la eurozona mucho después del final de la QE.</w:t>
      </w:r>
    </w:p>
    <w:p w:rsidR="00754EC9" w:rsidRDefault="00754EC9" w:rsidP="00754EC9">
      <w:pPr>
        <w:spacing w:line="240" w:lineRule="auto"/>
        <w:jc w:val="both"/>
        <w:rPr>
          <w:rFonts w:ascii="Times New Roman" w:hAnsi="Times New Roman" w:cs="Times New Roman"/>
          <w:sz w:val="24"/>
          <w:szCs w:val="24"/>
        </w:rPr>
      </w:pPr>
      <w:r w:rsidRPr="00754EC9">
        <w:rPr>
          <w:rFonts w:ascii="Times New Roman" w:hAnsi="Times New Roman" w:cs="Times New Roman"/>
          <w:i/>
          <w:sz w:val="24"/>
          <w:szCs w:val="24"/>
        </w:rPr>
        <w:t xml:space="preserve">“No hace mucho, el Parlamento Europeo publicó un informe donde se reflexionaba, en base a una gran cantidad de información, sobre el problema de la precarización del empleo en Europa. Lo que en dicho informe se observa es que el problema de la precarización del empleo no solo se circunscribe al ámbito español. Así, en el gráfico que les muestro a continuación pueden observar los niveles de precariedad para un grupo de países en los años 2008 y 2016 (publicado por la OIT y definido como time-related </w:t>
      </w:r>
      <w:r w:rsidR="00DC73AB" w:rsidRPr="00754EC9">
        <w:rPr>
          <w:rFonts w:ascii="Times New Roman" w:hAnsi="Times New Roman" w:cs="Times New Roman"/>
          <w:i/>
          <w:sz w:val="24"/>
          <w:szCs w:val="24"/>
        </w:rPr>
        <w:t>underemployment)</w:t>
      </w:r>
      <w:r w:rsidRPr="00754EC9">
        <w:rPr>
          <w:rFonts w:ascii="Times New Roman" w:hAnsi="Times New Roman" w:cs="Times New Roman"/>
          <w:i/>
          <w:sz w:val="24"/>
          <w:szCs w:val="24"/>
        </w:rPr>
        <w:t>. Pueden comprobar que existe una línea diagonal que corta en dos partes similares el cuadrado donde se representan los datos. Si el punto se sitúa en la parte superior significa que la precariedad laboral era mayor en 2016 que en 2008 en el país correspondiente. Lo que se observa es que esta precariedad ha aumentado en gran parte de los países representados. España es solo un caso más de una tendencia global”...</w:t>
      </w:r>
      <w:r w:rsidRPr="00754EC9">
        <w:rPr>
          <w:rFonts w:ascii="Times New Roman" w:hAnsi="Times New Roman" w:cs="Times New Roman"/>
          <w:sz w:val="24"/>
          <w:szCs w:val="24"/>
        </w:rPr>
        <w:t xml:space="preserve"> </w:t>
      </w:r>
      <w:r w:rsidRPr="004C136B">
        <w:rPr>
          <w:rFonts w:ascii="Times New Roman" w:hAnsi="Times New Roman" w:cs="Times New Roman"/>
          <w:sz w:val="24"/>
          <w:szCs w:val="24"/>
          <w:u w:val="single"/>
        </w:rPr>
        <w:t>La precariedad laboral no es solo patrimonio español</w:t>
      </w:r>
      <w:r w:rsidRPr="00754EC9">
        <w:rPr>
          <w:rFonts w:ascii="Times New Roman" w:hAnsi="Times New Roman" w:cs="Times New Roman"/>
          <w:sz w:val="24"/>
          <w:szCs w:val="24"/>
        </w:rPr>
        <w:t xml:space="preserve"> (Vozpópuli - 4/8/17)</w:t>
      </w:r>
    </w:p>
    <w:p w:rsidR="00754EC9" w:rsidRPr="00754EC9" w:rsidRDefault="00754EC9" w:rsidP="00754EC9">
      <w:pPr>
        <w:spacing w:line="240" w:lineRule="auto"/>
        <w:jc w:val="both"/>
        <w:rPr>
          <w:rFonts w:ascii="Times New Roman" w:hAnsi="Times New Roman" w:cs="Times New Roman"/>
          <w:sz w:val="24"/>
          <w:szCs w:val="24"/>
        </w:rPr>
      </w:pPr>
      <w:r w:rsidRPr="00D57EE6">
        <w:rPr>
          <w:rFonts w:ascii="Times New Roman" w:hAnsi="Times New Roman" w:cs="Times New Roman"/>
          <w:noProof/>
          <w:color w:val="000000"/>
          <w:sz w:val="24"/>
          <w:szCs w:val="24"/>
          <w:lang w:eastAsia="es-ES"/>
        </w:rPr>
        <w:lastRenderedPageBreak/>
        <w:drawing>
          <wp:inline distT="0" distB="0" distL="0" distR="0" wp14:anchorId="294D34E2" wp14:editId="11F28025">
            <wp:extent cx="5467350" cy="3695700"/>
            <wp:effectExtent l="0" t="0" r="0" b="0"/>
            <wp:docPr id="10" name="Imagen 10"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67350" cy="3695700"/>
                    </a:xfrm>
                    <a:prstGeom prst="rect">
                      <a:avLst/>
                    </a:prstGeom>
                    <a:noFill/>
                    <a:ln>
                      <a:noFill/>
                    </a:ln>
                  </pic:spPr>
                </pic:pic>
              </a:graphicData>
            </a:graphic>
          </wp:inline>
        </w:drawing>
      </w:r>
    </w:p>
    <w:p w:rsidR="00754EC9" w:rsidRPr="00754EC9" w:rsidRDefault="00754EC9" w:rsidP="00754EC9">
      <w:pPr>
        <w:spacing w:line="240" w:lineRule="auto"/>
        <w:jc w:val="both"/>
        <w:rPr>
          <w:rFonts w:ascii="Times New Roman" w:hAnsi="Times New Roman" w:cs="Times New Roman"/>
          <w:sz w:val="24"/>
          <w:szCs w:val="24"/>
        </w:rPr>
      </w:pPr>
      <w:r w:rsidRPr="00754EC9">
        <w:rPr>
          <w:rFonts w:ascii="Times New Roman" w:hAnsi="Times New Roman" w:cs="Times New Roman"/>
          <w:sz w:val="24"/>
          <w:szCs w:val="24"/>
        </w:rPr>
        <w:t>¿Qué está provocando este aumento de la precariedad? Aún es pronto para saberlo con seguridad por lo que hace falta investigación. Pero es evidente que existen candidatos que habrán pasado ya por su cabeza. En primer lugar, la propia crisis, qué duda cabe, que ha golpeado con especial virulencia a aquellos más expuestos a ella. Su salida del mercado de trabajo ha sido de tal intensidad que su vuelta está siendo posible sólo con enormes sacrificios. Bajos salarios de reentrada, larga duración en el desempleo, escasa cualificación para optar a empleos “dignos” de condiciones laborales deseables.</w:t>
      </w:r>
    </w:p>
    <w:p w:rsidR="00754EC9" w:rsidRPr="00754EC9" w:rsidRDefault="00754EC9" w:rsidP="00754EC9">
      <w:pPr>
        <w:spacing w:line="240" w:lineRule="auto"/>
        <w:jc w:val="both"/>
        <w:rPr>
          <w:rFonts w:ascii="Times New Roman" w:hAnsi="Times New Roman" w:cs="Times New Roman"/>
          <w:sz w:val="24"/>
          <w:szCs w:val="24"/>
        </w:rPr>
      </w:pPr>
      <w:r w:rsidRPr="00754EC9">
        <w:rPr>
          <w:rFonts w:ascii="Times New Roman" w:hAnsi="Times New Roman" w:cs="Times New Roman"/>
          <w:sz w:val="24"/>
          <w:szCs w:val="24"/>
        </w:rPr>
        <w:t>Sin embargo, y a pesar de la importancia de esta explicación, se señalan además otras posibles más “estructurales”. Así, y como muestran para algunos países algunos estudios, la polarización del empleo con una cada vez mayor participación de empleos en servicios de bajos salarios o, en tercer lugar, el propio cambio tecnológico. Un informe reciente de McKinsey muestra que un porcentaje elevado de nuevos trabajadores, en concreto en España este porcentaje es superior al de otros países, están migrando hacia actividades o empleos por cuenta propia (muchos de ellos falsos autónomos) por necesidad y por la eventualidad de obtener sus ingresos principales. Este mismo informe revela que dichos ingresos son menores en media que los del resto de los ocupados. En particular, esta tendencia, en parte motivada por la cada vez mayor “uberización” de la economía, puede dar a resultas un grupo cada vez mayor de empleados precarizados. Por último, y retornando al informe del Parlamento Europeo, la desregulación laboral puede estar intensificando este hecho, y que como he adelantado, no es posible desdeñar.</w:t>
      </w:r>
    </w:p>
    <w:p w:rsidR="00754EC9" w:rsidRDefault="00754EC9" w:rsidP="00754EC9">
      <w:pPr>
        <w:spacing w:line="240" w:lineRule="auto"/>
        <w:jc w:val="both"/>
        <w:rPr>
          <w:rFonts w:ascii="Times New Roman" w:hAnsi="Times New Roman" w:cs="Times New Roman"/>
          <w:sz w:val="24"/>
          <w:szCs w:val="24"/>
        </w:rPr>
      </w:pPr>
      <w:r w:rsidRPr="00754EC9">
        <w:rPr>
          <w:rFonts w:ascii="Times New Roman" w:hAnsi="Times New Roman" w:cs="Times New Roman"/>
          <w:sz w:val="24"/>
          <w:szCs w:val="24"/>
        </w:rPr>
        <w:t>En resumen, la precariedad laboral ha aumentado con la recuperación. Esta precariedad está siendo especialmente intensa entre aquellos trabajadores con dificultades de relanzar su vida laboral. Y aunque esta pueda resultar de determinados cambios normativos o por la incidencia de la propia crisis, existe evidencia de que las razones puedan ser también menos coyunturales y más estructurales, más globales. Esto debe llevarnos a tratar de comprender bien lo que sucede, pues solo así será posible proponer soluciones adecuadas y eficientes.</w:t>
      </w:r>
    </w:p>
    <w:p w:rsidR="00E02699" w:rsidRDefault="00E02699" w:rsidP="00E02699">
      <w:pPr>
        <w:spacing w:line="240" w:lineRule="auto"/>
        <w:jc w:val="both"/>
        <w:rPr>
          <w:rFonts w:ascii="Times New Roman" w:hAnsi="Times New Roman" w:cs="Times New Roman"/>
          <w:sz w:val="24"/>
          <w:szCs w:val="24"/>
        </w:rPr>
      </w:pPr>
      <w:r>
        <w:rPr>
          <w:rFonts w:ascii="Times New Roman" w:hAnsi="Times New Roman" w:cs="Times New Roman"/>
          <w:i/>
          <w:sz w:val="24"/>
          <w:szCs w:val="24"/>
        </w:rPr>
        <w:lastRenderedPageBreak/>
        <w:t>“</w:t>
      </w:r>
      <w:r w:rsidRPr="00E02699">
        <w:rPr>
          <w:rFonts w:ascii="Times New Roman" w:hAnsi="Times New Roman" w:cs="Times New Roman"/>
          <w:i/>
          <w:sz w:val="24"/>
          <w:szCs w:val="24"/>
        </w:rPr>
        <w:t>La Comisión Europea ha dado por finiquitada la crisis financiera basándose en que la economía se expande por quinto año consecutivo y que los datos de paro se han situado en los niveles de 2008</w:t>
      </w:r>
      <w:r>
        <w:rPr>
          <w:rFonts w:ascii="Times New Roman" w:hAnsi="Times New Roman" w:cs="Times New Roman"/>
          <w:i/>
          <w:sz w:val="24"/>
          <w:szCs w:val="24"/>
        </w:rPr>
        <w:t>”..</w:t>
      </w:r>
      <w:r w:rsidRPr="00E02699">
        <w:rPr>
          <w:rFonts w:ascii="Times New Roman" w:hAnsi="Times New Roman" w:cs="Times New Roman"/>
          <w:i/>
          <w:sz w:val="24"/>
          <w:szCs w:val="24"/>
        </w:rPr>
        <w:t>.</w:t>
      </w:r>
      <w:r>
        <w:rPr>
          <w:rFonts w:ascii="Times New Roman" w:hAnsi="Times New Roman" w:cs="Times New Roman"/>
          <w:i/>
          <w:sz w:val="24"/>
          <w:szCs w:val="24"/>
        </w:rPr>
        <w:t xml:space="preserve"> </w:t>
      </w:r>
      <w:r w:rsidRPr="003F6433">
        <w:rPr>
          <w:rFonts w:ascii="Times New Roman" w:hAnsi="Times New Roman" w:cs="Times New Roman"/>
          <w:sz w:val="24"/>
          <w:szCs w:val="24"/>
          <w:u w:val="single"/>
        </w:rPr>
        <w:t>Bruselas asegura que ya hemos salido de la crisis</w:t>
      </w:r>
      <w:r>
        <w:rPr>
          <w:rFonts w:ascii="Times New Roman" w:hAnsi="Times New Roman" w:cs="Times New Roman"/>
          <w:sz w:val="24"/>
          <w:szCs w:val="24"/>
        </w:rPr>
        <w:t xml:space="preserve"> (La Gaceta - </w:t>
      </w:r>
      <w:r w:rsidRPr="003F6433">
        <w:rPr>
          <w:rFonts w:ascii="Times New Roman" w:hAnsi="Times New Roman" w:cs="Times New Roman"/>
          <w:b/>
          <w:sz w:val="24"/>
          <w:szCs w:val="24"/>
        </w:rPr>
        <w:t>9/8/17</w:t>
      </w:r>
      <w:r>
        <w:rPr>
          <w:rFonts w:ascii="Times New Roman" w:hAnsi="Times New Roman" w:cs="Times New Roman"/>
          <w:sz w:val="24"/>
          <w:szCs w:val="24"/>
        </w:rPr>
        <w:t>)</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 xml:space="preserve">La Comisión explica en un comunicado que se ha acabado la crisis económica. Sin mencionar a la clase media que sus políticas se </w:t>
      </w:r>
      <w:r w:rsidR="00DC73AB" w:rsidRPr="00E02699">
        <w:rPr>
          <w:rFonts w:ascii="Times New Roman" w:hAnsi="Times New Roman" w:cs="Times New Roman"/>
          <w:sz w:val="24"/>
          <w:szCs w:val="24"/>
        </w:rPr>
        <w:t>han</w:t>
      </w:r>
      <w:r w:rsidRPr="00E02699">
        <w:rPr>
          <w:rFonts w:ascii="Times New Roman" w:hAnsi="Times New Roman" w:cs="Times New Roman"/>
          <w:sz w:val="24"/>
          <w:szCs w:val="24"/>
        </w:rPr>
        <w:t xml:space="preserve"> llevado por delante, Bruselas destaca la solvencia bancaria y el </w:t>
      </w:r>
      <w:r>
        <w:rPr>
          <w:rFonts w:ascii="Times New Roman" w:hAnsi="Times New Roman" w:cs="Times New Roman"/>
          <w:sz w:val="24"/>
          <w:szCs w:val="24"/>
        </w:rPr>
        <w:t>crecimiento económico.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Diez años después del estallido de la crisis económica, una de las más graves de la historia, Bruselas la da por cerrada. Afirma en un comunicado que la “peor recesión de la historia de la UE ha sido superada”.</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Si bien recuerda que la crisis no estalló en Europa -aunque sus países fueron grandes damnificados-, la CE resalta que los Estados miembro “tuvieron que actuar para contrarrestar su impacto”.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Asegura que esas medidas que impusieron a los países han dado sus frutos y que la economía comunitaria va viento en popa: “Hoy, la economía se está expandiendo por quinto año consecutivo. El desempleo está en su tasa más baja desde 2008, los bancos son más fuertes, la inversión está aumenta</w:t>
      </w:r>
      <w:r>
        <w:rPr>
          <w:rFonts w:ascii="Times New Roman" w:hAnsi="Times New Roman" w:cs="Times New Roman"/>
          <w:sz w:val="24"/>
          <w:szCs w:val="24"/>
        </w:rPr>
        <w:t>n</w:t>
      </w:r>
      <w:r w:rsidRPr="00E02699">
        <w:rPr>
          <w:rFonts w:ascii="Times New Roman" w:hAnsi="Times New Roman" w:cs="Times New Roman"/>
          <w:sz w:val="24"/>
          <w:szCs w:val="24"/>
        </w:rPr>
        <w:t>do y las cuentas públicas están en mejor forma. Las recientes medidas económicas son alentadoras pero todavía hay mucho que hacer para superar los estragos de años de crisis”.</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La Comisión Europea, que no menciona a la ciudadanía ni los sacrificios que tuvieron que hacer, subraya que está “totalmente movilizada para incluir en su agenda la creación de empleo, el crecimiento y la igualdad social”.</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Pierre Moscovici, comisario europeo de Economía y Finanzas, sostiene que diez años después de la crisis “la recuperación de la economía europea se ha consolidado y ampliado”, por lo que apunta a que es momento de “aprovechar este impulso positivo para completar la reforma de nuestro sistema económico y monetario”.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“El 9 de agosto de 2007, BNP Paribas fue el primer gran banco en reconocer el impacto en los mercados de las hipotecas subprime en Estados Unidos viéndose obligado a congelar sus fondos. Aquello fue el comienzo de una crisis financiera que se convirtió en una crisis bancaria y de deuda soberana, afectando pronto a la economía real. La UE se hundió en la peor recesión de su historia que ha dejado una gran huella en nuestros ciudadanos, compañías y Estados miembro”,</w:t>
      </w:r>
      <w:r>
        <w:rPr>
          <w:rFonts w:ascii="Times New Roman" w:hAnsi="Times New Roman" w:cs="Times New Roman"/>
          <w:sz w:val="24"/>
          <w:szCs w:val="24"/>
        </w:rPr>
        <w:t xml:space="preserve"> continúa el comunicado.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A continuación Bruselas saca pecho de las “difíciles medidas” que tomaron para “contener la crisis y preservar la integridad del euro”.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“Como resultado de estas acciones, la economía europea está de nuevo en forma. La recuperación está sustanciada y el desempleo está disminuyendo constantemente”, subraya. Recuerda el aumento de 12 a 19 los países que se han unido al euro y que, de todas las naciones rescatadas, sólo Grecia permanece bajo el control de la Troika.</w:t>
      </w:r>
    </w:p>
    <w:p w:rsidR="00E02699" w:rsidRDefault="00E02699" w:rsidP="00E02699">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E02699">
        <w:rPr>
          <w:rFonts w:ascii="Times New Roman" w:hAnsi="Times New Roman" w:cs="Times New Roman"/>
          <w:i/>
          <w:sz w:val="24"/>
          <w:szCs w:val="24"/>
        </w:rPr>
        <w:t>La economía de la Unión Europea en general y de la Eurozona en particular está de nuevo “en forma” y ha sufrido una importante “transformación” desde que la crisis financiera llegase hace diez años al continente europeo, según ha destacado este miércoles la Comisión Europea en un comunicado en el que hace balance de lo ocurrido y de las decisiones tomadas durante la “peor recesión” de la historia del bloque comunitario</w:t>
      </w:r>
      <w:r>
        <w:rPr>
          <w:rFonts w:ascii="Times New Roman" w:hAnsi="Times New Roman" w:cs="Times New Roman"/>
          <w:i/>
          <w:sz w:val="24"/>
          <w:szCs w:val="24"/>
        </w:rPr>
        <w:t>”..</w:t>
      </w:r>
      <w:r w:rsidRPr="00E02699">
        <w:rPr>
          <w:rFonts w:ascii="Times New Roman" w:hAnsi="Times New Roman" w:cs="Times New Roman"/>
          <w:i/>
          <w:sz w:val="24"/>
          <w:szCs w:val="24"/>
        </w:rPr>
        <w:t>.</w:t>
      </w:r>
      <w:r>
        <w:rPr>
          <w:rFonts w:ascii="Times New Roman" w:hAnsi="Times New Roman" w:cs="Times New Roman"/>
          <w:i/>
          <w:sz w:val="24"/>
          <w:szCs w:val="24"/>
        </w:rPr>
        <w:t xml:space="preserve"> </w:t>
      </w:r>
      <w:r w:rsidRPr="00B2306F">
        <w:rPr>
          <w:rFonts w:ascii="Times New Roman" w:hAnsi="Times New Roman" w:cs="Times New Roman"/>
          <w:sz w:val="24"/>
          <w:szCs w:val="24"/>
          <w:u w:val="single"/>
        </w:rPr>
        <w:t>Bruselas confirma la salida de la crisis de la eurozona diez años después</w:t>
      </w:r>
      <w:r>
        <w:rPr>
          <w:rFonts w:ascii="Times New Roman" w:hAnsi="Times New Roman" w:cs="Times New Roman"/>
          <w:sz w:val="24"/>
          <w:szCs w:val="24"/>
        </w:rPr>
        <w:t xml:space="preserve"> (Expansión - </w:t>
      </w:r>
      <w:r>
        <w:rPr>
          <w:rFonts w:ascii="Times New Roman" w:hAnsi="Times New Roman" w:cs="Times New Roman"/>
          <w:b/>
          <w:sz w:val="24"/>
          <w:szCs w:val="24"/>
        </w:rPr>
        <w:t>10</w:t>
      </w:r>
      <w:r w:rsidRPr="00B2306F">
        <w:rPr>
          <w:rFonts w:ascii="Times New Roman" w:hAnsi="Times New Roman" w:cs="Times New Roman"/>
          <w:b/>
          <w:sz w:val="24"/>
          <w:szCs w:val="24"/>
        </w:rPr>
        <w:t>/8/17</w:t>
      </w:r>
      <w:r>
        <w:rPr>
          <w:rFonts w:ascii="Times New Roman" w:hAnsi="Times New Roman" w:cs="Times New Roman"/>
          <w:sz w:val="24"/>
          <w:szCs w:val="24"/>
        </w:rPr>
        <w:t>)</w:t>
      </w:r>
    </w:p>
    <w:p w:rsidR="00E02699" w:rsidRPr="00E02699" w:rsidRDefault="00E02699" w:rsidP="00E02699">
      <w:pPr>
        <w:spacing w:line="240" w:lineRule="auto"/>
        <w:jc w:val="both"/>
        <w:rPr>
          <w:rFonts w:ascii="Times New Roman" w:hAnsi="Times New Roman" w:cs="Times New Roman"/>
          <w:i/>
          <w:sz w:val="24"/>
          <w:szCs w:val="24"/>
        </w:rPr>
      </w:pP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“Como resultado de estas acciones, la unión económica y monetaria de Europa se ha transformado significativamente y la economía europea, y principalmente la economía de la zona euro, está de nuevo en forma”, afirma el Ejecutivo comunitario.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Bruselas ha recordado que el 9 de agosto de 2007 el banco BNP Paribas se convirtió en la primera gran entidad europea en sufrir su exposición a las hipotecas “subprime” de Estados Unidos. La situación entonces se convirtió, explica Bruselas, en una crisis bancaria y en una crisis de deuda pública que afectaba a la economía real.</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“En la adversidad, las instituciones de la UE y los Estados miembro tomaron fuertes decisiones políticas para contener la crisis, preservar la integridad del euro y evitar posibles resultados peores”, reza el texto del Ejecutivo comunitario.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En concreto, la Comisión Europea destaca el trabajo para regular el sector financiero, mejorar la gobernanza económica, establecer nuevos marcos institucionales y legales, poner en marcha un “cortafuegos” financiero para la zona euro, apoyar a los países con problemas financieros, mejorar las finanzas públicas de las capitales, adoptar reformas estructurales e impulsar la inversión, combatir el desempleo juvenil y mejorar la supervisión bancaria, entre otras cuestiones.</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Bruselas subraya que estas acciones explican que la economía europea esté creciendo por quinto año consecutivo, que el desempleo esté en el nivel más bajo de 2015, que los bancos sean más sólidos, que esté aumentando la inversión y que las finanzas públicas hayan mejorado.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“Los recientes acontecimientos económicos son alentadores pero todavía queda mucho por hacer para superar el legado de los años de crisis. La Comisión Europea está completamente movilizada para cumplir su agenda para el empleo, el crecimiento y la justicia social”, indica el comunicado.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El vicepresidente del Ejecutivo comunitario para el Euro y el Diálogo Social, Valdis Dombrovskis, ha apostado por seguir trabajando sobre la base del “progreso conseguido”. En concreto, ha nombrado la necesidad de completar la unión bancaria, reformar las economías para incrementar la convergencia, la inclusión y la resiliencia, al mismo tiempo que se mantiene la solidez de las cuentas públicas.</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“Haciendo eso, debemos perseguir un enfoque equilibrado en el que la reducción de riesgos y la mutualización de riesgos vayan de la mano y se preserve la unidad del mercado único”, ha enfatizado.</w:t>
      </w:r>
    </w:p>
    <w:p w:rsidR="00E02699" w:rsidRP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En la misma línea, el comisario de Asuntos Económicos y Monetarios, Pierre Moscovici, ha defendido la necesidad de “hacer uso de este impulso positivo para completar la reforma de la unión económica y monetaria”.</w:t>
      </w:r>
    </w:p>
    <w:p w:rsidR="00E02699" w:rsidRDefault="00E02699" w:rsidP="00E02699">
      <w:pPr>
        <w:spacing w:line="240" w:lineRule="auto"/>
        <w:jc w:val="both"/>
        <w:rPr>
          <w:rFonts w:ascii="Times New Roman" w:hAnsi="Times New Roman" w:cs="Times New Roman"/>
          <w:sz w:val="24"/>
          <w:szCs w:val="24"/>
        </w:rPr>
      </w:pPr>
      <w:r w:rsidRPr="00E02699">
        <w:rPr>
          <w:rFonts w:ascii="Times New Roman" w:hAnsi="Times New Roman" w:cs="Times New Roman"/>
          <w:sz w:val="24"/>
          <w:szCs w:val="24"/>
        </w:rPr>
        <w:t>“No todas las herencias del pasado se corrigen automáticamente. Hemos visto desarrollarse grandes divergencias sociales y económicas dentro y entre los Estados miembros. Es esencial que nuestro trabajo contribuya a una convergencia real y sostenible de nuestras economías”, ha explicado el socialdemócrata francés.</w:t>
      </w:r>
    </w:p>
    <w:p w:rsidR="00E02699" w:rsidRPr="00E02699" w:rsidRDefault="00E02699" w:rsidP="00E02699">
      <w:pPr>
        <w:spacing w:line="240" w:lineRule="auto"/>
        <w:jc w:val="both"/>
        <w:rPr>
          <w:rFonts w:ascii="Times New Roman" w:hAnsi="Times New Roman" w:cs="Times New Roman"/>
          <w:sz w:val="24"/>
          <w:szCs w:val="24"/>
        </w:rPr>
      </w:pPr>
    </w:p>
    <w:p w:rsidR="00E02699" w:rsidRPr="00243444" w:rsidRDefault="00E02699" w:rsidP="00243444">
      <w:pPr>
        <w:pStyle w:val="Ttulo1"/>
        <w:shd w:val="clear" w:color="auto" w:fill="FFFFFF"/>
        <w:spacing w:before="120" w:after="240"/>
        <w:jc w:val="both"/>
        <w:rPr>
          <w:rFonts w:ascii="Times New Roman" w:hAnsi="Times New Roman" w:cs="Times New Roman"/>
          <w:b w:val="0"/>
          <w:color w:val="000000"/>
          <w:sz w:val="24"/>
          <w:szCs w:val="24"/>
          <w:lang w:val="en-GB"/>
        </w:rPr>
      </w:pPr>
      <w:r w:rsidRPr="00243444">
        <w:rPr>
          <w:rFonts w:ascii="Times New Roman" w:hAnsi="Times New Roman" w:cs="Times New Roman"/>
          <w:b w:val="0"/>
          <w:color w:val="000000"/>
          <w:sz w:val="24"/>
          <w:szCs w:val="24"/>
          <w:lang w:val="en-GB"/>
        </w:rPr>
        <w:lastRenderedPageBreak/>
        <w:t xml:space="preserve">- </w:t>
      </w:r>
      <w:r w:rsidRPr="00243444">
        <w:rPr>
          <w:rFonts w:ascii="Times New Roman" w:hAnsi="Times New Roman" w:cs="Times New Roman"/>
          <w:b w:val="0"/>
          <w:color w:val="000000"/>
          <w:sz w:val="24"/>
          <w:szCs w:val="24"/>
          <w:u w:val="single"/>
          <w:lang w:val="en-GB"/>
        </w:rPr>
        <w:t>10 years since the start of the crisis: back to recovery thanks to decisive EU action</w:t>
      </w:r>
      <w:r w:rsidR="00243444">
        <w:rPr>
          <w:rFonts w:ascii="Times New Roman" w:hAnsi="Times New Roman" w:cs="Times New Roman"/>
          <w:b w:val="0"/>
          <w:color w:val="000000"/>
          <w:sz w:val="24"/>
          <w:szCs w:val="24"/>
          <w:lang w:val="en-GB"/>
        </w:rPr>
        <w:t xml:space="preserve"> (</w:t>
      </w:r>
      <w:r w:rsidR="00243444" w:rsidRPr="00243444">
        <w:rPr>
          <w:rFonts w:ascii="Times New Roman" w:hAnsi="Times New Roman" w:cs="Times New Roman"/>
          <w:b w:val="0"/>
          <w:bCs w:val="0"/>
          <w:color w:val="000000"/>
          <w:sz w:val="24"/>
          <w:szCs w:val="24"/>
          <w:lang w:val="en-GB"/>
        </w:rPr>
        <w:t xml:space="preserve">European Commission - Press </w:t>
      </w:r>
      <w:r w:rsidR="00DC73AB">
        <w:rPr>
          <w:rFonts w:ascii="Times New Roman" w:hAnsi="Times New Roman" w:cs="Times New Roman"/>
          <w:b w:val="0"/>
          <w:bCs w:val="0"/>
          <w:color w:val="000000"/>
          <w:sz w:val="24"/>
          <w:szCs w:val="24"/>
          <w:lang w:val="en-GB"/>
        </w:rPr>
        <w:t>rele</w:t>
      </w:r>
      <w:r w:rsidR="00243444">
        <w:rPr>
          <w:rFonts w:ascii="Times New Roman" w:hAnsi="Times New Roman" w:cs="Times New Roman"/>
          <w:b w:val="0"/>
          <w:bCs w:val="0"/>
          <w:color w:val="000000"/>
          <w:sz w:val="24"/>
          <w:szCs w:val="24"/>
          <w:lang w:val="en-GB"/>
        </w:rPr>
        <w:t xml:space="preserve">ase - </w:t>
      </w:r>
      <w:r w:rsidRPr="00243444">
        <w:rPr>
          <w:rFonts w:ascii="Times New Roman" w:hAnsi="Times New Roman" w:cs="Times New Roman"/>
          <w:color w:val="000000"/>
          <w:sz w:val="24"/>
          <w:szCs w:val="24"/>
          <w:lang w:val="en-GB"/>
        </w:rPr>
        <w:t>9 August 2017</w:t>
      </w:r>
      <w:r w:rsidR="00243444">
        <w:rPr>
          <w:rFonts w:ascii="Times New Roman" w:hAnsi="Times New Roman" w:cs="Times New Roman"/>
          <w:color w:val="000000"/>
          <w:sz w:val="24"/>
          <w:szCs w:val="24"/>
          <w:lang w:val="en-GB"/>
        </w:rPr>
        <w:t>)</w:t>
      </w:r>
    </w:p>
    <w:p w:rsidR="00E02699" w:rsidRDefault="00E02699" w:rsidP="00E02699">
      <w:pPr>
        <w:pStyle w:val="NormalWeb"/>
        <w:shd w:val="clear" w:color="auto" w:fill="FFFFFF"/>
        <w:spacing w:before="60" w:beforeAutospacing="0" w:after="60" w:afterAutospacing="0"/>
        <w:jc w:val="both"/>
        <w:rPr>
          <w:color w:val="000000"/>
          <w:lang w:val="en-GB"/>
        </w:rPr>
      </w:pPr>
      <w:r w:rsidRPr="004F124F">
        <w:rPr>
          <w:color w:val="000000"/>
          <w:lang w:val="en-GB"/>
        </w:rPr>
        <w:t>The global financial crisis began 10 years ago and led to the European Union's worst recession in its six-decade history. The crisis did not start in Europe but EU institutions and Member States needed to act resolutely to counter its impact and address the shortcomings of the initial set-up of the Economic and Monetary Union. Decisive action has paid off: today, the EU economy is expanding for the fifth year in a row. Unemployment is at its lowest since 2008, banks are stronger, investment is picking up, and public finances are in better shape. Recent economic developments are encouraging but a lot remains to be done to overcome the legacy of the crisis years. The European Commission is fully mobilised to deliver on its agenda for jobs, growth and social fairness.</w:t>
      </w:r>
    </w:p>
    <w:p w:rsidR="00E02699" w:rsidRPr="004F124F" w:rsidRDefault="00E02699" w:rsidP="00E02699">
      <w:pPr>
        <w:pStyle w:val="NormalWeb"/>
        <w:shd w:val="clear" w:color="auto" w:fill="FFFFFF"/>
        <w:spacing w:before="60" w:beforeAutospacing="0" w:after="60" w:afterAutospacing="0"/>
        <w:jc w:val="both"/>
        <w:rPr>
          <w:color w:val="000000"/>
          <w:lang w:val="en-GB"/>
        </w:rPr>
      </w:pPr>
    </w:p>
    <w:p w:rsidR="00E02699" w:rsidRDefault="00E02699" w:rsidP="00E02699">
      <w:pPr>
        <w:pStyle w:val="NormalWeb"/>
        <w:shd w:val="clear" w:color="auto" w:fill="FFFFFF"/>
        <w:spacing w:before="0" w:beforeAutospacing="0" w:after="0" w:afterAutospacing="0"/>
        <w:jc w:val="both"/>
        <w:rPr>
          <w:rStyle w:val="nfasis"/>
          <w:color w:val="000000"/>
          <w:lang w:val="en-GB"/>
        </w:rPr>
      </w:pPr>
      <w:r w:rsidRPr="004F124F">
        <w:rPr>
          <w:color w:val="000000"/>
          <w:lang w:val="en-GB"/>
        </w:rPr>
        <w:t>Vice-President Valdis </w:t>
      </w:r>
      <w:r w:rsidRPr="00243444">
        <w:rPr>
          <w:rStyle w:val="Textoennegrita"/>
          <w:b w:val="0"/>
          <w:color w:val="000000"/>
          <w:bdr w:val="none" w:sz="0" w:space="0" w:color="auto" w:frame="1"/>
          <w:lang w:val="en-GB"/>
        </w:rPr>
        <w:t>Dombrovskis</w:t>
      </w:r>
      <w:r w:rsidRPr="004F124F">
        <w:rPr>
          <w:color w:val="000000"/>
          <w:lang w:val="en-GB"/>
        </w:rPr>
        <w:t>, responsible for the Euro and Social Dialogue, said: </w:t>
      </w:r>
      <w:r>
        <w:rPr>
          <w:rStyle w:val="nfasis"/>
          <w:color w:val="000000"/>
          <w:lang w:val="en-GB"/>
        </w:rPr>
        <w:t>“</w:t>
      </w:r>
      <w:r w:rsidRPr="004F124F">
        <w:rPr>
          <w:rStyle w:val="nfasis"/>
          <w:color w:val="000000"/>
          <w:lang w:val="en-GB"/>
        </w:rPr>
        <w:t xml:space="preserve">Thanks to the determined policy response to the crisis the EU economy is now firmly recovering and the Economic and Monetary Union is stronger than before. We need to build on this progress, completing the financial union, reforming our economies to foster convergence, inclusiveness and resilience, and maintaining sustainable public finances. In doing so, we should pursue a balanced approach where risk reduction and risk sharing go hand-in-hand and the unity of </w:t>
      </w:r>
      <w:r>
        <w:rPr>
          <w:rStyle w:val="nfasis"/>
          <w:color w:val="000000"/>
          <w:lang w:val="en-GB"/>
        </w:rPr>
        <w:t>the single market is preserved”.</w:t>
      </w:r>
    </w:p>
    <w:p w:rsidR="00E02699" w:rsidRPr="004F124F" w:rsidRDefault="00E02699" w:rsidP="00E02699">
      <w:pPr>
        <w:pStyle w:val="NormalWeb"/>
        <w:shd w:val="clear" w:color="auto" w:fill="FFFFFF"/>
        <w:spacing w:before="0" w:beforeAutospacing="0" w:after="0" w:afterAutospacing="0"/>
        <w:jc w:val="both"/>
        <w:rPr>
          <w:color w:val="000000"/>
          <w:lang w:val="en-GB"/>
        </w:rPr>
      </w:pPr>
    </w:p>
    <w:p w:rsidR="00E02699" w:rsidRDefault="00E02699" w:rsidP="00E02699">
      <w:pPr>
        <w:pStyle w:val="NormalWeb"/>
        <w:shd w:val="clear" w:color="auto" w:fill="FFFFFF"/>
        <w:spacing w:before="0" w:beforeAutospacing="0" w:after="0" w:afterAutospacing="0"/>
        <w:jc w:val="both"/>
        <w:rPr>
          <w:rStyle w:val="nfasis"/>
          <w:color w:val="000000"/>
          <w:lang w:val="en-GB"/>
        </w:rPr>
      </w:pPr>
      <w:r w:rsidRPr="004F124F">
        <w:rPr>
          <w:color w:val="000000"/>
          <w:lang w:val="en-GB"/>
        </w:rPr>
        <w:t>Commissioner Pierre </w:t>
      </w:r>
      <w:r w:rsidRPr="00243444">
        <w:rPr>
          <w:rStyle w:val="Textoennegrita"/>
          <w:b w:val="0"/>
          <w:color w:val="000000"/>
          <w:bdr w:val="none" w:sz="0" w:space="0" w:color="auto" w:frame="1"/>
          <w:lang w:val="en-GB"/>
        </w:rPr>
        <w:t>Moscovici</w:t>
      </w:r>
      <w:r w:rsidRPr="004F124F">
        <w:rPr>
          <w:color w:val="000000"/>
          <w:lang w:val="en-GB"/>
        </w:rPr>
        <w:t>, responsible for Economic Affairs, Taxation and Customs, said: </w:t>
      </w:r>
      <w:r>
        <w:rPr>
          <w:rStyle w:val="nfasis"/>
          <w:color w:val="000000"/>
          <w:lang w:val="en-GB"/>
        </w:rPr>
        <w:t>“</w:t>
      </w:r>
      <w:r w:rsidRPr="004F124F">
        <w:rPr>
          <w:rStyle w:val="nfasis"/>
          <w:color w:val="000000"/>
          <w:lang w:val="en-GB"/>
        </w:rPr>
        <w:t>Ten years after the global crisis began, the recovery of the European economy has firmed and broadened. We must use this positive momentum to complete the reform of our Economic and Monetary Union. Not all legacies from the past correct automatically. We have seen greater social and economic divergences develop in and among Member States. It is essential that our work going forward contributes to the real and sustaine</w:t>
      </w:r>
      <w:r>
        <w:rPr>
          <w:rStyle w:val="nfasis"/>
          <w:color w:val="000000"/>
          <w:lang w:val="en-GB"/>
        </w:rPr>
        <w:t>d convergence of our economies”.</w:t>
      </w:r>
    </w:p>
    <w:p w:rsidR="00E02699" w:rsidRPr="004F124F" w:rsidRDefault="00E02699" w:rsidP="00E02699">
      <w:pPr>
        <w:pStyle w:val="NormalWeb"/>
        <w:shd w:val="clear" w:color="auto" w:fill="FFFFFF"/>
        <w:spacing w:before="0" w:beforeAutospacing="0" w:after="0" w:afterAutospacing="0"/>
        <w:jc w:val="both"/>
        <w:rPr>
          <w:color w:val="000000"/>
          <w:lang w:val="en-GB"/>
        </w:rPr>
      </w:pPr>
    </w:p>
    <w:p w:rsidR="00E02699" w:rsidRDefault="00E02699" w:rsidP="00E02699">
      <w:pPr>
        <w:pStyle w:val="NormalWeb"/>
        <w:shd w:val="clear" w:color="auto" w:fill="FFFFFF"/>
        <w:spacing w:before="60" w:beforeAutospacing="0" w:after="60" w:afterAutospacing="0"/>
        <w:jc w:val="both"/>
        <w:rPr>
          <w:color w:val="000000"/>
          <w:lang w:val="en-GB"/>
        </w:rPr>
      </w:pPr>
      <w:r w:rsidRPr="004F124F">
        <w:rPr>
          <w:color w:val="000000"/>
          <w:lang w:val="en-GB"/>
        </w:rPr>
        <w:t xml:space="preserve">Ten years ago today, on 9 August 2007, BNP Paribas became the first major bank to acknowledge the impact of its exposure to sub-prime mortgage markets in the United States, having to freeze exposed funds. In the years that followed, what </w:t>
      </w:r>
      <w:r w:rsidR="00DC73AB" w:rsidRPr="004F124F">
        <w:rPr>
          <w:color w:val="000000"/>
          <w:lang w:val="en-GB"/>
        </w:rPr>
        <w:t>were</w:t>
      </w:r>
      <w:r w:rsidRPr="004F124F">
        <w:rPr>
          <w:color w:val="000000"/>
          <w:lang w:val="en-GB"/>
        </w:rPr>
        <w:t xml:space="preserve"> initially a financial crisis turned into a banking crisis and a crisis of sovereign debt, soon affecting the real economy. The European Union fell into the worst recession in its history, which left deep marks on our citizens, companies and Member States' economies.</w:t>
      </w:r>
    </w:p>
    <w:p w:rsidR="00E02699" w:rsidRPr="004F124F" w:rsidRDefault="00E02699" w:rsidP="00E02699">
      <w:pPr>
        <w:pStyle w:val="NormalWeb"/>
        <w:shd w:val="clear" w:color="auto" w:fill="FFFFFF"/>
        <w:spacing w:before="60" w:beforeAutospacing="0" w:after="60" w:afterAutospacing="0"/>
        <w:jc w:val="both"/>
        <w:rPr>
          <w:color w:val="000000"/>
          <w:lang w:val="en-GB"/>
        </w:rPr>
      </w:pPr>
    </w:p>
    <w:p w:rsidR="00E02699" w:rsidRDefault="00E02699" w:rsidP="00E02699">
      <w:pPr>
        <w:pStyle w:val="NormalWeb"/>
        <w:shd w:val="clear" w:color="auto" w:fill="FFFFFF"/>
        <w:spacing w:before="60" w:beforeAutospacing="0" w:after="60" w:afterAutospacing="0"/>
        <w:jc w:val="both"/>
        <w:rPr>
          <w:color w:val="000000"/>
          <w:lang w:val="en-GB"/>
        </w:rPr>
      </w:pPr>
      <w:r w:rsidRPr="004F124F">
        <w:rPr>
          <w:color w:val="000000"/>
          <w:lang w:val="en-GB"/>
        </w:rPr>
        <w:t>In this adversity, EU institutions and Member States took strong political decisions to contain the crisis, preserve the integrity of the euro and to avoid worse possible outcomes. The EU has worked to regulate the financial sector and improve economic governance; bolster new and common institutional and legal frameworks; establish a financial firewall for the euro area; support countries in financial distress; improve Member States' public finances; pursue structural reforms and encourage investment; fight youth unemployment; improve banking sector supervision; increase the ability of financial institutions to cope with future challenges; and establish ways to manage and better prevent possible crises.</w:t>
      </w:r>
    </w:p>
    <w:p w:rsidR="00E02699" w:rsidRPr="004F124F" w:rsidRDefault="00E02699" w:rsidP="00E02699">
      <w:pPr>
        <w:pStyle w:val="NormalWeb"/>
        <w:shd w:val="clear" w:color="auto" w:fill="FFFFFF"/>
        <w:spacing w:before="60" w:beforeAutospacing="0" w:after="60" w:afterAutospacing="0"/>
        <w:jc w:val="both"/>
        <w:rPr>
          <w:color w:val="000000"/>
          <w:lang w:val="en-GB"/>
        </w:rPr>
      </w:pPr>
    </w:p>
    <w:p w:rsidR="00E02699" w:rsidRDefault="00E02699" w:rsidP="00E02699">
      <w:pPr>
        <w:pStyle w:val="NormalWeb"/>
        <w:shd w:val="clear" w:color="auto" w:fill="FFFFFF"/>
        <w:spacing w:before="0" w:beforeAutospacing="0" w:after="0" w:afterAutospacing="0"/>
        <w:jc w:val="both"/>
        <w:rPr>
          <w:color w:val="000000"/>
          <w:lang w:val="en-GB"/>
        </w:rPr>
      </w:pPr>
      <w:r w:rsidRPr="004F124F">
        <w:rPr>
          <w:color w:val="000000"/>
          <w:lang w:val="en-GB"/>
        </w:rPr>
        <w:t>As a result of these actions, Europe's Economic and Monetary Union has been significantly overha</w:t>
      </w:r>
      <w:r>
        <w:rPr>
          <w:color w:val="000000"/>
          <w:lang w:val="en-GB"/>
        </w:rPr>
        <w:t>uled and the European economy -</w:t>
      </w:r>
      <w:r w:rsidRPr="004F124F">
        <w:rPr>
          <w:color w:val="000000"/>
          <w:lang w:val="en-GB"/>
        </w:rPr>
        <w:t>and notably the euro</w:t>
      </w:r>
      <w:r>
        <w:rPr>
          <w:color w:val="000000"/>
          <w:lang w:val="en-GB"/>
        </w:rPr>
        <w:t xml:space="preserve"> area economy-</w:t>
      </w:r>
      <w:r w:rsidRPr="004F124F">
        <w:rPr>
          <w:color w:val="000000"/>
          <w:lang w:val="en-GB"/>
        </w:rPr>
        <w:t xml:space="preserve"> </w:t>
      </w:r>
      <w:r w:rsidR="00DC73AB" w:rsidRPr="004F124F">
        <w:rPr>
          <w:color w:val="000000"/>
          <w:lang w:val="en-GB"/>
        </w:rPr>
        <w:t>are</w:t>
      </w:r>
      <w:r w:rsidRPr="004F124F">
        <w:rPr>
          <w:color w:val="000000"/>
          <w:lang w:val="en-GB"/>
        </w:rPr>
        <w:t xml:space="preserve"> back in shape. The European recovery is sustained and unemployment is steadily going down. The </w:t>
      </w:r>
      <w:r w:rsidRPr="004F124F">
        <w:rPr>
          <w:color w:val="000000"/>
          <w:lang w:val="en-GB"/>
        </w:rPr>
        <w:lastRenderedPageBreak/>
        <w:t>number of Member States belonging to the euro has increased from 12 to 19 and the euro is now the second-most important currency in the world. Out of the eight EU Member States that received financial assistance, only Greece is still under a programme and is due to exit it in mid-2018. Only three Member States are now subject to the corrective arm of the Stability and Growth Pact, the so-called Excessive Deficit Procedure, down from 24 Member States at the height of the crisis. The </w:t>
      </w:r>
      <w:hyperlink r:id="rId35" w:history="1">
        <w:r w:rsidRPr="00243444">
          <w:rPr>
            <w:rStyle w:val="Hipervnculo"/>
            <w:color w:val="auto"/>
            <w:u w:val="none"/>
            <w:bdr w:val="none" w:sz="0" w:space="0" w:color="auto" w:frame="1"/>
            <w:lang w:val="en-GB"/>
          </w:rPr>
          <w:t>Juncker Plan</w:t>
        </w:r>
      </w:hyperlink>
      <w:r w:rsidRPr="004F124F">
        <w:rPr>
          <w:color w:val="000000"/>
          <w:lang w:val="en-GB"/>
        </w:rPr>
        <w:t>, or Investment Plan for Europe, launched in November 2014, is now set to trigger more than €</w:t>
      </w:r>
      <w:r>
        <w:rPr>
          <w:color w:val="000000"/>
          <w:lang w:val="en-GB"/>
        </w:rPr>
        <w:t xml:space="preserve"> </w:t>
      </w:r>
      <w:r w:rsidRPr="004F124F">
        <w:rPr>
          <w:color w:val="000000"/>
          <w:lang w:val="en-GB"/>
        </w:rPr>
        <w:t>225 billion across all Member States.</w:t>
      </w:r>
    </w:p>
    <w:p w:rsidR="00E02699" w:rsidRPr="004F124F" w:rsidRDefault="00E02699" w:rsidP="00E02699">
      <w:pPr>
        <w:pStyle w:val="NormalWeb"/>
        <w:shd w:val="clear" w:color="auto" w:fill="FFFFFF"/>
        <w:spacing w:before="0" w:beforeAutospacing="0" w:after="0" w:afterAutospacing="0"/>
        <w:jc w:val="both"/>
        <w:rPr>
          <w:color w:val="000000"/>
          <w:lang w:val="en-GB"/>
        </w:rPr>
      </w:pPr>
    </w:p>
    <w:p w:rsidR="00E02699" w:rsidRDefault="00E02699" w:rsidP="00E02699">
      <w:pPr>
        <w:pStyle w:val="NormalWeb"/>
        <w:shd w:val="clear" w:color="auto" w:fill="FFFFFF"/>
        <w:spacing w:before="60" w:beforeAutospacing="0" w:after="60" w:afterAutospacing="0"/>
        <w:jc w:val="both"/>
        <w:rPr>
          <w:color w:val="000000"/>
          <w:lang w:val="en-GB"/>
        </w:rPr>
      </w:pPr>
      <w:r w:rsidRPr="004F124F">
        <w:rPr>
          <w:color w:val="000000"/>
          <w:lang w:val="en-GB"/>
        </w:rPr>
        <w:t>As robust as it is today, the EMU remains incomplete and the journey of the euro has just started. From the Five Presidents' Report of June 2015 to the reflection paper on the Deepening of the Economic and Monetary Union of May 2017, a lot of initiatives were taken in recent years to draw the lessons from the crisis and prepare the EU even better for future challenges.</w:t>
      </w:r>
    </w:p>
    <w:p w:rsidR="00243444" w:rsidRDefault="00243444" w:rsidP="00E02699">
      <w:pPr>
        <w:pStyle w:val="NormalWeb"/>
        <w:shd w:val="clear" w:color="auto" w:fill="FFFFFF"/>
        <w:spacing w:before="60" w:beforeAutospacing="0" w:after="60" w:afterAutospacing="0"/>
        <w:jc w:val="both"/>
        <w:rPr>
          <w:color w:val="000000"/>
          <w:lang w:val="en-GB"/>
        </w:rPr>
      </w:pPr>
    </w:p>
    <w:p w:rsidR="00243444" w:rsidRPr="00243444" w:rsidRDefault="00243444" w:rsidP="00243444">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243444">
        <w:rPr>
          <w:rFonts w:ascii="Times New Roman" w:hAnsi="Times New Roman" w:cs="Times New Roman"/>
          <w:i/>
          <w:sz w:val="24"/>
          <w:szCs w:val="24"/>
        </w:rPr>
        <w:t>Siempre resulta tentador relegar las tareas más deprimentes al final de la lista. Diez años después de que BNP Paribas marcase el inicio de la crisis financiera congelando fondos, los bancos de Europa son más pequeños y están más limpios</w:t>
      </w:r>
      <w:r>
        <w:rPr>
          <w:rFonts w:ascii="Times New Roman" w:hAnsi="Times New Roman" w:cs="Times New Roman"/>
          <w:i/>
          <w:sz w:val="24"/>
          <w:szCs w:val="24"/>
        </w:rPr>
        <w:t>”..</w:t>
      </w:r>
      <w:r w:rsidRPr="00243444">
        <w:rPr>
          <w:rFonts w:ascii="Times New Roman" w:hAnsi="Times New Roman" w:cs="Times New Roman"/>
          <w:i/>
          <w:sz w:val="24"/>
          <w:szCs w:val="24"/>
        </w:rPr>
        <w:t>.</w:t>
      </w:r>
      <w:r>
        <w:rPr>
          <w:rFonts w:ascii="Times New Roman" w:hAnsi="Times New Roman" w:cs="Times New Roman"/>
          <w:i/>
          <w:sz w:val="24"/>
          <w:szCs w:val="24"/>
        </w:rPr>
        <w:t xml:space="preserve"> </w:t>
      </w:r>
      <w:r w:rsidRPr="00714962">
        <w:rPr>
          <w:rFonts w:ascii="Times New Roman" w:hAnsi="Times New Roman" w:cs="Times New Roman"/>
          <w:sz w:val="24"/>
          <w:szCs w:val="24"/>
          <w:u w:val="single"/>
        </w:rPr>
        <w:t>Deuda soberana y bancos, una seguridad ilusoria</w:t>
      </w:r>
      <w:r>
        <w:rPr>
          <w:rFonts w:ascii="Times New Roman" w:hAnsi="Times New Roman" w:cs="Times New Roman"/>
          <w:sz w:val="24"/>
          <w:szCs w:val="24"/>
        </w:rPr>
        <w:t xml:space="preserve"> (Expansión - Financial Times - </w:t>
      </w:r>
      <w:r>
        <w:rPr>
          <w:rFonts w:ascii="Times New Roman" w:hAnsi="Times New Roman" w:cs="Times New Roman"/>
          <w:b/>
          <w:sz w:val="24"/>
          <w:szCs w:val="24"/>
        </w:rPr>
        <w:t>11</w:t>
      </w:r>
      <w:r w:rsidRPr="00714962">
        <w:rPr>
          <w:rFonts w:ascii="Times New Roman" w:hAnsi="Times New Roman" w:cs="Times New Roman"/>
          <w:b/>
          <w:sz w:val="24"/>
          <w:szCs w:val="24"/>
        </w:rPr>
        <w:t>/8/17</w:t>
      </w:r>
      <w:r>
        <w:rPr>
          <w:rFonts w:ascii="Times New Roman" w:hAnsi="Times New Roman" w:cs="Times New Roman"/>
          <w:sz w:val="24"/>
          <w:szCs w:val="24"/>
        </w:rPr>
        <w:t>)</w:t>
      </w:r>
    </w:p>
    <w:p w:rsidR="00243444" w:rsidRPr="00243444" w:rsidRDefault="00243444" w:rsidP="00243444">
      <w:pPr>
        <w:spacing w:line="240" w:lineRule="auto"/>
        <w:jc w:val="both"/>
        <w:rPr>
          <w:rFonts w:ascii="Times New Roman" w:hAnsi="Times New Roman" w:cs="Times New Roman"/>
          <w:sz w:val="24"/>
          <w:szCs w:val="24"/>
        </w:rPr>
      </w:pPr>
      <w:r w:rsidRPr="00243444">
        <w:rPr>
          <w:rFonts w:ascii="Times New Roman" w:hAnsi="Times New Roman" w:cs="Times New Roman"/>
          <w:sz w:val="24"/>
          <w:szCs w:val="24"/>
        </w:rPr>
        <w:t>Los esfuerzos para mejorar la solvencia han reducido los activos totales y los negocios no fundamentales. Sin embargo, la relación entre los bonos soberanos y los bancos que agravó la crisis sigue intacta.</w:t>
      </w:r>
    </w:p>
    <w:p w:rsidR="00243444" w:rsidRPr="00243444" w:rsidRDefault="00243444" w:rsidP="00243444">
      <w:pPr>
        <w:spacing w:line="240" w:lineRule="auto"/>
        <w:jc w:val="both"/>
        <w:rPr>
          <w:rFonts w:ascii="Times New Roman" w:hAnsi="Times New Roman" w:cs="Times New Roman"/>
          <w:sz w:val="24"/>
          <w:szCs w:val="24"/>
        </w:rPr>
      </w:pPr>
      <w:r w:rsidRPr="00243444">
        <w:rPr>
          <w:rFonts w:ascii="Times New Roman" w:hAnsi="Times New Roman" w:cs="Times New Roman"/>
          <w:sz w:val="24"/>
          <w:szCs w:val="24"/>
        </w:rPr>
        <w:t>Los lazos, más bien, se han reforzado. Entre 2008 y 2016, los bancos duplicaron sus carteras de deuda nacional, según los datos de S&amp;P. Sólo tres países (Alemania, Holanda y Luxemburgo) poseen calificaciones crediticias AAA. Pero bajo las normas actuales, los supervisores locales pueden permitir a los bancos no reservar capital para protegerse frente a las pérdidas potenciales sobre los bonos de un país. Incluso la deuda pública griega p</w:t>
      </w:r>
      <w:r>
        <w:rPr>
          <w:rFonts w:ascii="Times New Roman" w:hAnsi="Times New Roman" w:cs="Times New Roman"/>
          <w:sz w:val="24"/>
          <w:szCs w:val="24"/>
        </w:rPr>
        <w:t>uede considerarse oficialmente “libre de riesgo”</w:t>
      </w:r>
      <w:r w:rsidRPr="00243444">
        <w:rPr>
          <w:rFonts w:ascii="Times New Roman" w:hAnsi="Times New Roman" w:cs="Times New Roman"/>
          <w:sz w:val="24"/>
          <w:szCs w:val="24"/>
        </w:rPr>
        <w:t>.</w:t>
      </w:r>
    </w:p>
    <w:p w:rsidR="00243444" w:rsidRPr="00243444" w:rsidRDefault="00243444" w:rsidP="00243444">
      <w:pPr>
        <w:spacing w:line="240" w:lineRule="auto"/>
        <w:jc w:val="both"/>
        <w:rPr>
          <w:rFonts w:ascii="Times New Roman" w:hAnsi="Times New Roman" w:cs="Times New Roman"/>
          <w:sz w:val="24"/>
          <w:szCs w:val="24"/>
        </w:rPr>
      </w:pPr>
      <w:r w:rsidRPr="00243444">
        <w:rPr>
          <w:rFonts w:ascii="Times New Roman" w:hAnsi="Times New Roman" w:cs="Times New Roman"/>
          <w:sz w:val="24"/>
          <w:szCs w:val="24"/>
        </w:rPr>
        <w:t>La idea de que ningún bono público conlleva riesgos es ilusoria. Los bonos alemanes podrían merecer la calificación de riesgo cero, como reflejo de la solidez económica. Asumir lo mismo en el caso de la deuda portuguesa o española crea una falsa impresión sobre la fortaleza de los balances de los bancos.</w:t>
      </w:r>
    </w:p>
    <w:p w:rsidR="00243444" w:rsidRPr="00243444" w:rsidRDefault="00243444" w:rsidP="00243444">
      <w:pPr>
        <w:spacing w:line="240" w:lineRule="auto"/>
        <w:jc w:val="both"/>
        <w:rPr>
          <w:rFonts w:ascii="Times New Roman" w:hAnsi="Times New Roman" w:cs="Times New Roman"/>
          <w:sz w:val="24"/>
          <w:szCs w:val="24"/>
        </w:rPr>
      </w:pPr>
      <w:r w:rsidRPr="00243444">
        <w:rPr>
          <w:rFonts w:ascii="Times New Roman" w:hAnsi="Times New Roman" w:cs="Times New Roman"/>
          <w:sz w:val="24"/>
          <w:szCs w:val="24"/>
        </w:rPr>
        <w:t>Aplicar ponderaciones de riesgo sería sensato, pero también doloroso. En Europa, las ratios de capital básico Tier 1 (CET1) han aumentado al 13,7% de media. Si se aplicasen ponderaciones a la deuda soberana, el referente se debilitaría de forma preocupante en algunos casos.</w:t>
      </w:r>
    </w:p>
    <w:p w:rsidR="00243444" w:rsidRPr="00243444" w:rsidRDefault="00243444" w:rsidP="00243444">
      <w:pPr>
        <w:spacing w:line="240" w:lineRule="auto"/>
        <w:jc w:val="both"/>
        <w:rPr>
          <w:rFonts w:ascii="Times New Roman" w:hAnsi="Times New Roman" w:cs="Times New Roman"/>
          <w:sz w:val="24"/>
          <w:szCs w:val="24"/>
        </w:rPr>
      </w:pPr>
      <w:r w:rsidRPr="00243444">
        <w:rPr>
          <w:rFonts w:ascii="Times New Roman" w:hAnsi="Times New Roman" w:cs="Times New Roman"/>
          <w:sz w:val="24"/>
          <w:szCs w:val="24"/>
        </w:rPr>
        <w:t>Las carteras de deuda soberana son más grandes en aquellos países con sistemas bancarios frágiles y ratings débiles. La deuda soberana nacional en manos de bancos alemanes equivale al 8,9% de los activos totales. En Italia es del 13,8%.</w:t>
      </w:r>
    </w:p>
    <w:p w:rsidR="00243444" w:rsidRPr="00243444" w:rsidRDefault="00243444" w:rsidP="00243444">
      <w:pPr>
        <w:spacing w:line="240" w:lineRule="auto"/>
        <w:jc w:val="both"/>
        <w:rPr>
          <w:rFonts w:ascii="Times New Roman" w:hAnsi="Times New Roman" w:cs="Times New Roman"/>
          <w:sz w:val="24"/>
          <w:szCs w:val="24"/>
        </w:rPr>
      </w:pPr>
      <w:r w:rsidRPr="00243444">
        <w:rPr>
          <w:rFonts w:ascii="Times New Roman" w:hAnsi="Times New Roman" w:cs="Times New Roman"/>
          <w:sz w:val="24"/>
          <w:szCs w:val="24"/>
        </w:rPr>
        <w:t>Si se aplicasen las sugerencias sobre ponderaciones de riesgo del Comité de Basilea a los bonos italianos, la ratio CET1 de UniCredit podría caer del 10,33% al 8,96%. La ratio CET1 del Banco Nacional de Grecia podría desplomarse del 15% al 6% según los datos de S&amp;P Global Market Intelligence.</w:t>
      </w:r>
    </w:p>
    <w:p w:rsidR="00243444" w:rsidRPr="00243444" w:rsidRDefault="00243444" w:rsidP="00243444">
      <w:pPr>
        <w:spacing w:line="240" w:lineRule="auto"/>
        <w:jc w:val="both"/>
        <w:rPr>
          <w:rFonts w:ascii="Times New Roman" w:hAnsi="Times New Roman" w:cs="Times New Roman"/>
          <w:sz w:val="24"/>
          <w:szCs w:val="24"/>
        </w:rPr>
      </w:pPr>
      <w:r w:rsidRPr="00243444">
        <w:rPr>
          <w:rFonts w:ascii="Times New Roman" w:hAnsi="Times New Roman" w:cs="Times New Roman"/>
          <w:sz w:val="24"/>
          <w:szCs w:val="24"/>
        </w:rPr>
        <w:lastRenderedPageBreak/>
        <w:t>El Mecanismo Europeo de Estabilidad calcula que los mayores bancos de la UE necesitarían otros 31.000 millones de euros de capital nuevo si los bonos soberanos perdiesen su condición de libres de riesgo.</w:t>
      </w:r>
    </w:p>
    <w:p w:rsidR="00243444" w:rsidRDefault="00243444" w:rsidP="00243444">
      <w:pPr>
        <w:spacing w:line="240" w:lineRule="auto"/>
        <w:jc w:val="both"/>
        <w:rPr>
          <w:rFonts w:ascii="Times New Roman" w:hAnsi="Times New Roman" w:cs="Times New Roman"/>
          <w:sz w:val="24"/>
          <w:szCs w:val="24"/>
        </w:rPr>
      </w:pPr>
      <w:r>
        <w:rPr>
          <w:rFonts w:ascii="Times New Roman" w:hAnsi="Times New Roman" w:cs="Times New Roman"/>
          <w:sz w:val="24"/>
          <w:szCs w:val="24"/>
        </w:rPr>
        <w:t>Resultaría difícil cortar el “nexo Estado-banco”</w:t>
      </w:r>
      <w:r w:rsidRPr="00243444">
        <w:rPr>
          <w:rFonts w:ascii="Times New Roman" w:hAnsi="Times New Roman" w:cs="Times New Roman"/>
          <w:sz w:val="24"/>
          <w:szCs w:val="24"/>
        </w:rPr>
        <w:t>. Ningún gobierno acogerá de buen grado normas que impliquen que sus bonos conllevan riesgo de impago. Pero hasta que la deuda soberana no pierda su aura de invulnerabilidad, la limpieza post-crisis seguirá a medio hacer.</w:t>
      </w:r>
    </w:p>
    <w:p w:rsidR="00243444" w:rsidRDefault="00243444" w:rsidP="00243444">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243444">
        <w:rPr>
          <w:rFonts w:ascii="Times New Roman" w:hAnsi="Times New Roman" w:cs="Times New Roman"/>
          <w:i/>
          <w:sz w:val="24"/>
          <w:szCs w:val="24"/>
        </w:rPr>
        <w:t>España ostenta el nada honroso título de ser el segundo país de la Unión Europea donde más ha crecido el colectivo de jóvenes que ni estudia ni trabaja -conocidos como ninis- entre 2006 y 2016. En este periodo este grupo ha crecido ocho puntos porcentuales pasando del 13,2 al 21,2%, De esta forma, uno de cada cinco jóvenes tiene esta categoría, según datos facilitados hoy por la oficina de estadísticas europea (Eurostat)</w:t>
      </w:r>
      <w:r>
        <w:rPr>
          <w:rFonts w:ascii="Times New Roman" w:hAnsi="Times New Roman" w:cs="Times New Roman"/>
          <w:i/>
          <w:sz w:val="24"/>
          <w:szCs w:val="24"/>
        </w:rPr>
        <w:t>”..</w:t>
      </w:r>
      <w:r w:rsidRPr="00243444">
        <w:rPr>
          <w:rFonts w:ascii="Times New Roman" w:hAnsi="Times New Roman" w:cs="Times New Roman"/>
          <w:i/>
          <w:sz w:val="24"/>
          <w:szCs w:val="24"/>
        </w:rPr>
        <w:t>.</w:t>
      </w:r>
      <w:r w:rsidR="0093279F">
        <w:rPr>
          <w:rFonts w:ascii="Times New Roman" w:hAnsi="Times New Roman" w:cs="Times New Roman"/>
          <w:sz w:val="24"/>
          <w:szCs w:val="24"/>
        </w:rPr>
        <w:t xml:space="preserve"> </w:t>
      </w:r>
      <w:r w:rsidRPr="00D95B3C">
        <w:rPr>
          <w:rFonts w:ascii="Times New Roman" w:hAnsi="Times New Roman" w:cs="Times New Roman"/>
          <w:sz w:val="24"/>
          <w:szCs w:val="24"/>
          <w:u w:val="single"/>
        </w:rPr>
        <w:t>E</w:t>
      </w:r>
      <w:r w:rsidR="0093279F">
        <w:rPr>
          <w:rFonts w:ascii="Times New Roman" w:hAnsi="Times New Roman" w:cs="Times New Roman"/>
          <w:sz w:val="24"/>
          <w:szCs w:val="24"/>
          <w:u w:val="single"/>
        </w:rPr>
        <w:t>spaña lidera el crecimiento de “ninis”</w:t>
      </w:r>
      <w:r w:rsidRPr="00D95B3C">
        <w:rPr>
          <w:rFonts w:ascii="Times New Roman" w:hAnsi="Times New Roman" w:cs="Times New Roman"/>
          <w:sz w:val="24"/>
          <w:szCs w:val="24"/>
          <w:u w:val="single"/>
        </w:rPr>
        <w:t xml:space="preserve"> en Europa</w:t>
      </w:r>
      <w:r>
        <w:rPr>
          <w:rFonts w:ascii="Times New Roman" w:hAnsi="Times New Roman" w:cs="Times New Roman"/>
          <w:sz w:val="24"/>
          <w:szCs w:val="24"/>
        </w:rPr>
        <w:t xml:space="preserve"> (Cinco Días - </w:t>
      </w:r>
      <w:r w:rsidRPr="00D95B3C">
        <w:rPr>
          <w:rFonts w:ascii="Times New Roman" w:hAnsi="Times New Roman" w:cs="Times New Roman"/>
          <w:b/>
          <w:sz w:val="24"/>
          <w:szCs w:val="24"/>
        </w:rPr>
        <w:t>11/8/17</w:t>
      </w:r>
      <w:r w:rsidR="0093279F">
        <w:rPr>
          <w:rFonts w:ascii="Times New Roman" w:hAnsi="Times New Roman" w:cs="Times New Roman"/>
          <w:sz w:val="24"/>
          <w:szCs w:val="24"/>
        </w:rPr>
        <w:t>)</w:t>
      </w:r>
    </w:p>
    <w:p w:rsidR="004C136B" w:rsidRDefault="004C136B" w:rsidP="00243444">
      <w:pPr>
        <w:spacing w:line="240" w:lineRule="auto"/>
        <w:jc w:val="both"/>
        <w:rPr>
          <w:rFonts w:ascii="Times New Roman" w:hAnsi="Times New Roman" w:cs="Times New Roman"/>
          <w:sz w:val="24"/>
          <w:szCs w:val="24"/>
        </w:rPr>
      </w:pPr>
    </w:p>
    <w:p w:rsidR="00243444" w:rsidRDefault="0093279F" w:rsidP="0024344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43444">
        <w:rPr>
          <w:noProof/>
          <w:lang w:eastAsia="es-ES"/>
        </w:rPr>
        <w:drawing>
          <wp:inline distT="0" distB="0" distL="0" distR="0" wp14:anchorId="1F2ACE34" wp14:editId="483574A9">
            <wp:extent cx="3429000" cy="2444750"/>
            <wp:effectExtent l="0" t="0" r="0" b="0"/>
            <wp:docPr id="655" name="Imagen 655" descr="España lidera el crecimiento de 'ninis'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paña lidera el crecimiento de 'ninis' en Europa"/>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29000" cy="2444750"/>
                    </a:xfrm>
                    <a:prstGeom prst="rect">
                      <a:avLst/>
                    </a:prstGeom>
                    <a:noFill/>
                    <a:ln>
                      <a:noFill/>
                    </a:ln>
                  </pic:spPr>
                </pic:pic>
              </a:graphicData>
            </a:graphic>
          </wp:inline>
        </w:drawing>
      </w:r>
    </w:p>
    <w:p w:rsidR="004C136B" w:rsidRDefault="004C136B" w:rsidP="00243444">
      <w:pPr>
        <w:spacing w:line="240" w:lineRule="auto"/>
        <w:jc w:val="both"/>
        <w:rPr>
          <w:rFonts w:ascii="Times New Roman" w:hAnsi="Times New Roman" w:cs="Times New Roman"/>
          <w:sz w:val="24"/>
          <w:szCs w:val="24"/>
        </w:rPr>
      </w:pPr>
    </w:p>
    <w:p w:rsidR="00243444" w:rsidRPr="00D95B3C" w:rsidRDefault="00243444" w:rsidP="00243444">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Solo en Chipre los ninis han crecido más que en España durante los años citados (del 9% al 22,7%). Si bien, en términos absolutos, Italia es, con diferencia, el país europeo con más proporción de ninis, casi uno de cada tres jóvenes de entre 20 y 24 años lo es (un 29,1%).</w:t>
      </w:r>
    </w:p>
    <w:p w:rsidR="00243444" w:rsidRPr="00D95B3C" w:rsidRDefault="00243444" w:rsidP="00243444">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No obstante, esta no es la tónica en toda la UE, también hay un buen número de Estados miembros dónde los ninis han disminuido entre 2006 y 2016. Bulgaria, a pesar de estar entre los países con más ninis (el 22,7%) es el país que más ha recortado el colectivo en el tiempo analizado (6,6 puntos porcentuales menos). En el descenso del número de ninis le siguen Alemania, Polonia y Suecia.</w:t>
      </w:r>
    </w:p>
    <w:p w:rsidR="00243444" w:rsidRDefault="00243444" w:rsidP="00243444">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En tot</w:t>
      </w:r>
      <w:r w:rsidR="0093279F">
        <w:rPr>
          <w:rFonts w:ascii="Times New Roman" w:hAnsi="Times New Roman" w:cs="Times New Roman"/>
          <w:sz w:val="24"/>
          <w:szCs w:val="24"/>
        </w:rPr>
        <w:t xml:space="preserve">al, Eurostat ha certificado </w:t>
      </w:r>
      <w:r w:rsidRPr="00D95B3C">
        <w:rPr>
          <w:rFonts w:ascii="Times New Roman" w:hAnsi="Times New Roman" w:cs="Times New Roman"/>
          <w:sz w:val="24"/>
          <w:szCs w:val="24"/>
        </w:rPr>
        <w:t>que en volumen de ninis se incrementa notablemente con la edad: mientras que en el grupo de jóvenes de entre 15 y 19 años solo un 6,1% ni estudia ni trabaja, los ninis llegan a ser casi el 19% entre aquellos que tienen entre 25 y 29 años.</w:t>
      </w:r>
    </w:p>
    <w:p w:rsidR="00243444" w:rsidRPr="005951EF" w:rsidRDefault="00243444" w:rsidP="00243444">
      <w:pPr>
        <w:spacing w:line="240" w:lineRule="auto"/>
        <w:jc w:val="both"/>
        <w:rPr>
          <w:rFonts w:ascii="Times New Roman" w:hAnsi="Times New Roman" w:cs="Times New Roman"/>
          <w:sz w:val="24"/>
          <w:szCs w:val="24"/>
        </w:rPr>
      </w:pPr>
      <w:r w:rsidRPr="005951EF">
        <w:rPr>
          <w:rFonts w:ascii="Times New Roman" w:hAnsi="Times New Roman" w:cs="Times New Roman"/>
          <w:sz w:val="24"/>
          <w:szCs w:val="24"/>
        </w:rPr>
        <w:t>En el conjunto de la UE hay casi cinco millones de jóvenes de entre 20 y 24 años que ni estudian ni trabajan, que representan el 16,7% del total. La tasa se reduce hasta el 6,1% entre los jóvenes con entre 15 y 19 años y se incrementa hasta el 18,8% para aquellos con una edad comprend</w:t>
      </w:r>
      <w:r>
        <w:rPr>
          <w:rFonts w:ascii="Times New Roman" w:hAnsi="Times New Roman" w:cs="Times New Roman"/>
          <w:sz w:val="24"/>
          <w:szCs w:val="24"/>
        </w:rPr>
        <w:t>ida entre los 25 y los 29 años.</w:t>
      </w:r>
    </w:p>
    <w:p w:rsidR="00243444" w:rsidRDefault="00243444" w:rsidP="00243444">
      <w:pPr>
        <w:spacing w:line="240" w:lineRule="auto"/>
        <w:jc w:val="both"/>
        <w:rPr>
          <w:rFonts w:ascii="Times New Roman" w:hAnsi="Times New Roman" w:cs="Times New Roman"/>
          <w:sz w:val="24"/>
          <w:szCs w:val="24"/>
        </w:rPr>
      </w:pPr>
      <w:r w:rsidRPr="005951EF">
        <w:rPr>
          <w:rFonts w:ascii="Times New Roman" w:hAnsi="Times New Roman" w:cs="Times New Roman"/>
          <w:sz w:val="24"/>
          <w:szCs w:val="24"/>
        </w:rPr>
        <w:lastRenderedPageBreak/>
        <w:t>El país europeo con u</w:t>
      </w:r>
      <w:r w:rsidR="0093279F">
        <w:rPr>
          <w:rFonts w:ascii="Times New Roman" w:hAnsi="Times New Roman" w:cs="Times New Roman"/>
          <w:sz w:val="24"/>
          <w:szCs w:val="24"/>
        </w:rPr>
        <w:t>na mayor proporción de jóvenes “ninis”</w:t>
      </w:r>
      <w:r w:rsidRPr="005951EF">
        <w:rPr>
          <w:rFonts w:ascii="Times New Roman" w:hAnsi="Times New Roman" w:cs="Times New Roman"/>
          <w:sz w:val="24"/>
          <w:szCs w:val="24"/>
        </w:rPr>
        <w:t xml:space="preserve"> entre 20 y 24 años es Italia, con un 29,1%, seguido de Rumanía (23,6%) y Grecia (23%). Tras ellos se sitúan Bu</w:t>
      </w:r>
      <w:r w:rsidR="0093279F">
        <w:rPr>
          <w:rFonts w:ascii="Times New Roman" w:hAnsi="Times New Roman" w:cs="Times New Roman"/>
          <w:sz w:val="24"/>
          <w:szCs w:val="24"/>
        </w:rPr>
        <w:t>l</w:t>
      </w:r>
      <w:r w:rsidRPr="005951EF">
        <w:rPr>
          <w:rFonts w:ascii="Times New Roman" w:hAnsi="Times New Roman" w:cs="Times New Roman"/>
          <w:sz w:val="24"/>
          <w:szCs w:val="24"/>
        </w:rPr>
        <w:t>garia y Chipre (un 22,7% cada uno) y España, que ocupa la sexta posición con un porcentaje del 21,2%.</w:t>
      </w:r>
    </w:p>
    <w:p w:rsidR="002E6C87" w:rsidRPr="002E6C87" w:rsidRDefault="002E6C87" w:rsidP="002E6C87">
      <w:pPr>
        <w:pStyle w:val="NormalWeb"/>
        <w:spacing w:before="0" w:beforeAutospacing="0" w:after="0" w:afterAutospacing="0"/>
        <w:jc w:val="both"/>
        <w:textAlignment w:val="baseline"/>
        <w:rPr>
          <w:i/>
        </w:rPr>
      </w:pPr>
      <w:r>
        <w:rPr>
          <w:i/>
        </w:rPr>
        <w:t>“</w:t>
      </w:r>
      <w:r w:rsidRPr="002E6C87">
        <w:rPr>
          <w:i/>
        </w:rPr>
        <w:t>La “generación más preparada” de España es también la </w:t>
      </w:r>
      <w:hyperlink r:id="rId37" w:tgtFrame="_self" w:history="1">
        <w:r w:rsidRPr="002E6C87">
          <w:rPr>
            <w:rStyle w:val="Hipervnculo"/>
            <w:bCs/>
            <w:i/>
            <w:color w:val="auto"/>
            <w:u w:val="none"/>
          </w:rPr>
          <w:t>“</w:t>
        </w:r>
      </w:hyperlink>
      <w:r w:rsidR="00A0289A">
        <w:rPr>
          <w:rStyle w:val="Hipervnculo"/>
          <w:bCs/>
          <w:i/>
          <w:color w:val="auto"/>
          <w:u w:val="none"/>
        </w:rPr>
        <w:t>generación perdida”</w:t>
      </w:r>
      <w:r w:rsidR="00A0289A" w:rsidRPr="00A0289A">
        <w:rPr>
          <w:rStyle w:val="Hipervnculo"/>
          <w:bCs/>
          <w:i/>
          <w:color w:val="auto"/>
          <w:u w:val="none"/>
        </w:rPr>
        <w:t>.</w:t>
      </w:r>
      <w:r w:rsidRPr="002E6C87">
        <w:rPr>
          <w:i/>
        </w:rPr>
        <w:t xml:space="preserve"> Nadie se ha escapado de escuchar estos dos tópicos durante los 10 años que van de crisis, pero en pocas ocasiones han estado apoyados con datos. ¿Cuál es la verdadera situación de España? ¿Está peor que otros países en “</w:t>
      </w:r>
      <w:r w:rsidRPr="002E6C87">
        <w:rPr>
          <w:rStyle w:val="Textoennegrita"/>
          <w:b w:val="0"/>
          <w:i/>
          <w:bdr w:val="none" w:sz="0" w:space="0" w:color="auto" w:frame="1"/>
        </w:rPr>
        <w:t>talento desperdiciado</w:t>
      </w:r>
      <w:r w:rsidRPr="002E6C87">
        <w:rPr>
          <w:i/>
        </w:rPr>
        <w:t>”? Eurostat ha realizado un estudio sobre la evolución de la sobrecualificación por sectores y los resultados son contundentes: España ocupa los peores puestos en casi todos los listados, </w:t>
      </w:r>
      <w:r w:rsidRPr="002E6C87">
        <w:rPr>
          <w:rStyle w:val="Textoennegrita"/>
          <w:b w:val="0"/>
          <w:i/>
          <w:bdr w:val="none" w:sz="0" w:space="0" w:color="auto" w:frame="1"/>
        </w:rPr>
        <w:t>habitualmente el peor</w:t>
      </w:r>
      <w:r>
        <w:rPr>
          <w:rStyle w:val="Textoennegrita"/>
          <w:b w:val="0"/>
          <w:i/>
          <w:bdr w:val="none" w:sz="0" w:space="0" w:color="auto" w:frame="1"/>
        </w:rPr>
        <w:t>”..</w:t>
      </w:r>
      <w:r w:rsidRPr="002E6C87">
        <w:rPr>
          <w:i/>
        </w:rPr>
        <w:t>.</w:t>
      </w:r>
      <w:r>
        <w:rPr>
          <w:i/>
        </w:rPr>
        <w:t xml:space="preserve"> </w:t>
      </w:r>
      <w:r w:rsidRPr="00A953DD">
        <w:rPr>
          <w:u w:val="single"/>
        </w:rPr>
        <w:t>España es el país de Europa con más universitarios en trabajos sin cualificación</w:t>
      </w:r>
      <w:r>
        <w:t xml:space="preserve"> (El Confidencial - </w:t>
      </w:r>
      <w:r w:rsidRPr="008C00AC">
        <w:rPr>
          <w:b/>
        </w:rPr>
        <w:t>14/8/17</w:t>
      </w:r>
      <w:r>
        <w:t>)</w:t>
      </w:r>
    </w:p>
    <w:p w:rsidR="002E6C87" w:rsidRPr="002E6C87" w:rsidRDefault="002E6C87" w:rsidP="002E6C87">
      <w:pPr>
        <w:pStyle w:val="NormalWeb"/>
        <w:spacing w:before="0" w:beforeAutospacing="0" w:after="0" w:afterAutospacing="0"/>
        <w:jc w:val="both"/>
        <w:textAlignment w:val="baseline"/>
        <w:rPr>
          <w:i/>
        </w:rPr>
      </w:pPr>
    </w:p>
    <w:p w:rsidR="002E6C87" w:rsidRPr="002E6C87" w:rsidRDefault="002E6C87" w:rsidP="002E6C87">
      <w:pPr>
        <w:pStyle w:val="NormalWeb"/>
        <w:spacing w:before="0" w:beforeAutospacing="0" w:after="0" w:afterAutospacing="0"/>
        <w:jc w:val="both"/>
        <w:textAlignment w:val="baseline"/>
      </w:pPr>
      <w:r w:rsidRPr="002E6C87">
        <w:t>Los </w:t>
      </w:r>
      <w:hyperlink r:id="rId38" w:tgtFrame="_self" w:history="1">
        <w:r w:rsidRPr="002E6C87">
          <w:rPr>
            <w:rStyle w:val="Hipervnculo"/>
            <w:bCs/>
            <w:color w:val="auto"/>
            <w:u w:val="none"/>
          </w:rPr>
          <w:t>trabajadores</w:t>
        </w:r>
      </w:hyperlink>
      <w:r w:rsidRPr="002E6C87">
        <w:t> españoles tienen un nivel formativo elevado en comparación con la media europea, pero lo más preocupante es que no </w:t>
      </w:r>
      <w:r w:rsidRPr="002E6C87">
        <w:rPr>
          <w:rStyle w:val="Textoennegrita"/>
          <w:b w:val="0"/>
          <w:bdr w:val="none" w:sz="0" w:space="0" w:color="auto" w:frame="1"/>
        </w:rPr>
        <w:t>encuentran un empleo adecuado a su cualificación</w:t>
      </w:r>
      <w:r w:rsidRPr="002E6C87">
        <w:t> y terminan ocupando puestos para los que no hubiesen necesitado esa titulación. Es el problema de la </w:t>
      </w:r>
      <w:r w:rsidRPr="002E6C87">
        <w:rPr>
          <w:rStyle w:val="Textoennegrita"/>
          <w:b w:val="0"/>
          <w:bdr w:val="none" w:sz="0" w:space="0" w:color="auto" w:frame="1"/>
        </w:rPr>
        <w:t>sobrecualificación</w:t>
      </w:r>
      <w:r w:rsidRPr="002E6C87">
        <w:t>: después de una fuerte inversión en formación (tanto privada como pública), los alumnos no encuentran una salida al mercado laboral que esté a la altura de su preparación.</w:t>
      </w:r>
    </w:p>
    <w:p w:rsidR="002E6C87" w:rsidRPr="002E6C87" w:rsidRDefault="002E6C87"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t>España sobresale en todos los sectores, y en ninguno para bien. Las tasas de sobrecualificación </w:t>
      </w:r>
      <w:r w:rsidRPr="002E6C87">
        <w:rPr>
          <w:rStyle w:val="Textoennegrita"/>
          <w:b w:val="0"/>
          <w:bdr w:val="none" w:sz="0" w:space="0" w:color="auto" w:frame="1"/>
        </w:rPr>
        <w:t>superan ampliamente al conjunto de la Unión Europea</w:t>
      </w:r>
      <w:r w:rsidRPr="002E6C87">
        <w:t>. </w:t>
      </w:r>
      <w:hyperlink r:id="rId39" w:tgtFrame="_blank" w:history="1">
        <w:r w:rsidRPr="002E6C87">
          <w:rPr>
            <w:rStyle w:val="Hipervnculo"/>
            <w:bCs/>
            <w:color w:val="auto"/>
            <w:u w:val="none"/>
          </w:rPr>
          <w:t>Eurostat</w:t>
        </w:r>
      </w:hyperlink>
      <w:r w:rsidRPr="002E6C87">
        <w:t> mide el porcentaje de trabajadores con estudios superiores (licenciatura) en cada sector y cuántos de ellos</w:t>
      </w:r>
      <w:r w:rsidRPr="002E6C87">
        <w:rPr>
          <w:rStyle w:val="Textoennegrita"/>
          <w:b w:val="0"/>
          <w:bdr w:val="none" w:sz="0" w:space="0" w:color="auto" w:frame="1"/>
        </w:rPr>
        <w:t> no necesitan tal cualificación</w:t>
      </w:r>
      <w:r w:rsidRPr="002E6C87">
        <w:t> para el puesto que desempeñan, con datos de 2016.</w:t>
      </w:r>
    </w:p>
    <w:p w:rsidR="002E6C87" w:rsidRPr="002E6C87" w:rsidRDefault="002E6C87" w:rsidP="002E6C87">
      <w:pPr>
        <w:pStyle w:val="NormalWeb"/>
        <w:spacing w:before="0" w:beforeAutospacing="0" w:after="0" w:afterAutospacing="0"/>
        <w:jc w:val="both"/>
        <w:textAlignment w:val="baseline"/>
      </w:pPr>
    </w:p>
    <w:p w:rsidR="002E6C87" w:rsidRDefault="002E6C87" w:rsidP="002E6C87">
      <w:pPr>
        <w:pStyle w:val="NormalWeb"/>
        <w:spacing w:before="0" w:beforeAutospacing="0" w:after="0" w:afterAutospacing="0"/>
        <w:jc w:val="both"/>
        <w:textAlignment w:val="baseline"/>
      </w:pPr>
      <w:r w:rsidRPr="002E6C87">
        <w:t>El caso más grave ocurre en el sector del </w:t>
      </w:r>
      <w:r w:rsidRPr="002E6C87">
        <w:rPr>
          <w:rStyle w:val="Textoennegrita"/>
          <w:b w:val="0"/>
          <w:bdr w:val="none" w:sz="0" w:space="0" w:color="auto" w:frame="1"/>
        </w:rPr>
        <w:t>transporte y almacenamiento</w:t>
      </w:r>
      <w:r w:rsidRPr="002E6C87">
        <w:t>. Los datos son contundentes: el </w:t>
      </w:r>
      <w:r w:rsidRPr="002E6C87">
        <w:rPr>
          <w:rStyle w:val="Textoennegrita"/>
          <w:b w:val="0"/>
          <w:bdr w:val="none" w:sz="0" w:space="0" w:color="auto" w:frame="1"/>
        </w:rPr>
        <w:t>70,5%</w:t>
      </w:r>
      <w:r w:rsidRPr="002E6C87">
        <w:t> de los trabajadores con estudios de este sector ocupaba puestos que no requerían esa cualificación. Por ejemplo, un ingeniero trabajando de almacenista. Esto significa que menos de un 30% de los trabajadores del sector con estudios tiene un empleo que requiera una licenciatura o incluso una titulación superior.</w:t>
      </w:r>
    </w:p>
    <w:p w:rsidR="00A0289A" w:rsidRPr="002E6C87" w:rsidRDefault="00A0289A"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rPr>
          <w:noProof/>
        </w:rPr>
        <w:drawing>
          <wp:inline distT="0" distB="0" distL="0" distR="0" wp14:anchorId="45C95415" wp14:editId="57AB778E">
            <wp:extent cx="5731771" cy="3181350"/>
            <wp:effectExtent l="0" t="0" r="254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181205"/>
                    </a:xfrm>
                    <a:prstGeom prst="rect">
                      <a:avLst/>
                    </a:prstGeom>
                  </pic:spPr>
                </pic:pic>
              </a:graphicData>
            </a:graphic>
          </wp:inline>
        </w:drawing>
      </w:r>
    </w:p>
    <w:p w:rsidR="002E6C87" w:rsidRPr="002E6C87" w:rsidRDefault="002E6C87"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t>La media europea por países está en el 43%, esto es, un </w:t>
      </w:r>
      <w:r w:rsidRPr="002E6C87">
        <w:rPr>
          <w:rStyle w:val="Textoennegrita"/>
          <w:b w:val="0"/>
          <w:bdr w:val="none" w:sz="0" w:space="0" w:color="auto" w:frame="1"/>
        </w:rPr>
        <w:t>27% menos que España</w:t>
      </w:r>
      <w:r w:rsidRPr="002E6C87">
        <w:t>. El segundo país que está también lejos de España: es Finlandia, con un porcentaje de sobrecualificación que no alcanza el 64%. Después de tantos años de estudio para obtener un título superior, el mercado laboral ofrece a los trabajadores puestos de bajo nivel. Se unen aquí dos problemas. Por un lado, el </w:t>
      </w:r>
      <w:r w:rsidRPr="002E6C87">
        <w:rPr>
          <w:rStyle w:val="Textoennegrita"/>
          <w:b w:val="0"/>
          <w:bdr w:val="none" w:sz="0" w:space="0" w:color="auto" w:frame="1"/>
        </w:rPr>
        <w:t>bajo valor añadido</w:t>
      </w:r>
      <w:r w:rsidRPr="002E6C87">
        <w:t> del tejido productivo español, que tras la crisis ha pasado a competir en precio y no en calidad, un proceso que tiene nombre propio: </w:t>
      </w:r>
      <w:r w:rsidRPr="002E6C87">
        <w:rPr>
          <w:rStyle w:val="Textoennegrita"/>
          <w:b w:val="0"/>
          <w:bdr w:val="none" w:sz="0" w:space="0" w:color="auto" w:frame="1"/>
        </w:rPr>
        <w:t>devaluación salarial</w:t>
      </w:r>
      <w:r w:rsidRPr="002E6C87">
        <w:t>. Y, por otro, la </w:t>
      </w:r>
      <w:r w:rsidRPr="002E6C87">
        <w:rPr>
          <w:rStyle w:val="Textoennegrita"/>
          <w:b w:val="0"/>
          <w:bdr w:val="none" w:sz="0" w:space="0" w:color="auto" w:frame="1"/>
        </w:rPr>
        <w:t>mala </w:t>
      </w:r>
      <w:hyperlink r:id="rId41" w:tgtFrame="_self" w:history="1">
        <w:r w:rsidRPr="002E6C87">
          <w:rPr>
            <w:rStyle w:val="Hipervnculo"/>
            <w:bCs/>
            <w:color w:val="auto"/>
            <w:u w:val="none"/>
            <w:bdr w:val="none" w:sz="0" w:space="0" w:color="auto" w:frame="1"/>
          </w:rPr>
          <w:t>adaptación de los jóvenes</w:t>
        </w:r>
      </w:hyperlink>
      <w:r w:rsidRPr="002E6C87">
        <w:t> al mercado laboral, con titulaciones que no son las más demandadas.</w:t>
      </w:r>
    </w:p>
    <w:p w:rsidR="002E6C87" w:rsidRPr="002E6C87" w:rsidRDefault="002E6C87" w:rsidP="002E6C87">
      <w:pPr>
        <w:pStyle w:val="NormalWeb"/>
        <w:spacing w:before="0" w:beforeAutospacing="0" w:after="0" w:afterAutospacing="0"/>
        <w:jc w:val="both"/>
        <w:textAlignment w:val="baseline"/>
      </w:pPr>
    </w:p>
    <w:p w:rsidR="002E6C87" w:rsidRPr="00A0289A" w:rsidRDefault="002E6C87" w:rsidP="002E6C87">
      <w:pPr>
        <w:pStyle w:val="Ttulo4"/>
        <w:spacing w:before="0" w:line="240" w:lineRule="auto"/>
        <w:jc w:val="both"/>
        <w:textAlignment w:val="baseline"/>
        <w:rPr>
          <w:rFonts w:ascii="Times New Roman" w:hAnsi="Times New Roman" w:cs="Times New Roman"/>
          <w:b w:val="0"/>
          <w:i w:val="0"/>
          <w:color w:val="auto"/>
          <w:sz w:val="24"/>
          <w:szCs w:val="24"/>
        </w:rPr>
      </w:pPr>
      <w:r w:rsidRPr="00A0289A">
        <w:rPr>
          <w:rFonts w:ascii="Times New Roman" w:hAnsi="Times New Roman" w:cs="Times New Roman"/>
          <w:b w:val="0"/>
          <w:i w:val="0"/>
          <w:color w:val="auto"/>
          <w:sz w:val="24"/>
          <w:szCs w:val="24"/>
        </w:rPr>
        <w:t>De la universidad a la fábrica</w:t>
      </w:r>
    </w:p>
    <w:p w:rsidR="002E6C87" w:rsidRPr="002E6C87" w:rsidRDefault="002E6C87"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t>España ocupa el primer puesto en sobrecualificación en los principales sectores de obra de </w:t>
      </w:r>
      <w:hyperlink r:id="rId42" w:tgtFrame="_self" w:history="1">
        <w:r w:rsidRPr="002E6C87">
          <w:rPr>
            <w:rStyle w:val="Hipervnculo"/>
            <w:bCs/>
            <w:color w:val="auto"/>
            <w:u w:val="none"/>
          </w:rPr>
          <w:t>baja formación</w:t>
        </w:r>
      </w:hyperlink>
      <w:r w:rsidRPr="002E6C87">
        <w:t>. Un buen ejemplo es la </w:t>
      </w:r>
      <w:r w:rsidRPr="002E6C87">
        <w:rPr>
          <w:rStyle w:val="Textoennegrita"/>
          <w:b w:val="0"/>
          <w:bdr w:val="none" w:sz="0" w:space="0" w:color="auto" w:frame="1"/>
        </w:rPr>
        <w:t>construcción</w:t>
      </w:r>
      <w:r w:rsidRPr="002E6C87">
        <w:t>, donde el </w:t>
      </w:r>
      <w:r w:rsidRPr="002E6C87">
        <w:rPr>
          <w:rStyle w:val="Textoennegrita"/>
          <w:b w:val="0"/>
          <w:bdr w:val="none" w:sz="0" w:space="0" w:color="auto" w:frame="1"/>
        </w:rPr>
        <w:t>57,4%</w:t>
      </w:r>
      <w:r w:rsidRPr="002E6C87">
        <w:t> de los trabajadores con estudios ocupa puestos que no necesitan cualificación. Por ejemplo, un arquitecto como peón de obra. Suena extraño, pero las cifras son abrumadoras, casi doblan las de la media europea, que es del 29,5%.</w:t>
      </w:r>
    </w:p>
    <w:p w:rsidR="002E6C87" w:rsidRPr="002E6C87" w:rsidRDefault="002E6C87" w:rsidP="002E6C87">
      <w:pPr>
        <w:pStyle w:val="NormalWeb"/>
        <w:spacing w:before="0" w:beforeAutospacing="0" w:after="0" w:afterAutospacing="0"/>
        <w:jc w:val="both"/>
        <w:textAlignment w:val="baseline"/>
      </w:pPr>
    </w:p>
    <w:p w:rsidR="002E6C87" w:rsidRDefault="002E6C87" w:rsidP="002E6C87">
      <w:pPr>
        <w:pStyle w:val="NormalWeb"/>
        <w:spacing w:before="0" w:beforeAutospacing="0" w:after="0" w:afterAutospacing="0"/>
        <w:jc w:val="both"/>
        <w:textAlignment w:val="baseline"/>
      </w:pPr>
      <w:r w:rsidRPr="002E6C87">
        <w:t>En última instancia, no deja de ser e</w:t>
      </w:r>
      <w:r w:rsidR="00A0289A">
        <w:t>l trabajo que hay, “o lo tomas o lo dejas”</w:t>
      </w:r>
      <w:r w:rsidRPr="002E6C87">
        <w:t>. En el caso del sector de la </w:t>
      </w:r>
      <w:r w:rsidRPr="002E6C87">
        <w:rPr>
          <w:rStyle w:val="Textoennegrita"/>
          <w:b w:val="0"/>
          <w:bdr w:val="none" w:sz="0" w:space="0" w:color="auto" w:frame="1"/>
        </w:rPr>
        <w:t>industria manufacturera</w:t>
      </w:r>
      <w:r w:rsidRPr="002E6C87">
        <w:t>, el porcentaje de sobrecualificación alcanza el 48,6%, casi el doble que la media europea, que está en el 26,7%. Las fábricas se han llenado de universitarios, y también las tiendas del comercio minorista.</w:t>
      </w:r>
    </w:p>
    <w:p w:rsidR="00A0289A" w:rsidRPr="002E6C87" w:rsidRDefault="00A0289A"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rPr>
          <w:noProof/>
        </w:rPr>
        <w:drawing>
          <wp:inline distT="0" distB="0" distL="0" distR="0" wp14:anchorId="681658D4" wp14:editId="3C5A997A">
            <wp:extent cx="5727639" cy="3740150"/>
            <wp:effectExtent l="0" t="0" r="698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742678"/>
                    </a:xfrm>
                    <a:prstGeom prst="rect">
                      <a:avLst/>
                    </a:prstGeom>
                  </pic:spPr>
                </pic:pic>
              </a:graphicData>
            </a:graphic>
          </wp:inline>
        </w:drawing>
      </w:r>
    </w:p>
    <w:p w:rsidR="002E6C87" w:rsidRPr="002E6C87" w:rsidRDefault="002E6C87" w:rsidP="002E6C87">
      <w:pPr>
        <w:pStyle w:val="NormalWeb"/>
        <w:spacing w:before="0" w:beforeAutospacing="0" w:after="0" w:afterAutospacing="0"/>
        <w:jc w:val="both"/>
        <w:textAlignment w:val="baseline"/>
      </w:pPr>
    </w:p>
    <w:p w:rsidR="002E6C87" w:rsidRDefault="002E6C87" w:rsidP="002E6C87">
      <w:pPr>
        <w:pStyle w:val="NormalWeb"/>
        <w:spacing w:before="0" w:beforeAutospacing="0" w:after="0" w:afterAutospacing="0"/>
        <w:jc w:val="both"/>
        <w:textAlignment w:val="baseline"/>
      </w:pPr>
      <w:r w:rsidRPr="002E6C87">
        <w:t>Los países del este europeo rebajan la media, lo que hace que la distancia de la UE con España sea todavía mayor. En líneas generales, existe una correlación entre el </w:t>
      </w:r>
      <w:r w:rsidRPr="002E6C87">
        <w:rPr>
          <w:rStyle w:val="Textoennegrita"/>
          <w:b w:val="0"/>
          <w:bdr w:val="none" w:sz="0" w:space="0" w:color="auto" w:frame="1"/>
        </w:rPr>
        <w:t>nivel de formación</w:t>
      </w:r>
      <w:r w:rsidRPr="002E6C87">
        <w:t> de los trabajadores con el </w:t>
      </w:r>
      <w:r w:rsidRPr="002E6C87">
        <w:rPr>
          <w:rStyle w:val="Textoennegrita"/>
          <w:b w:val="0"/>
          <w:bdr w:val="none" w:sz="0" w:space="0" w:color="auto" w:frame="1"/>
        </w:rPr>
        <w:t>desarrollo económico</w:t>
      </w:r>
      <w:r w:rsidRPr="002E6C87">
        <w:t> del país. Esto provoc</w:t>
      </w:r>
      <w:r>
        <w:t>a que los primeros puestos del “ranking”</w:t>
      </w:r>
      <w:r w:rsidRPr="002E6C87">
        <w:t xml:space="preserve"> estén ocupados por los países del centro y oeste de la UE. Es lógico que al tener más porcentaje de trabajadores con título universitario, exista mayor </w:t>
      </w:r>
      <w:r w:rsidRPr="002E6C87">
        <w:lastRenderedPageBreak/>
        <w:t>sobrecualificación. Pero esto no es un consuelo para España, ya que supera habitualmente a todos sus vecinos, lo que refleja un gran </w:t>
      </w:r>
      <w:r w:rsidRPr="002E6C87">
        <w:rPr>
          <w:rStyle w:val="Textoennegrita"/>
          <w:b w:val="0"/>
          <w:bdr w:val="none" w:sz="0" w:space="0" w:color="auto" w:frame="1"/>
        </w:rPr>
        <w:t>desajuste entre la oferta de trabajo y la demanda</w:t>
      </w:r>
      <w:r w:rsidRPr="002E6C87">
        <w:t>.</w:t>
      </w:r>
    </w:p>
    <w:p w:rsidR="002E6C87" w:rsidRPr="002E6C87" w:rsidRDefault="002E6C87"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t>El sector del comercio minorista y la reparación de vehículos también está plagado de universitarios. En total, la sobrecualificación alcanza el </w:t>
      </w:r>
      <w:r w:rsidRPr="002E6C87">
        <w:rPr>
          <w:rStyle w:val="Textoennegrita"/>
          <w:b w:val="0"/>
          <w:bdr w:val="none" w:sz="0" w:space="0" w:color="auto" w:frame="1"/>
        </w:rPr>
        <w:t>64%</w:t>
      </w:r>
      <w:r w:rsidRPr="002E6C87">
        <w:t>, aunque en este sector España no es el peor país, sino el tercero, superado por Grecia (66,2%) y Chipre (66,5%). España también es el tercero en la </w:t>
      </w:r>
      <w:r w:rsidRPr="002E6C87">
        <w:rPr>
          <w:rStyle w:val="Textoennegrita"/>
          <w:b w:val="0"/>
          <w:bdr w:val="none" w:sz="0" w:space="0" w:color="auto" w:frame="1"/>
        </w:rPr>
        <w:t>Administración pública</w:t>
      </w:r>
      <w:r w:rsidRPr="002E6C87">
        <w:t>. Muchos universitarios encuentran un hueco entre los niveles bajos del empleo público que no requieren ninguna titulación. La sobrecualificación en este sector alcanza el </w:t>
      </w:r>
      <w:r w:rsidRPr="002E6C87">
        <w:rPr>
          <w:rStyle w:val="Textoennegrita"/>
          <w:b w:val="0"/>
          <w:bdr w:val="none" w:sz="0" w:space="0" w:color="auto" w:frame="1"/>
        </w:rPr>
        <w:t>38%</w:t>
      </w:r>
      <w:r w:rsidRPr="002E6C87">
        <w:t>, frente a la media europea del 19,7%.</w:t>
      </w:r>
    </w:p>
    <w:p w:rsidR="002E6C87" w:rsidRPr="002E6C87" w:rsidRDefault="002E6C87"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t>Eurostat ha elaborado esta estadística para ofrecer información a la Comisión Europea dentro de su </w:t>
      </w:r>
      <w:r w:rsidRPr="002E6C87">
        <w:rPr>
          <w:rStyle w:val="Textoennegrita"/>
          <w:b w:val="0"/>
          <w:bdr w:val="none" w:sz="0" w:space="0" w:color="auto" w:frame="1"/>
        </w:rPr>
        <w:t>Estrategia 2020</w:t>
      </w:r>
      <w:r w:rsidRPr="002E6C87">
        <w:t>. Uno de los objetivos que se ha fijado Bruselas es conseguir aproximar la </w:t>
      </w:r>
      <w:hyperlink r:id="rId44" w:tgtFrame="_self" w:history="1">
        <w:r w:rsidRPr="002E6C87">
          <w:rPr>
            <w:rStyle w:val="Hipervnculo"/>
            <w:bCs/>
            <w:color w:val="auto"/>
            <w:u w:val="none"/>
            <w:bdr w:val="none" w:sz="0" w:space="0" w:color="auto" w:frame="1"/>
          </w:rPr>
          <w:t>formación al mercado laboral</w:t>
        </w:r>
      </w:hyperlink>
      <w:r w:rsidRPr="002E6C87">
        <w:t> y fomentar la </w:t>
      </w:r>
      <w:r w:rsidRPr="002E6C87">
        <w:rPr>
          <w:rStyle w:val="Textoennegrita"/>
          <w:b w:val="0"/>
          <w:bdr w:val="none" w:sz="0" w:space="0" w:color="auto" w:frame="1"/>
        </w:rPr>
        <w:t>Formación Profesional</w:t>
      </w:r>
      <w:r w:rsidRPr="002E6C87">
        <w:t> (FP) como soluciones a las fricciones entre oferta y demanda de empleo. Todo con el objetivo de que los estudiantes reciban una formación óptima para acceder al mercado laboral.</w:t>
      </w:r>
    </w:p>
    <w:p w:rsidR="002E6C87" w:rsidRPr="002E6C87" w:rsidRDefault="002E6C87"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t>Los porcentajes de sobrecualificación se reducen en los sectores en los que es necesaria una </w:t>
      </w:r>
      <w:r w:rsidRPr="002E6C87">
        <w:rPr>
          <w:rStyle w:val="Textoennegrita"/>
          <w:b w:val="0"/>
          <w:bdr w:val="none" w:sz="0" w:space="0" w:color="auto" w:frame="1"/>
        </w:rPr>
        <w:t>titulación universitaria</w:t>
      </w:r>
      <w:r w:rsidRPr="002E6C87">
        <w:t>. Pero incluso en estos sectores, España se encuentra en los niveles más altos de sobrecualificación. Por ejemplo, entre las actividades </w:t>
      </w:r>
      <w:r w:rsidRPr="002E6C87">
        <w:rPr>
          <w:rStyle w:val="Textoennegrita"/>
          <w:b w:val="0"/>
          <w:bdr w:val="none" w:sz="0" w:space="0" w:color="auto" w:frame="1"/>
        </w:rPr>
        <w:t>científicas, técnicas y profesionales</w:t>
      </w:r>
      <w:r w:rsidRPr="002E6C87">
        <w:t>, el porcentaje de sobrecualificación alcanza el 13,5%, el segundo más alto de toda la UE, empatado con Francia y solo por detrás de Irlanda (15%).</w:t>
      </w:r>
    </w:p>
    <w:p w:rsidR="002E6C87" w:rsidRPr="002E6C87" w:rsidRDefault="002E6C87"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t>El único sector en el que no hay sobrecualificación es en el de la </w:t>
      </w:r>
      <w:r w:rsidRPr="002E6C87">
        <w:rPr>
          <w:rStyle w:val="Textoennegrita"/>
          <w:b w:val="0"/>
          <w:bdr w:val="none" w:sz="0" w:space="0" w:color="auto" w:frame="1"/>
        </w:rPr>
        <w:t>educación</w:t>
      </w:r>
      <w:r w:rsidRPr="002E6C87">
        <w:t>, ya que en este caso la mayor parte de los trabajos requiere una formación universitaria. El nivel de sobrecualificación de España cae hasta el 6,2%, muy cerca del 6% de media de la UE.</w:t>
      </w:r>
    </w:p>
    <w:p w:rsidR="002E6C87" w:rsidRPr="002E6C87" w:rsidRDefault="002E6C87" w:rsidP="002E6C87">
      <w:pPr>
        <w:pStyle w:val="NormalWeb"/>
        <w:spacing w:before="0" w:beforeAutospacing="0" w:after="0" w:afterAutospacing="0"/>
        <w:jc w:val="both"/>
        <w:textAlignment w:val="baseline"/>
      </w:pPr>
    </w:p>
    <w:p w:rsidR="00A0289A" w:rsidRDefault="002E6C87" w:rsidP="002E6C87">
      <w:pPr>
        <w:pStyle w:val="NormalWeb"/>
        <w:spacing w:before="0" w:beforeAutospacing="0" w:after="0" w:afterAutospacing="0"/>
        <w:jc w:val="both"/>
        <w:textAlignment w:val="baseline"/>
      </w:pPr>
      <w:r w:rsidRPr="002E6C87">
        <w:t>Es cierto que la sobrecualificación es un problema, ya que supone </w:t>
      </w:r>
      <w:r w:rsidRPr="002E6C87">
        <w:rPr>
          <w:rStyle w:val="Textoennegrita"/>
          <w:b w:val="0"/>
          <w:bdr w:val="none" w:sz="0" w:space="0" w:color="auto" w:frame="1"/>
        </w:rPr>
        <w:t>desperdiciar una inversión</w:t>
      </w:r>
      <w:r w:rsidRPr="002E6C87">
        <w:t> en formación y, además, generar fricciones entre la oferta y la demanda de empleo. Sin embargo, también es cierto que los universitarios encuentran empleo con mucha facilidad y, a raíz de los datos facilitados por Eurostat, se lo quitan a otros trabajadores que tienen un nivel de formación inferior.</w:t>
      </w:r>
    </w:p>
    <w:p w:rsidR="002E6C87" w:rsidRPr="002E6C87" w:rsidRDefault="002E6C87"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rPr>
          <w:noProof/>
        </w:rPr>
        <w:drawing>
          <wp:inline distT="0" distB="0" distL="0" distR="0" wp14:anchorId="7ABEBCB3" wp14:editId="025A2800">
            <wp:extent cx="5727700" cy="3130550"/>
            <wp:effectExtent l="0" t="0" r="635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132632"/>
                    </a:xfrm>
                    <a:prstGeom prst="rect">
                      <a:avLst/>
                    </a:prstGeom>
                  </pic:spPr>
                </pic:pic>
              </a:graphicData>
            </a:graphic>
          </wp:inline>
        </w:drawing>
      </w:r>
    </w:p>
    <w:p w:rsidR="002E6C87" w:rsidRPr="002E6C87" w:rsidRDefault="002E6C87" w:rsidP="002E6C87">
      <w:pPr>
        <w:pStyle w:val="NormalWeb"/>
        <w:spacing w:before="0" w:beforeAutospacing="0" w:after="0" w:afterAutospacing="0"/>
        <w:jc w:val="both"/>
        <w:textAlignment w:val="baseline"/>
      </w:pPr>
      <w:r w:rsidRPr="002E6C87">
        <w:lastRenderedPageBreak/>
        <w:t>Los datos de la </w:t>
      </w:r>
      <w:hyperlink r:id="rId46" w:tgtFrame="_blank" w:history="1">
        <w:r w:rsidRPr="002E6C87">
          <w:rPr>
            <w:rStyle w:val="Hipervnculo"/>
            <w:bCs/>
            <w:color w:val="auto"/>
            <w:u w:val="none"/>
          </w:rPr>
          <w:t>Encuesta de Población Activa</w:t>
        </w:r>
      </w:hyperlink>
      <w:r w:rsidRPr="002E6C87">
        <w:t> (EPA) son contundentes. La </w:t>
      </w:r>
      <w:r w:rsidRPr="002E6C87">
        <w:rPr>
          <w:rStyle w:val="Textoennegrita"/>
          <w:b w:val="0"/>
          <w:bdr w:val="none" w:sz="0" w:space="0" w:color="auto" w:frame="1"/>
        </w:rPr>
        <w:t>tasa de paro</w:t>
      </w:r>
      <w:r w:rsidRPr="002E6C87">
        <w:t> entre la población activa que tiene un título superior (FP superior o universitario) cayó en el segundo trimestre de este año, hasta el </w:t>
      </w:r>
      <w:r w:rsidRPr="002E6C87">
        <w:rPr>
          <w:rStyle w:val="Textoennegrita"/>
          <w:b w:val="0"/>
          <w:bdr w:val="none" w:sz="0" w:space="0" w:color="auto" w:frame="1"/>
        </w:rPr>
        <w:t>9,7%</w:t>
      </w:r>
      <w:r w:rsidRPr="002E6C87">
        <w:t>, esto es, casi la mitad que la tasa de paro del conjunto del país (17,2%). Y si es hombre universitario, apenas hay un 8% de paro, menos que en el conjunto de la eurozona, que es del 9,2%. Sin embargo, el porcentaje de desempleados aumenta rápidamente a medida que la formación se reduce, hasta llegar a la población</w:t>
      </w:r>
      <w:r w:rsidRPr="002E6C87">
        <w:rPr>
          <w:rStyle w:val="Textoennegrita"/>
          <w:b w:val="0"/>
          <w:bdr w:val="none" w:sz="0" w:space="0" w:color="auto" w:frame="1"/>
        </w:rPr>
        <w:t> sin estudios primarios</w:t>
      </w:r>
      <w:r w:rsidRPr="002E6C87">
        <w:t>, que tienen una tasa de paro del 33,5% y los </w:t>
      </w:r>
      <w:r w:rsidRPr="002E6C87">
        <w:rPr>
          <w:rStyle w:val="Textoennegrita"/>
          <w:b w:val="0"/>
          <w:bdr w:val="none" w:sz="0" w:space="0" w:color="auto" w:frame="1"/>
        </w:rPr>
        <w:t>analfabetos</w:t>
      </w:r>
      <w:r w:rsidRPr="002E6C87">
        <w:t>, para quienes supera el 41%.</w:t>
      </w:r>
    </w:p>
    <w:p w:rsidR="002E6C87" w:rsidRPr="002E6C87" w:rsidRDefault="002E6C87" w:rsidP="002E6C87">
      <w:pPr>
        <w:pStyle w:val="NormalWeb"/>
        <w:spacing w:before="0" w:beforeAutospacing="0" w:after="0" w:afterAutospacing="0"/>
        <w:jc w:val="both"/>
        <w:textAlignment w:val="baseline"/>
      </w:pPr>
    </w:p>
    <w:p w:rsidR="002E6C87" w:rsidRPr="002E6C87" w:rsidRDefault="002E6C87" w:rsidP="002E6C87">
      <w:pPr>
        <w:pStyle w:val="NormalWeb"/>
        <w:spacing w:before="0" w:beforeAutospacing="0" w:after="0" w:afterAutospacing="0"/>
        <w:jc w:val="both"/>
        <w:textAlignment w:val="baseline"/>
      </w:pPr>
      <w:r w:rsidRPr="002E6C87">
        <w:t>Está claro que para todos ellos es mejor ser un trabajador sobrecualificado, ya que tienen más fácil encontrar un empleo. De lo contrario, si su nivel de formación es justo para el puesto al que aspiran, es probable que se queden sin el empleo. Teniendo en cuenta esta estadística, es comprensible que los jóvenes quieran formarse mucho; </w:t>
      </w:r>
      <w:r w:rsidRPr="002E6C87">
        <w:rPr>
          <w:rStyle w:val="Textoennegrita"/>
          <w:b w:val="0"/>
          <w:bdr w:val="none" w:sz="0" w:space="0" w:color="auto" w:frame="1"/>
        </w:rPr>
        <w:t>mejor por exceso</w:t>
      </w:r>
      <w:r w:rsidRPr="002E6C87">
        <w:t> que por defecto. Sin embargo, esto genera </w:t>
      </w:r>
      <w:r w:rsidRPr="002E6C87">
        <w:rPr>
          <w:rStyle w:val="Textoennegrita"/>
          <w:b w:val="0"/>
          <w:bdr w:val="none" w:sz="0" w:space="0" w:color="auto" w:frame="1"/>
        </w:rPr>
        <w:t>frustraciones</w:t>
      </w:r>
      <w:r w:rsidRPr="002E6C87">
        <w:t> para los estudiantes que no consiguen un empleo a su altura e </w:t>
      </w:r>
      <w:r w:rsidRPr="002E6C87">
        <w:rPr>
          <w:rStyle w:val="Textoennegrita"/>
          <w:b w:val="0"/>
          <w:bdr w:val="none" w:sz="0" w:space="0" w:color="auto" w:frame="1"/>
        </w:rPr>
        <w:t>ineficiencias</w:t>
      </w:r>
      <w:r w:rsidRPr="002E6C87">
        <w:t> en el mercado laboral.</w:t>
      </w:r>
    </w:p>
    <w:p w:rsidR="002E6C87" w:rsidRPr="002E6C87" w:rsidRDefault="002E6C87" w:rsidP="002E6C87">
      <w:pPr>
        <w:pStyle w:val="NormalWeb"/>
        <w:spacing w:before="0" w:beforeAutospacing="0" w:after="0" w:afterAutospacing="0"/>
        <w:jc w:val="both"/>
        <w:textAlignment w:val="baseline"/>
      </w:pPr>
    </w:p>
    <w:p w:rsidR="002E6C87" w:rsidRDefault="002E6C87" w:rsidP="002E6C87">
      <w:pPr>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302AB4">
        <w:rPr>
          <w:rFonts w:ascii="Times New Roman" w:hAnsi="Times New Roman" w:cs="Times New Roman"/>
          <w:color w:val="1A1A1A"/>
          <w:sz w:val="24"/>
          <w:szCs w:val="24"/>
          <w:u w:val="single"/>
        </w:rPr>
        <w:t>El vicepresidente de la Fed advierte del riesgo de olvidar la situación que llevó a la crisis</w:t>
      </w:r>
      <w:r w:rsidR="00A0289A">
        <w:rPr>
          <w:rFonts w:ascii="Times New Roman" w:hAnsi="Times New Roman" w:cs="Times New Roman"/>
          <w:color w:val="1A1A1A"/>
          <w:sz w:val="24"/>
          <w:szCs w:val="24"/>
        </w:rPr>
        <w:t xml:space="preserve"> (Expansión - Financial Times</w:t>
      </w:r>
      <w:r>
        <w:rPr>
          <w:rFonts w:ascii="Times New Roman" w:hAnsi="Times New Roman" w:cs="Times New Roman"/>
          <w:color w:val="1A1A1A"/>
          <w:sz w:val="24"/>
          <w:szCs w:val="24"/>
        </w:rPr>
        <w:t xml:space="preserve"> - </w:t>
      </w:r>
      <w:r w:rsidRPr="00302AB4">
        <w:rPr>
          <w:rFonts w:ascii="Times New Roman" w:hAnsi="Times New Roman" w:cs="Times New Roman"/>
          <w:b/>
          <w:color w:val="1A1A1A"/>
          <w:sz w:val="24"/>
          <w:szCs w:val="24"/>
        </w:rPr>
        <w:t>17/8/17</w:t>
      </w:r>
      <w:r>
        <w:rPr>
          <w:rFonts w:ascii="Times New Roman" w:hAnsi="Times New Roman" w:cs="Times New Roman"/>
          <w:color w:val="1A1A1A"/>
          <w:sz w:val="24"/>
          <w:szCs w:val="24"/>
        </w:rPr>
        <w:t>)</w:t>
      </w:r>
    </w:p>
    <w:p w:rsidR="002E6C87" w:rsidRPr="007F6651" w:rsidRDefault="002E6C87" w:rsidP="002E6C87">
      <w:pPr>
        <w:spacing w:line="240" w:lineRule="auto"/>
        <w:jc w:val="both"/>
        <w:textAlignment w:val="baseline"/>
        <w:rPr>
          <w:rFonts w:ascii="Times New Roman" w:hAnsi="Times New Roman" w:cs="Times New Roman"/>
          <w:color w:val="1A1A1A"/>
          <w:sz w:val="24"/>
          <w:szCs w:val="24"/>
          <w:lang w:val="en-GB"/>
        </w:rPr>
      </w:pPr>
      <w:r w:rsidRPr="007F6651">
        <w:rPr>
          <w:rFonts w:ascii="Times New Roman" w:hAnsi="Times New Roman" w:cs="Times New Roman"/>
          <w:color w:val="1A1A1A"/>
          <w:sz w:val="24"/>
          <w:szCs w:val="24"/>
          <w:lang w:val="en-GB"/>
        </w:rPr>
        <w:t>(P</w:t>
      </w:r>
      <w:r w:rsidR="00A0289A" w:rsidRPr="007F6651">
        <w:rPr>
          <w:rFonts w:ascii="Times New Roman" w:hAnsi="Times New Roman" w:cs="Times New Roman"/>
          <w:color w:val="1A1A1A"/>
          <w:sz w:val="24"/>
          <w:szCs w:val="24"/>
          <w:lang w:val="en-GB"/>
        </w:rPr>
        <w:t>or Sam Fleming . Financial Times)</w:t>
      </w:r>
    </w:p>
    <w:p w:rsidR="002E6C87" w:rsidRPr="00F35C47" w:rsidRDefault="00A0289A" w:rsidP="002E6C87">
      <w:pPr>
        <w:spacing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2E6C87" w:rsidRPr="00F35C47">
        <w:rPr>
          <w:rFonts w:ascii="Times New Roman" w:hAnsi="Times New Roman" w:cs="Times New Roman"/>
          <w:color w:val="FF0000"/>
          <w:sz w:val="24"/>
          <w:szCs w:val="24"/>
          <w:u w:val="single"/>
        </w:rPr>
        <w:t>Diez años después, todo el mundo quiere volver a donde estábamos antes de la crisis. Creo</w:t>
      </w:r>
      <w:r>
        <w:rPr>
          <w:rFonts w:ascii="Times New Roman" w:hAnsi="Times New Roman" w:cs="Times New Roman"/>
          <w:color w:val="FF0000"/>
          <w:sz w:val="24"/>
          <w:szCs w:val="24"/>
          <w:u w:val="single"/>
        </w:rPr>
        <w:t xml:space="preserve"> que es tremendamente peligroso”</w:t>
      </w:r>
      <w:r w:rsidR="002E6C87" w:rsidRPr="00F35C47">
        <w:rPr>
          <w:rFonts w:ascii="Times New Roman" w:hAnsi="Times New Roman" w:cs="Times New Roman"/>
          <w:color w:val="FF0000"/>
          <w:sz w:val="24"/>
          <w:szCs w:val="24"/>
          <w:u w:val="single"/>
        </w:rPr>
        <w:t>, dijo Fischer.</w:t>
      </w:r>
    </w:p>
    <w:p w:rsidR="002E6C87" w:rsidRPr="00F35C47" w:rsidRDefault="002E6C87" w:rsidP="002E6C87">
      <w:pPr>
        <w:spacing w:line="240" w:lineRule="auto"/>
        <w:jc w:val="both"/>
        <w:textAlignment w:val="baseline"/>
        <w:rPr>
          <w:rFonts w:ascii="Times New Roman" w:hAnsi="Times New Roman" w:cs="Times New Roman"/>
          <w:color w:val="1A1A1A"/>
          <w:sz w:val="24"/>
          <w:szCs w:val="24"/>
          <w:u w:val="single"/>
        </w:rPr>
      </w:pPr>
      <w:r w:rsidRPr="00F35C47">
        <w:rPr>
          <w:rFonts w:ascii="Times New Roman" w:hAnsi="Times New Roman" w:cs="Times New Roman"/>
          <w:color w:val="1A1A1A"/>
          <w:sz w:val="24"/>
          <w:szCs w:val="24"/>
          <w:u w:val="single"/>
        </w:rPr>
        <w:t>Stanley Fischer, vicepresidente de la Fed, ha arremetido contra los intentos de cambiar las políticas diseñadas a raíz de la crisis que defienden una regulació</w:t>
      </w:r>
      <w:r w:rsidR="00A0289A">
        <w:rPr>
          <w:rFonts w:ascii="Times New Roman" w:hAnsi="Times New Roman" w:cs="Times New Roman"/>
          <w:color w:val="1A1A1A"/>
          <w:sz w:val="24"/>
          <w:szCs w:val="24"/>
          <w:u w:val="single"/>
        </w:rPr>
        <w:t>n más dura, asegurando que son “</w:t>
      </w:r>
      <w:r w:rsidRPr="00F35C47">
        <w:rPr>
          <w:rFonts w:ascii="Times New Roman" w:hAnsi="Times New Roman" w:cs="Times New Roman"/>
          <w:color w:val="1A1A1A"/>
          <w:sz w:val="24"/>
          <w:szCs w:val="24"/>
          <w:u w:val="single"/>
        </w:rPr>
        <w:t>p</w:t>
      </w:r>
      <w:r w:rsidR="00A0289A">
        <w:rPr>
          <w:rFonts w:ascii="Times New Roman" w:hAnsi="Times New Roman" w:cs="Times New Roman"/>
          <w:color w:val="1A1A1A"/>
          <w:sz w:val="24"/>
          <w:szCs w:val="24"/>
          <w:u w:val="single"/>
        </w:rPr>
        <w:t>eligrosos y muy cortos de miras”</w:t>
      </w:r>
      <w:r w:rsidRPr="00F35C47">
        <w:rPr>
          <w:rFonts w:ascii="Times New Roman" w:hAnsi="Times New Roman" w:cs="Times New Roman"/>
          <w:color w:val="1A1A1A"/>
          <w:sz w:val="24"/>
          <w:szCs w:val="24"/>
          <w:u w:val="single"/>
        </w:rPr>
        <w:t>.</w:t>
      </w:r>
    </w:p>
    <w:p w:rsidR="002E6C87" w:rsidRPr="00F35C47" w:rsidRDefault="002E6C87" w:rsidP="002E6C87">
      <w:pPr>
        <w:spacing w:line="240" w:lineRule="auto"/>
        <w:jc w:val="both"/>
        <w:textAlignment w:val="baseline"/>
        <w:rPr>
          <w:rFonts w:ascii="Times New Roman" w:hAnsi="Times New Roman" w:cs="Times New Roman"/>
          <w:color w:val="1A1A1A"/>
          <w:sz w:val="24"/>
          <w:szCs w:val="24"/>
          <w:u w:val="single"/>
        </w:rPr>
      </w:pPr>
      <w:r w:rsidRPr="00F35C47">
        <w:rPr>
          <w:rFonts w:ascii="Times New Roman" w:hAnsi="Times New Roman" w:cs="Times New Roman"/>
          <w:color w:val="1A1A1A"/>
          <w:sz w:val="24"/>
          <w:szCs w:val="24"/>
          <w:u w:val="single"/>
        </w:rPr>
        <w:t>En una entrevista a Financial Times, Fischer, Fischer aseguró que diez años después de la crisis todavía había indicios preocupantes de una vuelta a la situación que la precedió.</w:t>
      </w:r>
    </w:p>
    <w:p w:rsidR="002E6C87" w:rsidRPr="00F35C47" w:rsidRDefault="00A0289A" w:rsidP="002E6C87">
      <w:pPr>
        <w:spacing w:line="240" w:lineRule="auto"/>
        <w:jc w:val="both"/>
        <w:textAlignment w:val="baseline"/>
        <w:rPr>
          <w:rFonts w:ascii="Times New Roman" w:hAnsi="Times New Roman" w:cs="Times New Roman"/>
          <w:color w:val="1A1A1A"/>
          <w:sz w:val="24"/>
          <w:szCs w:val="24"/>
          <w:u w:val="single"/>
        </w:rPr>
      </w:pPr>
      <w:r>
        <w:rPr>
          <w:rFonts w:ascii="Times New Roman" w:hAnsi="Times New Roman" w:cs="Times New Roman"/>
          <w:color w:val="1A1A1A"/>
          <w:sz w:val="24"/>
          <w:szCs w:val="24"/>
        </w:rPr>
        <w:t>“</w:t>
      </w:r>
      <w:r w:rsidR="002E6C87" w:rsidRPr="00302AB4">
        <w:rPr>
          <w:rFonts w:ascii="Times New Roman" w:hAnsi="Times New Roman" w:cs="Times New Roman"/>
          <w:color w:val="1A1A1A"/>
          <w:sz w:val="24"/>
          <w:szCs w:val="24"/>
        </w:rPr>
        <w:t xml:space="preserve">Ochenta años después del crack de 1929 asistimos a otra crisis financiera que podría haber alcanzado la misma magnitud y ahora, diez años después, </w:t>
      </w:r>
      <w:r w:rsidR="002E6C87" w:rsidRPr="00F35C47">
        <w:rPr>
          <w:rFonts w:ascii="Times New Roman" w:hAnsi="Times New Roman" w:cs="Times New Roman"/>
          <w:color w:val="1A1A1A"/>
          <w:sz w:val="24"/>
          <w:szCs w:val="24"/>
          <w:u w:val="single"/>
        </w:rPr>
        <w:t>todo el mundo quiere volver a donde estábamos antes de la crisis. Creo</w:t>
      </w:r>
      <w:r>
        <w:rPr>
          <w:rFonts w:ascii="Times New Roman" w:hAnsi="Times New Roman" w:cs="Times New Roman"/>
          <w:color w:val="1A1A1A"/>
          <w:sz w:val="24"/>
          <w:szCs w:val="24"/>
          <w:u w:val="single"/>
        </w:rPr>
        <w:t xml:space="preserve"> que es tremendamente peligroso”</w:t>
      </w:r>
      <w:r w:rsidR="002E6C87" w:rsidRPr="00F35C47">
        <w:rPr>
          <w:rFonts w:ascii="Times New Roman" w:hAnsi="Times New Roman" w:cs="Times New Roman"/>
          <w:color w:val="1A1A1A"/>
          <w:sz w:val="24"/>
          <w:szCs w:val="24"/>
          <w:u w:val="single"/>
        </w:rPr>
        <w:t>, dijo Fischer.</w:t>
      </w:r>
    </w:p>
    <w:p w:rsidR="002E6C87" w:rsidRPr="00302AB4" w:rsidRDefault="002E6C87" w:rsidP="002E6C87">
      <w:pPr>
        <w:spacing w:line="240" w:lineRule="auto"/>
        <w:jc w:val="both"/>
        <w:textAlignment w:val="baseline"/>
        <w:rPr>
          <w:rFonts w:ascii="Times New Roman" w:hAnsi="Times New Roman" w:cs="Times New Roman"/>
          <w:color w:val="1A1A1A"/>
          <w:sz w:val="24"/>
          <w:szCs w:val="24"/>
        </w:rPr>
      </w:pPr>
      <w:r w:rsidRPr="00302AB4">
        <w:rPr>
          <w:rFonts w:ascii="Times New Roman" w:hAnsi="Times New Roman" w:cs="Times New Roman"/>
          <w:color w:val="1A1A1A"/>
          <w:sz w:val="24"/>
          <w:szCs w:val="24"/>
        </w:rPr>
        <w:t>El vicepresidente de la Fed apoyó las iniciativas destinadas a reducir la presión sobre los pequeños bancos, aunque dijo que la presión política en Washington para relajar las exigencias de los reguladores a las grand</w:t>
      </w:r>
      <w:r>
        <w:rPr>
          <w:rFonts w:ascii="Times New Roman" w:hAnsi="Times New Roman" w:cs="Times New Roman"/>
          <w:color w:val="1A1A1A"/>
          <w:sz w:val="24"/>
          <w:szCs w:val="24"/>
        </w:rPr>
        <w:t>es entidades tiene sus riesgos.</w:t>
      </w:r>
    </w:p>
    <w:p w:rsidR="002E6C87" w:rsidRPr="00F35C47" w:rsidRDefault="002E6C87" w:rsidP="002E6C87">
      <w:pPr>
        <w:spacing w:line="240" w:lineRule="auto"/>
        <w:jc w:val="both"/>
        <w:textAlignment w:val="baseline"/>
        <w:rPr>
          <w:rFonts w:ascii="Times New Roman" w:hAnsi="Times New Roman" w:cs="Times New Roman"/>
          <w:color w:val="1A1A1A"/>
          <w:sz w:val="24"/>
          <w:szCs w:val="24"/>
          <w:u w:val="single"/>
        </w:rPr>
      </w:pPr>
      <w:r w:rsidRPr="00F35C47">
        <w:rPr>
          <w:rFonts w:ascii="Times New Roman" w:hAnsi="Times New Roman" w:cs="Times New Roman"/>
          <w:color w:val="1A1A1A"/>
          <w:sz w:val="24"/>
          <w:szCs w:val="24"/>
          <w:u w:val="single"/>
        </w:rPr>
        <w:t>Los políticos republicanos han pedido una relajación de los requisitos de capital a las entidades financieras porque creen que obstaculizan la capacidad de conceder créditos de los bancos.</w:t>
      </w:r>
    </w:p>
    <w:p w:rsidR="002E6C87" w:rsidRPr="00F35C47" w:rsidRDefault="002E6C87" w:rsidP="002E6C87">
      <w:pPr>
        <w:spacing w:line="240" w:lineRule="auto"/>
        <w:jc w:val="both"/>
        <w:textAlignment w:val="baseline"/>
        <w:rPr>
          <w:rFonts w:ascii="Times New Roman" w:hAnsi="Times New Roman" w:cs="Times New Roman"/>
          <w:color w:val="FF0000"/>
          <w:sz w:val="24"/>
          <w:szCs w:val="24"/>
          <w:u w:val="single"/>
        </w:rPr>
      </w:pPr>
      <w:r w:rsidRPr="00F35C47">
        <w:rPr>
          <w:rFonts w:ascii="Times New Roman" w:hAnsi="Times New Roman" w:cs="Times New Roman"/>
          <w:color w:val="FF0000"/>
          <w:sz w:val="24"/>
          <w:szCs w:val="24"/>
          <w:u w:val="single"/>
        </w:rPr>
        <w:t>En junio de este año, el Departamento del Tesoro de EEUU publicó un informe de 147 páginas en el que recomendaba, entre otras cosas, cambiar la frecuencia y la exigencia de los test de estrés a los grandes bancos.</w:t>
      </w:r>
    </w:p>
    <w:p w:rsidR="002E6C87" w:rsidRPr="00F35C47" w:rsidRDefault="002E6C87" w:rsidP="002E6C87">
      <w:pPr>
        <w:spacing w:line="240" w:lineRule="auto"/>
        <w:jc w:val="both"/>
        <w:textAlignment w:val="baseline"/>
        <w:rPr>
          <w:rFonts w:ascii="Times New Roman" w:hAnsi="Times New Roman" w:cs="Times New Roman"/>
          <w:color w:val="FF0000"/>
          <w:sz w:val="24"/>
          <w:szCs w:val="24"/>
          <w:u w:val="single"/>
        </w:rPr>
      </w:pPr>
      <w:r w:rsidRPr="00F35C47">
        <w:rPr>
          <w:rFonts w:ascii="Times New Roman" w:hAnsi="Times New Roman" w:cs="Times New Roman"/>
          <w:color w:val="FF0000"/>
          <w:sz w:val="24"/>
          <w:szCs w:val="24"/>
          <w:u w:val="single"/>
        </w:rPr>
        <w:t>Fischer, sin embargo, critica todos esos llamamientos a relajar los requisitos de los reguladores y los test de estrés, e insiste en que la presión para relajar la normativa im</w:t>
      </w:r>
      <w:r w:rsidR="00A0289A">
        <w:rPr>
          <w:rFonts w:ascii="Times New Roman" w:hAnsi="Times New Roman" w:cs="Times New Roman"/>
          <w:color w:val="FF0000"/>
          <w:sz w:val="24"/>
          <w:szCs w:val="24"/>
          <w:u w:val="single"/>
        </w:rPr>
        <w:t>puesta a los grandes bancos es “muy, muy peligrosa”</w:t>
      </w:r>
      <w:r w:rsidRPr="00F35C47">
        <w:rPr>
          <w:rFonts w:ascii="Times New Roman" w:hAnsi="Times New Roman" w:cs="Times New Roman"/>
          <w:color w:val="FF0000"/>
          <w:sz w:val="24"/>
          <w:szCs w:val="24"/>
          <w:u w:val="single"/>
        </w:rPr>
        <w:t>. El banquero explicó que EEUU todavía queda pendiente solucionar el conocido como sistema bancario en la sombra, que opera al margen de las principales entidad</w:t>
      </w:r>
      <w:r w:rsidR="00A0289A">
        <w:rPr>
          <w:rFonts w:ascii="Times New Roman" w:hAnsi="Times New Roman" w:cs="Times New Roman"/>
          <w:color w:val="FF0000"/>
          <w:sz w:val="24"/>
          <w:szCs w:val="24"/>
          <w:u w:val="single"/>
        </w:rPr>
        <w:t>es y que, en su opinión, es un “terrible error”</w:t>
      </w:r>
      <w:r w:rsidRPr="00F35C47">
        <w:rPr>
          <w:rFonts w:ascii="Times New Roman" w:hAnsi="Times New Roman" w:cs="Times New Roman"/>
          <w:color w:val="FF0000"/>
          <w:sz w:val="24"/>
          <w:szCs w:val="24"/>
          <w:u w:val="single"/>
        </w:rPr>
        <w:t>.</w:t>
      </w:r>
    </w:p>
    <w:p w:rsidR="002E6C87" w:rsidRPr="00F35C47" w:rsidRDefault="002E6C87" w:rsidP="002E6C87">
      <w:pPr>
        <w:spacing w:line="240" w:lineRule="auto"/>
        <w:jc w:val="both"/>
        <w:textAlignment w:val="baseline"/>
        <w:rPr>
          <w:rFonts w:ascii="Times New Roman" w:hAnsi="Times New Roman" w:cs="Times New Roman"/>
          <w:color w:val="FF0000"/>
          <w:sz w:val="24"/>
          <w:szCs w:val="24"/>
          <w:u w:val="single"/>
        </w:rPr>
      </w:pPr>
      <w:r w:rsidRPr="00F35C47">
        <w:rPr>
          <w:rFonts w:ascii="Times New Roman" w:hAnsi="Times New Roman" w:cs="Times New Roman"/>
          <w:color w:val="FF0000"/>
          <w:sz w:val="24"/>
          <w:szCs w:val="24"/>
          <w:u w:val="single"/>
        </w:rPr>
        <w:lastRenderedPageBreak/>
        <w:t>Fischer también criticó los ataques contra los organismos globales como el Comité de Estabilidad Financiera que algunos republicanos opinan que ha impuesto una regulación demasiado estricta al sist</w:t>
      </w:r>
      <w:r w:rsidR="00A0289A">
        <w:rPr>
          <w:rFonts w:ascii="Times New Roman" w:hAnsi="Times New Roman" w:cs="Times New Roman"/>
          <w:color w:val="FF0000"/>
          <w:sz w:val="24"/>
          <w:szCs w:val="24"/>
          <w:u w:val="single"/>
        </w:rPr>
        <w:t>ema financiero estadounidense. “</w:t>
      </w:r>
      <w:r w:rsidRPr="00F35C47">
        <w:rPr>
          <w:rFonts w:ascii="Times New Roman" w:hAnsi="Times New Roman" w:cs="Times New Roman"/>
          <w:color w:val="FF0000"/>
          <w:sz w:val="24"/>
          <w:szCs w:val="24"/>
          <w:u w:val="single"/>
        </w:rPr>
        <w:t>Me preocupa que el sistema político de este país nos lleve en una dirección que,</w:t>
      </w:r>
      <w:r w:rsidR="00A0289A">
        <w:rPr>
          <w:rFonts w:ascii="Times New Roman" w:hAnsi="Times New Roman" w:cs="Times New Roman"/>
          <w:color w:val="FF0000"/>
          <w:sz w:val="24"/>
          <w:szCs w:val="24"/>
          <w:u w:val="single"/>
        </w:rPr>
        <w:t xml:space="preserve"> en mi opinión es muy peligrosa”</w:t>
      </w:r>
      <w:r w:rsidRPr="00F35C47">
        <w:rPr>
          <w:rFonts w:ascii="Times New Roman" w:hAnsi="Times New Roman" w:cs="Times New Roman"/>
          <w:color w:val="FF0000"/>
          <w:sz w:val="24"/>
          <w:szCs w:val="24"/>
          <w:u w:val="single"/>
        </w:rPr>
        <w:t>, lamentó.</w:t>
      </w:r>
    </w:p>
    <w:p w:rsidR="00A0289A" w:rsidRPr="00D8427C" w:rsidRDefault="00A0289A" w:rsidP="00A0289A">
      <w:pPr>
        <w:spacing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2E6C87" w:rsidRPr="00F35C47">
        <w:rPr>
          <w:rFonts w:ascii="Times New Roman" w:hAnsi="Times New Roman" w:cs="Times New Roman"/>
          <w:color w:val="FF0000"/>
          <w:sz w:val="24"/>
          <w:szCs w:val="24"/>
          <w:u w:val="single"/>
        </w:rPr>
        <w:t xml:space="preserve">Entiendo que a veces esto forme parte de la dinámica de la política, pero no comparto que personas adultas e inteligentes lleguen a la conclusión de que hay que eliminar todo lo que se ha puesto en </w:t>
      </w:r>
      <w:r>
        <w:rPr>
          <w:rFonts w:ascii="Times New Roman" w:hAnsi="Times New Roman" w:cs="Times New Roman"/>
          <w:color w:val="FF0000"/>
          <w:sz w:val="24"/>
          <w:szCs w:val="24"/>
          <w:u w:val="single"/>
        </w:rPr>
        <w:t>marcha en los últimos diez años”</w:t>
      </w:r>
      <w:r w:rsidR="002E6C87" w:rsidRPr="00F35C47">
        <w:rPr>
          <w:rFonts w:ascii="Times New Roman" w:hAnsi="Times New Roman" w:cs="Times New Roman"/>
          <w:color w:val="FF0000"/>
          <w:sz w:val="24"/>
          <w:szCs w:val="24"/>
          <w:u w:val="single"/>
        </w:rPr>
        <w:t>, concluyó Fischer.</w:t>
      </w:r>
    </w:p>
    <w:p w:rsidR="00A0289A" w:rsidRPr="00D8427C" w:rsidRDefault="00D8427C" w:rsidP="00A0289A">
      <w:pPr>
        <w:spacing w:line="240" w:lineRule="auto"/>
        <w:jc w:val="both"/>
        <w:textAlignment w:val="baseline"/>
        <w:rPr>
          <w:rFonts w:ascii="Times New Roman" w:hAnsi="Times New Roman" w:cs="Times New Roman"/>
          <w:sz w:val="24"/>
          <w:szCs w:val="24"/>
        </w:rPr>
      </w:pPr>
      <w:r>
        <w:rPr>
          <w:rFonts w:ascii="Times New Roman" w:hAnsi="Times New Roman" w:cs="Times New Roman"/>
          <w:i/>
          <w:sz w:val="24"/>
          <w:szCs w:val="24"/>
        </w:rPr>
        <w:t>“</w:t>
      </w:r>
      <w:r w:rsidR="00A0289A" w:rsidRPr="00D8427C">
        <w:rPr>
          <w:rFonts w:ascii="Times New Roman" w:hAnsi="Times New Roman" w:cs="Times New Roman"/>
          <w:i/>
          <w:sz w:val="24"/>
          <w:szCs w:val="24"/>
        </w:rPr>
        <w:t xml:space="preserve">La cotidianidad económica no deja ver, en muchas ocasiones, los fenómenos que un día dejan de ser coyunturales para convertirse en estructurales.  Así, y tras el enésimo anuncio de que la recesión ya es historia, a pesar de que muchos indicadores de empleo no han recuperado sus niveles precrisis, nos encontramos con el dilema de moda: hay que subir los salarios, pero nadie sabe cómo y cuánto. Este falso debate, que incluso ha llegado a llenar editoriales de medios de comunicación otrora progresistas, cuya política salarial y </w:t>
      </w:r>
      <w:r w:rsidRPr="00D8427C">
        <w:rPr>
          <w:rFonts w:ascii="Times New Roman" w:hAnsi="Times New Roman" w:cs="Times New Roman"/>
          <w:i/>
          <w:sz w:val="24"/>
          <w:szCs w:val="24"/>
        </w:rPr>
        <w:t>l</w:t>
      </w:r>
      <w:r w:rsidR="00A0289A" w:rsidRPr="00D8427C">
        <w:rPr>
          <w:rFonts w:ascii="Times New Roman" w:hAnsi="Times New Roman" w:cs="Times New Roman"/>
          <w:i/>
          <w:sz w:val="24"/>
          <w:szCs w:val="24"/>
        </w:rPr>
        <w:t>aboral es miserable, esconde una realidad que nadie quiere reconocer: la época de contestación y presión laboral (a través de sindicatos) se ha acabado, salvo en las grandes empresas y sectores regulados</w:t>
      </w:r>
      <w:r>
        <w:rPr>
          <w:rFonts w:ascii="Times New Roman" w:hAnsi="Times New Roman" w:cs="Times New Roman"/>
          <w:i/>
          <w:sz w:val="24"/>
          <w:szCs w:val="24"/>
        </w:rPr>
        <w:t xml:space="preserve">”… </w:t>
      </w:r>
      <w:r w:rsidRPr="009E5382">
        <w:rPr>
          <w:rFonts w:ascii="Times New Roman" w:hAnsi="Times New Roman" w:cs="Times New Roman"/>
          <w:sz w:val="24"/>
          <w:szCs w:val="24"/>
          <w:u w:val="single"/>
        </w:rPr>
        <w:t>Nuevo paradigma: trabajadores pobres y sin capacidad de negociar</w:t>
      </w:r>
      <w:r>
        <w:rPr>
          <w:rFonts w:ascii="Times New Roman" w:hAnsi="Times New Roman" w:cs="Times New Roman"/>
          <w:sz w:val="24"/>
          <w:szCs w:val="24"/>
        </w:rPr>
        <w:t xml:space="preserve"> (Vozpópuli - </w:t>
      </w:r>
      <w:r w:rsidRPr="009E5382">
        <w:rPr>
          <w:rFonts w:ascii="Times New Roman" w:hAnsi="Times New Roman" w:cs="Times New Roman"/>
          <w:b/>
          <w:sz w:val="24"/>
          <w:szCs w:val="24"/>
        </w:rPr>
        <w:t>28/8/17</w:t>
      </w:r>
      <w:r>
        <w:rPr>
          <w:rFonts w:ascii="Times New Roman" w:hAnsi="Times New Roman" w:cs="Times New Roman"/>
          <w:sz w:val="24"/>
          <w:szCs w:val="24"/>
        </w:rPr>
        <w:t>)</w:t>
      </w:r>
    </w:p>
    <w:p w:rsidR="00A0289A" w:rsidRPr="009E5382" w:rsidRDefault="00A0289A" w:rsidP="00A0289A">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Esta pérdida de capacidad de negociación es plausible y además se ha visto reforzada por la visión maniquea de una parte importante de la sociedad que asiste gozosa al fin de las grandes movilizaciones laborales, y por supuesto los episodios de huelga general. La progresiva pérdida de influencia sindical, en parte por un proceso endógeno de autodestrucción, se explica también por procesos regulatorios, como las dos últimas reformas laborales, en las que se deja muy claro que se ha acabad la época en la que caso todo el mundo estaba cubierto bajo el paraguas de la negociación colectiva. Esto era así porque el convenio de sector hacía de referencia salarial, pero también de otras medidas que dignificaban las condiciones laborales y que ahora ya no se produce. Las medidas impuestas por los gobiernos de Rajoy y Zapatero han dejado a la intemperie a millones de trabajadores que, en aras de la supuesta eficiencia, ahora ya no negocian salarios ni condiciones laborales, y por tanto se rigen por el Estatuto de los Trabajadores, perdiendo en muchos casos las mejoras adquiridas tras lustros de lucha sindical y obrera.</w:t>
      </w:r>
    </w:p>
    <w:p w:rsidR="00A0289A" w:rsidRPr="009E5382" w:rsidRDefault="00A0289A" w:rsidP="00A0289A">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La falta de memoria histórica, y la progresiva individualización de las relaciones laborales, un sueño de los liberales hecho casi realidad, está generando una nueva categoría de trabajadores, aquellos desprovistos de derechos laborales que tendrán una vida laboral plagada de contratos temporales y/o indefinidos, pero sin capacidad de negociar absolutamente nada, sabiendo que el único suelo legal es el salario mínimo interprofesional. Es precisamente la abolición de éste, la siguiente batalla de los liberales, ya que consideren que frena la creación de empleo y distorsiona las relaciones laborales, al obligar a pagar una cantidad fija, independientemente de las ganancias de productividad.</w:t>
      </w:r>
    </w:p>
    <w:p w:rsidR="00A0289A" w:rsidRPr="009E5382" w:rsidRDefault="00A0289A" w:rsidP="00A0289A">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 xml:space="preserve">Los trabajadores poco a poco han ido entrando en el juego perverso de creerse que los derechos laborales son una rémora para el sistema. Las vacaciones pagadas o las bajas laborales, netas del fraude que existe, les perjudican porque si no existiesen estas medidas, sus salarios netos serían superiores y las empresas se lanzarían a contratar de forma desaforada, colmando el deseo de la gran parte de las empresas que es tener plena jurisprudencia sobre las salarios y condiciones laborales, sin que existan interferencias administrativas, ni por supuesto judiciales. Es decir, que cada empresa en cada momento </w:t>
      </w:r>
      <w:r w:rsidRPr="009E5382">
        <w:rPr>
          <w:rFonts w:ascii="Times New Roman" w:hAnsi="Times New Roman" w:cs="Times New Roman"/>
          <w:sz w:val="24"/>
          <w:szCs w:val="24"/>
        </w:rPr>
        <w:lastRenderedPageBreak/>
        <w:t>pueda decidir el número de horas de trabajo, sin que existan mínimos o máximos, el salario que paga, si paga o no las vacaciones o si remunera la baja laboral o maternal. Este es el edén que buscan los empleadores, alentado por los resultados empíricos de gran parte de la literatura clásica sobre el mercado laboral que siguen ganando la batalla poco a poco, conquistando y eliminando derechos con la aquiescencia de partidos de derechas, pero también de la izquierda moderada y templada.</w:t>
      </w:r>
    </w:p>
    <w:p w:rsidR="00A0289A" w:rsidRPr="009E5382" w:rsidRDefault="00A0289A" w:rsidP="00A0289A">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A favor de esta corriente juega la progresiva globalización económica, que facilita la producción en diferentes partes del planeta, con el único objetivo de la competitividad precio, blanqueando el dumping social. La entrada masiva de trabajadores inmigrantes también facilita la deflación salarial y la propensión a la explotación laboral, como se manifiesta todos los veranos en las diferentes campañas agrícolas. La debilidad de las clases trabajadoras se observa en la devaluación salarial perpetrada por las instituciones comunitarias y los gobiernos nacionales, la deformación sostenida de la distribución de la renta a favor de las rentas del capital y una desregulación del mercado laboral que impulsa la subcontratación, obstaculiza la acción sindical, elimina la protección a los contratos indefinidos, abarata los despidos, impulsa múltiples variedades de contratación que precarizan aún más los nuevos empleos y que encubren con la simpática etiqueta de economía colaborativa, y/o de demanda, etc.</w:t>
      </w:r>
    </w:p>
    <w:p w:rsidR="00A0289A" w:rsidRPr="009E5382" w:rsidRDefault="00A0289A" w:rsidP="00A0289A">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Todo ello en un mundo prácticamente sin inflación, otro de los miedos irracionales del mundo clásico a la negociación colectiva y sus triunfos en materia de incremento salarial. Desde el año 2013, pero ya desde antes, la tónica de crecimiento de precios se ha ralentizado sustancialmente. La recesión de la UE,</w:t>
      </w:r>
      <w:r w:rsidR="00D8427C">
        <w:rPr>
          <w:rFonts w:ascii="Times New Roman" w:hAnsi="Times New Roman" w:cs="Times New Roman"/>
          <w:sz w:val="24"/>
          <w:szCs w:val="24"/>
        </w:rPr>
        <w:t xml:space="preserve"> </w:t>
      </w:r>
      <w:r w:rsidRPr="009E5382">
        <w:rPr>
          <w:rFonts w:ascii="Times New Roman" w:hAnsi="Times New Roman" w:cs="Times New Roman"/>
          <w:sz w:val="24"/>
          <w:szCs w:val="24"/>
        </w:rPr>
        <w:t>el desplome de los precios del crudo, o la política de bajos tipos de interés que impulsó Draghi, no bastan para explicar las muy bajas expectativas de crecimiento de los precios. Hay que añadir otros factores explicativos: la debilidad de las clases trabajadoras para defender sus intereses o la dificultad que encuentran las empresas para trasladar el aumen</w:t>
      </w:r>
      <w:r>
        <w:rPr>
          <w:rFonts w:ascii="Times New Roman" w:hAnsi="Times New Roman" w:cs="Times New Roman"/>
          <w:sz w:val="24"/>
          <w:szCs w:val="24"/>
        </w:rPr>
        <w:t>to de los costes a los precios.</w:t>
      </w:r>
    </w:p>
    <w:p w:rsidR="00A0289A" w:rsidRPr="009E5382" w:rsidRDefault="00A0289A" w:rsidP="00A0289A">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La capacidad de presión sindical para conseguir mejoras salariales y laborales ha ayudado en los dos últimos siglos a impulsar la actividad económica, la democracia y el bienestar social. La utilización del conflicto como forma de presión de las clases trabajadoras ha sido una herramienta tan útil como la negociación para consolidar una economía y una sociedad prósperas y sanas, pero eso ya forma parte del pasado.</w:t>
      </w:r>
    </w:p>
    <w:p w:rsidR="00A0289A" w:rsidRDefault="00A0289A" w:rsidP="00A0289A">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Los trabajadores, aunque pobres, han decidido que prefieren callar y aguantar que luchar, y así engordar los beneficios de sus empleadores, por si éstos deciden repartir alguna limosna tras las duras jornadas de más de 12 horas, en el campo, por ejemplo, y después de pagar 2 euros por limpiar una habitación de hotel o 40 céntimos por recoger una lechuga. Para esto hemos quedado.</w:t>
      </w:r>
    </w:p>
    <w:p w:rsidR="00A70C16" w:rsidRDefault="00A70C16" w:rsidP="00A70C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E5710">
        <w:rPr>
          <w:rFonts w:ascii="Times New Roman" w:hAnsi="Times New Roman" w:cs="Times New Roman"/>
          <w:sz w:val="24"/>
          <w:szCs w:val="24"/>
          <w:u w:val="single"/>
        </w:rPr>
        <w:t>El presidente de la EBA pide crear un banco malo con un billón de préstamos tóxicos</w:t>
      </w:r>
      <w:r>
        <w:rPr>
          <w:rFonts w:ascii="Times New Roman" w:hAnsi="Times New Roman" w:cs="Times New Roman"/>
          <w:sz w:val="24"/>
          <w:szCs w:val="24"/>
        </w:rPr>
        <w:t xml:space="preserve"> (Expansión - Financial Times - </w:t>
      </w:r>
      <w:r w:rsidRPr="000E5710">
        <w:rPr>
          <w:rFonts w:ascii="Times New Roman" w:hAnsi="Times New Roman" w:cs="Times New Roman"/>
          <w:b/>
          <w:sz w:val="24"/>
          <w:szCs w:val="24"/>
        </w:rPr>
        <w:t>1/9/17</w:t>
      </w:r>
      <w:r>
        <w:rPr>
          <w:rFonts w:ascii="Times New Roman" w:hAnsi="Times New Roman" w:cs="Times New Roman"/>
          <w:sz w:val="24"/>
          <w:szCs w:val="24"/>
        </w:rPr>
        <w:t>)</w:t>
      </w:r>
    </w:p>
    <w:p w:rsidR="00A70C16" w:rsidRDefault="00A70C16" w:rsidP="00A70C16">
      <w:pPr>
        <w:spacing w:line="240" w:lineRule="auto"/>
        <w:jc w:val="both"/>
        <w:rPr>
          <w:rFonts w:ascii="Times New Roman" w:hAnsi="Times New Roman" w:cs="Times New Roman"/>
          <w:sz w:val="24"/>
          <w:szCs w:val="24"/>
          <w:lang w:val="en-GB"/>
        </w:rPr>
      </w:pPr>
      <w:r w:rsidRPr="00A70C16">
        <w:rPr>
          <w:rFonts w:ascii="Times New Roman" w:hAnsi="Times New Roman" w:cs="Times New Roman"/>
          <w:sz w:val="24"/>
          <w:szCs w:val="24"/>
          <w:lang w:val="en-GB"/>
        </w:rPr>
        <w:t>(Por M. Arnold / J. Brundsen - Financial Times)</w:t>
      </w:r>
    </w:p>
    <w:p w:rsidR="00A70C16" w:rsidRPr="003B7E0B" w:rsidRDefault="00A70C16" w:rsidP="00A70C16">
      <w:pPr>
        <w:spacing w:line="240" w:lineRule="auto"/>
        <w:jc w:val="both"/>
        <w:rPr>
          <w:rFonts w:ascii="Times New Roman" w:hAnsi="Times New Roman" w:cs="Times New Roman"/>
          <w:color w:val="FF0000"/>
          <w:sz w:val="24"/>
          <w:szCs w:val="24"/>
          <w:u w:val="single"/>
        </w:rPr>
      </w:pPr>
      <w:r w:rsidRPr="00A70C16">
        <w:rPr>
          <w:rFonts w:ascii="Times New Roman" w:hAnsi="Times New Roman" w:cs="Times New Roman"/>
          <w:color w:val="FF0000"/>
          <w:sz w:val="24"/>
          <w:szCs w:val="24"/>
          <w:u w:val="single"/>
          <w:lang w:val="en-GB"/>
        </w:rPr>
        <w:t xml:space="preserve"> </w:t>
      </w:r>
      <w:r w:rsidRPr="003B7E0B">
        <w:rPr>
          <w:rFonts w:ascii="Times New Roman" w:hAnsi="Times New Roman" w:cs="Times New Roman"/>
          <w:color w:val="FF0000"/>
          <w:sz w:val="24"/>
          <w:szCs w:val="24"/>
          <w:u w:val="single"/>
        </w:rPr>
        <w:t xml:space="preserve">Andrea Enria, presidente de la Autoridad Bancaria Europea, propone que la UE cree un fondo respaldado por los contribuyentes para comprar </w:t>
      </w:r>
      <w:r>
        <w:rPr>
          <w:rFonts w:ascii="Times New Roman" w:hAnsi="Times New Roman" w:cs="Times New Roman"/>
          <w:color w:val="FF0000"/>
          <w:sz w:val="24"/>
          <w:szCs w:val="24"/>
          <w:u w:val="single"/>
        </w:rPr>
        <w:t>a su “valor real”</w:t>
      </w:r>
      <w:r w:rsidRPr="003B7E0B">
        <w:rPr>
          <w:rFonts w:ascii="Times New Roman" w:hAnsi="Times New Roman" w:cs="Times New Roman"/>
          <w:color w:val="FF0000"/>
          <w:sz w:val="24"/>
          <w:szCs w:val="24"/>
          <w:u w:val="single"/>
        </w:rPr>
        <w:t xml:space="preserve"> préstamos de mala calidad que acumulan las entidades con problemas.</w:t>
      </w:r>
    </w:p>
    <w:p w:rsidR="00A70C16" w:rsidRPr="003B7E0B" w:rsidRDefault="00A70C16" w:rsidP="00A70C16">
      <w:pPr>
        <w:spacing w:line="240" w:lineRule="auto"/>
        <w:jc w:val="both"/>
        <w:rPr>
          <w:rFonts w:ascii="Times New Roman" w:hAnsi="Times New Roman" w:cs="Times New Roman"/>
          <w:color w:val="FF0000"/>
          <w:sz w:val="24"/>
          <w:szCs w:val="24"/>
          <w:u w:val="single"/>
        </w:rPr>
      </w:pPr>
      <w:r w:rsidRPr="003B7E0B">
        <w:rPr>
          <w:rFonts w:ascii="Times New Roman" w:hAnsi="Times New Roman" w:cs="Times New Roman"/>
          <w:color w:val="FF0000"/>
          <w:sz w:val="24"/>
          <w:szCs w:val="24"/>
          <w:u w:val="single"/>
        </w:rPr>
        <w:t>Un regulador bancario europeo insis</w:t>
      </w:r>
      <w:r>
        <w:rPr>
          <w:rFonts w:ascii="Times New Roman" w:hAnsi="Times New Roman" w:cs="Times New Roman"/>
          <w:color w:val="FF0000"/>
          <w:sz w:val="24"/>
          <w:szCs w:val="24"/>
          <w:u w:val="single"/>
        </w:rPr>
        <w:t>te en la necesidad de crear un “banco malo”</w:t>
      </w:r>
      <w:r w:rsidRPr="003B7E0B">
        <w:rPr>
          <w:rFonts w:ascii="Times New Roman" w:hAnsi="Times New Roman" w:cs="Times New Roman"/>
          <w:color w:val="FF0000"/>
          <w:sz w:val="24"/>
          <w:szCs w:val="24"/>
          <w:u w:val="single"/>
        </w:rPr>
        <w:t xml:space="preserve"> en la UE para comprar miles de millones de euros de préstamos tóxicos de las entidades. De esta </w:t>
      </w:r>
      <w:r w:rsidRPr="003B7E0B">
        <w:rPr>
          <w:rFonts w:ascii="Times New Roman" w:hAnsi="Times New Roman" w:cs="Times New Roman"/>
          <w:color w:val="FF0000"/>
          <w:sz w:val="24"/>
          <w:szCs w:val="24"/>
          <w:u w:val="single"/>
        </w:rPr>
        <w:lastRenderedPageBreak/>
        <w:t>manera, se rompería el círculo vicioso de caída de beneficios, recortes del crédito y un débil crecimiento económico.</w:t>
      </w:r>
    </w:p>
    <w:p w:rsidR="00A70C16" w:rsidRPr="000E5710" w:rsidRDefault="00A70C16" w:rsidP="00A70C16">
      <w:pPr>
        <w:spacing w:line="240" w:lineRule="auto"/>
        <w:jc w:val="both"/>
        <w:rPr>
          <w:rFonts w:ascii="Times New Roman" w:hAnsi="Times New Roman" w:cs="Times New Roman"/>
          <w:sz w:val="24"/>
          <w:szCs w:val="24"/>
        </w:rPr>
      </w:pPr>
      <w:r w:rsidRPr="003B7E0B">
        <w:rPr>
          <w:rFonts w:ascii="Times New Roman" w:hAnsi="Times New Roman" w:cs="Times New Roman"/>
          <w:b/>
          <w:color w:val="FF0000"/>
          <w:sz w:val="24"/>
          <w:szCs w:val="24"/>
          <w:u w:val="single"/>
        </w:rPr>
        <w:t>Andrea Enria, presidente de la Autoridad Bancaria Europea (EBA, por sus siglas en inglés) aseguró ayer que la magnitud del problema de deuda incobrable de la UE lo convierte en un asunto que hay que abordar urgentemente.</w:t>
      </w:r>
      <w:r w:rsidRPr="003B7E0B">
        <w:rPr>
          <w:rFonts w:ascii="Times New Roman" w:hAnsi="Times New Roman" w:cs="Times New Roman"/>
          <w:color w:val="FF0000"/>
          <w:sz w:val="24"/>
          <w:szCs w:val="24"/>
        </w:rPr>
        <w:t xml:space="preserve"> </w:t>
      </w:r>
      <w:r w:rsidRPr="000E5710">
        <w:rPr>
          <w:rFonts w:ascii="Times New Roman" w:hAnsi="Times New Roman" w:cs="Times New Roman"/>
          <w:sz w:val="24"/>
          <w:szCs w:val="24"/>
        </w:rPr>
        <w:t>De hecho, las entidades acumulan más de un billón de préstamos tóxicos. Enria está convencido de que la UE corre el riesgo de tardar en reaccionar más que Japón a la crisis de deuda mala de sus bancos, a pesar de haber detecta</w:t>
      </w:r>
      <w:r>
        <w:rPr>
          <w:rFonts w:ascii="Times New Roman" w:hAnsi="Times New Roman" w:cs="Times New Roman"/>
          <w:sz w:val="24"/>
          <w:szCs w:val="24"/>
        </w:rPr>
        <w:t>do el problema antes que Tokio.</w:t>
      </w:r>
    </w:p>
    <w:p w:rsidR="00A70C16" w:rsidRPr="003B7E0B" w:rsidRDefault="00A70C16" w:rsidP="00A70C16">
      <w:pPr>
        <w:spacing w:line="240" w:lineRule="auto"/>
        <w:jc w:val="both"/>
        <w:rPr>
          <w:rFonts w:ascii="Times New Roman" w:hAnsi="Times New Roman" w:cs="Times New Roman"/>
          <w:color w:val="FF0000"/>
          <w:sz w:val="24"/>
          <w:szCs w:val="24"/>
          <w:u w:val="single"/>
        </w:rPr>
      </w:pPr>
      <w:r w:rsidRPr="003B7E0B">
        <w:rPr>
          <w:rFonts w:ascii="Times New Roman" w:hAnsi="Times New Roman" w:cs="Times New Roman"/>
          <w:color w:val="FF0000"/>
          <w:sz w:val="24"/>
          <w:szCs w:val="24"/>
          <w:u w:val="single"/>
        </w:rPr>
        <w:t>El banquero propone que la UE cree un fondo respaldado por los co</w:t>
      </w:r>
      <w:r>
        <w:rPr>
          <w:rFonts w:ascii="Times New Roman" w:hAnsi="Times New Roman" w:cs="Times New Roman"/>
          <w:color w:val="FF0000"/>
          <w:sz w:val="24"/>
          <w:szCs w:val="24"/>
          <w:u w:val="single"/>
        </w:rPr>
        <w:t>ntribuyentes para comprar a su “valor real”</w:t>
      </w:r>
      <w:r w:rsidRPr="003B7E0B">
        <w:rPr>
          <w:rFonts w:ascii="Times New Roman" w:hAnsi="Times New Roman" w:cs="Times New Roman"/>
          <w:color w:val="FF0000"/>
          <w:sz w:val="24"/>
          <w:szCs w:val="24"/>
          <w:u w:val="single"/>
        </w:rPr>
        <w:t xml:space="preserve"> préstamos de mala calidad que acumulan las entidades con problemas.</w:t>
      </w:r>
    </w:p>
    <w:p w:rsidR="00A70C16" w:rsidRPr="000E5710" w:rsidRDefault="00A70C16" w:rsidP="00A70C16">
      <w:pPr>
        <w:spacing w:line="240" w:lineRule="auto"/>
        <w:jc w:val="both"/>
        <w:rPr>
          <w:rFonts w:ascii="Times New Roman" w:hAnsi="Times New Roman" w:cs="Times New Roman"/>
          <w:sz w:val="24"/>
          <w:szCs w:val="24"/>
        </w:rPr>
      </w:pPr>
      <w:r w:rsidRPr="000E5710">
        <w:rPr>
          <w:rFonts w:ascii="Times New Roman" w:hAnsi="Times New Roman" w:cs="Times New Roman"/>
          <w:sz w:val="24"/>
          <w:szCs w:val="24"/>
        </w:rPr>
        <w:t>Esto tendría el doble beneficio de aumentar la transparencia sobre el verdadero valor de la enorme cantidad de préstamos tóxicos que acumulan muchos bancos europeos en sus balances e incrementaría el tamaño de un mercado incip</w:t>
      </w:r>
      <w:r>
        <w:rPr>
          <w:rFonts w:ascii="Times New Roman" w:hAnsi="Times New Roman" w:cs="Times New Roman"/>
          <w:sz w:val="24"/>
          <w:szCs w:val="24"/>
        </w:rPr>
        <w:t>iente para ese tipo de activos.</w:t>
      </w:r>
    </w:p>
    <w:p w:rsidR="00A70C16" w:rsidRPr="003B7E0B" w:rsidRDefault="00A70C16" w:rsidP="00A70C16">
      <w:pPr>
        <w:spacing w:line="240" w:lineRule="auto"/>
        <w:jc w:val="both"/>
        <w:rPr>
          <w:rFonts w:ascii="Times New Roman" w:hAnsi="Times New Roman" w:cs="Times New Roman"/>
          <w:sz w:val="24"/>
          <w:szCs w:val="24"/>
          <w:u w:val="single"/>
        </w:rPr>
      </w:pPr>
      <w:r w:rsidRPr="003B7E0B">
        <w:rPr>
          <w:rFonts w:ascii="Times New Roman" w:hAnsi="Times New Roman" w:cs="Times New Roman"/>
          <w:sz w:val="24"/>
          <w:szCs w:val="24"/>
          <w:u w:val="single"/>
        </w:rPr>
        <w:t>La EBA no tiene potestad para introducir un proyecto de estas características por su cuenta y el discurso de Enria parece destinado a abrir el debate para la creación de un banco malo en Bruselas y otras capitales.</w:t>
      </w:r>
    </w:p>
    <w:p w:rsidR="00A70C16" w:rsidRPr="000E5710" w:rsidRDefault="00A70C16" w:rsidP="00A70C16">
      <w:pPr>
        <w:spacing w:line="240" w:lineRule="auto"/>
        <w:jc w:val="both"/>
        <w:rPr>
          <w:rFonts w:ascii="Times New Roman" w:hAnsi="Times New Roman" w:cs="Times New Roman"/>
          <w:sz w:val="24"/>
          <w:szCs w:val="24"/>
        </w:rPr>
      </w:pPr>
      <w:r w:rsidRPr="000E5710">
        <w:rPr>
          <w:rFonts w:ascii="Times New Roman" w:hAnsi="Times New Roman" w:cs="Times New Roman"/>
          <w:sz w:val="24"/>
          <w:szCs w:val="24"/>
        </w:rPr>
        <w:t xml:space="preserve">La UE está estudiando varias ideas para reducir los préstamos tóxicos de los bancos y los ministros de Finanzas trabajan en un informe que se publicará en marzo del año que viene. Sin embargo, las propuestas formales de la </w:t>
      </w:r>
      <w:r>
        <w:rPr>
          <w:rFonts w:ascii="Times New Roman" w:hAnsi="Times New Roman" w:cs="Times New Roman"/>
          <w:sz w:val="24"/>
          <w:szCs w:val="24"/>
        </w:rPr>
        <w:t>UE llegarían a más largo plazo.</w:t>
      </w:r>
    </w:p>
    <w:p w:rsidR="00A70C16" w:rsidRDefault="00A70C16" w:rsidP="00A70C16">
      <w:pPr>
        <w:spacing w:line="240" w:lineRule="auto"/>
        <w:jc w:val="both"/>
        <w:rPr>
          <w:rFonts w:ascii="Times New Roman" w:hAnsi="Times New Roman" w:cs="Times New Roman"/>
          <w:sz w:val="24"/>
          <w:szCs w:val="24"/>
          <w:u w:val="single"/>
        </w:rPr>
      </w:pPr>
      <w:r w:rsidRPr="003B7E0B">
        <w:rPr>
          <w:rFonts w:ascii="Times New Roman" w:hAnsi="Times New Roman" w:cs="Times New Roman"/>
          <w:sz w:val="24"/>
          <w:szCs w:val="24"/>
          <w:u w:val="single"/>
        </w:rPr>
        <w:t>El Banco Central Europeo ha aumentado la presión sobre los bancos de la eurozona para que reduzcan sus préstamos incobrables aumentando la cantidad de capital necesario para su liquidación.</w:t>
      </w:r>
    </w:p>
    <w:p w:rsidR="00B978EF" w:rsidRPr="00FE4509" w:rsidRDefault="00B978EF" w:rsidP="00B978EF">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 xml:space="preserve">- </w:t>
      </w:r>
      <w:r w:rsidRPr="00FE4509">
        <w:rPr>
          <w:rStyle w:val="Textoennegrita"/>
          <w:rFonts w:ascii="Times New Roman" w:hAnsi="Times New Roman" w:cs="Times New Roman"/>
          <w:b w:val="0"/>
          <w:sz w:val="24"/>
          <w:szCs w:val="24"/>
          <w:u w:val="single"/>
          <w:bdr w:val="none" w:sz="0" w:space="0" w:color="auto" w:frame="1"/>
          <w:shd w:val="clear" w:color="auto" w:fill="FFFFFF"/>
        </w:rPr>
        <w:t>Tsipras dice que Grecia sale de la crisis sin destruir la sociedad</w:t>
      </w:r>
      <w:r>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FE4509">
        <w:rPr>
          <w:rStyle w:val="Textoennegrita"/>
          <w:rFonts w:ascii="Times New Roman" w:hAnsi="Times New Roman" w:cs="Times New Roman"/>
          <w:sz w:val="24"/>
          <w:szCs w:val="24"/>
          <w:bdr w:val="none" w:sz="0" w:space="0" w:color="auto" w:frame="1"/>
          <w:shd w:val="clear" w:color="auto" w:fill="FFFFFF"/>
        </w:rPr>
        <w:t>18/9/17</w:t>
      </w:r>
      <w:r>
        <w:rPr>
          <w:rStyle w:val="Textoennegrita"/>
          <w:rFonts w:ascii="Times New Roman" w:hAnsi="Times New Roman" w:cs="Times New Roman"/>
          <w:b w:val="0"/>
          <w:sz w:val="24"/>
          <w:szCs w:val="24"/>
          <w:bdr w:val="none" w:sz="0" w:space="0" w:color="auto" w:frame="1"/>
          <w:shd w:val="clear" w:color="auto" w:fill="FFFFFF"/>
        </w:rPr>
        <w:t>)</w:t>
      </w:r>
    </w:p>
    <w:p w:rsidR="00B978EF" w:rsidRDefault="00B978EF" w:rsidP="00B978EF">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 xml:space="preserve">Atenas, </w:t>
      </w:r>
      <w:r w:rsidRPr="00FE4509">
        <w:rPr>
          <w:rStyle w:val="Textoennegrita"/>
          <w:rFonts w:ascii="Times New Roman" w:hAnsi="Times New Roman" w:cs="Times New Roman"/>
          <w:b w:val="0"/>
          <w:sz w:val="24"/>
          <w:szCs w:val="24"/>
          <w:bdr w:val="none" w:sz="0" w:space="0" w:color="auto" w:frame="1"/>
          <w:shd w:val="clear" w:color="auto" w:fill="FFFFFF"/>
        </w:rPr>
        <w:t xml:space="preserve">(EFECOM).- El primer ministro griego, Alexis Tsipras, afirmó hoy en el congreso ordinario de </w:t>
      </w:r>
      <w:r>
        <w:rPr>
          <w:rStyle w:val="Textoennegrita"/>
          <w:rFonts w:ascii="Times New Roman" w:hAnsi="Times New Roman" w:cs="Times New Roman"/>
          <w:b w:val="0"/>
          <w:sz w:val="24"/>
          <w:szCs w:val="24"/>
          <w:bdr w:val="none" w:sz="0" w:space="0" w:color="auto" w:frame="1"/>
          <w:shd w:val="clear" w:color="auto" w:fill="FFFFFF"/>
        </w:rPr>
        <w:t>su partido, Syriza, que Grecia “</w:t>
      </w:r>
      <w:r w:rsidRPr="00FE4509">
        <w:rPr>
          <w:rStyle w:val="Textoennegrita"/>
          <w:rFonts w:ascii="Times New Roman" w:hAnsi="Times New Roman" w:cs="Times New Roman"/>
          <w:b w:val="0"/>
          <w:sz w:val="24"/>
          <w:szCs w:val="24"/>
          <w:bdr w:val="none" w:sz="0" w:space="0" w:color="auto" w:frame="1"/>
          <w:shd w:val="clear" w:color="auto" w:fill="FFFFFF"/>
        </w:rPr>
        <w:t xml:space="preserve">está saliendo de la </w:t>
      </w:r>
      <w:r>
        <w:rPr>
          <w:rStyle w:val="Textoennegrita"/>
          <w:rFonts w:ascii="Times New Roman" w:hAnsi="Times New Roman" w:cs="Times New Roman"/>
          <w:b w:val="0"/>
          <w:sz w:val="24"/>
          <w:szCs w:val="24"/>
          <w:bdr w:val="none" w:sz="0" w:space="0" w:color="auto" w:frame="1"/>
          <w:shd w:val="clear" w:color="auto" w:fill="FFFFFF"/>
        </w:rPr>
        <w:t>crisis sin destruir la sociedad”</w:t>
      </w:r>
      <w:r w:rsidRPr="00FE4509">
        <w:rPr>
          <w:rStyle w:val="Textoennegrita"/>
          <w:rFonts w:ascii="Times New Roman" w:hAnsi="Times New Roman" w:cs="Times New Roman"/>
          <w:b w:val="0"/>
          <w:sz w:val="24"/>
          <w:szCs w:val="24"/>
          <w:bdr w:val="none" w:sz="0" w:space="0" w:color="auto" w:frame="1"/>
          <w:shd w:val="clear" w:color="auto" w:fill="FFFFFF"/>
        </w:rPr>
        <w:t>, al tiempo que reiteró que las negociaciones con los acreedores para acceder al siguient</w:t>
      </w:r>
      <w:r>
        <w:rPr>
          <w:rStyle w:val="Textoennegrita"/>
          <w:rFonts w:ascii="Times New Roman" w:hAnsi="Times New Roman" w:cs="Times New Roman"/>
          <w:b w:val="0"/>
          <w:sz w:val="24"/>
          <w:szCs w:val="24"/>
          <w:bdr w:val="none" w:sz="0" w:space="0" w:color="auto" w:frame="1"/>
          <w:shd w:val="clear" w:color="auto" w:fill="FFFFFF"/>
        </w:rPr>
        <w:t>e tramo del rescate concluirán “antes de fin de mes”</w:t>
      </w:r>
      <w:r w:rsidRPr="00FE4509">
        <w:rPr>
          <w:rStyle w:val="Textoennegrita"/>
          <w:rFonts w:ascii="Times New Roman" w:hAnsi="Times New Roman" w:cs="Times New Roman"/>
          <w:b w:val="0"/>
          <w:sz w:val="24"/>
          <w:szCs w:val="24"/>
          <w:bdr w:val="none" w:sz="0" w:space="0" w:color="auto" w:frame="1"/>
          <w:shd w:val="clear" w:color="auto" w:fill="FFFFFF"/>
        </w:rPr>
        <w:t>.</w:t>
      </w:r>
    </w:p>
    <w:p w:rsidR="00B978EF" w:rsidRPr="00FE4509" w:rsidRDefault="00B978EF" w:rsidP="00B978EF">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Tsipras declaró que “</w:t>
      </w:r>
      <w:r w:rsidRPr="00FE4509">
        <w:rPr>
          <w:rStyle w:val="Textoennegrita"/>
          <w:rFonts w:ascii="Times New Roman" w:hAnsi="Times New Roman" w:cs="Times New Roman"/>
          <w:b w:val="0"/>
          <w:sz w:val="24"/>
          <w:szCs w:val="24"/>
          <w:bdr w:val="none" w:sz="0" w:space="0" w:color="auto" w:frame="1"/>
          <w:shd w:val="clear" w:color="auto" w:fill="FFFFFF"/>
        </w:rPr>
        <w:t xml:space="preserve">la economía (griega) da los </w:t>
      </w:r>
      <w:r>
        <w:rPr>
          <w:rStyle w:val="Textoennegrita"/>
          <w:rFonts w:ascii="Times New Roman" w:hAnsi="Times New Roman" w:cs="Times New Roman"/>
          <w:b w:val="0"/>
          <w:sz w:val="24"/>
          <w:szCs w:val="24"/>
          <w:bdr w:val="none" w:sz="0" w:space="0" w:color="auto" w:frame="1"/>
          <w:shd w:val="clear" w:color="auto" w:fill="FFFFFF"/>
        </w:rPr>
        <w:t>primeros signos de recuperación”, algo reflejado “</w:t>
      </w:r>
      <w:r w:rsidRPr="00FE4509">
        <w:rPr>
          <w:rStyle w:val="Textoennegrita"/>
          <w:rFonts w:ascii="Times New Roman" w:hAnsi="Times New Roman" w:cs="Times New Roman"/>
          <w:b w:val="0"/>
          <w:sz w:val="24"/>
          <w:szCs w:val="24"/>
          <w:bdr w:val="none" w:sz="0" w:space="0" w:color="auto" w:frame="1"/>
          <w:shd w:val="clear" w:color="auto" w:fill="FFFFFF"/>
        </w:rPr>
        <w:t>en los últimos datos de (la oficin</w:t>
      </w:r>
      <w:r w:rsidR="00F45063">
        <w:rPr>
          <w:rStyle w:val="Textoennegrita"/>
          <w:rFonts w:ascii="Times New Roman" w:hAnsi="Times New Roman" w:cs="Times New Roman"/>
          <w:b w:val="0"/>
          <w:sz w:val="24"/>
          <w:szCs w:val="24"/>
          <w:bdr w:val="none" w:sz="0" w:space="0" w:color="auto" w:frame="1"/>
          <w:shd w:val="clear" w:color="auto" w:fill="FFFFFF"/>
        </w:rPr>
        <w:t>a griega de estadísticas) Elstat”</w:t>
      </w:r>
      <w:r w:rsidRPr="00FE4509">
        <w:rPr>
          <w:rStyle w:val="Textoennegrita"/>
          <w:rFonts w:ascii="Times New Roman" w:hAnsi="Times New Roman" w:cs="Times New Roman"/>
          <w:b w:val="0"/>
          <w:sz w:val="24"/>
          <w:szCs w:val="24"/>
          <w:bdr w:val="none" w:sz="0" w:space="0" w:color="auto" w:frame="1"/>
          <w:shd w:val="clear" w:color="auto" w:fill="FFFFFF"/>
        </w:rPr>
        <w:t>, ya que "se reduce el desemp</w:t>
      </w:r>
      <w:r>
        <w:rPr>
          <w:rStyle w:val="Textoennegrita"/>
          <w:rFonts w:ascii="Times New Roman" w:hAnsi="Times New Roman" w:cs="Times New Roman"/>
          <w:b w:val="0"/>
          <w:sz w:val="24"/>
          <w:szCs w:val="24"/>
          <w:bdr w:val="none" w:sz="0" w:space="0" w:color="auto" w:frame="1"/>
          <w:shd w:val="clear" w:color="auto" w:fill="FFFFFF"/>
        </w:rPr>
        <w:t>leo, signo de que algo se mueve”</w:t>
      </w:r>
      <w:r w:rsidRPr="00FE4509">
        <w:rPr>
          <w:rStyle w:val="Textoennegrita"/>
          <w:rFonts w:ascii="Times New Roman" w:hAnsi="Times New Roman" w:cs="Times New Roman"/>
          <w:b w:val="0"/>
          <w:sz w:val="24"/>
          <w:szCs w:val="24"/>
          <w:bdr w:val="none" w:sz="0" w:space="0" w:color="auto" w:frame="1"/>
          <w:shd w:val="clear" w:color="auto" w:fill="FFFFFF"/>
        </w:rPr>
        <w:t>.</w:t>
      </w:r>
    </w:p>
    <w:p w:rsidR="00B978EF" w:rsidRPr="00FE4509" w:rsidRDefault="00B978EF" w:rsidP="00B978EF">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E4509">
        <w:rPr>
          <w:rStyle w:val="Textoennegrita"/>
          <w:rFonts w:ascii="Times New Roman" w:hAnsi="Times New Roman" w:cs="Times New Roman"/>
          <w:b w:val="0"/>
          <w:sz w:val="24"/>
          <w:szCs w:val="24"/>
          <w:bdr w:val="none" w:sz="0" w:space="0" w:color="auto" w:frame="1"/>
          <w:shd w:val="clear" w:color="auto" w:fill="FFFFFF"/>
        </w:rPr>
        <w:t>Dicho índice de desempleo se redujo en el segundo trimestre de 2016 un 1,8 % hasta situarse en el 23,1 % de la población activa, según Elstat.</w:t>
      </w:r>
    </w:p>
    <w:p w:rsidR="00B978EF" w:rsidRPr="00FE4509" w:rsidRDefault="00B978EF" w:rsidP="00B978EF">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w:t>
      </w:r>
      <w:r w:rsidRPr="00FE4509">
        <w:rPr>
          <w:rStyle w:val="Textoennegrita"/>
          <w:rFonts w:ascii="Times New Roman" w:hAnsi="Times New Roman" w:cs="Times New Roman"/>
          <w:b w:val="0"/>
          <w:sz w:val="24"/>
          <w:szCs w:val="24"/>
          <w:bdr w:val="none" w:sz="0" w:space="0" w:color="auto" w:frame="1"/>
          <w:shd w:val="clear" w:color="auto" w:fill="FFFFFF"/>
        </w:rPr>
        <w:t>Los griegos no nadan en un mar de alegrías, pero ven que a cada paso nuestra preocupación es l</w:t>
      </w:r>
      <w:r>
        <w:rPr>
          <w:rStyle w:val="Textoennegrita"/>
          <w:rFonts w:ascii="Times New Roman" w:hAnsi="Times New Roman" w:cs="Times New Roman"/>
          <w:b w:val="0"/>
          <w:sz w:val="24"/>
          <w:szCs w:val="24"/>
          <w:bdr w:val="none" w:sz="0" w:space="0" w:color="auto" w:frame="1"/>
          <w:shd w:val="clear" w:color="auto" w:fill="FFFFFF"/>
        </w:rPr>
        <w:t>a protección de los más débiles”</w:t>
      </w:r>
      <w:r w:rsidRPr="00FE4509">
        <w:rPr>
          <w:rStyle w:val="Textoennegrita"/>
          <w:rFonts w:ascii="Times New Roman" w:hAnsi="Times New Roman" w:cs="Times New Roman"/>
          <w:b w:val="0"/>
          <w:sz w:val="24"/>
          <w:szCs w:val="24"/>
          <w:bdr w:val="none" w:sz="0" w:space="0" w:color="auto" w:frame="1"/>
          <w:shd w:val="clear" w:color="auto" w:fill="FFFFFF"/>
        </w:rPr>
        <w:t>, aseveró el primer ministro.</w:t>
      </w:r>
    </w:p>
    <w:p w:rsidR="00B978EF" w:rsidRDefault="00B978EF" w:rsidP="00B978EF">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w:t>
      </w:r>
      <w:r w:rsidRPr="00FE4509">
        <w:rPr>
          <w:rStyle w:val="Textoennegrita"/>
          <w:rFonts w:ascii="Times New Roman" w:hAnsi="Times New Roman" w:cs="Times New Roman"/>
          <w:b w:val="0"/>
          <w:sz w:val="24"/>
          <w:szCs w:val="24"/>
          <w:bdr w:val="none" w:sz="0" w:space="0" w:color="auto" w:frame="1"/>
          <w:shd w:val="clear" w:color="auto" w:fill="FFFFFF"/>
        </w:rPr>
        <w:t>Hemos cometi</w:t>
      </w:r>
      <w:r>
        <w:rPr>
          <w:rStyle w:val="Textoennegrita"/>
          <w:rFonts w:ascii="Times New Roman" w:hAnsi="Times New Roman" w:cs="Times New Roman"/>
          <w:b w:val="0"/>
          <w:sz w:val="24"/>
          <w:szCs w:val="24"/>
          <w:bdr w:val="none" w:sz="0" w:space="0" w:color="auto" w:frame="1"/>
          <w:shd w:val="clear" w:color="auto" w:fill="FFFFFF"/>
        </w:rPr>
        <w:t>do errores, no hay duda de ello”</w:t>
      </w:r>
      <w:r w:rsidRPr="00FE4509">
        <w:rPr>
          <w:rStyle w:val="Textoennegrita"/>
          <w:rFonts w:ascii="Times New Roman" w:hAnsi="Times New Roman" w:cs="Times New Roman"/>
          <w:b w:val="0"/>
          <w:sz w:val="24"/>
          <w:szCs w:val="24"/>
          <w:bdr w:val="none" w:sz="0" w:space="0" w:color="auto" w:frame="1"/>
          <w:shd w:val="clear" w:color="auto" w:fill="FFFFFF"/>
        </w:rPr>
        <w:t>, reconoció Tsipras,</w:t>
      </w:r>
      <w:r>
        <w:rPr>
          <w:rStyle w:val="Textoennegrita"/>
          <w:rFonts w:ascii="Times New Roman" w:hAnsi="Times New Roman" w:cs="Times New Roman"/>
          <w:b w:val="0"/>
          <w:sz w:val="24"/>
          <w:szCs w:val="24"/>
          <w:bdr w:val="none" w:sz="0" w:space="0" w:color="auto" w:frame="1"/>
          <w:shd w:val="clear" w:color="auto" w:fill="FFFFFF"/>
        </w:rPr>
        <w:t xml:space="preserve"> que, sin embargo, recordó que “</w:t>
      </w:r>
      <w:r w:rsidRPr="00FE4509">
        <w:rPr>
          <w:rStyle w:val="Textoennegrita"/>
          <w:rFonts w:ascii="Times New Roman" w:hAnsi="Times New Roman" w:cs="Times New Roman"/>
          <w:b w:val="0"/>
          <w:sz w:val="24"/>
          <w:szCs w:val="24"/>
          <w:bdr w:val="none" w:sz="0" w:space="0" w:color="auto" w:frame="1"/>
          <w:shd w:val="clear" w:color="auto" w:fill="FFFFFF"/>
        </w:rPr>
        <w:t>los compromisos presentados en (el programa de)</w:t>
      </w:r>
      <w:r>
        <w:rPr>
          <w:rStyle w:val="Textoennegrita"/>
          <w:rFonts w:ascii="Times New Roman" w:hAnsi="Times New Roman" w:cs="Times New Roman"/>
          <w:b w:val="0"/>
          <w:sz w:val="24"/>
          <w:szCs w:val="24"/>
          <w:bdr w:val="none" w:sz="0" w:space="0" w:color="auto" w:frame="1"/>
          <w:shd w:val="clear" w:color="auto" w:fill="FFFFFF"/>
        </w:rPr>
        <w:t xml:space="preserve"> Salónica siguen siendo válidos” y añadió que “</w:t>
      </w:r>
      <w:r w:rsidRPr="00FE4509">
        <w:rPr>
          <w:rStyle w:val="Textoennegrita"/>
          <w:rFonts w:ascii="Times New Roman" w:hAnsi="Times New Roman" w:cs="Times New Roman"/>
          <w:b w:val="0"/>
          <w:sz w:val="24"/>
          <w:szCs w:val="24"/>
          <w:bdr w:val="none" w:sz="0" w:space="0" w:color="auto" w:frame="1"/>
          <w:shd w:val="clear" w:color="auto" w:fill="FFFFFF"/>
        </w:rPr>
        <w:t>muy pronto habrá novedades impo</w:t>
      </w:r>
      <w:r>
        <w:rPr>
          <w:rStyle w:val="Textoennegrita"/>
          <w:rFonts w:ascii="Times New Roman" w:hAnsi="Times New Roman" w:cs="Times New Roman"/>
          <w:b w:val="0"/>
          <w:sz w:val="24"/>
          <w:szCs w:val="24"/>
          <w:bdr w:val="none" w:sz="0" w:space="0" w:color="auto" w:frame="1"/>
          <w:shd w:val="clear" w:color="auto" w:fill="FFFFFF"/>
        </w:rPr>
        <w:t>rtantes con respecto a la deuda”…</w:t>
      </w:r>
    </w:p>
    <w:p w:rsidR="00B978EF" w:rsidRPr="00FE4509" w:rsidRDefault="00B978EF" w:rsidP="00B978EF">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p>
    <w:p w:rsidR="00B978EF" w:rsidRDefault="00B978EF" w:rsidP="00691E08">
      <w:pPr>
        <w:pStyle w:val="NormalWeb"/>
        <w:shd w:val="clear" w:color="auto" w:fill="FFFFFF"/>
        <w:spacing w:after="0"/>
        <w:jc w:val="both"/>
        <w:textAlignment w:val="baseline"/>
        <w:rPr>
          <w:rStyle w:val="Textoennegrita"/>
          <w:rFonts w:eastAsiaTheme="minorHAnsi"/>
          <w:b w:val="0"/>
          <w:bdr w:val="none" w:sz="0" w:space="0" w:color="auto" w:frame="1"/>
          <w:shd w:val="clear" w:color="auto" w:fill="FFFFFF"/>
          <w:lang w:eastAsia="en-US"/>
        </w:rPr>
      </w:pPr>
    </w:p>
    <w:p w:rsidR="00691E08" w:rsidRDefault="00691E08" w:rsidP="00691E08">
      <w:pPr>
        <w:pStyle w:val="NormalWeb"/>
        <w:shd w:val="clear" w:color="auto" w:fill="FFFFFF"/>
        <w:spacing w:after="0"/>
        <w:jc w:val="both"/>
        <w:textAlignment w:val="baseline"/>
        <w:rPr>
          <w:b/>
        </w:rPr>
      </w:pPr>
      <w:r>
        <w:rPr>
          <w:b/>
        </w:rPr>
        <w:lastRenderedPageBreak/>
        <w:t xml:space="preserve">- </w:t>
      </w:r>
      <w:r w:rsidR="006C4115">
        <w:rPr>
          <w:b/>
        </w:rPr>
        <w:t xml:space="preserve">¿Financierización mórbida? - </w:t>
      </w:r>
      <w:r>
        <w:rPr>
          <w:b/>
        </w:rPr>
        <w:t xml:space="preserve">La opinión de </w:t>
      </w:r>
      <w:r w:rsidR="00E544AD">
        <w:rPr>
          <w:b/>
        </w:rPr>
        <w:t>“</w:t>
      </w:r>
      <w:r>
        <w:rPr>
          <w:b/>
        </w:rPr>
        <w:t>los que saben</w:t>
      </w:r>
      <w:r w:rsidR="00E544AD">
        <w:rPr>
          <w:b/>
        </w:rPr>
        <w:t>”</w:t>
      </w:r>
      <w:r w:rsidR="00945AD1">
        <w:rPr>
          <w:b/>
        </w:rPr>
        <w:t xml:space="preserve"> (o eso se supone)</w:t>
      </w:r>
      <w:r w:rsidR="00E544AD">
        <w:rPr>
          <w:b/>
        </w:rPr>
        <w:t xml:space="preserve"> </w:t>
      </w:r>
    </w:p>
    <w:p w:rsidR="006C4115" w:rsidRDefault="002E6C87" w:rsidP="00691E08">
      <w:pPr>
        <w:pStyle w:val="NormalWeb"/>
        <w:shd w:val="clear" w:color="auto" w:fill="FFFFFF"/>
        <w:spacing w:after="0"/>
        <w:jc w:val="both"/>
        <w:textAlignment w:val="baseline"/>
        <w:rPr>
          <w:b/>
        </w:rPr>
      </w:pPr>
      <w:r>
        <w:rPr>
          <w:noProof/>
        </w:rPr>
        <w:drawing>
          <wp:inline distT="0" distB="0" distL="0" distR="0" wp14:anchorId="57BD3CF9" wp14:editId="11D90669">
            <wp:extent cx="5731510" cy="3122295"/>
            <wp:effectExtent l="0" t="0" r="2540" b="1905"/>
            <wp:docPr id="657" name="Imagen 657" descr="https://si.wsj.net/public/resources/images/BN-UQ832_philca_ER_20170811174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BN-UQ832_philca_ER_20170811174556.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122295"/>
                    </a:xfrm>
                    <a:prstGeom prst="rect">
                      <a:avLst/>
                    </a:prstGeom>
                    <a:noFill/>
                    <a:ln>
                      <a:noFill/>
                    </a:ln>
                  </pic:spPr>
                </pic:pic>
              </a:graphicData>
            </a:graphic>
          </wp:inline>
        </w:drawing>
      </w:r>
    </w:p>
    <w:p w:rsidR="006C4115" w:rsidRDefault="006C4115" w:rsidP="006C4115">
      <w:pPr>
        <w:pStyle w:val="NormalWeb"/>
        <w:shd w:val="clear" w:color="auto" w:fill="FFFFFF"/>
        <w:spacing w:after="0"/>
        <w:jc w:val="both"/>
        <w:textAlignment w:val="baseline"/>
      </w:pPr>
      <w:r>
        <w:t>- ¿</w:t>
      </w:r>
      <w:r w:rsidRPr="00CA2960">
        <w:rPr>
          <w:u w:val="single"/>
        </w:rPr>
        <w:t>Cuán saludable está el sistema financiero mundial</w:t>
      </w:r>
      <w:r>
        <w:t xml:space="preserve">? (Project Syndicate - </w:t>
      </w:r>
      <w:r w:rsidRPr="00CA2960">
        <w:rPr>
          <w:b/>
        </w:rPr>
        <w:t>10/7/17</w:t>
      </w:r>
      <w:r>
        <w:t>)</w:t>
      </w:r>
    </w:p>
    <w:p w:rsidR="006C4115" w:rsidRPr="00F77BC5" w:rsidRDefault="006C4115" w:rsidP="006C4115">
      <w:pPr>
        <w:pStyle w:val="NormalWeb"/>
        <w:shd w:val="clear" w:color="auto" w:fill="FFFFFF"/>
        <w:spacing w:after="0"/>
        <w:jc w:val="both"/>
        <w:textAlignment w:val="baseline"/>
        <w:rPr>
          <w:u w:val="single"/>
        </w:rPr>
      </w:pPr>
      <w:r>
        <w:t xml:space="preserve">Londres.- </w:t>
      </w:r>
      <w:r w:rsidRPr="00F77BC5">
        <w:rPr>
          <w:u w:val="single"/>
        </w:rPr>
        <w:t>Durante las últimas semanas, los responsables de la formulación de políticas de ambos lados del Atlántico han afirmado que el sistema financiero es sólido y estable. La Reserva Federal de Estados Unidos anunció en junio que todos los bancos estadounidenses aprobaron su última prueba de estrés anual. Y, la presidenta de la Fed, Janet Yellen, ahora ha sugerido que puede que no atravesemos por otra crisis financiera durante “el transcurso de nuestras vidas”.</w:t>
      </w:r>
    </w:p>
    <w:p w:rsidR="006C4115" w:rsidRPr="00F77BC5" w:rsidRDefault="006C4115" w:rsidP="006C4115">
      <w:pPr>
        <w:pStyle w:val="NormalWeb"/>
        <w:shd w:val="clear" w:color="auto" w:fill="FFFFFF"/>
        <w:spacing w:after="0"/>
        <w:jc w:val="both"/>
        <w:textAlignment w:val="baseline"/>
        <w:rPr>
          <w:u w:val="single"/>
        </w:rPr>
      </w:pPr>
      <w:r w:rsidRPr="00F77BC5">
        <w:rPr>
          <w:u w:val="single"/>
        </w:rPr>
        <w:t xml:space="preserve">Al mismo tiempo, el Consejo de Estabilidad Financiera (FSB) -que monitoriza las prácticas regulatorias en todo el mundo con el propósito de cerciorarse de que cumplan con los estándares acordados a nivel mundial- ha declarado, en una carta a los líderes del G20, que se han eliminado las “formas tóxicas de banca paralela”.   </w:t>
      </w:r>
    </w:p>
    <w:p w:rsidR="006C4115" w:rsidRPr="00F77BC5" w:rsidRDefault="006C4115" w:rsidP="006C4115">
      <w:pPr>
        <w:pStyle w:val="NormalWeb"/>
        <w:shd w:val="clear" w:color="auto" w:fill="FFFFFF"/>
        <w:spacing w:after="0"/>
        <w:jc w:val="both"/>
        <w:textAlignment w:val="baseline"/>
        <w:rPr>
          <w:u w:val="single"/>
        </w:rPr>
      </w:pPr>
      <w:r w:rsidRPr="00F77BC5">
        <w:rPr>
          <w:u w:val="single"/>
        </w:rPr>
        <w:t>En resumen, las medidas en curso para reforzar el sistema financiero mundial, sin lugar a dudas, han dado sus frutos, especialmente en lo que se refiere al fortalecimiento de las reservas de capital y la limpieza de los balances contables de sectores importantes del sistema bancario. Las más recientes aserciones de los responsables de la formulación de políticas son reconfortantes para aquellos de nosotros que tememos que no se haya hecho lo suficiente por reducir el riesgo financiero sistémico y por garantizar que los bancos sirvan a la economía real en lugar de amenazar su bienestar.</w:t>
      </w:r>
    </w:p>
    <w:p w:rsidR="006C4115" w:rsidRPr="00F77BC5" w:rsidRDefault="006C4115" w:rsidP="006C4115">
      <w:pPr>
        <w:pStyle w:val="NormalWeb"/>
        <w:shd w:val="clear" w:color="auto" w:fill="FFFFFF"/>
        <w:spacing w:after="0"/>
        <w:jc w:val="both"/>
        <w:textAlignment w:val="baseline"/>
        <w:rPr>
          <w:color w:val="FF0000"/>
          <w:u w:val="single"/>
        </w:rPr>
      </w:pPr>
      <w:r w:rsidRPr="00F77BC5">
        <w:rPr>
          <w:color w:val="FF0000"/>
          <w:u w:val="single"/>
        </w:rPr>
        <w:t>Sin embargo, es demasiado pronto para dar al sistema financiero en su conjunto un certificado de buena salud. Los esfuerzos por reforzar el sector bancario en algunas partes de Europa continúan muy rezagados. Y, lo que es más importante, los riesgos financieros han continuado migrando hacia actividades no bancarias.</w:t>
      </w:r>
    </w:p>
    <w:p w:rsidR="006C4115" w:rsidRDefault="006C4115" w:rsidP="006C4115">
      <w:pPr>
        <w:pStyle w:val="NormalWeb"/>
        <w:shd w:val="clear" w:color="auto" w:fill="FFFFFF"/>
        <w:spacing w:after="0"/>
        <w:jc w:val="both"/>
        <w:textAlignment w:val="baseline"/>
      </w:pPr>
      <w:r>
        <w:t xml:space="preserve">Después de que en el período 2007-2008 una irresponsable toma de riesgos hizo tambalear a la economía mundial, casi sumergiéndola en una depresión de varios años de duración, los </w:t>
      </w:r>
      <w:r>
        <w:lastRenderedPageBreak/>
        <w:t>reguladores y los bancos centrales en las economías avanzadas pusieron en marcha un gran esfuerzo para fortalecer sus sistemas financieros. Para ello, se centraron inicialmente en los bancos, que desde entonces han reforzado las reservas de capital para absorber riesgos, limpiaron los balances contables turbios, incrementaron la liquidez, mejoraron la transparencia, aminoraron el alcance de las actividades riesgosas, y realinearon parcialmente los incentivos internos para desalentar el comportamiento imprudente. Asimismo, se mejoró el proceso para dar solución a los casos de bancos fracasados y en camino al fracaso.</w:t>
      </w:r>
    </w:p>
    <w:p w:rsidR="006C4115" w:rsidRDefault="006C4115" w:rsidP="006C4115">
      <w:pPr>
        <w:pStyle w:val="NormalWeb"/>
        <w:shd w:val="clear" w:color="auto" w:fill="FFFFFF"/>
        <w:spacing w:after="0"/>
        <w:jc w:val="both"/>
        <w:textAlignment w:val="baseline"/>
      </w:pPr>
      <w:r>
        <w:t>Además de fortalecer al sector bancario, los responsables de la formulación de políticas también avanzaron hacia la estandarización de los mercados de derivados y hacia lograr que estos sean más sólidos y transparentes, lo que también reduce el riesgo de que los contribuyentes tengan que realizar rescates de instituciones irresponsables en el futuro. Por otra parte, se logró que el sistema de pago y compensación sea más seguro, reduciendo de esta forma la amenaza de una “parada súbita” en la actividad económica, como la que se produjo en el cuarto trimestre del año 2008.</w:t>
      </w:r>
    </w:p>
    <w:p w:rsidR="006C4115" w:rsidRDefault="006C4115" w:rsidP="006C4115">
      <w:pPr>
        <w:pStyle w:val="NormalWeb"/>
        <w:shd w:val="clear" w:color="auto" w:fill="FFFFFF"/>
        <w:spacing w:after="0"/>
        <w:jc w:val="both"/>
        <w:textAlignment w:val="baseline"/>
      </w:pPr>
      <w:r>
        <w:t>Ha sido alentador observar a las autoridades nacionales coordinar sus esfuerzos bajo los auspicios del FSB. Una mejor coordinación redujo el riesgo de arbitraje regulatorio, y abordó la amenaza de que los bancos serán, tal como lo expresó el ex gobernador del Banco de Inglaterra Mervyn King en su memorable frase, “internacionales durante su vida, pero nacionales el momento de su muerte”.</w:t>
      </w:r>
    </w:p>
    <w:p w:rsidR="006C4115" w:rsidRDefault="006C4115" w:rsidP="006C4115">
      <w:pPr>
        <w:pStyle w:val="NormalWeb"/>
        <w:shd w:val="clear" w:color="auto" w:fill="FFFFFF"/>
        <w:spacing w:after="0"/>
        <w:jc w:val="both"/>
        <w:textAlignment w:val="baseline"/>
      </w:pPr>
      <w:r>
        <w:t>Estados Unidos y el Reino Unido tomaron la delantera en la reforma, y ​​Europa se ha estado poniendo al día. Suponiendo que lo haga, como es la intención de los responsables de la formulación de políticas allí, la garantía de Yellen sobre que se tiene un sistema ba</w:t>
      </w:r>
      <w:r w:rsidR="00F77BC5">
        <w:t>ncario “mucho más fuerte” en EEUU</w:t>
      </w:r>
      <w:r>
        <w:t xml:space="preserve"> también se aplicará a todas las otras jurisdicciones bancarias sistémicamente importantes en el mundo desarrollado. Y, la confiada afirmación del FSB sobre que “las reformas han abordado las grietas que causaron la crisis financiera mundial” recibirá más apoyo.</w:t>
      </w:r>
    </w:p>
    <w:p w:rsidR="006C4115" w:rsidRPr="00F77BC5" w:rsidRDefault="006C4115" w:rsidP="006C4115">
      <w:pPr>
        <w:pStyle w:val="NormalWeb"/>
        <w:shd w:val="clear" w:color="auto" w:fill="FFFFFF"/>
        <w:spacing w:after="0"/>
        <w:jc w:val="both"/>
        <w:textAlignment w:val="baseline"/>
        <w:rPr>
          <w:color w:val="FF0000"/>
          <w:u w:val="single"/>
        </w:rPr>
      </w:pPr>
      <w:r>
        <w:t xml:space="preserve">Aun así, </w:t>
      </w:r>
      <w:r w:rsidRPr="00F77BC5">
        <w:rPr>
          <w:color w:val="FF0000"/>
          <w:u w:val="single"/>
        </w:rPr>
        <w:t>es demasiado pronto para declarar la victoria. Aunque el FSB describe el sistema financiero como “más seguro, más simple y más justo”, también reconoce “riesgos incipientes que, si se dejan sin control, podrían socavar el objetivo del G20 sobre un crecimiento fuerte, sostenible y equilibrado”.</w:t>
      </w:r>
    </w:p>
    <w:p w:rsidR="006C4115" w:rsidRPr="00F77BC5" w:rsidRDefault="006C4115" w:rsidP="006C4115">
      <w:pPr>
        <w:pStyle w:val="NormalWeb"/>
        <w:shd w:val="clear" w:color="auto" w:fill="FFFFFF"/>
        <w:spacing w:after="0"/>
        <w:jc w:val="both"/>
        <w:textAlignment w:val="baseline"/>
        <w:rPr>
          <w:u w:val="single"/>
        </w:rPr>
      </w:pPr>
      <w:r w:rsidRPr="00F77BC5">
        <w:rPr>
          <w:u w:val="single"/>
        </w:rPr>
        <w:t>Como observador y participante en los mercados mundiales de capitales, en mi opinión, tres de estos riesgos son destacables.</w:t>
      </w:r>
    </w:p>
    <w:p w:rsidR="006C4115" w:rsidRPr="00F77BC5" w:rsidRDefault="006C4115" w:rsidP="006C4115">
      <w:pPr>
        <w:pStyle w:val="NormalWeb"/>
        <w:shd w:val="clear" w:color="auto" w:fill="FFFFFF"/>
        <w:spacing w:after="0"/>
        <w:jc w:val="both"/>
        <w:textAlignment w:val="baseline"/>
        <w:rPr>
          <w:color w:val="FF0000"/>
          <w:u w:val="single"/>
        </w:rPr>
      </w:pPr>
      <w:r w:rsidRPr="00F77BC5">
        <w:rPr>
          <w:color w:val="FF0000"/>
          <w:u w:val="single"/>
        </w:rPr>
        <w:t>En primer lugar, a medida que los bancos que ahora son más cuidadosamente regulados han cesado ciertas actividades, ya sea de forma voluntaria o de otra manera, ellos han sido sustituidos por bancos que no están sujetos a las mismas normas de supervisión y regulación.</w:t>
      </w:r>
    </w:p>
    <w:p w:rsidR="006C4115" w:rsidRDefault="006C4115" w:rsidP="006C4115">
      <w:pPr>
        <w:pStyle w:val="NormalWeb"/>
        <w:shd w:val="clear" w:color="auto" w:fill="FFFFFF"/>
        <w:spacing w:after="0"/>
        <w:jc w:val="both"/>
        <w:textAlignment w:val="baseline"/>
      </w:pPr>
      <w:r w:rsidRPr="00F77BC5">
        <w:rPr>
          <w:color w:val="FF0000"/>
          <w:u w:val="single"/>
        </w:rPr>
        <w:t xml:space="preserve">En segundo lugar, algunos segmentos del sistema no bancario se encuentran ahora atrapados por un “espejismo de liquidez”, en el cual algunos productos se arriesgan a hacer promesas exageradas de liquidez que ellos podrían proporcionar a clientes que operan en algunas áreas -tales como los bonos de alto rendimiento y los bonos corporativos de mercados emergentes- que son particularmente vulnerables a la volatilidad del mercado. </w:t>
      </w:r>
      <w:r>
        <w:t>Y, al mismo tiempo, los fondos que se negocian en bolsa han proliferado, mientras que los intermediarios financieros se han reducido en comparación con usuarios finales más grandes y complejos.</w:t>
      </w:r>
    </w:p>
    <w:p w:rsidR="006C4115" w:rsidRDefault="006C4115" w:rsidP="006C4115">
      <w:pPr>
        <w:pStyle w:val="NormalWeb"/>
        <w:shd w:val="clear" w:color="auto" w:fill="FFFFFF"/>
        <w:spacing w:after="0"/>
        <w:jc w:val="both"/>
        <w:textAlignment w:val="baseline"/>
      </w:pPr>
      <w:r w:rsidRPr="00F77BC5">
        <w:rPr>
          <w:color w:val="FF0000"/>
          <w:u w:val="single"/>
        </w:rPr>
        <w:lastRenderedPageBreak/>
        <w:t>En tercer lugar, el sistema financiero aún no ha sentido el impacto pleno que las perturbaciones tecnológicas impulsadas por los avances en grandes datos, inteligencia artificial y movilidad, mismos que ya están en el proceso de alterar a un número creciente de otros sectores establecidos</w:t>
      </w:r>
      <w:r>
        <w:t>. Y, las actividades de tecnología financiera (fintech) que se han expandido se encuentran inadecuadamente reguladas, y aún no se han puesto a prueba en un ciclo de mercado completo.</w:t>
      </w:r>
    </w:p>
    <w:p w:rsidR="006C4115" w:rsidRPr="00F77BC5" w:rsidRDefault="006C4115" w:rsidP="006C4115">
      <w:pPr>
        <w:pStyle w:val="NormalWeb"/>
        <w:shd w:val="clear" w:color="auto" w:fill="FFFFFF"/>
        <w:spacing w:after="0"/>
        <w:jc w:val="both"/>
        <w:textAlignment w:val="baseline"/>
        <w:rPr>
          <w:color w:val="FF0000"/>
          <w:u w:val="single"/>
        </w:rPr>
      </w:pPr>
      <w:r w:rsidRPr="00F77BC5">
        <w:rPr>
          <w:color w:val="FF0000"/>
          <w:u w:val="single"/>
        </w:rPr>
        <w:t>Sin duda, probablemente en el sistema bancario no se origine otra crisis financiera sistémica que amenace el crecimiento y la prosperidad económica en todo el mundo. Sin embargo, sería prematuro afirmar que hemos logrado que todos los riesgos que enfrenta el sistema financiero sean cosa del pasado.</w:t>
      </w:r>
    </w:p>
    <w:p w:rsidR="006C4115" w:rsidRDefault="006C4115" w:rsidP="006C4115">
      <w:pPr>
        <w:pStyle w:val="NormalWeb"/>
        <w:shd w:val="clear" w:color="auto" w:fill="FFFFFF"/>
        <w:spacing w:after="0"/>
        <w:jc w:val="both"/>
        <w:textAlignment w:val="baseline"/>
      </w:pPr>
      <w:r>
        <w:t>Debido a que los riesgos se transfo</w:t>
      </w:r>
      <w:r w:rsidR="00F77BC5">
        <w:t>rmaron -</w:t>
      </w:r>
      <w:r>
        <w:t>y migraron ha</w:t>
      </w:r>
      <w:r w:rsidR="00F77BC5">
        <w:t>cia fuera del sistema bancario-</w:t>
      </w:r>
      <w:r>
        <w:t xml:space="preserve"> los reguladores y supervisores tendrán que intensificar sus esfuerzos y ampliar su enfoque para ver más allá de los bancos. Después de todo, como Greg Ip del Wall Street Journal</w:t>
      </w:r>
      <w:r w:rsidR="00F77BC5">
        <w:t xml:space="preserve"> </w:t>
      </w:r>
      <w:r>
        <w:t>señaló en el año 2015, “Exprimir hasta sacar el riesgo de la economía puede ser como presionar sobre una cama de agua: el riesgo a menudo resurge en otros lugares. Esto es lo que ocurre sucesivamente con los esfuerzos por hacer que el sistema financiero sea más seguro tras la crisis financiera”.</w:t>
      </w:r>
    </w:p>
    <w:p w:rsidR="006C4115" w:rsidRDefault="006C4115" w:rsidP="006C4115">
      <w:pPr>
        <w:pStyle w:val="NormalWeb"/>
        <w:shd w:val="clear" w:color="auto" w:fill="FFFFFF"/>
        <w:spacing w:after="0"/>
        <w:jc w:val="both"/>
        <w:textAlignment w:val="baseline"/>
        <w:rPr>
          <w:lang w:val="en-GB"/>
        </w:rPr>
      </w:pPr>
      <w:r>
        <w:rPr>
          <w:lang w:val="en-GB"/>
        </w:rPr>
        <w:t>(</w:t>
      </w:r>
      <w:r w:rsidRPr="00CA2960">
        <w:rPr>
          <w:lang w:val="en-GB"/>
        </w:rPr>
        <w:t>Mohamed A. El-Erian, Chief Economic Adviser at Allianz, the corporate parent of PIMCO where he served as CEO and co-Chief Investment Officer, was Chairman of US President Barack Obama’s Global Development Council. He previously served as CEO of the Harvard Management Company and Deputy Director at t…</w:t>
      </w:r>
      <w:r>
        <w:rPr>
          <w:lang w:val="en-GB"/>
        </w:rPr>
        <w:t>)</w:t>
      </w:r>
    </w:p>
    <w:p w:rsidR="006C4115" w:rsidRPr="00CA2960" w:rsidRDefault="006C4115" w:rsidP="006C4115">
      <w:pPr>
        <w:pStyle w:val="NormalWeb"/>
        <w:shd w:val="clear" w:color="auto" w:fill="FFFFFF"/>
        <w:spacing w:after="0"/>
        <w:jc w:val="both"/>
        <w:textAlignment w:val="baseline"/>
      </w:pPr>
      <w:r>
        <w:t xml:space="preserve">- </w:t>
      </w:r>
      <w:r w:rsidRPr="00CA2960">
        <w:rPr>
          <w:u w:val="single"/>
        </w:rPr>
        <w:t>La “nueva anormalidad” de la política monetaria</w:t>
      </w:r>
      <w:r>
        <w:t xml:space="preserve"> (Project Syndicate - </w:t>
      </w:r>
      <w:r w:rsidRPr="00CA2960">
        <w:rPr>
          <w:b/>
        </w:rPr>
        <w:t>10/7/17</w:t>
      </w:r>
      <w:r>
        <w:t>)</w:t>
      </w:r>
    </w:p>
    <w:p w:rsidR="006C4115" w:rsidRPr="00F77BC5" w:rsidRDefault="006C4115" w:rsidP="006C4115">
      <w:pPr>
        <w:pStyle w:val="NormalWeb"/>
        <w:shd w:val="clear" w:color="auto" w:fill="FFFFFF"/>
        <w:spacing w:after="0"/>
        <w:jc w:val="both"/>
        <w:textAlignment w:val="baseline"/>
        <w:rPr>
          <w:u w:val="single"/>
        </w:rPr>
      </w:pPr>
      <w:r>
        <w:t>Nueva York.-</w:t>
      </w:r>
      <w:r w:rsidRPr="00CA2960">
        <w:t xml:space="preserve"> </w:t>
      </w:r>
      <w:r w:rsidRPr="00F77BC5">
        <w:rPr>
          <w:u w:val="single"/>
        </w:rPr>
        <w:t>Los mercados financieros comienzan a sentir los efectos del desarme de las políticas monetarias no convencionales en muchas economías avanzadas. Pronto, el Banco de Japón (BJ) y el Banco Nacional Suizo (BNS) serán los únicos bancos centrales que sigan manteniendo esa clase de políticas para el largo plazo.</w:t>
      </w:r>
    </w:p>
    <w:p w:rsidR="006C4115" w:rsidRPr="00F77BC5" w:rsidRDefault="006C4115" w:rsidP="006C4115">
      <w:pPr>
        <w:pStyle w:val="NormalWeb"/>
        <w:shd w:val="clear" w:color="auto" w:fill="FFFFFF"/>
        <w:spacing w:after="0"/>
        <w:jc w:val="both"/>
        <w:textAlignment w:val="baseline"/>
        <w:rPr>
          <w:u w:val="single"/>
        </w:rPr>
      </w:pPr>
      <w:r w:rsidRPr="00F77BC5">
        <w:rPr>
          <w:u w:val="single"/>
        </w:rPr>
        <w:t xml:space="preserve">La Reserva Federal de los Estados Unidos empezó a retirar su programa de compra de activos (la flexibilización cuantitativa, o FC) en 2014, y a normalizar los tipos de interés a fines de 2015. Y el Banco Central Europeo (BCE) está analizando con cuánta rapidez reducir su propia política de FC en 2018, y cuándo comenzar a eliminar también los tipos de interés negativos. </w:t>
      </w:r>
    </w:p>
    <w:p w:rsidR="006C4115" w:rsidRPr="00F77BC5" w:rsidRDefault="006C4115" w:rsidP="006C4115">
      <w:pPr>
        <w:pStyle w:val="NormalWeb"/>
        <w:shd w:val="clear" w:color="auto" w:fill="FFFFFF"/>
        <w:spacing w:after="0"/>
        <w:jc w:val="both"/>
        <w:textAlignment w:val="baseline"/>
        <w:rPr>
          <w:u w:val="single"/>
        </w:rPr>
      </w:pPr>
      <w:r w:rsidRPr="00F77BC5">
        <w:rPr>
          <w:u w:val="single"/>
        </w:rPr>
        <w:t>En esa misma dirección, el Banco de Inglaterra puso fin a su última ronda de FC (que había iniciado tras el referendo por el Brexit de junio del año pasado) y analiza subir los tipos de interés. También están anunciando subas de las tasas el Banco de Canadá y el Banco de la Reserva de Australia.</w:t>
      </w:r>
    </w:p>
    <w:p w:rsidR="006C4115" w:rsidRPr="00CA2960" w:rsidRDefault="006C4115" w:rsidP="006C4115">
      <w:pPr>
        <w:pStyle w:val="NormalWeb"/>
        <w:shd w:val="clear" w:color="auto" w:fill="FFFFFF"/>
        <w:spacing w:after="0"/>
        <w:jc w:val="both"/>
        <w:textAlignment w:val="baseline"/>
      </w:pPr>
      <w:r w:rsidRPr="00F77BC5">
        <w:rPr>
          <w:color w:val="FF0000"/>
          <w:u w:val="single"/>
        </w:rPr>
        <w:t>Pero si llegara a ocurrir otra recesión o crisis financiera, todos estos bancos centrales tendrán que reintroducir políticas monetarias no convencionales</w:t>
      </w:r>
      <w:r w:rsidRPr="00CA2960">
        <w:t>. Piénsese el caso de la Reserva Federal (que está mejor posicionada que cualquier otro banco central para abandonarlas). Incluso si con su política de normalización logra regresar los tipos de interés a un nivel de equilibrio, ese nivel no superará el 3%.</w:t>
      </w:r>
    </w:p>
    <w:p w:rsidR="006C4115" w:rsidRPr="00F77BC5" w:rsidRDefault="006C4115" w:rsidP="006C4115">
      <w:pPr>
        <w:pStyle w:val="NormalWeb"/>
        <w:shd w:val="clear" w:color="auto" w:fill="FFFFFF"/>
        <w:spacing w:after="0"/>
        <w:jc w:val="both"/>
        <w:textAlignment w:val="baseline"/>
        <w:rPr>
          <w:u w:val="single"/>
        </w:rPr>
      </w:pPr>
      <w:r w:rsidRPr="00F77BC5">
        <w:rPr>
          <w:u w:val="single"/>
        </w:rPr>
        <w:lastRenderedPageBreak/>
        <w:t>No hay que olvidar que en los dos ciclos anteriores de política restrictiva de la Reserva Federal, el tipo de interés de equilibrio era 6,5% y 5,25%, respectivamente. Cuando entre 2007 y 2009 se sucedieron la crisis financiera global y la posterior recesión, la Reserva Federal recortó la tasa de referencia de 5,25% a 0%. Pero como eso no bastó para estimular la economía, tuvo que empezar a aplicar políticas monetarias no convencionales, y fue el comienzo de la FC.</w:t>
      </w:r>
    </w:p>
    <w:p w:rsidR="006C4115" w:rsidRPr="00F77BC5" w:rsidRDefault="006C4115" w:rsidP="006C4115">
      <w:pPr>
        <w:pStyle w:val="NormalWeb"/>
        <w:shd w:val="clear" w:color="auto" w:fill="FFFFFF"/>
        <w:spacing w:after="0"/>
        <w:jc w:val="both"/>
        <w:textAlignment w:val="baseline"/>
        <w:rPr>
          <w:u w:val="single"/>
        </w:rPr>
      </w:pPr>
      <w:r w:rsidRPr="00F77BC5">
        <w:rPr>
          <w:u w:val="single"/>
        </w:rPr>
        <w:t>De modo que los ciclos de política monetaria recientes muestran que incluso logrando llevar la tasa de equilibrio al 3% antes de la próxima recesión, la Reserva Federal no tendrá margen de maniobra suficiente</w:t>
      </w:r>
      <w:r w:rsidRPr="00CA2960">
        <w:t xml:space="preserve">. Llegado el momento de bajar las tasas, se llegará al límite de cero antes de lograr un efecto significativo sobre la economía. </w:t>
      </w:r>
      <w:r w:rsidRPr="00F77BC5">
        <w:rPr>
          <w:u w:val="single"/>
        </w:rPr>
        <w:t>Y entonces a la Reserva Federal y a otros grandes bancos centrales sólo les quedarán cuatro opciones, cada una de ellas con sus costos y beneficios.</w:t>
      </w:r>
    </w:p>
    <w:p w:rsidR="006C4115" w:rsidRPr="00CA2960" w:rsidRDefault="006C4115" w:rsidP="006C4115">
      <w:pPr>
        <w:pStyle w:val="NormalWeb"/>
        <w:shd w:val="clear" w:color="auto" w:fill="FFFFFF"/>
        <w:spacing w:after="0"/>
        <w:jc w:val="both"/>
        <w:textAlignment w:val="baseline"/>
      </w:pPr>
      <w:r w:rsidRPr="00F77BC5">
        <w:rPr>
          <w:u w:val="single"/>
        </w:rPr>
        <w:t>La primera: reiniciar las políticas de flexibilización cuantitativa o crediticia mediante la compra de activos privados o títulos públicos a largo plazo para aumentar la liquidez y alentar el crédito</w:t>
      </w:r>
      <w:r w:rsidRPr="00CA2960">
        <w:t>. Pero la FC no está exenta de costos ni de riesgos, ya que supone una gran expansión de los balances de los bancos centrales.</w:t>
      </w:r>
    </w:p>
    <w:p w:rsidR="006C4115" w:rsidRPr="00CA2960" w:rsidRDefault="006C4115" w:rsidP="006C4115">
      <w:pPr>
        <w:pStyle w:val="NormalWeb"/>
        <w:shd w:val="clear" w:color="auto" w:fill="FFFFFF"/>
        <w:spacing w:after="0"/>
        <w:jc w:val="both"/>
        <w:textAlignment w:val="baseline"/>
      </w:pPr>
      <w:r w:rsidRPr="00F77BC5">
        <w:rPr>
          <w:u w:val="single"/>
        </w:rPr>
        <w:t>La segunda: volver a aplicar tasas de referencia negativas, como han hecho el BCE, el BJ, el BNS y algunos otros bancos centrales (sumadas a flexibilización cuantitativa y crediticia) en años recientes</w:t>
      </w:r>
      <w:r w:rsidRPr="00CA2960">
        <w:t>. Pero el tipo de interés negativo supone costos para los ahorristas y los bancos, que a su vez se trasladan a los clientes.</w:t>
      </w:r>
    </w:p>
    <w:p w:rsidR="006C4115" w:rsidRPr="00CA2960" w:rsidRDefault="006C4115" w:rsidP="006C4115">
      <w:pPr>
        <w:pStyle w:val="NormalWeb"/>
        <w:shd w:val="clear" w:color="auto" w:fill="FFFFFF"/>
        <w:spacing w:after="0"/>
        <w:jc w:val="both"/>
        <w:textAlignment w:val="baseline"/>
      </w:pPr>
      <w:r w:rsidRPr="00F77BC5">
        <w:rPr>
          <w:u w:val="single"/>
        </w:rPr>
        <w:t>La tercera: cambiar la meta de inflación de 2% a, por ejemplo, 4%.</w:t>
      </w:r>
      <w:r w:rsidRPr="00CA2960">
        <w:t xml:space="preserve"> La Reserva Federal y otros bancos centrales ya están explorando informalmente esta opción, porque podría servir para subir el tipo de interés de equilibrio a 5 o 6% y así reducir el riesgo de llegar a cero en otra recesión.</w:t>
      </w:r>
    </w:p>
    <w:p w:rsidR="006C4115" w:rsidRPr="00CA2960" w:rsidRDefault="006C4115" w:rsidP="006C4115">
      <w:pPr>
        <w:pStyle w:val="NormalWeb"/>
        <w:shd w:val="clear" w:color="auto" w:fill="FFFFFF"/>
        <w:spacing w:after="0"/>
        <w:jc w:val="both"/>
        <w:textAlignment w:val="baseline"/>
      </w:pPr>
      <w:r w:rsidRPr="00F77BC5">
        <w:rPr>
          <w:u w:val="single"/>
        </w:rPr>
        <w:t>Pero esta opción es discutida, por varias razones. Los bancos centrales ya tienen problemas para conseguir una inflación del 2%, así que para llegar a un 4% tal vez deban implementar políticas monetarias todavía más heterodoxas y por más tiempo</w:t>
      </w:r>
      <w:r w:rsidRPr="00CA2960">
        <w:t>. Además, revisar las expectativas de inflación del 2% al 4% puede no resultar tan sencillo. Cuando en los años setenta se permitió a la inflación deslizarse del 2% al 4%, las expectativas de inflación se desataron y el crecimiento de precios superó ampliamente el 4%.</w:t>
      </w:r>
    </w:p>
    <w:p w:rsidR="006C4115" w:rsidRPr="00F26A6F" w:rsidRDefault="006C4115" w:rsidP="006C4115">
      <w:pPr>
        <w:pStyle w:val="NormalWeb"/>
        <w:shd w:val="clear" w:color="auto" w:fill="FFFFFF"/>
        <w:spacing w:after="0"/>
        <w:jc w:val="both"/>
        <w:textAlignment w:val="baseline"/>
        <w:rPr>
          <w:u w:val="single"/>
        </w:rPr>
      </w:pPr>
      <w:r w:rsidRPr="00F26A6F">
        <w:rPr>
          <w:u w:val="single"/>
        </w:rPr>
        <w:t>La última opción es reducir la meta de inflación del 2% a, por ejemplo, 0%, como recomendó el Banco de Pagos Internacionales. Así no sería tan necesario aplicar políticas no convencionales si los tipos de interés se acercan a 0% con tasas de inflación todavía inferiores al 2%.</w:t>
      </w:r>
    </w:p>
    <w:p w:rsidR="006C4115" w:rsidRPr="00CA2960" w:rsidRDefault="006C4115" w:rsidP="006C4115">
      <w:pPr>
        <w:pStyle w:val="NormalWeb"/>
        <w:shd w:val="clear" w:color="auto" w:fill="FFFFFF"/>
        <w:spacing w:after="0"/>
        <w:jc w:val="both"/>
        <w:textAlignment w:val="baseline"/>
      </w:pPr>
      <w:r w:rsidRPr="00F26A6F">
        <w:rPr>
          <w:u w:val="single"/>
        </w:rPr>
        <w:t>Pero la mayoría de los bancos centrales tienen razones para no emplear esta estrategia. Para empezar, la inflación nula y la deflación por períodos prolongados (cuando no se logra alcanzar ni siquiera una meta de inflación del 0%) pueden provocar deflación de deudas</w:t>
      </w:r>
      <w:r w:rsidRPr="00CA2960">
        <w:t xml:space="preserve">. </w:t>
      </w:r>
      <w:r w:rsidRPr="00F26A6F">
        <w:rPr>
          <w:u w:val="single"/>
        </w:rPr>
        <w:t>Un aumento del valor real (deflactado) de las deudas nominales incrementa el riesgo de quiebras de deudores</w:t>
      </w:r>
      <w:r w:rsidRPr="00CA2960">
        <w:t>. Además, en economías abiertas pequeñas, una meta del 0% puede llevar a apreciación cambiaria y subir los costos de producción y salariales que afrontan los exportadores locales y los sectores que compiten con las importaciones.</w:t>
      </w:r>
    </w:p>
    <w:p w:rsidR="006C4115" w:rsidRPr="00F26A6F" w:rsidRDefault="006C4115" w:rsidP="006C4115">
      <w:pPr>
        <w:pStyle w:val="NormalWeb"/>
        <w:shd w:val="clear" w:color="auto" w:fill="FFFFFF"/>
        <w:spacing w:after="0"/>
        <w:jc w:val="both"/>
        <w:textAlignment w:val="baseline"/>
        <w:rPr>
          <w:color w:val="FF0000"/>
          <w:u w:val="single"/>
        </w:rPr>
      </w:pPr>
      <w:r w:rsidRPr="00F26A6F">
        <w:rPr>
          <w:color w:val="FF0000"/>
          <w:u w:val="single"/>
        </w:rPr>
        <w:lastRenderedPageBreak/>
        <w:t>En definitiva, llegada la próxima recesión, los bancos centrales de las economías avanzadas no tendrán más alternativa que sondear otra vez el límite inferior de cero, mientras eligen una de cuatro opciones insatisfactorias. La elección que hagan dependerá de su evaluación del riesgo de inflar sus balances, imponer costos a bancos y consumidores, perseguir metas de inflación que tal vez sean inalcanzables y perjudicar a deudores y productores en sus países.</w:t>
      </w:r>
    </w:p>
    <w:p w:rsidR="006C4115" w:rsidRPr="00F26A6F" w:rsidRDefault="006C4115" w:rsidP="006C4115">
      <w:pPr>
        <w:pStyle w:val="NormalWeb"/>
        <w:shd w:val="clear" w:color="auto" w:fill="FFFFFF"/>
        <w:spacing w:after="0"/>
        <w:jc w:val="both"/>
        <w:textAlignment w:val="baseline"/>
        <w:rPr>
          <w:color w:val="FF0000"/>
          <w:u w:val="single"/>
        </w:rPr>
      </w:pPr>
      <w:r w:rsidRPr="00F26A6F">
        <w:rPr>
          <w:color w:val="FF0000"/>
          <w:u w:val="single"/>
        </w:rPr>
        <w:t>Es decir, los bancos centrales tendrán que enfrentar los mismos dilemas que acompañaron la crisis financiera global, incluida la “elección” de aplicar o no políticas monetarias no convencionales. Como la economía todavía no está a salvo de una nueva crisis financiera, todo indica que va a haber de esas políticas para rato.</w:t>
      </w:r>
    </w:p>
    <w:p w:rsidR="006C4115" w:rsidRDefault="006C4115" w:rsidP="006C4115">
      <w:pPr>
        <w:pStyle w:val="NormalWeb"/>
        <w:shd w:val="clear" w:color="auto" w:fill="FFFFFF"/>
        <w:spacing w:after="0"/>
        <w:jc w:val="both"/>
        <w:textAlignment w:val="baseline"/>
        <w:rPr>
          <w:lang w:val="en-GB"/>
        </w:rPr>
      </w:pPr>
      <w:r>
        <w:rPr>
          <w:lang w:val="en-GB"/>
        </w:rPr>
        <w:t>(</w:t>
      </w:r>
      <w:r w:rsidRPr="00CA2960">
        <w:rPr>
          <w:lang w:val="en-GB"/>
        </w:rPr>
        <w:t>Nouriel Roubini, a professor at NYU’s Stern School of Business and CEO of Roubini Macro Associates, was Senior Economist for International Affairs in the White House's Council of Economic Advisers during the Clinton Administration. He has worked for the International Mo</w:t>
      </w:r>
      <w:r>
        <w:rPr>
          <w:lang w:val="en-GB"/>
        </w:rPr>
        <w:t>netary Fund, the US Federal Reserve…)</w:t>
      </w:r>
    </w:p>
    <w:p w:rsidR="006F1361" w:rsidRPr="005E2B3E" w:rsidRDefault="006F1361" w:rsidP="006F1361">
      <w:pPr>
        <w:pStyle w:val="NormalWeb"/>
        <w:shd w:val="clear" w:color="auto" w:fill="FFFFFF"/>
        <w:spacing w:after="0"/>
        <w:jc w:val="both"/>
        <w:textAlignment w:val="baseline"/>
      </w:pPr>
      <w:r>
        <w:t xml:space="preserve">- </w:t>
      </w:r>
      <w:r w:rsidRPr="004729CC">
        <w:rPr>
          <w:u w:val="single"/>
        </w:rPr>
        <w:t>Un nuevo rumbo para el liberalismo económico</w:t>
      </w:r>
      <w:r>
        <w:t xml:space="preserve"> (Project Syndicate - </w:t>
      </w:r>
      <w:r w:rsidR="00E544AD">
        <w:rPr>
          <w:b/>
        </w:rPr>
        <w:t>13/7</w:t>
      </w:r>
      <w:r w:rsidRPr="005E2B3E">
        <w:rPr>
          <w:b/>
        </w:rPr>
        <w:t>/17</w:t>
      </w:r>
      <w:r>
        <w:t>)</w:t>
      </w:r>
    </w:p>
    <w:p w:rsidR="006F1361" w:rsidRPr="006F1361" w:rsidRDefault="006F1361" w:rsidP="006F1361">
      <w:pPr>
        <w:pStyle w:val="NormalWeb"/>
        <w:shd w:val="clear" w:color="auto" w:fill="FFFFFF"/>
        <w:spacing w:after="0"/>
        <w:jc w:val="both"/>
        <w:textAlignment w:val="baseline"/>
      </w:pPr>
      <w:r>
        <w:t>Ginebra.-</w:t>
      </w:r>
      <w:r w:rsidRPr="005E2B3E">
        <w:t xml:space="preserve"> </w:t>
      </w:r>
      <w:r w:rsidRPr="006F1361">
        <w:t>Desde la revolución agraria, el progreso tecnológico siempre ha alimentado fuerzas opuestas de dispersión y concentración. La primera ocurre con la erosión de viejos poderes y privilegios; la segunda, cuando se expande el poder y el alcance de quienes controlan las nuevas capacidades. La denominada Cuarta Revolución Industrial no será una excepción.</w:t>
      </w:r>
    </w:p>
    <w:p w:rsidR="006F1361" w:rsidRPr="006F1361" w:rsidRDefault="006F1361" w:rsidP="006F1361">
      <w:pPr>
        <w:pStyle w:val="NormalWeb"/>
        <w:shd w:val="clear" w:color="auto" w:fill="FFFFFF"/>
        <w:spacing w:after="0"/>
        <w:jc w:val="both"/>
        <w:textAlignment w:val="baseline"/>
      </w:pPr>
      <w:r w:rsidRPr="006F1361">
        <w:t xml:space="preserve">La tensión entre dispersión y concentración ya se está agudizando en todos los niveles de la economía. A lo largo de la década de 1990 y los comienzos del nuevo milenio, el comercio creció dos veces más rápido que el PIB, sacando de la pobreza a cientos de millones. Gracias a la globalización del capital y del conocimiento, los países fueron capaces de desplazar recursos a sectores más productivos y mejor remunerados. Todo esto contribuyó a la dispersión del poder de mercado. </w:t>
      </w:r>
    </w:p>
    <w:p w:rsidR="006F1361" w:rsidRPr="00F26A6F" w:rsidRDefault="006F1361" w:rsidP="006F1361">
      <w:pPr>
        <w:pStyle w:val="NormalWeb"/>
        <w:shd w:val="clear" w:color="auto" w:fill="FFFFFF"/>
        <w:spacing w:after="0"/>
        <w:jc w:val="both"/>
        <w:textAlignment w:val="baseline"/>
        <w:rPr>
          <w:color w:val="FF0000"/>
          <w:u w:val="single"/>
        </w:rPr>
      </w:pPr>
      <w:r w:rsidRPr="006F1361">
        <w:t>Pero esta dispersión se produjo en paralelo a una concentración igualmente marcada. A nivel sectori</w:t>
      </w:r>
      <w:r>
        <w:t>al, un par de industrias clave -</w:t>
      </w:r>
      <w:r w:rsidRPr="006F1361">
        <w:t>especialmente en los sectores financiero y de</w:t>
      </w:r>
      <w:r>
        <w:t xml:space="preserve"> tecnologías de la información-</w:t>
      </w:r>
      <w:r w:rsidRPr="006F1361">
        <w:t xml:space="preserve"> lograron una creciente cuota de ganancias. Por ejemplo, </w:t>
      </w:r>
      <w:r w:rsidRPr="00F26A6F">
        <w:rPr>
          <w:color w:val="FF0000"/>
          <w:u w:val="single"/>
        </w:rPr>
        <w:t>en Estados Unidos el sector financiero genera solo el 4% del empleo, pero representa más del 25% de los beneficios empresariales. Y la mitad de las compañías estadounidenses que generan ganancias del 25% o más son firmas tecnológicas.</w:t>
      </w:r>
    </w:p>
    <w:p w:rsidR="006F1361" w:rsidRPr="00F26A6F" w:rsidRDefault="006F1361" w:rsidP="006F1361">
      <w:pPr>
        <w:pStyle w:val="NormalWeb"/>
        <w:shd w:val="clear" w:color="auto" w:fill="FFFFFF"/>
        <w:spacing w:after="0"/>
        <w:jc w:val="both"/>
        <w:textAlignment w:val="baseline"/>
        <w:rPr>
          <w:color w:val="FF0000"/>
          <w:u w:val="single"/>
        </w:rPr>
      </w:pPr>
      <w:r w:rsidRPr="00F26A6F">
        <w:rPr>
          <w:color w:val="FF0000"/>
          <w:u w:val="single"/>
        </w:rPr>
        <w:t>Lo mismo ha oc</w:t>
      </w:r>
      <w:r w:rsidR="00945AD1">
        <w:rPr>
          <w:color w:val="FF0000"/>
          <w:u w:val="single"/>
        </w:rPr>
        <w:t xml:space="preserve">urrido al nivel organizacional. </w:t>
      </w:r>
      <w:r w:rsidRPr="00F26A6F">
        <w:rPr>
          <w:color w:val="FF0000"/>
          <w:u w:val="single"/>
        </w:rPr>
        <w:t>El 10% más rentable de las firmas estadounidenses es ocho veces más rentable que la empresa media. En los años 90, este múltiplo era solo tres.</w:t>
      </w:r>
    </w:p>
    <w:p w:rsidR="006F1361" w:rsidRPr="00F26A6F" w:rsidRDefault="006F1361" w:rsidP="006F1361">
      <w:pPr>
        <w:pStyle w:val="NormalWeb"/>
        <w:shd w:val="clear" w:color="auto" w:fill="FFFFFF"/>
        <w:spacing w:after="0"/>
        <w:jc w:val="both"/>
        <w:textAlignment w:val="baseline"/>
        <w:rPr>
          <w:u w:val="single"/>
        </w:rPr>
      </w:pPr>
      <w:r w:rsidRPr="00F26A6F">
        <w:rPr>
          <w:u w:val="single"/>
        </w:rPr>
        <w:t>En gran medida, la creciente desigualdad económica se puede explicar por estas consecuencias de la concentración. La investigación de César Hidalgo y su grupo del MIT revela que en los países donde la concentración sectorial ha disminuido en las últimas décadas, como Corea del Sur, la desigualdad de ingresos ha disminuido. Y en los países donde esa concentración ha aumentado, como Noruega, la desigualdad se ha incrementado.</w:t>
      </w:r>
    </w:p>
    <w:p w:rsidR="006F1361" w:rsidRPr="00F26A6F" w:rsidRDefault="006F1361" w:rsidP="006F1361">
      <w:pPr>
        <w:pStyle w:val="NormalWeb"/>
        <w:shd w:val="clear" w:color="auto" w:fill="FFFFFF"/>
        <w:spacing w:after="0"/>
        <w:jc w:val="both"/>
        <w:textAlignment w:val="baseline"/>
        <w:rPr>
          <w:u w:val="single"/>
        </w:rPr>
      </w:pPr>
      <w:r w:rsidRPr="00F26A6F">
        <w:rPr>
          <w:u w:val="single"/>
        </w:rPr>
        <w:t xml:space="preserve">Se puede observar una tendencia similar a nivel organizacional. Un estudio reciente de Erling Bath, Alex Bryson, James Davis y Richard Freeman demostró que la dispersión del salario individual desde los años setenta está asociada a diferencias salariales entre empresas y no </w:t>
      </w:r>
      <w:r w:rsidRPr="00F26A6F">
        <w:rPr>
          <w:u w:val="single"/>
        </w:rPr>
        <w:lastRenderedPageBreak/>
        <w:t>dentro de ellas. Los economistas de Stanford Nicholas Bloom y David Price confirmaron este resultado, y sostienen que prácticamente todo el aumento de la desigualdad de ingresos en Estados Unidos se debe a la creciente brecha en los salarios promedio que pagan las empresas.</w:t>
      </w:r>
    </w:p>
    <w:p w:rsidR="006F1361" w:rsidRPr="00F26A6F" w:rsidRDefault="006F1361" w:rsidP="006F1361">
      <w:pPr>
        <w:pStyle w:val="NormalWeb"/>
        <w:shd w:val="clear" w:color="auto" w:fill="FFFFFF"/>
        <w:spacing w:after="0"/>
        <w:jc w:val="both"/>
        <w:textAlignment w:val="baseline"/>
        <w:rPr>
          <w:color w:val="FF0000"/>
          <w:u w:val="single"/>
        </w:rPr>
      </w:pPr>
      <w:r w:rsidRPr="00F26A6F">
        <w:rPr>
          <w:color w:val="FF0000"/>
          <w:u w:val="single"/>
        </w:rPr>
        <w:t>Semejantes resultados no son solo el fruto de cambios estructurales inevitables, sino también de decisiones sobre cómo manejar esos cambios. A finales de los años setenta, a medida que se arraigaba el neoliberalismo, los responsables políticos ponían menos atención al hecho de que las grandes empresas convirtieran sus ganancias en influencia política y, en cambio, les preocupaba que los gobiernos protegieran a compañías no competitivas.</w:t>
      </w:r>
    </w:p>
    <w:p w:rsidR="006F1361" w:rsidRPr="00F26A6F" w:rsidRDefault="006F1361" w:rsidP="006F1361">
      <w:pPr>
        <w:pStyle w:val="NormalWeb"/>
        <w:shd w:val="clear" w:color="auto" w:fill="FFFFFF"/>
        <w:spacing w:after="0"/>
        <w:jc w:val="both"/>
        <w:textAlignment w:val="baseline"/>
        <w:rPr>
          <w:color w:val="FF0000"/>
          <w:u w:val="single"/>
        </w:rPr>
      </w:pPr>
      <w:r w:rsidRPr="00F26A6F">
        <w:rPr>
          <w:color w:val="FF0000"/>
          <w:u w:val="single"/>
        </w:rPr>
        <w:t>Teniendo esto en mente, los responsables políticos comenzaron a desmantelar las normas y regulaciones económicas que se habían aplicado después de la Gran Depresión y fomentaron las fusiones verticales y horizontales. Tales decisiones jugaron un papel importante en posibilitar una nueva ola de globalización, que difundió cada vez más el crecimiento y la riqueza a todas las naciones, pero también sentó las bases para la concentración de los ingresos y la riqueza dentro de los países.</w:t>
      </w:r>
    </w:p>
    <w:p w:rsidR="006F1361" w:rsidRPr="006F1361" w:rsidRDefault="006F1361" w:rsidP="006F1361">
      <w:pPr>
        <w:pStyle w:val="NormalWeb"/>
        <w:shd w:val="clear" w:color="auto" w:fill="FFFFFF"/>
        <w:spacing w:after="0"/>
        <w:jc w:val="both"/>
        <w:textAlignment w:val="baseline"/>
      </w:pPr>
      <w:r w:rsidRPr="006F1361">
        <w:t>La creciente “economía de plataformas” es un buen ejemplo. En China, el gigante del comercio electrónico Alibaba está liderando una iniciativa masiva para conectar las áreas rurales con los mercados nacionales y globales, incluyendo su plataforma de consumidor a consumidor Taobao. La iniciativa acarrea una dispersión sustancial: en más de 1.</w:t>
      </w:r>
      <w:r>
        <w:t>000 comunidades rurales chinas -</w:t>
      </w:r>
      <w:r w:rsidRPr="006F1361">
        <w:t>los llamados “pueblos</w:t>
      </w:r>
      <w:r>
        <w:t xml:space="preserve"> Taobao”-</w:t>
      </w:r>
      <w:r w:rsidRPr="006F1361">
        <w:t xml:space="preserve"> ahora más del 10% de la población se gana la vida vendiendo productos en esta plataforma. Sin embargo, dado que Alibaba ayuda a construir una economía inclusiva que comprende a millones de mini-multinacionales, al mismo tiempo expande su propio poder de mercado.</w:t>
      </w:r>
    </w:p>
    <w:p w:rsidR="006F1361" w:rsidRPr="006F1361" w:rsidRDefault="006F1361" w:rsidP="006F1361">
      <w:pPr>
        <w:pStyle w:val="NormalWeb"/>
        <w:shd w:val="clear" w:color="auto" w:fill="FFFFFF"/>
        <w:spacing w:after="0"/>
        <w:jc w:val="both"/>
        <w:textAlignment w:val="baseline"/>
      </w:pPr>
      <w:r w:rsidRPr="006F1361">
        <w:t>Actualmente, los responsables políticos necesitan un nuevo enfoque que resista la concentración excesiva. Esto que puede generar mayor eficiencia, pero también permite a las empresas acumular ganancias e invertir menos. Por supuesto, Joseph Schumpeter sostuvo que no hay que preocuparse demasiado por los ingresos monopolísticos, ya que la competencia borraría rápidamente la ventaja. Pero el desempeño de las empresas en las últimas décadas muestra un panorama diferente: el 80% de las compañías que obtuvieron una rentabilidad del 25% o más en 2003 también lo hacían diez años después. (En los años noventa, esa proporción se situaba en torno al 50%).</w:t>
      </w:r>
    </w:p>
    <w:p w:rsidR="006F1361" w:rsidRPr="006F1361" w:rsidRDefault="006F1361" w:rsidP="006F1361">
      <w:pPr>
        <w:pStyle w:val="NormalWeb"/>
        <w:shd w:val="clear" w:color="auto" w:fill="FFFFFF"/>
        <w:spacing w:after="0"/>
        <w:jc w:val="both"/>
        <w:textAlignment w:val="baseline"/>
      </w:pPr>
      <w:r w:rsidRPr="006F1361">
        <w:t>Para contrarrestar esa concentración, los responsables políticos en primer lugar deben implementar leyes de competencia más inteligentes, que no solo se centren en la cuota de mercado o en el poder de fijación de precios, sino también en las muchas formas de extracción de rentas, desde derechos de autor y normas sobre patentes que permiten a sus titulares beneficiarse de descubrimientos ya viejos, hasta el mal uso de la centralidad de la red. La pregunta no es “cuán grande es demasiado grande”, sino cómo diferenciar entre grande “bueno” y “malo”. La respuesta depende del equilibrio que las empresas logren entre captación y creación de valor.</w:t>
      </w:r>
    </w:p>
    <w:p w:rsidR="006F1361" w:rsidRPr="006F1361" w:rsidRDefault="006F1361" w:rsidP="006F1361">
      <w:pPr>
        <w:pStyle w:val="NormalWeb"/>
        <w:shd w:val="clear" w:color="auto" w:fill="FFFFFF"/>
        <w:spacing w:after="0"/>
        <w:jc w:val="both"/>
        <w:textAlignment w:val="baseline"/>
      </w:pPr>
      <w:r w:rsidRPr="006F1361">
        <w:t xml:space="preserve">Asimismo, los responsables políticos deben facilitar la creación de nuevas empresas. Un vibrante ecosistema emprendedor sigue siendo el antídoto más eficaz para la extracción de rentas. Por ejemplo, las tecnologías digitales tienen el potencial de contener más eficazmente el poder de los grandes oligopolios que la aplicación de severas medidas políticas. Con todo, las economías no deben depender únicamente de los mercados para producir el “movimiento” </w:t>
      </w:r>
      <w:r w:rsidRPr="006F1361">
        <w:lastRenderedPageBreak/>
        <w:t>que tanto necesita el capitalismo. De hecho, incluso cuando los responsables políticos se llenan la boca con alabanzas al espíritu de emprendimiento, en muchas economías avanzadas ya está bajando el número de nuevas empresas.</w:t>
      </w:r>
    </w:p>
    <w:p w:rsidR="006F1361" w:rsidRPr="006F1361" w:rsidRDefault="006F1361" w:rsidP="006F1361">
      <w:pPr>
        <w:pStyle w:val="NormalWeb"/>
        <w:shd w:val="clear" w:color="auto" w:fill="FFFFFF"/>
        <w:spacing w:after="0"/>
        <w:jc w:val="both"/>
        <w:textAlignment w:val="baseline"/>
      </w:pPr>
      <w:r w:rsidRPr="006F1361">
        <w:t>Por último, los responsables políticos deben ir más allá de la presunción neoliberal de que ascenderán aquellos que trabajan duro y cumplen las reglas. Después de todo, la otra cara de esa visión, que se basa en una creencia básica del efecto igualador del mercado, es lo que Michael Sandel denomina nuestra “soberbia meritocrática”: la idea equivocada de que el éxito (y el fracaso) depende solo de nosotros.</w:t>
      </w:r>
    </w:p>
    <w:p w:rsidR="006F1361" w:rsidRPr="006F1361" w:rsidRDefault="006F1361" w:rsidP="006F1361">
      <w:pPr>
        <w:pStyle w:val="NormalWeb"/>
        <w:shd w:val="clear" w:color="auto" w:fill="FFFFFF"/>
        <w:spacing w:after="0"/>
        <w:jc w:val="both"/>
        <w:textAlignment w:val="baseline"/>
      </w:pPr>
      <w:r w:rsidRPr="006F1361">
        <w:t>Esto implica que las inversiones en educación y capacitación, aunque sean necesarias, no serán suficientes para reducir la desigualdad. También se requieren políticas que aborden frontalmente los sesgos estructurales, desde los salarios mínimos hasta los proyectos de un ingreso básico universal.</w:t>
      </w:r>
    </w:p>
    <w:p w:rsidR="006F1361" w:rsidRPr="00F26A6F" w:rsidRDefault="006F1361" w:rsidP="006F1361">
      <w:pPr>
        <w:pStyle w:val="NormalWeb"/>
        <w:shd w:val="clear" w:color="auto" w:fill="FFFFFF"/>
        <w:spacing w:after="0"/>
        <w:jc w:val="both"/>
        <w:textAlignment w:val="baseline"/>
        <w:rPr>
          <w:color w:val="FF0000"/>
          <w:u w:val="single"/>
        </w:rPr>
      </w:pPr>
      <w:r w:rsidRPr="00F26A6F">
        <w:rPr>
          <w:color w:val="FF0000"/>
          <w:u w:val="single"/>
        </w:rPr>
        <w:t>La economía neoliberal ha llegado a un punto de inflexión que ha sustituido la tradicional división política entre izquierda y derecha por una división diferente: entre aquellos que buscan formas de crecimiento menos propensas a la concentración extrema y aquellos que quieren acabar con la concentración cerrando mercados y sociedades abiertas. Ambas partes desafían las viejas ortodoxias, pero mientras una busca eliminar el “neo” del neoliberalismo, la otra intenta desmantelar el liberalismo completamente.</w:t>
      </w:r>
    </w:p>
    <w:p w:rsidR="006F1361" w:rsidRPr="00F26A6F" w:rsidRDefault="006F1361" w:rsidP="006F1361">
      <w:pPr>
        <w:pStyle w:val="NormalWeb"/>
        <w:shd w:val="clear" w:color="auto" w:fill="FFFFFF"/>
        <w:spacing w:after="0"/>
        <w:jc w:val="both"/>
        <w:textAlignment w:val="baseline"/>
        <w:rPr>
          <w:color w:val="FF0000"/>
          <w:u w:val="single"/>
        </w:rPr>
      </w:pPr>
      <w:r w:rsidRPr="00F26A6F">
        <w:rPr>
          <w:color w:val="FF0000"/>
          <w:u w:val="single"/>
        </w:rPr>
        <w:t>La era neoliberal ha llegado a su fin. Es hora de definir lo que viene a continuación.</w:t>
      </w:r>
    </w:p>
    <w:p w:rsidR="006F1361" w:rsidRDefault="006F1361" w:rsidP="006F1361">
      <w:pPr>
        <w:pStyle w:val="NormalWeb"/>
        <w:shd w:val="clear" w:color="auto" w:fill="FFFFFF"/>
        <w:spacing w:after="0"/>
        <w:jc w:val="both"/>
        <w:textAlignment w:val="baseline"/>
        <w:rPr>
          <w:lang w:val="en-GB"/>
        </w:rPr>
      </w:pPr>
      <w:r w:rsidRPr="006F1361">
        <w:rPr>
          <w:lang w:val="en-GB"/>
        </w:rPr>
        <w:t>(Sebastian Buckup is Head of Programming at the World Economic Forum)</w:t>
      </w:r>
    </w:p>
    <w:p w:rsidR="003054D3" w:rsidRDefault="003054D3" w:rsidP="003054D3">
      <w:pPr>
        <w:pStyle w:val="NormalWeb"/>
        <w:shd w:val="clear" w:color="auto" w:fill="FFFFFF"/>
        <w:spacing w:after="0"/>
        <w:jc w:val="both"/>
        <w:textAlignment w:val="baseline"/>
      </w:pPr>
      <w:r>
        <w:t xml:space="preserve">- </w:t>
      </w:r>
      <w:r w:rsidRPr="001C5308">
        <w:rPr>
          <w:u w:val="single"/>
        </w:rPr>
        <w:t>La austeridad hizo mutis por el foro</w:t>
      </w:r>
      <w:r>
        <w:t xml:space="preserve"> (Project Syndicate - </w:t>
      </w:r>
      <w:r w:rsidRPr="001C5308">
        <w:rPr>
          <w:b/>
        </w:rPr>
        <w:t>18/7/17</w:t>
      </w:r>
      <w:r>
        <w:t>)</w:t>
      </w:r>
    </w:p>
    <w:p w:rsidR="003054D3" w:rsidRPr="00F26A6F" w:rsidRDefault="003054D3" w:rsidP="003054D3">
      <w:pPr>
        <w:pStyle w:val="NormalWeb"/>
        <w:shd w:val="clear" w:color="auto" w:fill="FFFFFF"/>
        <w:spacing w:after="0"/>
        <w:jc w:val="both"/>
        <w:textAlignment w:val="baseline"/>
        <w:rPr>
          <w:u w:val="single"/>
        </w:rPr>
      </w:pPr>
      <w:r>
        <w:t>Londres.-</w:t>
      </w:r>
      <w:r w:rsidRPr="003054D3">
        <w:t xml:space="preserve"> </w:t>
      </w:r>
      <w:r w:rsidRPr="00F26A6F">
        <w:rPr>
          <w:u w:val="single"/>
        </w:rPr>
        <w:t>Hace ya varios años que no se oye una discusión política seria de los méritos de la austeridad fiscal. Se han acallado los debates sobre las ventajas potenciales del uso de medidas de estímulo para impulsar el crecimiento económico a corto plazo, o sobre la amenaza de que la deuda pública alcance niveles que inhiban el crecimiento a mediano plazo.</w:t>
      </w:r>
    </w:p>
    <w:p w:rsidR="003054D3" w:rsidRPr="00F26A6F" w:rsidRDefault="003054D3" w:rsidP="003054D3">
      <w:pPr>
        <w:pStyle w:val="NormalWeb"/>
        <w:shd w:val="clear" w:color="auto" w:fill="FFFFFF"/>
        <w:spacing w:after="0"/>
        <w:jc w:val="both"/>
        <w:textAlignment w:val="baseline"/>
        <w:rPr>
          <w:u w:val="single"/>
        </w:rPr>
      </w:pPr>
      <w:r w:rsidRPr="00F26A6F">
        <w:rPr>
          <w:u w:val="single"/>
        </w:rPr>
        <w:t xml:space="preserve">Es evidente qué lado ganó y por qué. La austeridad ya es cosa del pasado. Y es probable que para seguir repeliendo a advenedizos populistas, los políticos convencionales adopten una mayor flexibilidad fiscal (o al menos eviten medidas restrictivas) con el objetivo de asegurarse mejoras económicas a corto plazo; e igualmente improbable que oigan advertencias sobre las consecuencias a mediano plazo de un mayor endeudamiento, ahora que se habla tanto de que los tipos de interés seguirán siendo bajos. </w:t>
      </w:r>
    </w:p>
    <w:p w:rsidR="003054D3" w:rsidRPr="003054D3" w:rsidRDefault="003054D3" w:rsidP="003054D3">
      <w:pPr>
        <w:pStyle w:val="NormalWeb"/>
        <w:shd w:val="clear" w:color="auto" w:fill="FFFFFF"/>
        <w:spacing w:after="0"/>
        <w:jc w:val="both"/>
        <w:textAlignment w:val="baseline"/>
      </w:pPr>
      <w:r w:rsidRPr="003054D3">
        <w:t>Un modo de confirmar la aparición de un nuevo consenso internacional en política fiscal es hacer un repaso de las declaraciones conjuntas oficiales. La última vez que el G7 habló en un comunicado sobre la importancia de la consolidación fiscal fue en la cumbre de Lough Erne celebrada en 2013, cuando todavía era el G8.</w:t>
      </w:r>
    </w:p>
    <w:p w:rsidR="003054D3" w:rsidRPr="003054D3" w:rsidRDefault="003054D3" w:rsidP="003054D3">
      <w:pPr>
        <w:pStyle w:val="NormalWeb"/>
        <w:shd w:val="clear" w:color="auto" w:fill="FFFFFF"/>
        <w:spacing w:after="0"/>
        <w:jc w:val="both"/>
        <w:textAlignment w:val="baseline"/>
      </w:pPr>
      <w:r w:rsidRPr="003054D3">
        <w:t>Desde entonces, las declaraciones conjuntas han contenido vagas propuestas de implementar “estrategias fiscales en forma flexible para sostener el crecimiento” y garantizar ratios de deuda a PIB sostenibles. Es de suponer que una trayectoria de deuda sostenible implica que no crezca sin cesar. Pero sin un marco temporal definido, los niveles de deuda pueden tener largas desviaciones cuya sostenibilidad será materia de interpretación.</w:t>
      </w:r>
    </w:p>
    <w:p w:rsidR="003054D3" w:rsidRPr="00F26A6F" w:rsidRDefault="003054D3" w:rsidP="003054D3">
      <w:pPr>
        <w:pStyle w:val="NormalWeb"/>
        <w:shd w:val="clear" w:color="auto" w:fill="FFFFFF"/>
        <w:spacing w:after="0"/>
        <w:jc w:val="both"/>
        <w:textAlignment w:val="baseline"/>
        <w:rPr>
          <w:color w:val="FF0000"/>
          <w:u w:val="single"/>
        </w:rPr>
      </w:pPr>
      <w:r w:rsidRPr="00F26A6F">
        <w:rPr>
          <w:color w:val="FF0000"/>
          <w:u w:val="single"/>
        </w:rPr>
        <w:lastRenderedPageBreak/>
        <w:t>Era comprensible que se objetara la austeridad en el período que siguió a la crisis financiera de 2008. Entonces se estaba endureciendo la política fiscal en momentos en que el crecimiento no superaba el 2% (tras haber tenido un rebote en 2010); y la distancia de las economías respecto del potencial de producción hacía pensar que la recuperación general del empleo sería lenta.</w:t>
      </w:r>
    </w:p>
    <w:p w:rsidR="003054D3" w:rsidRPr="00F26A6F" w:rsidRDefault="003054D3" w:rsidP="003054D3">
      <w:pPr>
        <w:pStyle w:val="NormalWeb"/>
        <w:shd w:val="clear" w:color="auto" w:fill="FFFFFF"/>
        <w:spacing w:after="0"/>
        <w:jc w:val="both"/>
        <w:textAlignment w:val="baseline"/>
        <w:rPr>
          <w:color w:val="FF0000"/>
          <w:u w:val="single"/>
        </w:rPr>
      </w:pPr>
      <w:r w:rsidRPr="00F26A6F">
        <w:rPr>
          <w:color w:val="FF0000"/>
          <w:u w:val="single"/>
        </w:rPr>
        <w:t>A fines de 2012, en el clímax del debate sobre la austeridad posterior a la crisis, las economías avanzadas llevaban varios años de un ajuste equivalente a más de un punto porcentual del PIB en forma anual, según datos sobre equilibrio presupuestario primario (con ajuste cíclico) del Fondo Monetario Internacional.</w:t>
      </w:r>
    </w:p>
    <w:p w:rsidR="003054D3" w:rsidRPr="00ED7FAB" w:rsidRDefault="003054D3" w:rsidP="003054D3">
      <w:pPr>
        <w:pStyle w:val="NormalWeb"/>
        <w:shd w:val="clear" w:color="auto" w:fill="FFFFFF"/>
        <w:spacing w:after="0"/>
        <w:jc w:val="both"/>
        <w:textAlignment w:val="baseline"/>
        <w:rPr>
          <w:color w:val="FF0000"/>
          <w:u w:val="single"/>
        </w:rPr>
      </w:pPr>
      <w:r w:rsidRPr="00ED7FAB">
        <w:rPr>
          <w:color w:val="FF0000"/>
          <w:u w:val="single"/>
        </w:rPr>
        <w:t>Pero así como entonces había ajuste fiscal cuando las condiciones del ciclo económico parecían pedir flexibilización, hoy hay flexibilización cuando las condiciones parecen pedir un ajuste. Las economías avanzadas ya casi alcanzaron el potencial de producción, la inflación comienza a aumentar y las previsiones de crecimiento económico mundial son las mejores desde 2010.</w:t>
      </w:r>
    </w:p>
    <w:p w:rsidR="003054D3" w:rsidRPr="003054D3" w:rsidRDefault="003054D3" w:rsidP="003054D3">
      <w:pPr>
        <w:pStyle w:val="NormalWeb"/>
        <w:shd w:val="clear" w:color="auto" w:fill="FFFFFF"/>
        <w:spacing w:after="0"/>
        <w:jc w:val="both"/>
        <w:textAlignment w:val="baseline"/>
      </w:pPr>
      <w:r w:rsidRPr="003054D3">
        <w:t>En 2013, Japón era la única economía avanzada que flexibilizó la política fiscal. Pero este año, el Reino Unido parece ser la única que se dispone a un ajuste (suponiendo que los recientes quiebres políticos no hayan modificado su orientación fiscal, algo que se v</w:t>
      </w:r>
      <w:r w:rsidR="00ED7FAB">
        <w:t>erá en la declaración de otoño (boreal)</w:t>
      </w:r>
      <w:r w:rsidRPr="003054D3">
        <w:t xml:space="preserve"> del ministerio de finanzas británico).</w:t>
      </w:r>
    </w:p>
    <w:p w:rsidR="003054D3" w:rsidRPr="00ED7FAB" w:rsidRDefault="003054D3" w:rsidP="003054D3">
      <w:pPr>
        <w:pStyle w:val="NormalWeb"/>
        <w:shd w:val="clear" w:color="auto" w:fill="FFFFFF"/>
        <w:spacing w:after="0"/>
        <w:jc w:val="both"/>
        <w:textAlignment w:val="baseline"/>
        <w:rPr>
          <w:color w:val="FF0000"/>
          <w:u w:val="single"/>
        </w:rPr>
      </w:pPr>
      <w:r w:rsidRPr="00ED7FAB">
        <w:rPr>
          <w:color w:val="FF0000"/>
          <w:u w:val="single"/>
        </w:rPr>
        <w:t>La mayoría de los observadores coincidirían en que los niveles de deuda pública de muchas economías avanzadas son preocupantemente altos, de modo que sería prudente que las autoridades discutan estrategias para reducirlos. Además, hay varias maneras de hacerlo, algunas más fáciles o eficaces que otras.</w:t>
      </w:r>
    </w:p>
    <w:p w:rsidR="003054D3" w:rsidRPr="00ED7FAB" w:rsidRDefault="003054D3" w:rsidP="003054D3">
      <w:pPr>
        <w:pStyle w:val="NormalWeb"/>
        <w:shd w:val="clear" w:color="auto" w:fill="FFFFFF"/>
        <w:spacing w:after="0"/>
        <w:jc w:val="both"/>
        <w:textAlignment w:val="baseline"/>
        <w:rPr>
          <w:u w:val="single"/>
        </w:rPr>
      </w:pPr>
      <w:r w:rsidRPr="00ED7FAB">
        <w:rPr>
          <w:u w:val="single"/>
        </w:rPr>
        <w:t>En última instancia, el desapalancamiento del sector público tiene que ver con la relación entre el crecimiento económico y los tipos de interés. Cuanto mayor sea el cociente entre el índice de crecimiento y el tipo de interés, menor el nivel de consolidación fiscal que se necesita para estabilizar o reducir la deuda como porcentaje del PIB.</w:t>
      </w:r>
    </w:p>
    <w:p w:rsidR="003054D3" w:rsidRPr="00ED7FAB" w:rsidRDefault="003054D3" w:rsidP="003054D3">
      <w:pPr>
        <w:pStyle w:val="NormalWeb"/>
        <w:shd w:val="clear" w:color="auto" w:fill="FFFFFF"/>
        <w:spacing w:after="0"/>
        <w:jc w:val="both"/>
        <w:textAlignment w:val="baseline"/>
        <w:rPr>
          <w:u w:val="single"/>
        </w:rPr>
      </w:pPr>
      <w:r w:rsidRPr="00ED7FAB">
        <w:rPr>
          <w:u w:val="single"/>
        </w:rPr>
        <w:t>A medida que el crecimiento económico sigue recuperándose, en un contexto de tipos de interés rezagados (al menos fuera de Estados Unidos), las autoridades fiscales tienen más oportunidades de reducir la deuda y crear margen de maniobra fiscal para aplicar medidas de estímulo cuando inevitablemente se produzca la próxima desaceleración cíclica. Pero no lo están haciendo, lo que hace pensar que están dando mucha más prioridad a la política que a la prudencia fiscal.</w:t>
      </w:r>
    </w:p>
    <w:p w:rsidR="003054D3" w:rsidRPr="00ED7FAB" w:rsidRDefault="003054D3" w:rsidP="003054D3">
      <w:pPr>
        <w:pStyle w:val="NormalWeb"/>
        <w:shd w:val="clear" w:color="auto" w:fill="FFFFFF"/>
        <w:spacing w:after="0"/>
        <w:jc w:val="both"/>
        <w:textAlignment w:val="baseline"/>
        <w:rPr>
          <w:color w:val="FF0000"/>
          <w:u w:val="single"/>
        </w:rPr>
      </w:pPr>
      <w:r w:rsidRPr="00ED7FAB">
        <w:rPr>
          <w:color w:val="FF0000"/>
          <w:u w:val="single"/>
        </w:rPr>
        <w:t>Tras las recientes elecciones en los Países Bajos y Francia, cada vez más analistas proclaman que el “pico de populismo” ya pasó. Pero podría decirse con igual razón que las ideas populistas se están incorporando a los programas políticos y económicos más convencionales. Esto lleva a que las autoridades, sobre todo en Europa, no tengan otra opción que promover políticas de crecimiento inclusivo y estudiar cuidadosamente el efecto que una medida cualquiera puede tener sobre la distribución de ingresos.</w:t>
      </w:r>
    </w:p>
    <w:p w:rsidR="003054D3" w:rsidRPr="003054D3" w:rsidRDefault="003054D3" w:rsidP="003054D3">
      <w:pPr>
        <w:pStyle w:val="NormalWeb"/>
        <w:shd w:val="clear" w:color="auto" w:fill="FFFFFF"/>
        <w:spacing w:after="0"/>
        <w:jc w:val="both"/>
        <w:textAlignment w:val="baseline"/>
      </w:pPr>
      <w:r w:rsidRPr="00ED7FAB">
        <w:rPr>
          <w:color w:val="FF0000"/>
          <w:u w:val="single"/>
        </w:rPr>
        <w:t>Este clima político es poco favorable a la consolidación fiscal</w:t>
      </w:r>
      <w:r w:rsidRPr="003054D3">
        <w:t xml:space="preserve">. Para evitar una contrarreacción populista, cualquier aumento de impuestos o recorte de gastos tendrá que diseñarse excepcionalmente bien (tal vez inalcanzablemente bien). Una consolidación fiscal </w:t>
      </w:r>
      <w:r w:rsidRPr="003054D3">
        <w:lastRenderedPageBreak/>
        <w:t>siempre perjudica a algunos más que otros, y elegir a los desafortunados nunca es un ejercicio placentero.</w:t>
      </w:r>
    </w:p>
    <w:p w:rsidR="003054D3" w:rsidRPr="00ED7FAB" w:rsidRDefault="003054D3" w:rsidP="003054D3">
      <w:pPr>
        <w:pStyle w:val="NormalWeb"/>
        <w:shd w:val="clear" w:color="auto" w:fill="FFFFFF"/>
        <w:spacing w:after="0"/>
        <w:jc w:val="both"/>
        <w:textAlignment w:val="baseline"/>
        <w:rPr>
          <w:color w:val="FF0000"/>
          <w:u w:val="single"/>
        </w:rPr>
      </w:pPr>
      <w:r w:rsidRPr="00ED7FAB">
        <w:rPr>
          <w:color w:val="FF0000"/>
          <w:u w:val="single"/>
        </w:rPr>
        <w:t>Hasta ahora, esas decisiones se postergaron por motivos políticos. Pero las consecuencias económicas de un alto endeudamiento público no pueden ignorarse para siempre. La política monetaria ya comienza a cambiar en Estados Unidos, y es posible que esté a punto de cambiar en todo el mundo. De un modo u otro, las autoridades fiscales tendrán que enfrentarse a difíciles dilemas el año que viene.</w:t>
      </w:r>
    </w:p>
    <w:p w:rsidR="003054D3" w:rsidRDefault="003054D3" w:rsidP="003054D3">
      <w:pPr>
        <w:pStyle w:val="NormalWeb"/>
        <w:shd w:val="clear" w:color="auto" w:fill="FFFFFF"/>
        <w:spacing w:after="0"/>
        <w:jc w:val="both"/>
        <w:textAlignment w:val="baseline"/>
        <w:rPr>
          <w:lang w:val="en-GB"/>
        </w:rPr>
      </w:pPr>
      <w:r>
        <w:rPr>
          <w:lang w:val="en-GB"/>
        </w:rPr>
        <w:t>(</w:t>
      </w:r>
      <w:r w:rsidRPr="001C5308">
        <w:rPr>
          <w:lang w:val="en-GB"/>
        </w:rPr>
        <w:t>James McCormack is Managing Director and Global Head of the Sovereign and Supra</w:t>
      </w:r>
      <w:r>
        <w:rPr>
          <w:lang w:val="en-GB"/>
        </w:rPr>
        <w:t>national Group at Fitch Ratings)</w:t>
      </w:r>
    </w:p>
    <w:p w:rsidR="00044C28" w:rsidRDefault="00044C28" w:rsidP="00044C28">
      <w:pPr>
        <w:pStyle w:val="NormalWeb"/>
        <w:shd w:val="clear" w:color="auto" w:fill="FFFFFF"/>
        <w:spacing w:after="0"/>
        <w:jc w:val="both"/>
        <w:textAlignment w:val="baseline"/>
      </w:pPr>
      <w:r w:rsidRPr="00C73FB2">
        <w:t xml:space="preserve">- </w:t>
      </w:r>
      <w:r w:rsidRPr="00C73FB2">
        <w:rPr>
          <w:u w:val="single"/>
        </w:rPr>
        <w:t>Así perdieron su ventaja las economías desarrolladas</w:t>
      </w:r>
      <w:r>
        <w:t xml:space="preserve"> (Expansión - FT - </w:t>
      </w:r>
      <w:r w:rsidRPr="00C73FB2">
        <w:rPr>
          <w:b/>
        </w:rPr>
        <w:t>22/7/17</w:t>
      </w:r>
      <w:r>
        <w:t>)</w:t>
      </w:r>
    </w:p>
    <w:p w:rsidR="00044C28" w:rsidRPr="00810EB9" w:rsidRDefault="00044C28" w:rsidP="00044C28">
      <w:pPr>
        <w:pStyle w:val="NormalWeb"/>
        <w:shd w:val="clear" w:color="auto" w:fill="FFFFFF"/>
        <w:spacing w:after="0"/>
        <w:jc w:val="both"/>
        <w:textAlignment w:val="baseline"/>
        <w:rPr>
          <w:lang w:val="en-GB"/>
        </w:rPr>
      </w:pPr>
      <w:r w:rsidRPr="00810EB9">
        <w:rPr>
          <w:lang w:val="en-GB"/>
        </w:rPr>
        <w:t>(P</w:t>
      </w:r>
      <w:r w:rsidR="00EF5A1F">
        <w:rPr>
          <w:lang w:val="en-GB"/>
        </w:rPr>
        <w:t>or Martin Wolf - Financial Times)</w:t>
      </w:r>
    </w:p>
    <w:p w:rsidR="00044C28" w:rsidRPr="00877BAE" w:rsidRDefault="00044C28" w:rsidP="00044C28">
      <w:pPr>
        <w:pStyle w:val="NormalWeb"/>
        <w:shd w:val="clear" w:color="auto" w:fill="FFFFFF"/>
        <w:spacing w:after="0"/>
        <w:jc w:val="both"/>
        <w:textAlignment w:val="baseline"/>
        <w:rPr>
          <w:color w:val="FF0000"/>
          <w:u w:val="single"/>
        </w:rPr>
      </w:pPr>
      <w:r w:rsidRPr="00877BAE">
        <w:rPr>
          <w:color w:val="FF0000"/>
          <w:u w:val="single"/>
        </w:rPr>
        <w:t>¿Qué le sucede a la economía mundial? La transformación más importante de las últimas décadas ha sido el peso decreciente de las economías de altos ingresos en la actividad global.</w:t>
      </w:r>
    </w:p>
    <w:p w:rsidR="00044C28" w:rsidRPr="00877BAE" w:rsidRDefault="00EF5A1F" w:rsidP="00044C28">
      <w:pPr>
        <w:pStyle w:val="NormalWeb"/>
        <w:shd w:val="clear" w:color="auto" w:fill="FFFFFF"/>
        <w:spacing w:after="0"/>
        <w:jc w:val="both"/>
        <w:textAlignment w:val="baseline"/>
        <w:rPr>
          <w:u w:val="single"/>
        </w:rPr>
      </w:pPr>
      <w:r>
        <w:rPr>
          <w:u w:val="single"/>
        </w:rPr>
        <w:t>La “gran divergencia”</w:t>
      </w:r>
      <w:r w:rsidR="00044C28" w:rsidRPr="00877BAE">
        <w:rPr>
          <w:u w:val="single"/>
        </w:rPr>
        <w:t xml:space="preserve"> del s.XIX y principios del s.XX, cuando las economías actuales de altos ingresos dieron el salto frente al resto del mundo en términos de riqueza y poder, ha entrado en un rápido proceso de inversión</w:t>
      </w:r>
      <w:r w:rsidR="00044C28">
        <w:t>. Donde antes hubo diver</w:t>
      </w:r>
      <w:r>
        <w:t>gencia, presenciamos ahora una “</w:t>
      </w:r>
      <w:r w:rsidR="00044C28">
        <w:t>gran conver</w:t>
      </w:r>
      <w:r>
        <w:t>gencia”</w:t>
      </w:r>
      <w:r w:rsidR="00044C28">
        <w:t xml:space="preserve">. Pero también es una convergencia limitada. </w:t>
      </w:r>
      <w:r w:rsidR="00044C28" w:rsidRPr="00877BAE">
        <w:rPr>
          <w:u w:val="single"/>
        </w:rPr>
        <w:t>El cambio se debe al ascenso de Asia y, sobre todo, de China.</w:t>
      </w:r>
    </w:p>
    <w:p w:rsidR="00044C28" w:rsidRPr="00877BAE" w:rsidRDefault="00044C28" w:rsidP="00044C28">
      <w:pPr>
        <w:pStyle w:val="NormalWeb"/>
        <w:shd w:val="clear" w:color="auto" w:fill="FFFFFF"/>
        <w:spacing w:after="0"/>
        <w:jc w:val="both"/>
        <w:textAlignment w:val="baseline"/>
        <w:rPr>
          <w:color w:val="FF0000"/>
          <w:u w:val="single"/>
        </w:rPr>
      </w:pPr>
      <w:r w:rsidRPr="00877BAE">
        <w:rPr>
          <w:u w:val="single"/>
        </w:rPr>
        <w:t>No hay nada que ilustre mejor el avance del gigante asiático como sus enormes ahorros. Estos son tan grandes debido por una parte al tamaño que ha alcanzado la economía y por otra a los cuantiosos ahorros acumulados por las empresas</w:t>
      </w:r>
      <w:r>
        <w:t xml:space="preserve">. </w:t>
      </w:r>
      <w:r w:rsidRPr="00877BAE">
        <w:rPr>
          <w:color w:val="FF0000"/>
          <w:u w:val="single"/>
        </w:rPr>
        <w:t>Es probable que la moneda, los mercados de capitales y las instituciones financieras de China adquieran una influencia tan grande en la economía mundial del s.XXI como la alcanzada por la moneda, los mercados de capitales y las instituciones financieras de EEUU en el s.XX.</w:t>
      </w:r>
    </w:p>
    <w:p w:rsidR="00044C28" w:rsidRPr="00877BAE" w:rsidRDefault="00044C28" w:rsidP="00044C28">
      <w:pPr>
        <w:pStyle w:val="NormalWeb"/>
        <w:shd w:val="clear" w:color="auto" w:fill="FFFFFF"/>
        <w:spacing w:after="0"/>
        <w:jc w:val="both"/>
        <w:textAlignment w:val="baseline"/>
        <w:rPr>
          <w:u w:val="single"/>
        </w:rPr>
      </w:pPr>
      <w:r w:rsidRPr="00877BAE">
        <w:rPr>
          <w:u w:val="single"/>
        </w:rPr>
        <w:t>Los países emergentes y en vías de desarrollo no sólo han adquirido una importancia cada vez mayor en el PIB mundial, sino también en la población mundial. El peso menguante de los países de altos ingresos es dramático. En 2050, Naciones Unidas prevé que la aportación del África Subsahariana a la población global sea tan grande como la de todos los países de altos ingresos en 1950. Los retos que plantea esta inclinación de la población mundial hacia sus países más pobres son evidentes.</w:t>
      </w:r>
    </w:p>
    <w:p w:rsidR="00044C28" w:rsidRDefault="00044C28" w:rsidP="00044C28">
      <w:pPr>
        <w:pStyle w:val="NormalWeb"/>
        <w:shd w:val="clear" w:color="auto" w:fill="FFFFFF"/>
        <w:spacing w:after="0"/>
        <w:jc w:val="both"/>
        <w:textAlignment w:val="baseline"/>
      </w:pPr>
      <w:r w:rsidRPr="00877BAE">
        <w:rPr>
          <w:u w:val="single"/>
        </w:rPr>
        <w:t>La convergencia económica y los cambios en la población son elementos centrales del panorama general económico. Un tercero es el cambio tecnológico</w:t>
      </w:r>
      <w:r>
        <w:t>. La convergencia del procesamiento de datos y la comunicación ha dado lugar a Internet, la tecnología más importante de nuestra era. El colapso del coste relativo de los semiconductores apuntala esta revolución tecnológica. Resulta enigmático (y preocupante) que parezca haberse ralentizado.</w:t>
      </w:r>
    </w:p>
    <w:p w:rsidR="00044C28" w:rsidRDefault="00044C28" w:rsidP="00044C28">
      <w:pPr>
        <w:pStyle w:val="NormalWeb"/>
        <w:shd w:val="clear" w:color="auto" w:fill="FFFFFF"/>
        <w:spacing w:after="0"/>
        <w:jc w:val="both"/>
        <w:textAlignment w:val="baseline"/>
      </w:pPr>
      <w:r>
        <w:t xml:space="preserve">EEUU ha liderado los avances tecnológicos desde finales del s.XIX. Robert Gordon, un catedrático de ciencias sociales de la Universidad del Noroeste, ha mostrado que la nación no ha logrado igualar la espectacular productividad que consiguió entre 1920 y 1970. También muestra que la explosión del crecimiento de la productividad entre 1994 y 2014, a menudo atribuida a Internet, ha culminado en un periodo de productividad extremadamente baja. Los </w:t>
      </w:r>
      <w:r>
        <w:lastRenderedPageBreak/>
        <w:t>errores de medición parecen explicar en una proporción muy pequeña, en el mejor de los casos, esta inquietante ralentización. La débil inversión desde la crisis financiera es otro factor.</w:t>
      </w:r>
    </w:p>
    <w:p w:rsidR="00044C28" w:rsidRDefault="00044C28" w:rsidP="00044C28">
      <w:pPr>
        <w:pStyle w:val="NormalWeb"/>
        <w:shd w:val="clear" w:color="auto" w:fill="FFFFFF"/>
        <w:spacing w:after="0"/>
        <w:jc w:val="both"/>
        <w:textAlignment w:val="baseline"/>
      </w:pPr>
      <w:r w:rsidRPr="00877BAE">
        <w:rPr>
          <w:color w:val="FF0000"/>
          <w:u w:val="single"/>
        </w:rPr>
        <w:t>La economía mundial no se está desglobalizando. Pero el rápido crecimiento del comercio y de los activos financieros y las deudas transfronterizos, en relación al PIB mundial, se ha detenido</w:t>
      </w:r>
      <w:r>
        <w:t>. En el caso de las finanzas, las explicaciones más plausibles son la aversión al riesgo y la regulación. En lo que se refiere al comercio, el último acto de liberalización comercial fue la incorporación de China a la Organización Mundial de Comercio, que se produjo allá por 2001. También es posible que muchas de las oportunidades facilitadas por la integración trasfronteriza de las cadenas de suministro estén ya agotadas.</w:t>
      </w:r>
    </w:p>
    <w:p w:rsidR="00044C28" w:rsidRPr="00877BAE" w:rsidRDefault="00044C28" w:rsidP="00044C28">
      <w:pPr>
        <w:pStyle w:val="NormalWeb"/>
        <w:shd w:val="clear" w:color="auto" w:fill="FFFFFF"/>
        <w:spacing w:after="0"/>
        <w:jc w:val="both"/>
        <w:textAlignment w:val="baseline"/>
        <w:rPr>
          <w:color w:val="FF0000"/>
          <w:u w:val="single"/>
        </w:rPr>
      </w:pPr>
      <w:r w:rsidRPr="00877BAE">
        <w:rPr>
          <w:color w:val="FF0000"/>
          <w:u w:val="single"/>
        </w:rPr>
        <w:t>El rápido cambio en el poder económico relativo y la enorme variación en el tamaño relativo de las poblaciones definen nuestro mundo. Al mismo tiempo, las fuentes de dinamismo -el cambio tecnológico, el crecimiento de la productividad y la globalización- se están ralentizando, hasta un nivel preocupante. Uno de los resultados de ello, agravado por la crisis, ha sido el estancamiento de los ingresos reales en muchos países de altos ingresos.</w:t>
      </w:r>
    </w:p>
    <w:p w:rsidR="00044C28" w:rsidRPr="00877BAE" w:rsidRDefault="00044C28" w:rsidP="00044C28">
      <w:pPr>
        <w:pStyle w:val="NormalWeb"/>
        <w:shd w:val="clear" w:color="auto" w:fill="FFFFFF"/>
        <w:spacing w:after="0"/>
        <w:jc w:val="both"/>
        <w:textAlignment w:val="baseline"/>
        <w:rPr>
          <w:color w:val="FF0000"/>
          <w:u w:val="single"/>
        </w:rPr>
      </w:pPr>
      <w:r w:rsidRPr="00877BAE">
        <w:rPr>
          <w:color w:val="FF0000"/>
          <w:u w:val="single"/>
        </w:rPr>
        <w:t>La creciente presión del populismo en economías de altos ingresos hace mucho más difícil gestionar estos cambios. Uno de los aspectos que merece una mención destacada es la evolución plana o decreciente de los ingresos desde la crisis financiera. Hasta dos tercios de la población de muchos países de altos ingresos parece haber tenido unos ingresos reales planos o más bajos entre 2005 y 2014. No sorprende que tantos votantes estén enfadados. No están acostumbrados a ello, ni desean acostumbrarse.</w:t>
      </w:r>
    </w:p>
    <w:p w:rsidR="00044C28" w:rsidRDefault="00044C28" w:rsidP="00044C28">
      <w:pPr>
        <w:pStyle w:val="NormalWeb"/>
        <w:shd w:val="clear" w:color="auto" w:fill="FFFFFF"/>
        <w:spacing w:after="0"/>
        <w:jc w:val="both"/>
        <w:textAlignment w:val="baseline"/>
      </w:pPr>
      <w:r>
        <w:t>La expansión de Asia</w:t>
      </w:r>
    </w:p>
    <w:p w:rsidR="00044C28" w:rsidRPr="00877BAE" w:rsidRDefault="00044C28" w:rsidP="00044C28">
      <w:pPr>
        <w:pStyle w:val="NormalWeb"/>
        <w:shd w:val="clear" w:color="auto" w:fill="FFFFFF"/>
        <w:spacing w:after="0"/>
        <w:jc w:val="both"/>
        <w:textAlignment w:val="baseline"/>
        <w:rPr>
          <w:color w:val="FF0000"/>
          <w:u w:val="single"/>
        </w:rPr>
      </w:pPr>
      <w:r w:rsidRPr="00877BAE">
        <w:rPr>
          <w:color w:val="FF0000"/>
          <w:u w:val="single"/>
        </w:rPr>
        <w:t>Entre 1990 y 2022, la cuota de producción global de los países de con altos ingresos, elaborada en función de la paridad de poder adquisitivo, caerá, según el FMI del 64% al 39%.</w:t>
      </w:r>
      <w:r w:rsidRPr="00877BAE">
        <w:rPr>
          <w:color w:val="FF0000"/>
        </w:rPr>
        <w:t xml:space="preserve"> </w:t>
      </w:r>
      <w:r w:rsidRPr="00877BAE">
        <w:rPr>
          <w:color w:val="FF0000"/>
          <w:u w:val="single"/>
        </w:rPr>
        <w:t>En ese periodo, las previsiones para las economías emergentes de Asia apuntan a un aumento del 12% al 39% del total mundial.</w:t>
      </w:r>
      <w:r>
        <w:t xml:space="preserve"> </w:t>
      </w:r>
      <w:r w:rsidRPr="00877BAE">
        <w:rPr>
          <w:color w:val="FF0000"/>
          <w:u w:val="single"/>
        </w:rPr>
        <w:t>Para 2022, las previsiones indican que, en cuanto a producción mundial, la cuota de países asiáticos emergentes y en vías de desarrollo será la misma que la de los países con altas rentas</w:t>
      </w:r>
      <w:r>
        <w:t xml:space="preserve">. </w:t>
      </w:r>
      <w:r w:rsidRPr="00877BAE">
        <w:rPr>
          <w:u w:val="single"/>
        </w:rPr>
        <w:t>El auge de China es el principal motivo de este cambio espectacular en el poder económico, aunque hay que recordar que el auge de India también es significativo</w:t>
      </w:r>
      <w:r>
        <w:t xml:space="preserve">. </w:t>
      </w:r>
      <w:r w:rsidRPr="00877BAE">
        <w:rPr>
          <w:color w:val="FF0000"/>
          <w:u w:val="single"/>
        </w:rPr>
        <w:t>Las previsiones indican que la cuota de China en los datos de producción mundial podría pasar del 4% en 1990 al 21% en 2022. En cuanto a la cuota de India, todo apunta a que pasará del 4% al 10% para ese mismo año.</w:t>
      </w:r>
    </w:p>
    <w:p w:rsidR="00044C28" w:rsidRDefault="00044C28" w:rsidP="00044C28">
      <w:pPr>
        <w:pStyle w:val="NormalWeb"/>
        <w:shd w:val="clear" w:color="auto" w:fill="FFFFFF"/>
        <w:spacing w:after="0"/>
        <w:jc w:val="both"/>
        <w:textAlignment w:val="baseline"/>
      </w:pPr>
      <w:r>
        <w:t>Exceso de ahorro. La contribución de China</w:t>
      </w:r>
    </w:p>
    <w:p w:rsidR="00044C28" w:rsidRDefault="00044C28" w:rsidP="00044C28">
      <w:pPr>
        <w:pStyle w:val="NormalWeb"/>
        <w:shd w:val="clear" w:color="auto" w:fill="FFFFFF"/>
        <w:spacing w:after="0"/>
        <w:jc w:val="both"/>
        <w:textAlignment w:val="baseline"/>
      </w:pPr>
      <w:r w:rsidRPr="00877BAE">
        <w:rPr>
          <w:u w:val="single"/>
        </w:rPr>
        <w:t>Los ahorros brutos de China son casi tan cuantiosos como los de EEUU y la UE juntos. China ahorra casi la mitad de su renta nacional</w:t>
      </w:r>
      <w:r>
        <w:t>. Aunque es probable que esta proporción acabe cayendo, el descenso será gradual, dado que no parece que los hogares chinos vayan a aumentar su consumo y la renta nacional seguirá siendo elevada.</w:t>
      </w:r>
    </w:p>
    <w:p w:rsidR="00044C28" w:rsidRDefault="00044C28" w:rsidP="00044C28">
      <w:pPr>
        <w:pStyle w:val="NormalWeb"/>
        <w:shd w:val="clear" w:color="auto" w:fill="FFFFFF"/>
        <w:spacing w:after="0"/>
        <w:jc w:val="both"/>
        <w:textAlignment w:val="baseline"/>
      </w:pPr>
      <w:r>
        <w:t>Cambios demográficos</w:t>
      </w:r>
    </w:p>
    <w:p w:rsidR="00044C28" w:rsidRDefault="00044C28" w:rsidP="00044C28">
      <w:pPr>
        <w:pStyle w:val="NormalWeb"/>
        <w:shd w:val="clear" w:color="auto" w:fill="FFFFFF"/>
        <w:spacing w:after="0"/>
        <w:jc w:val="both"/>
        <w:textAlignment w:val="baseline"/>
      </w:pPr>
      <w:r>
        <w:t xml:space="preserve">Entre 1950 y 2015, la cuota de los países con altas rentas en la población mundial cayó del 27 al 15%. Incluso la cuota de China cayó del 22% registrado en 1950 al 19% de 2015. Todo </w:t>
      </w:r>
      <w:r>
        <w:lastRenderedPageBreak/>
        <w:t xml:space="preserve">apunta a que India se convertirá en el país más poblado del mundo en 2025. La cuota del África subsahariana podría alcanzar un 22% del total para 2050, según </w:t>
      </w:r>
      <w:r w:rsidR="00EF5A1F">
        <w:t>la ONU.</w:t>
      </w:r>
    </w:p>
    <w:p w:rsidR="00044C28" w:rsidRDefault="00044C28" w:rsidP="00044C28">
      <w:pPr>
        <w:pStyle w:val="NormalWeb"/>
        <w:shd w:val="clear" w:color="auto" w:fill="FFFFFF"/>
        <w:spacing w:after="0"/>
        <w:jc w:val="both"/>
        <w:textAlignment w:val="baseline"/>
      </w:pPr>
      <w:r>
        <w:t>Economía digital</w:t>
      </w:r>
    </w:p>
    <w:p w:rsidR="00044C28" w:rsidRDefault="00044C28" w:rsidP="00044C28">
      <w:pPr>
        <w:pStyle w:val="NormalWeb"/>
        <w:shd w:val="clear" w:color="auto" w:fill="FFFFFF"/>
        <w:spacing w:after="0"/>
        <w:jc w:val="both"/>
        <w:textAlignment w:val="baseline"/>
      </w:pPr>
      <w:r>
        <w:t>El colapso del precio de los semiconductores es la fuerza impulsora de la revolución de las comunicaciones y el procesamiento de datos. Así medido, el precio relativo del procesamiento ha caído casi un 96% desde 1970. La inclinación de la línea en la escala muestra el ritmo de la caída de los precios relativos, que se ralentizó drásticamente después de 2010.</w:t>
      </w:r>
    </w:p>
    <w:p w:rsidR="00044C28" w:rsidRDefault="00044C28" w:rsidP="00044C28">
      <w:pPr>
        <w:pStyle w:val="NormalWeb"/>
        <w:shd w:val="clear" w:color="auto" w:fill="FFFFFF"/>
        <w:spacing w:after="0"/>
        <w:jc w:val="both"/>
        <w:textAlignment w:val="baseline"/>
      </w:pPr>
      <w:r>
        <w:t>Ralentización de la productividad</w:t>
      </w:r>
    </w:p>
    <w:p w:rsidR="00044C28" w:rsidRDefault="00044C28" w:rsidP="00044C28">
      <w:pPr>
        <w:pStyle w:val="NormalWeb"/>
        <w:shd w:val="clear" w:color="auto" w:fill="FFFFFF"/>
        <w:spacing w:after="0"/>
        <w:jc w:val="both"/>
        <w:textAlignment w:val="baseline"/>
      </w:pPr>
      <w:r>
        <w:t>Según el economista Robert Gordon, el índice de productividad de EEUU registrado entre 1920 y 1970 (teniendo en cuenta el crecimiento de la productividad total) no ha vuelto a alcanzarse. Gordon también señala que la fuerte subida registrada entre 1994 y 2014 se fue perdiendo después como consecuencia del bajo crecimiento de la productividad.</w:t>
      </w:r>
    </w:p>
    <w:p w:rsidR="00044C28" w:rsidRDefault="00044C28" w:rsidP="00044C28">
      <w:pPr>
        <w:pStyle w:val="NormalWeb"/>
        <w:shd w:val="clear" w:color="auto" w:fill="FFFFFF"/>
        <w:spacing w:after="0"/>
        <w:jc w:val="both"/>
        <w:textAlignment w:val="baseline"/>
      </w:pPr>
      <w:r>
        <w:t>Globalización. Abriendo puertas</w:t>
      </w:r>
    </w:p>
    <w:p w:rsidR="00044C28" w:rsidRDefault="00044C28" w:rsidP="00044C28">
      <w:pPr>
        <w:pStyle w:val="NormalWeb"/>
        <w:shd w:val="clear" w:color="auto" w:fill="FFFFFF"/>
        <w:spacing w:after="0"/>
        <w:jc w:val="both"/>
        <w:textAlignment w:val="baseline"/>
      </w:pPr>
      <w:r>
        <w:t>El rápido crecimiento de los activos y pasivos financieros, en relación a la producción global, se detuvo después de la crisis financiera. El proteccionismo podría ser el motivo, aunque no parece el principal. El descenso del comercio, la ralentización de la liberalización y la escasez de inversiones parecen explicar este fenómeno.</w:t>
      </w:r>
    </w:p>
    <w:p w:rsidR="00044C28" w:rsidRDefault="00044C28" w:rsidP="00044C28">
      <w:pPr>
        <w:pStyle w:val="NormalWeb"/>
        <w:shd w:val="clear" w:color="auto" w:fill="FFFFFF"/>
        <w:spacing w:after="0"/>
        <w:jc w:val="both"/>
        <w:textAlignment w:val="baseline"/>
      </w:pPr>
      <w:r>
        <w:t>Ascenso del populismo. Años de estancamiento</w:t>
      </w:r>
    </w:p>
    <w:p w:rsidR="00044C28" w:rsidRDefault="00044C28" w:rsidP="00044C28">
      <w:pPr>
        <w:pStyle w:val="NormalWeb"/>
        <w:shd w:val="clear" w:color="auto" w:fill="FFFFFF"/>
        <w:spacing w:after="0"/>
        <w:jc w:val="both"/>
        <w:textAlignment w:val="baseline"/>
        <w:rPr>
          <w:color w:val="FF0000"/>
          <w:u w:val="single"/>
        </w:rPr>
      </w:pPr>
      <w:r w:rsidRPr="007C6378">
        <w:rPr>
          <w:color w:val="FF0000"/>
          <w:u w:val="single"/>
        </w:rPr>
        <w:t>Según un análisis publicado en julio del año pasado por el Instituto McKinsey, aproximadamente dos tercios de la población de 25 países de altos ingresos sufrió una caída de los ingresos reales procedentes de los salarios y el capital entre 2005 y 2014. Ese estancamiento se hizo notar sobre todo en países como Italia y EEUU.</w:t>
      </w:r>
    </w:p>
    <w:p w:rsidR="00EF5A1F" w:rsidRDefault="00EF5A1F" w:rsidP="00EF5A1F">
      <w:pPr>
        <w:pStyle w:val="NormalWeb"/>
        <w:shd w:val="clear" w:color="auto" w:fill="FFFFFF"/>
        <w:spacing w:after="0"/>
        <w:jc w:val="both"/>
        <w:textAlignment w:val="baseline"/>
      </w:pPr>
      <w:r>
        <w:t xml:space="preserve">- </w:t>
      </w:r>
      <w:r w:rsidRPr="00AD3856">
        <w:rPr>
          <w:u w:val="single"/>
        </w:rPr>
        <w:t>La inminente volatilidad financiera</w:t>
      </w:r>
      <w:r>
        <w:t xml:space="preserve"> (Project Syndicate - </w:t>
      </w:r>
      <w:r>
        <w:rPr>
          <w:b/>
        </w:rPr>
        <w:t>24</w:t>
      </w:r>
      <w:r w:rsidRPr="00AD3856">
        <w:rPr>
          <w:b/>
        </w:rPr>
        <w:t>/7/17</w:t>
      </w:r>
      <w:r>
        <w:t>)</w:t>
      </w:r>
    </w:p>
    <w:p w:rsidR="00EF5A1F" w:rsidRPr="0004349E" w:rsidRDefault="00EF5A1F" w:rsidP="00EF5A1F">
      <w:pPr>
        <w:pStyle w:val="NormalWeb"/>
        <w:shd w:val="clear" w:color="auto" w:fill="FFFFFF"/>
        <w:spacing w:after="0"/>
        <w:jc w:val="both"/>
        <w:textAlignment w:val="baseline"/>
        <w:rPr>
          <w:color w:val="FF0000"/>
          <w:u w:val="single"/>
        </w:rPr>
      </w:pPr>
      <w:r>
        <w:t xml:space="preserve">Londres.- </w:t>
      </w:r>
      <w:r w:rsidRPr="0004349E">
        <w:rPr>
          <w:color w:val="FF0000"/>
          <w:u w:val="single"/>
        </w:rPr>
        <w:t>Los inversores en bonos son de Marte y los banqueros centrales son de Venus -o al menos eso sugiere la reacción negativa del mercado de bonos a las señales de que la excepcional acomodación de la política monetaria de la última década está perdiendo fuerza-. Los mercados de activos riesgosos, en cambio, están ignorando las banderas rojas que están agitando los mercados de bonos. ¿Tienen razón?</w:t>
      </w:r>
    </w:p>
    <w:p w:rsidR="00EF5A1F" w:rsidRDefault="00EF5A1F" w:rsidP="00EF5A1F">
      <w:pPr>
        <w:pStyle w:val="NormalWeb"/>
        <w:shd w:val="clear" w:color="auto" w:fill="FFFFFF"/>
        <w:spacing w:after="0"/>
        <w:jc w:val="both"/>
        <w:textAlignment w:val="baseline"/>
      </w:pPr>
      <w:r>
        <w:t xml:space="preserve">Hoy, la inflación se mantiene baja en gran parte del mundo desarrollado. Pero los bancos centrales anteriormente conciliadores en países como Estados Unidos y el Reino Unido ahora están impacientes por desmantelar las políticas monetarias acomodaticias que han implementado desde el estallido de la crisis financiera global de 2008. </w:t>
      </w:r>
    </w:p>
    <w:p w:rsidR="00EF5A1F" w:rsidRDefault="00EF5A1F" w:rsidP="00EF5A1F">
      <w:pPr>
        <w:pStyle w:val="NormalWeb"/>
        <w:shd w:val="clear" w:color="auto" w:fill="FFFFFF"/>
        <w:spacing w:after="0"/>
        <w:jc w:val="both"/>
        <w:textAlignment w:val="baseline"/>
      </w:pPr>
      <w:r w:rsidRPr="0004349E">
        <w:rPr>
          <w:u w:val="single"/>
        </w:rPr>
        <w:t>Los bancos centrales preocupados por las metas de inflación</w:t>
      </w:r>
      <w:r>
        <w:t xml:space="preserve"> suponen que, cuando las expectativas de inflación son estables, los cambios en la inflación surgen de cambios en la condición de debilidad de la economía. Cuando la debilidad disminuye -como está sucediendo actualmente, cuando el desempleo está muy por debajo de los niveles promedio </w:t>
      </w:r>
      <w:r>
        <w:lastRenderedPageBreak/>
        <w:t>en el ciclo comercial (y en mínimos de varias décadas en Estados Unidos y el Reino Unido)-, la inflación termina subiendo.</w:t>
      </w:r>
    </w:p>
    <w:p w:rsidR="00EF5A1F" w:rsidRDefault="00EF5A1F" w:rsidP="00EF5A1F">
      <w:pPr>
        <w:pStyle w:val="NormalWeb"/>
        <w:shd w:val="clear" w:color="auto" w:fill="FFFFFF"/>
        <w:spacing w:after="0"/>
        <w:jc w:val="both"/>
        <w:textAlignment w:val="baseline"/>
      </w:pPr>
      <w:r w:rsidRPr="0004349E">
        <w:rPr>
          <w:u w:val="single"/>
        </w:rPr>
        <w:t>Estos bancos centrales ya han mantenido políticas monetarias laxas durante mucho más tiempo que en el pasado, para compensar los vientos en contra para el crecimiento y la inflación que produjo la crisis financiera</w:t>
      </w:r>
      <w:r>
        <w:t>. Sin embargo, saben a partir de las burbujas de activos pasadas que permitir que la política monetaria se mantenga demasiado laxa durante demasiado tiempo amenaza con provocar un agujero aún más profundo, en el que las tasas de interés natural y el crecimiento potencial terminan siendo aún más bajos en el próximo ciclo.</w:t>
      </w:r>
    </w:p>
    <w:p w:rsidR="00EF5A1F" w:rsidRPr="0004349E" w:rsidRDefault="00EF5A1F" w:rsidP="00EF5A1F">
      <w:pPr>
        <w:pStyle w:val="NormalWeb"/>
        <w:shd w:val="clear" w:color="auto" w:fill="FFFFFF"/>
        <w:spacing w:after="0"/>
        <w:jc w:val="both"/>
        <w:textAlignment w:val="baseline"/>
        <w:rPr>
          <w:color w:val="FF0000"/>
          <w:u w:val="single"/>
        </w:rPr>
      </w:pPr>
      <w:r w:rsidRPr="0004349E">
        <w:rPr>
          <w:color w:val="FF0000"/>
          <w:u w:val="single"/>
        </w:rPr>
        <w:t>¿Los inversores en mercados de activos riesgosos entonces tienen razón de ser tan complacientes? Por ahora, no puede haber una respuesta definitiva. Pero los registros de períodos de calma pasados sugieren que, cuando la volatilidad del mercado de diferentes activos es baja, reducir el riesgo es prudente.</w:t>
      </w:r>
    </w:p>
    <w:p w:rsidR="00EF5A1F" w:rsidRPr="00070BB1" w:rsidRDefault="00EF5A1F" w:rsidP="00EF5A1F">
      <w:pPr>
        <w:pStyle w:val="NormalWeb"/>
        <w:shd w:val="clear" w:color="auto" w:fill="FFFFFF"/>
        <w:spacing w:after="0"/>
        <w:jc w:val="both"/>
        <w:textAlignment w:val="baseline"/>
        <w:rPr>
          <w:u w:val="single"/>
        </w:rPr>
      </w:pPr>
      <w:r>
        <w:t xml:space="preserve">Sin duda, los inversores tendrían muchos más motivos de preocupación si hubiera señales más claras de una toma de riesgo excesiva en los mercados financieros y la economía real -el tipo de exceso al que aspira el ponche de la política monetaria-. Como los períodos de euforia en materia de precios de activos -ejemplificados por la burbuja de las puntocom y la burbuja inmobiliaria de 2000-2008- normalmente se caracterizan por una política monetaria excepcionalmente laxa, </w:t>
      </w:r>
      <w:r w:rsidRPr="00070BB1">
        <w:rPr>
          <w:u w:val="single"/>
        </w:rPr>
        <w:t>los bancos centrales ahora intentan extender el ciclo comercial mediante la eliminación de la acomodación monetaria de una manera gradual y predecible.</w:t>
      </w:r>
    </w:p>
    <w:p w:rsidR="00EF5A1F" w:rsidRPr="00070BB1" w:rsidRDefault="00EF5A1F" w:rsidP="00EF5A1F">
      <w:pPr>
        <w:pStyle w:val="NormalWeb"/>
        <w:shd w:val="clear" w:color="auto" w:fill="FFFFFF"/>
        <w:spacing w:after="0"/>
        <w:jc w:val="both"/>
        <w:textAlignment w:val="baseline"/>
        <w:rPr>
          <w:u w:val="single"/>
        </w:rPr>
      </w:pPr>
      <w:r w:rsidRPr="00070BB1">
        <w:rPr>
          <w:u w:val="single"/>
        </w:rPr>
        <w:t>Pero las burbujas de precios de activos también tienden a caracterizarse por nuevas innovaciones que llevan a los mercados y a los bancos centrales a creer que esta vez la cosa es realmente diferente</w:t>
      </w:r>
      <w:r>
        <w:t xml:space="preserve">. En el contexto de poscrisis, la justificación más probable para las valuaciones más altas de los precios de activos es la caída global del “precio” de los ahorros (la tasa de interés natural), o </w:t>
      </w:r>
      <w:r w:rsidR="00ED7FAB">
        <w:t>“R-star”</w:t>
      </w:r>
      <w:r>
        <w:t xml:space="preserve">. </w:t>
      </w:r>
      <w:r w:rsidRPr="00070BB1">
        <w:rPr>
          <w:u w:val="single"/>
        </w:rPr>
        <w:t>Si las ganancias corporativas aumentan como una función del crecimiento tendencial (la tasa de crecimiento subyacente), pero los costos de financiamiento se mantienen como una función de una tasa de interés natural aún más baja, entonces los múltiplos de capital deberían ser más altos que en el pasado sobre una base estructural, y los diferenciales de crédito, por lo general, deberían ser más ajustados.</w:t>
      </w:r>
    </w:p>
    <w:p w:rsidR="00EF5A1F" w:rsidRPr="00070BB1" w:rsidRDefault="00EF5A1F" w:rsidP="00EF5A1F">
      <w:pPr>
        <w:pStyle w:val="NormalWeb"/>
        <w:shd w:val="clear" w:color="auto" w:fill="FFFFFF"/>
        <w:spacing w:after="0"/>
        <w:jc w:val="both"/>
        <w:textAlignment w:val="baseline"/>
        <w:rPr>
          <w:color w:val="FF0000"/>
          <w:u w:val="single"/>
        </w:rPr>
      </w:pPr>
      <w:r w:rsidRPr="00070BB1">
        <w:rPr>
          <w:color w:val="FF0000"/>
          <w:u w:val="single"/>
        </w:rPr>
        <w:t>Pero si bien este argumento parece preciso hoy, los inversores tienen por lo menos dos motivos para estar preocupados. Primero, en la medida que la brecha entre crecimiento tendencial y tasas naturales hace subir las valuaciones de los activos, los cambios marginales en esa brecha deberían llevar a cambios en esas valuaciones. Si los bancos centrales simplemente estuvieran alterando las tasas de interés a corto plazo -la herramienta tradicional de la política monetaria- como lo han hecho en el pasado, sería menos preocupante.</w:t>
      </w:r>
    </w:p>
    <w:p w:rsidR="00EF5A1F" w:rsidRDefault="00EF5A1F" w:rsidP="00EF5A1F">
      <w:pPr>
        <w:pStyle w:val="NormalWeb"/>
        <w:shd w:val="clear" w:color="auto" w:fill="FFFFFF"/>
        <w:spacing w:after="0"/>
        <w:jc w:val="both"/>
        <w:textAlignment w:val="baseline"/>
      </w:pPr>
      <w:r w:rsidRPr="00070BB1">
        <w:rPr>
          <w:u w:val="single"/>
        </w:rPr>
        <w:t>Sin embargo, en el ciclo actual, los bancos centrales se han vuelto mucho más dependientes de herramientas indirectas -por ejemplo, las tasas de interés de largo plazo-. Los efectos de esas herramientas están forjados por las expectativas de los inversores, y por lo tanto son más proclives a cambios repentinos y extremos.</w:t>
      </w:r>
      <w:r>
        <w:t xml:space="preserve"> En 2013, por caso, la sugerencia de la Reserva Federal de Estados Unidos de que comenzaría a reducir uno de sus programas de alivio cuantitativo desató una “rabieta”, lo que hizo que el dinero abandonara el mercado de bonos y los rendimientos de los bonos aumentaran sustancialmente.</w:t>
      </w:r>
    </w:p>
    <w:p w:rsidR="00EF5A1F" w:rsidRPr="00070BB1" w:rsidRDefault="00EF5A1F" w:rsidP="00EF5A1F">
      <w:pPr>
        <w:pStyle w:val="NormalWeb"/>
        <w:shd w:val="clear" w:color="auto" w:fill="FFFFFF"/>
        <w:spacing w:after="0"/>
        <w:jc w:val="both"/>
        <w:textAlignment w:val="baseline"/>
        <w:rPr>
          <w:u w:val="single"/>
        </w:rPr>
      </w:pPr>
      <w:r w:rsidRPr="00070BB1">
        <w:rPr>
          <w:color w:val="FF0000"/>
          <w:u w:val="single"/>
        </w:rPr>
        <w:t xml:space="preserve">El segundo motivo clave de preocupación es que las valuaciones más altas no necesariamente implican retornos más elevados o mejores retornos ajustados por volatilidad. Aun si la brecha </w:t>
      </w:r>
      <w:r w:rsidRPr="00070BB1">
        <w:rPr>
          <w:color w:val="FF0000"/>
          <w:u w:val="single"/>
        </w:rPr>
        <w:lastRenderedPageBreak/>
        <w:t>positiva entre crecimiento potencial y tasas de interés natural justifica valuaciones de activos más altas, un crecimiento potencial más bajo denota retornos más bajos en diferentes clases de activos</w:t>
      </w:r>
      <w:r>
        <w:t xml:space="preserve">. </w:t>
      </w:r>
      <w:r w:rsidRPr="00070BB1">
        <w:rPr>
          <w:u w:val="single"/>
        </w:rPr>
        <w:t>A medida que las tasas de interés vayan subiendo hacia la tasa natural, las condiciones financieras deberían ajustarse, y las valuaciones de activos riesgosos deberían caer. Los bancos centrales quieren que este ajuste se produzca de manera gradual, pero la breve historia de la política monetaria poco convencional sugiere que las tendencias de revaloración de los precios de los activos ocurren abruptamente -y a veces también de manera disruptiva.</w:t>
      </w:r>
    </w:p>
    <w:p w:rsidR="00EF5A1F" w:rsidRDefault="00EF5A1F" w:rsidP="00EF5A1F">
      <w:pPr>
        <w:pStyle w:val="NormalWeb"/>
        <w:shd w:val="clear" w:color="auto" w:fill="FFFFFF"/>
        <w:spacing w:after="0"/>
        <w:jc w:val="both"/>
        <w:textAlignment w:val="baseline"/>
      </w:pPr>
      <w:r>
        <w:t>¿Por qué, entonces, los inversores no sacan ventaja de una volatilidad extremadamente baja para comprar un seguro barato? Los mercados no estallan cada vez que la volatilidad es baja, pero la volatilidad siempre ha sido extremadamente baja cuando los mercados estallaron. Cuando más se necesita el seguro es cuando los desequilibrios se vuelven extremos. Las valuaciones de capital y de crédito no son baratas, pero tampoco son terriblemente caras.</w:t>
      </w:r>
    </w:p>
    <w:p w:rsidR="00EF5A1F" w:rsidRDefault="00EF5A1F" w:rsidP="00EF5A1F">
      <w:pPr>
        <w:pStyle w:val="NormalWeb"/>
        <w:shd w:val="clear" w:color="auto" w:fill="FFFFFF"/>
        <w:spacing w:after="0"/>
        <w:jc w:val="both"/>
        <w:textAlignment w:val="baseline"/>
      </w:pPr>
      <w:r>
        <w:t>Aquí en la Tierra, los banqueros centrales y los inversores en bonos tienen algo en común: ambos temen que el período actual de volatilidad extremadamente baja no sea ni sustentable ni deseable. Después de todo, las combinaciones más bajas de ingreso fijo, tipo de cambio y volatilidad del capital se han visto en tres ocasiones anteriormente: justo antes del estallido de la crisis financiera global, en el mes previo a la rabieta por la reducción paulatina de liquidez y en el verano (boreal) de 2014.</w:t>
      </w:r>
    </w:p>
    <w:p w:rsidR="00EF5A1F" w:rsidRPr="00070BB1" w:rsidRDefault="00EF5A1F" w:rsidP="00EF5A1F">
      <w:pPr>
        <w:pStyle w:val="NormalWeb"/>
        <w:shd w:val="clear" w:color="auto" w:fill="FFFFFF"/>
        <w:spacing w:after="0"/>
        <w:jc w:val="both"/>
        <w:textAlignment w:val="baseline"/>
        <w:rPr>
          <w:color w:val="FF0000"/>
          <w:u w:val="single"/>
        </w:rPr>
      </w:pPr>
      <w:r w:rsidRPr="00070BB1">
        <w:rPr>
          <w:color w:val="FF0000"/>
          <w:u w:val="single"/>
        </w:rPr>
        <w:t>En resumen, no existe ninguna duda de que la volatilidad finalmente subirá hasta alcanzar niveles normales. Para los inversores hoy, la lección es clara: reducir la escala de exposición al riesgo es el camino correcto hacia adelante.</w:t>
      </w:r>
    </w:p>
    <w:p w:rsidR="00754EC9" w:rsidRPr="00754EC9" w:rsidRDefault="00EF5A1F" w:rsidP="00754EC9">
      <w:pPr>
        <w:pStyle w:val="NormalWeb"/>
        <w:shd w:val="clear" w:color="auto" w:fill="FFFFFF"/>
        <w:spacing w:after="0"/>
        <w:jc w:val="both"/>
        <w:textAlignment w:val="baseline"/>
        <w:rPr>
          <w:lang w:val="en-GB"/>
        </w:rPr>
      </w:pPr>
      <w:r>
        <w:rPr>
          <w:lang w:val="en-GB"/>
        </w:rPr>
        <w:t>(</w:t>
      </w:r>
      <w:r w:rsidRPr="00AD3856">
        <w:rPr>
          <w:lang w:val="en-GB"/>
        </w:rPr>
        <w:t xml:space="preserve">Gene Frieda is an executive vice president </w:t>
      </w:r>
      <w:r>
        <w:rPr>
          <w:lang w:val="en-GB"/>
        </w:rPr>
        <w:t>and global strategist for PIMCO)</w:t>
      </w: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Pr>
          <w:rFonts w:ascii="Times New Roman" w:eastAsia="Times New Roman" w:hAnsi="Times New Roman" w:cs="Times New Roman"/>
          <w:color w:val="1A1A1A"/>
          <w:sz w:val="24"/>
          <w:szCs w:val="24"/>
          <w:lang w:eastAsia="es-ES"/>
        </w:rPr>
        <w:t xml:space="preserve">- </w:t>
      </w:r>
      <w:r w:rsidRPr="00456716">
        <w:rPr>
          <w:rFonts w:ascii="Times New Roman" w:eastAsia="Times New Roman" w:hAnsi="Times New Roman" w:cs="Times New Roman"/>
          <w:color w:val="1A1A1A"/>
          <w:sz w:val="24"/>
          <w:szCs w:val="24"/>
          <w:u w:val="single"/>
          <w:lang w:eastAsia="es-ES"/>
        </w:rPr>
        <w:t>Cómo explicar la recuperación global en medio de recesión política</w:t>
      </w:r>
      <w:r>
        <w:rPr>
          <w:rFonts w:ascii="Times New Roman" w:eastAsia="Times New Roman" w:hAnsi="Times New Roman" w:cs="Times New Roman"/>
          <w:color w:val="1A1A1A"/>
          <w:sz w:val="24"/>
          <w:szCs w:val="24"/>
          <w:lang w:eastAsia="es-ES"/>
        </w:rPr>
        <w:t xml:space="preserve"> (Project Syndicate - </w:t>
      </w:r>
      <w:r w:rsidRPr="00456716">
        <w:rPr>
          <w:rFonts w:ascii="Times New Roman" w:eastAsia="Times New Roman" w:hAnsi="Times New Roman" w:cs="Times New Roman"/>
          <w:b/>
          <w:color w:val="1A1A1A"/>
          <w:sz w:val="24"/>
          <w:szCs w:val="24"/>
          <w:lang w:eastAsia="es-ES"/>
        </w:rPr>
        <w:t>1/8/17</w:t>
      </w:r>
      <w:r>
        <w:rPr>
          <w:rFonts w:ascii="Times New Roman" w:eastAsia="Times New Roman" w:hAnsi="Times New Roman" w:cs="Times New Roman"/>
          <w:color w:val="1A1A1A"/>
          <w:sz w:val="24"/>
          <w:szCs w:val="24"/>
          <w:lang w:eastAsia="es-ES"/>
        </w:rPr>
        <w:t>)</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Pr="00247483"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u w:val="single"/>
          <w:lang w:eastAsia="es-ES"/>
        </w:rPr>
      </w:pPr>
      <w:r>
        <w:rPr>
          <w:rFonts w:ascii="Times New Roman" w:eastAsia="Times New Roman" w:hAnsi="Times New Roman" w:cs="Times New Roman"/>
          <w:color w:val="1A1A1A"/>
          <w:sz w:val="24"/>
          <w:szCs w:val="24"/>
          <w:lang w:eastAsia="es-ES"/>
        </w:rPr>
        <w:t>Milán.-</w:t>
      </w:r>
      <w:r w:rsidRPr="00456716">
        <w:rPr>
          <w:rFonts w:ascii="Times New Roman" w:eastAsia="Times New Roman" w:hAnsi="Times New Roman" w:cs="Times New Roman"/>
          <w:color w:val="1A1A1A"/>
          <w:sz w:val="24"/>
          <w:szCs w:val="24"/>
          <w:lang w:eastAsia="es-ES"/>
        </w:rPr>
        <w:t xml:space="preserve"> En verano la vida se aquieta, y se abre un espacio para reflexionar sobre temas fundamentales. </w:t>
      </w:r>
      <w:r w:rsidRPr="00247483">
        <w:rPr>
          <w:rFonts w:ascii="Times New Roman" w:eastAsia="Times New Roman" w:hAnsi="Times New Roman" w:cs="Times New Roman"/>
          <w:color w:val="1A1A1A"/>
          <w:sz w:val="24"/>
          <w:szCs w:val="24"/>
          <w:u w:val="single"/>
          <w:lang w:eastAsia="es-ES"/>
        </w:rPr>
        <w:t>Uno de los mayores enigmas que ocupa mi mente estos últimos tiempos es la divergencia actual entre una extendida disfunción política y la relativa solidez de la economía y los mercados financieros.</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Pr="00247483" w:rsidRDefault="00754EC9" w:rsidP="00754EC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247483">
        <w:rPr>
          <w:rFonts w:ascii="Times New Roman" w:eastAsia="Times New Roman" w:hAnsi="Times New Roman" w:cs="Times New Roman"/>
          <w:color w:val="FF0000"/>
          <w:sz w:val="24"/>
          <w:szCs w:val="24"/>
          <w:u w:val="single"/>
          <w:lang w:eastAsia="es-ES"/>
        </w:rPr>
        <w:t>Hoy las principales economías del mundo experimentan una recuperación firme, con alguna que otra recaída. Es verdad que el desempeño económico está lejos del pleno potencial: según dónde uno mire, hallará brechas de producción, exceso de apalancamiento, estados contables frágiles, subinversión y obligaciones no financieras futuras desfinanciadas. Sin embargo, los mercados financieros no muestran signos de convulsión, a pesar del retiro gradual del estímulo monetario.</w:t>
      </w:r>
    </w:p>
    <w:p w:rsidR="00754EC9" w:rsidRPr="00247483" w:rsidRDefault="00754EC9" w:rsidP="00754EC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247483">
        <w:rPr>
          <w:rFonts w:ascii="Times New Roman" w:eastAsia="Times New Roman" w:hAnsi="Times New Roman" w:cs="Times New Roman"/>
          <w:color w:val="FF0000"/>
          <w:sz w:val="24"/>
          <w:szCs w:val="24"/>
          <w:u w:val="single"/>
          <w:lang w:eastAsia="es-ES"/>
        </w:rPr>
        <w:t xml:space="preserve"> </w:t>
      </w: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247483">
        <w:rPr>
          <w:rFonts w:ascii="Times New Roman" w:eastAsia="Times New Roman" w:hAnsi="Times New Roman" w:cs="Times New Roman"/>
          <w:color w:val="1A1A1A"/>
          <w:sz w:val="24"/>
          <w:szCs w:val="24"/>
          <w:u w:val="single"/>
          <w:lang w:eastAsia="es-ES"/>
        </w:rPr>
        <w:t>Pero al mismo tiempo, parece haber un empeoramiento de las condiciones políticas. Hay cada vez más polarización, en parte por una creciente resistencia a la globalización y a las pautas de crecimiento desigual que generó</w:t>
      </w:r>
      <w:r w:rsidRPr="00456716">
        <w:rPr>
          <w:rFonts w:ascii="Times New Roman" w:eastAsia="Times New Roman" w:hAnsi="Times New Roman" w:cs="Times New Roman"/>
          <w:color w:val="1A1A1A"/>
          <w:sz w:val="24"/>
          <w:szCs w:val="24"/>
          <w:lang w:eastAsia="es-ES"/>
        </w:rPr>
        <w:t>. Por ejemplo, según informa el Pew Research Center, en Estados Unidos no sólo hay un vehemente desacuerdo entre compatriotas de ideas opuestas, sino también falta de empatía y de respeto.</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456716">
        <w:rPr>
          <w:rFonts w:ascii="Times New Roman" w:eastAsia="Times New Roman" w:hAnsi="Times New Roman" w:cs="Times New Roman"/>
          <w:color w:val="1A1A1A"/>
          <w:sz w:val="24"/>
          <w:szCs w:val="24"/>
          <w:lang w:eastAsia="es-ES"/>
        </w:rPr>
        <w:lastRenderedPageBreak/>
        <w:t>La vieja parálisis política generada por la divisoria izquierda‑derecha en Estados Unidos ahora se abrió paso dentro del Partido Republicano, que controla ambas cámaras del Congreso y la Casa Blanca. Lo único que hizo hasta ahora el gobierno del presidente Donald Trump fue agravar este estado de agitación interna, sin ofrecer ninguno de los esperados cambios de política económica que podrían impulsar la inversión, el crecimiento y la creación de empleo de calidad. Las prioridades del gobierno de Trump todavía no están claras, pero no parece que incluyan un énfasis concertado y concentrado en políticas que busquen modelos de crecimiento más equitativos y sostenibles.</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456716">
        <w:rPr>
          <w:rFonts w:ascii="Times New Roman" w:eastAsia="Times New Roman" w:hAnsi="Times New Roman" w:cs="Times New Roman"/>
          <w:color w:val="1A1A1A"/>
          <w:sz w:val="24"/>
          <w:szCs w:val="24"/>
          <w:lang w:eastAsia="es-ES"/>
        </w:rPr>
        <w:t>En el Reino Unido, el resultado del referendo de hace un año sobre el abandono de la Unión Europea tomó a muchos por sorpresa; y la inquietud en toda la UE creció cuando la primera ministra Theresa May asumió el gobierno y prometió lograr un Brexit “duro”. Ahora que en la elección general anticipada de junio pasado los votantes británicos despojaron a May de la mayoría parlamentaria, el resultado de las inminentes negociaciones para el Brexit y el destino posterior del RU son todavía más inciertos.</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Pr="00247483"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u w:val="single"/>
          <w:lang w:eastAsia="es-ES"/>
        </w:rPr>
      </w:pPr>
      <w:r w:rsidRPr="00247483">
        <w:rPr>
          <w:rFonts w:ascii="Times New Roman" w:eastAsia="Times New Roman" w:hAnsi="Times New Roman" w:cs="Times New Roman"/>
          <w:color w:val="FF0000"/>
          <w:sz w:val="24"/>
          <w:szCs w:val="24"/>
          <w:u w:val="single"/>
          <w:lang w:eastAsia="es-ES"/>
        </w:rPr>
        <w:t>La dirigencia europea y con ella las de varias economías emergentes llegaron a la conclusión de que ni el RU ni Estados Unidos son aliados y socios comerciales previsibles y fiables.</w:t>
      </w:r>
      <w:r w:rsidRPr="00247483">
        <w:rPr>
          <w:rFonts w:ascii="Times New Roman" w:eastAsia="Times New Roman" w:hAnsi="Times New Roman" w:cs="Times New Roman"/>
          <w:color w:val="FF0000"/>
          <w:sz w:val="24"/>
          <w:szCs w:val="24"/>
          <w:lang w:eastAsia="es-ES"/>
        </w:rPr>
        <w:t xml:space="preserve"> </w:t>
      </w:r>
      <w:r w:rsidRPr="00247483">
        <w:rPr>
          <w:rFonts w:ascii="Times New Roman" w:eastAsia="Times New Roman" w:hAnsi="Times New Roman" w:cs="Times New Roman"/>
          <w:color w:val="1A1A1A"/>
          <w:sz w:val="24"/>
          <w:szCs w:val="24"/>
          <w:u w:val="single"/>
          <w:lang w:eastAsia="es-ES"/>
        </w:rPr>
        <w:t>Asia, con China a la cabeza, decidió seguir su propio rumbo. La cooperación internacional en asuntos económicos y de seguridad siempre ha sido difícil, pero ahora parece en estado de desintegración.</w:t>
      </w:r>
    </w:p>
    <w:p w:rsidR="00754EC9" w:rsidRPr="00247483"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u w:val="single"/>
          <w:lang w:eastAsia="es-ES"/>
        </w:rPr>
      </w:pPr>
    </w:p>
    <w:p w:rsidR="00754EC9" w:rsidRPr="00247483"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u w:val="single"/>
          <w:lang w:eastAsia="es-ES"/>
        </w:rPr>
      </w:pPr>
      <w:r w:rsidRPr="00247483">
        <w:rPr>
          <w:rFonts w:ascii="Times New Roman" w:eastAsia="Times New Roman" w:hAnsi="Times New Roman" w:cs="Times New Roman"/>
          <w:color w:val="1A1A1A"/>
          <w:sz w:val="24"/>
          <w:szCs w:val="24"/>
          <w:u w:val="single"/>
          <w:lang w:eastAsia="es-ES"/>
        </w:rPr>
        <w:t>En este contexto, la resiliencia (al menos hasta ahora) de la economía global es todavía más notable (aunque por supuesto, no hay modo de saber qué sería de ella en un ambiente político más estable). Se pueden dar varias explicaciones (que no son incompatibles).</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247483">
        <w:rPr>
          <w:rFonts w:ascii="Times New Roman" w:eastAsia="Times New Roman" w:hAnsi="Times New Roman" w:cs="Times New Roman"/>
          <w:color w:val="1A1A1A"/>
          <w:sz w:val="24"/>
          <w:szCs w:val="24"/>
          <w:u w:val="single"/>
          <w:lang w:eastAsia="es-ES"/>
        </w:rPr>
        <w:t>Para empezar, que las instituciones establecidas limitan la influencia de los líderes políticos y de los legisladores sobre la economía</w:t>
      </w:r>
      <w:r w:rsidRPr="00456716">
        <w:rPr>
          <w:rFonts w:ascii="Times New Roman" w:eastAsia="Times New Roman" w:hAnsi="Times New Roman" w:cs="Times New Roman"/>
          <w:color w:val="1A1A1A"/>
          <w:sz w:val="24"/>
          <w:szCs w:val="24"/>
          <w:lang w:eastAsia="es-ES"/>
        </w:rPr>
        <w:t>. Aunque estas instituciones puedan obstaculizar la implementación de políticas positivas, también sirven para minimizar los riesgos para la economía y las inversiones.</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247483">
        <w:rPr>
          <w:rFonts w:ascii="Times New Roman" w:eastAsia="Times New Roman" w:hAnsi="Times New Roman" w:cs="Times New Roman"/>
          <w:color w:val="1A1A1A"/>
          <w:sz w:val="24"/>
          <w:szCs w:val="24"/>
          <w:u w:val="single"/>
          <w:lang w:eastAsia="es-ES"/>
        </w:rPr>
        <w:t>En el frente internacional, en particular, es imposible para los políticos revertir en forma drástica e inmediata las tendencias globalizadoras establecidas en las décadas recientes.</w:t>
      </w:r>
      <w:r w:rsidRPr="00456716">
        <w:rPr>
          <w:rFonts w:ascii="Times New Roman" w:eastAsia="Times New Roman" w:hAnsi="Times New Roman" w:cs="Times New Roman"/>
          <w:color w:val="1A1A1A"/>
          <w:sz w:val="24"/>
          <w:szCs w:val="24"/>
          <w:lang w:eastAsia="es-ES"/>
        </w:rPr>
        <w:t xml:space="preserve"> Cualquier intento de hacerlo (que sería motivado sin duda por el aumento de presiones populistas y nacionalistas) causaría un grave perjuicio económico y, en última instancia, consumiría el capital político de quienes lo lideraran.</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247483">
        <w:rPr>
          <w:rFonts w:ascii="Times New Roman" w:eastAsia="Times New Roman" w:hAnsi="Times New Roman" w:cs="Times New Roman"/>
          <w:color w:val="1A1A1A"/>
          <w:sz w:val="24"/>
          <w:szCs w:val="24"/>
          <w:u w:val="single"/>
          <w:lang w:eastAsia="es-ES"/>
        </w:rPr>
        <w:t>Otra posibilidad, más preocupante, es que los riesgos estén aumentando más rápido que la percepción de ellos</w:t>
      </w:r>
      <w:r w:rsidRPr="00456716">
        <w:rPr>
          <w:rFonts w:ascii="Times New Roman" w:eastAsia="Times New Roman" w:hAnsi="Times New Roman" w:cs="Times New Roman"/>
          <w:color w:val="1A1A1A"/>
          <w:sz w:val="24"/>
          <w:szCs w:val="24"/>
          <w:lang w:eastAsia="es-ES"/>
        </w:rPr>
        <w:t>. Quien no lo crea posible, sólo tiene que pensar en la crisis financiera global de 2008, cuando una combinación de regulación laxa y asimetrías de información llevó a un patrón de aceleración de riesgos y profundización de desequilibrios que resultó casi invisible.</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247483">
        <w:rPr>
          <w:rFonts w:ascii="Times New Roman" w:eastAsia="Times New Roman" w:hAnsi="Times New Roman" w:cs="Times New Roman"/>
          <w:color w:val="1A1A1A"/>
          <w:sz w:val="24"/>
          <w:szCs w:val="24"/>
          <w:u w:val="single"/>
          <w:lang w:eastAsia="es-ES"/>
        </w:rPr>
        <w:t>En el contexto actual, la acumulación de tensiones geopolíticas en aumento, quiebre de la confianza y desprecio de instituciones clave podría llevar a una debacle mayor o, en su defecto, a un empeoramiento de las condiciones para la inversión</w:t>
      </w:r>
      <w:r w:rsidRPr="00456716">
        <w:rPr>
          <w:rFonts w:ascii="Times New Roman" w:eastAsia="Times New Roman" w:hAnsi="Times New Roman" w:cs="Times New Roman"/>
          <w:color w:val="1A1A1A"/>
          <w:sz w:val="24"/>
          <w:szCs w:val="24"/>
          <w:lang w:eastAsia="es-ES"/>
        </w:rPr>
        <w:t>. Pero imaginar escenarios concretos es más difícil que ignorar los riesgos potenciales a que nos enfrentamos.</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Pr="00247483" w:rsidRDefault="00754EC9" w:rsidP="00754EC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247483">
        <w:rPr>
          <w:rFonts w:ascii="Times New Roman" w:eastAsia="Times New Roman" w:hAnsi="Times New Roman" w:cs="Times New Roman"/>
          <w:color w:val="FF0000"/>
          <w:sz w:val="24"/>
          <w:szCs w:val="24"/>
          <w:u w:val="single"/>
          <w:lang w:eastAsia="es-ES"/>
        </w:rPr>
        <w:t xml:space="preserve">Dicho esto, hay una explicación más esperanzada, a la que adhiero, a riesgo de que me acusen de optimismo irracional. La desigualdad de oportunidades y de resultados, fuente del </w:t>
      </w:r>
      <w:r w:rsidRPr="00247483">
        <w:rPr>
          <w:rFonts w:ascii="Times New Roman" w:eastAsia="Times New Roman" w:hAnsi="Times New Roman" w:cs="Times New Roman"/>
          <w:color w:val="FF0000"/>
          <w:sz w:val="24"/>
          <w:szCs w:val="24"/>
          <w:u w:val="single"/>
          <w:lang w:eastAsia="es-ES"/>
        </w:rPr>
        <w:lastRenderedPageBreak/>
        <w:t>descontento popular y de la polarización política, es muy real, y tras años de ser ignorada, por fin recibe la atención que se merece.</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247483">
        <w:rPr>
          <w:rFonts w:ascii="Times New Roman" w:eastAsia="Times New Roman" w:hAnsi="Times New Roman" w:cs="Times New Roman"/>
          <w:color w:val="FF0000"/>
          <w:sz w:val="24"/>
          <w:szCs w:val="24"/>
          <w:u w:val="single"/>
          <w:lang w:eastAsia="es-ES"/>
        </w:rPr>
        <w:t>Un mayor énfasis en la búsqueda de cohesión social no tendrá resultados inmediatos. Pero con el tiempo, puede ayudar a mitigar el celo partidista, concientizar otra vez a la ciudadanía sobre los valores compartidos y devolver a la dirigencia capacidad de discutir con responsabilidad políticas e implementarlas</w:t>
      </w:r>
      <w:r w:rsidRPr="00456716">
        <w:rPr>
          <w:rFonts w:ascii="Times New Roman" w:eastAsia="Times New Roman" w:hAnsi="Times New Roman" w:cs="Times New Roman"/>
          <w:color w:val="1A1A1A"/>
          <w:sz w:val="24"/>
          <w:szCs w:val="24"/>
          <w:lang w:eastAsia="es-ES"/>
        </w:rPr>
        <w:t>. Como siempre, habrá desacuerdos (a veces muy marcados) sobre cómo alcanzar los objetivos compartidos, pero la clave será afrontarlos en un contexto de relativo respeto mutuo.</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456716">
        <w:rPr>
          <w:rFonts w:ascii="Times New Roman" w:eastAsia="Times New Roman" w:hAnsi="Times New Roman" w:cs="Times New Roman"/>
          <w:color w:val="1A1A1A"/>
          <w:sz w:val="24"/>
          <w:szCs w:val="24"/>
          <w:lang w:eastAsia="es-ES"/>
        </w:rPr>
        <w:t>Aunque esta posibilidad es incierta, no es imposible. Después de todo, la elección de Emmanuel Macron como presidente de Francia, la derrota del Brexit duro de May y el rechazo casi universal a la postura del gobierno de Trump en relación con el cambio climático y el orden económico mundial normativo, tanto dentro como fuera de los Estados Unidos, sugieren un afianzamiento del centro político.</w:t>
      </w:r>
    </w:p>
    <w:p w:rsidR="00754EC9" w:rsidRPr="00456716"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754EC9" w:rsidRPr="00247483" w:rsidRDefault="00754EC9" w:rsidP="00754EC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456716">
        <w:rPr>
          <w:rFonts w:ascii="Times New Roman" w:eastAsia="Times New Roman" w:hAnsi="Times New Roman" w:cs="Times New Roman"/>
          <w:color w:val="1A1A1A"/>
          <w:sz w:val="24"/>
          <w:szCs w:val="24"/>
          <w:lang w:eastAsia="es-ES"/>
        </w:rPr>
        <w:t xml:space="preserve">Mientras tanto, </w:t>
      </w:r>
      <w:r w:rsidRPr="00247483">
        <w:rPr>
          <w:rFonts w:ascii="Times New Roman" w:eastAsia="Times New Roman" w:hAnsi="Times New Roman" w:cs="Times New Roman"/>
          <w:color w:val="FF0000"/>
          <w:sz w:val="24"/>
          <w:szCs w:val="24"/>
          <w:u w:val="single"/>
          <w:lang w:eastAsia="es-ES"/>
        </w:rPr>
        <w:t>es necesario que los marcos institucionales nacionales e internacionales sigan protegiendo contra acciones destructivas de la dirigencia política. A fin de cuentas, hoy parece que los mercados se sostienen sobre la confianza en la resiliencia de esas instituciones (y la esperanza en que la disfunción política actual llegará a su fin).</w:t>
      </w:r>
    </w:p>
    <w:p w:rsidR="00754EC9" w:rsidRPr="00247483" w:rsidRDefault="00754EC9" w:rsidP="00754EC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754EC9" w:rsidRDefault="00754EC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val="en-GB" w:eastAsia="es-ES"/>
        </w:rPr>
      </w:pPr>
      <w:r>
        <w:rPr>
          <w:rFonts w:ascii="Times New Roman" w:eastAsia="Times New Roman" w:hAnsi="Times New Roman" w:cs="Times New Roman"/>
          <w:color w:val="1A1A1A"/>
          <w:sz w:val="24"/>
          <w:szCs w:val="24"/>
          <w:lang w:val="en-GB" w:eastAsia="es-ES"/>
        </w:rPr>
        <w:t>(</w:t>
      </w:r>
      <w:r w:rsidRPr="00456716">
        <w:rPr>
          <w:rFonts w:ascii="Times New Roman" w:eastAsia="Times New Roman" w:hAnsi="Times New Roman" w:cs="Times New Roman"/>
          <w:color w:val="1A1A1A"/>
          <w:sz w:val="24"/>
          <w:szCs w:val="24"/>
          <w:lang w:val="en-GB" w:eastAsia="es-ES"/>
        </w:rPr>
        <w:t>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w:t>
      </w:r>
      <w:r>
        <w:rPr>
          <w:rFonts w:ascii="Times New Roman" w:eastAsia="Times New Roman" w:hAnsi="Times New Roman" w:cs="Times New Roman"/>
          <w:color w:val="1A1A1A"/>
          <w:sz w:val="24"/>
          <w:szCs w:val="24"/>
          <w:lang w:val="en-GB" w:eastAsia="es-ES"/>
        </w:rPr>
        <w:t xml:space="preserve"> Kong</w:t>
      </w:r>
      <w:r w:rsidRPr="00456716">
        <w:rPr>
          <w:rFonts w:ascii="Times New Roman" w:eastAsia="Times New Roman" w:hAnsi="Times New Roman" w:cs="Times New Roman"/>
          <w:color w:val="1A1A1A"/>
          <w:sz w:val="24"/>
          <w:szCs w:val="24"/>
          <w:lang w:val="en-GB" w:eastAsia="es-ES"/>
        </w:rPr>
        <w:t xml:space="preserve"> …</w:t>
      </w:r>
      <w:r>
        <w:rPr>
          <w:rFonts w:ascii="Times New Roman" w:eastAsia="Times New Roman" w:hAnsi="Times New Roman" w:cs="Times New Roman"/>
          <w:color w:val="1A1A1A"/>
          <w:sz w:val="24"/>
          <w:szCs w:val="24"/>
          <w:lang w:val="en-GB" w:eastAsia="es-ES"/>
        </w:rPr>
        <w:t>)</w:t>
      </w:r>
    </w:p>
    <w:p w:rsidR="00E02699" w:rsidRDefault="00E02699" w:rsidP="00754EC9">
      <w:pPr>
        <w:shd w:val="clear" w:color="auto" w:fill="FFFFFF"/>
        <w:spacing w:after="0" w:line="240" w:lineRule="auto"/>
        <w:jc w:val="both"/>
        <w:textAlignment w:val="baseline"/>
        <w:rPr>
          <w:rFonts w:ascii="Times New Roman" w:eastAsia="Times New Roman" w:hAnsi="Times New Roman" w:cs="Times New Roman"/>
          <w:color w:val="1A1A1A"/>
          <w:sz w:val="24"/>
          <w:szCs w:val="24"/>
          <w:lang w:val="en-GB" w:eastAsia="es-ES"/>
        </w:rPr>
      </w:pPr>
    </w:p>
    <w:p w:rsidR="00E02699" w:rsidRPr="005A3874" w:rsidRDefault="00E02699" w:rsidP="00E026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A3874">
        <w:rPr>
          <w:rFonts w:ascii="Times New Roman" w:hAnsi="Times New Roman" w:cs="Times New Roman"/>
          <w:sz w:val="24"/>
          <w:szCs w:val="24"/>
          <w:u w:val="single"/>
        </w:rPr>
        <w:t>El nuevo socialismo de los tontos</w:t>
      </w:r>
      <w:r>
        <w:rPr>
          <w:rFonts w:ascii="Times New Roman" w:hAnsi="Times New Roman" w:cs="Times New Roman"/>
          <w:sz w:val="24"/>
          <w:szCs w:val="24"/>
        </w:rPr>
        <w:t xml:space="preserve"> (Project Syndicate - </w:t>
      </w:r>
      <w:r w:rsidRPr="005A3874">
        <w:rPr>
          <w:rFonts w:ascii="Times New Roman" w:hAnsi="Times New Roman" w:cs="Times New Roman"/>
          <w:b/>
          <w:sz w:val="24"/>
          <w:szCs w:val="24"/>
        </w:rPr>
        <w:t>7/8/17</w:t>
      </w:r>
      <w:r>
        <w:rPr>
          <w:rFonts w:ascii="Times New Roman" w:hAnsi="Times New Roman" w:cs="Times New Roman"/>
          <w:sz w:val="24"/>
          <w:szCs w:val="24"/>
        </w:rPr>
        <w:t>)</w:t>
      </w:r>
    </w:p>
    <w:p w:rsidR="00E02699" w:rsidRPr="00224433" w:rsidRDefault="00E02699" w:rsidP="00E02699">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Berkeley.-</w:t>
      </w:r>
      <w:r w:rsidRPr="005A3874">
        <w:rPr>
          <w:rFonts w:ascii="Times New Roman" w:hAnsi="Times New Roman" w:cs="Times New Roman"/>
          <w:sz w:val="24"/>
          <w:szCs w:val="24"/>
        </w:rPr>
        <w:t xml:space="preserve"> </w:t>
      </w:r>
      <w:r w:rsidRPr="00224433">
        <w:rPr>
          <w:rFonts w:ascii="Times New Roman" w:hAnsi="Times New Roman" w:cs="Times New Roman"/>
          <w:color w:val="FF0000"/>
          <w:sz w:val="24"/>
          <w:szCs w:val="24"/>
          <w:u w:val="single"/>
        </w:rPr>
        <w:t>Según la teoría económica convencio</w:t>
      </w:r>
      <w:r>
        <w:rPr>
          <w:rFonts w:ascii="Times New Roman" w:hAnsi="Times New Roman" w:cs="Times New Roman"/>
          <w:color w:val="FF0000"/>
          <w:sz w:val="24"/>
          <w:szCs w:val="24"/>
          <w:u w:val="single"/>
        </w:rPr>
        <w:t>nal, la globalización tiende a “beneficiar a todos”</w:t>
      </w:r>
      <w:r w:rsidRPr="00224433">
        <w:rPr>
          <w:rFonts w:ascii="Times New Roman" w:hAnsi="Times New Roman" w:cs="Times New Roman"/>
          <w:color w:val="FF0000"/>
          <w:sz w:val="24"/>
          <w:szCs w:val="24"/>
          <w:u w:val="single"/>
        </w:rPr>
        <w:t xml:space="preserve">, y tiene escaso efecto en la amplia </w:t>
      </w:r>
      <w:r>
        <w:rPr>
          <w:rFonts w:ascii="Times New Roman" w:hAnsi="Times New Roman" w:cs="Times New Roman"/>
          <w:color w:val="FF0000"/>
          <w:sz w:val="24"/>
          <w:szCs w:val="24"/>
          <w:u w:val="single"/>
        </w:rPr>
        <w:t>distribución de ingresos. Pero “globalización”</w:t>
      </w:r>
      <w:r w:rsidRPr="00224433">
        <w:rPr>
          <w:rFonts w:ascii="Times New Roman" w:hAnsi="Times New Roman" w:cs="Times New Roman"/>
          <w:color w:val="FF0000"/>
          <w:sz w:val="24"/>
          <w:szCs w:val="24"/>
          <w:u w:val="single"/>
        </w:rPr>
        <w:t xml:space="preserve"> no es lo mismo que eliminación de aranceles y otras barreras a las importaciones que confieren ventajas de captación de renta a productores domésticos políticamente influyentes. Como frecuentemente señala el economista Dani Rodrik de la Universidad de Harvard, la teoría económica predice que eliminar los aranceles y las barreras no arancelarias efectivamente produce ganancias netas; pero también se traduce en grandes redistribuciones, donde eliminar barreras más pequeñas genera redistribuciones mayores en relación a las ganancias netas.</w:t>
      </w:r>
    </w:p>
    <w:p w:rsidR="00E02699" w:rsidRPr="00224433" w:rsidRDefault="00E02699" w:rsidP="00E02699">
      <w:pPr>
        <w:spacing w:line="240" w:lineRule="auto"/>
        <w:jc w:val="both"/>
        <w:rPr>
          <w:rFonts w:ascii="Times New Roman" w:hAnsi="Times New Roman" w:cs="Times New Roman"/>
          <w:sz w:val="24"/>
          <w:szCs w:val="24"/>
          <w:u w:val="single"/>
        </w:rPr>
      </w:pPr>
      <w:r w:rsidRPr="00224433">
        <w:rPr>
          <w:rFonts w:ascii="Times New Roman" w:hAnsi="Times New Roman" w:cs="Times New Roman"/>
          <w:sz w:val="24"/>
          <w:szCs w:val="24"/>
          <w:u w:val="single"/>
        </w:rPr>
        <w:t>La globalización, para nuestros fines, es diferente. Se la debería entender como un proceso en el cual el mundo se vuelve cada vez más interconectado a través de progresos tecnológicos que hacen bajar los costos del transporte y las comunicaciones.</w:t>
      </w:r>
    </w:p>
    <w:p w:rsidR="00E02699" w:rsidRPr="00224433" w:rsidRDefault="00E02699" w:rsidP="00E02699">
      <w:pPr>
        <w:spacing w:line="240" w:lineRule="auto"/>
        <w:jc w:val="both"/>
        <w:rPr>
          <w:rFonts w:ascii="Times New Roman" w:hAnsi="Times New Roman" w:cs="Times New Roman"/>
          <w:sz w:val="24"/>
          <w:szCs w:val="24"/>
          <w:u w:val="single"/>
        </w:rPr>
      </w:pPr>
      <w:r w:rsidRPr="00224433">
        <w:rPr>
          <w:rFonts w:ascii="Times New Roman" w:hAnsi="Times New Roman" w:cs="Times New Roman"/>
          <w:sz w:val="24"/>
          <w:szCs w:val="24"/>
          <w:u w:val="single"/>
        </w:rPr>
        <w:t>Sin duda, esta forma de globalización permite que los productores extranjeros exporten bienes y servicios a mercados lejanos a un costo más bajo. Pero también abre los mercados exportadores y reduce los costos para la otra parte. Y, al final de cuentas, los consumidores reciben más por menos.</w:t>
      </w:r>
    </w:p>
    <w:p w:rsidR="00E02699" w:rsidRPr="00224433" w:rsidRDefault="00E02699" w:rsidP="00E02699">
      <w:pPr>
        <w:spacing w:line="240" w:lineRule="auto"/>
        <w:jc w:val="both"/>
        <w:rPr>
          <w:rFonts w:ascii="Times New Roman" w:hAnsi="Times New Roman" w:cs="Times New Roman"/>
          <w:color w:val="FF0000"/>
          <w:sz w:val="24"/>
          <w:szCs w:val="24"/>
          <w:u w:val="single"/>
        </w:rPr>
      </w:pPr>
      <w:r w:rsidRPr="00224433">
        <w:rPr>
          <w:rFonts w:ascii="Times New Roman" w:hAnsi="Times New Roman" w:cs="Times New Roman"/>
          <w:color w:val="FF0000"/>
          <w:sz w:val="24"/>
          <w:szCs w:val="24"/>
          <w:u w:val="single"/>
        </w:rPr>
        <w:t>De acuerdo con la teoría económica estándar, la redistribución sólo se produce cuando las exportaciones de un país exigen factores de producción inmensamente diferentes de sus importaciones. Pero, en la economía global de hoy, esas diferencias no existen.</w:t>
      </w:r>
    </w:p>
    <w:p w:rsidR="00E02699" w:rsidRPr="005A3874" w:rsidRDefault="00E02699" w:rsidP="00E02699">
      <w:pPr>
        <w:spacing w:line="240" w:lineRule="auto"/>
        <w:jc w:val="both"/>
        <w:rPr>
          <w:rFonts w:ascii="Times New Roman" w:hAnsi="Times New Roman" w:cs="Times New Roman"/>
          <w:sz w:val="24"/>
          <w:szCs w:val="24"/>
        </w:rPr>
      </w:pPr>
      <w:r w:rsidRPr="005A3874">
        <w:rPr>
          <w:rFonts w:ascii="Times New Roman" w:hAnsi="Times New Roman" w:cs="Times New Roman"/>
          <w:sz w:val="24"/>
          <w:szCs w:val="24"/>
        </w:rPr>
        <w:lastRenderedPageBreak/>
        <w:t>En Estados Unidos, un excedente de la balanza de pagos en las finanzas significa que más norteamericanos serán empleados como obreros de la construcción, productores de bienes de capital y enfermeros y asistentes de salud a domicilio. De la misma manera, un excedente en los servicios significa que más norteamericanos trabajarán no sólo como consultores con un alto nivel educativo (y bien remunerados) en nidos de acero y cristal, sino también, por ejemplo, como porteros y personal de limpieza en moteles a las puertas del Parque Nacional Yellowstone.</w:t>
      </w:r>
    </w:p>
    <w:p w:rsidR="00E02699" w:rsidRPr="005A3874" w:rsidRDefault="00E02699" w:rsidP="00E02699">
      <w:pPr>
        <w:spacing w:line="240" w:lineRule="auto"/>
        <w:jc w:val="both"/>
        <w:rPr>
          <w:rFonts w:ascii="Times New Roman" w:hAnsi="Times New Roman" w:cs="Times New Roman"/>
          <w:sz w:val="24"/>
          <w:szCs w:val="24"/>
        </w:rPr>
      </w:pPr>
      <w:r w:rsidRPr="005A3874">
        <w:rPr>
          <w:rFonts w:ascii="Times New Roman" w:hAnsi="Times New Roman" w:cs="Times New Roman"/>
          <w:sz w:val="24"/>
          <w:szCs w:val="24"/>
        </w:rPr>
        <w:t>Al mismo tiempo, un déficit en la manufactura puede crear más empleos industriales en el exterior, en países donde los costos de mano de obra son bajos en relación al capital; pero destruye relativamente pocos empleos en Estados Unidos, donde la manufactura ya es una industria de utilización muy intensiva de capital. Como ha venido señalando el economista Robert Hall de la Universidad de Stanford durante tres décadas, hay más norteamericanos que se dedican a vender autos que a fabricarlos. Las materias primas que Estados Unidos importa del exterior representan una cantidad significativa de mano de obra relativamente no calificada, pero no desplazan mucha mano de obra no calificada en Estados Unidos.</w:t>
      </w:r>
    </w:p>
    <w:p w:rsidR="00E02699" w:rsidRPr="00224433" w:rsidRDefault="00E02699" w:rsidP="00E02699">
      <w:pPr>
        <w:spacing w:line="240" w:lineRule="auto"/>
        <w:jc w:val="both"/>
        <w:rPr>
          <w:rFonts w:ascii="Times New Roman" w:hAnsi="Times New Roman" w:cs="Times New Roman"/>
          <w:color w:val="FF0000"/>
          <w:sz w:val="24"/>
          <w:szCs w:val="24"/>
          <w:u w:val="single"/>
        </w:rPr>
      </w:pPr>
      <w:r w:rsidRPr="00224433">
        <w:rPr>
          <w:rFonts w:ascii="Times New Roman" w:hAnsi="Times New Roman" w:cs="Times New Roman"/>
          <w:sz w:val="24"/>
          <w:szCs w:val="24"/>
          <w:u w:val="single"/>
        </w:rPr>
        <w:t xml:space="preserve">De modo que, al menos en teoría, el giro en el empleo de Estados Unidos de manufactura de línea de montaje a construcción, servicios y cuidado de la salud puede haber tenido un impacto en la distribución general del ingreso en términos de género, pero no en términos de clase. </w:t>
      </w:r>
      <w:r w:rsidRPr="00224433">
        <w:rPr>
          <w:rFonts w:ascii="Times New Roman" w:hAnsi="Times New Roman" w:cs="Times New Roman"/>
          <w:color w:val="FF0000"/>
          <w:sz w:val="24"/>
          <w:szCs w:val="24"/>
          <w:u w:val="single"/>
        </w:rPr>
        <w:t>¿Por qué, entones, ha habido semejante resistencia política a la globalización en el siglo XXI? Percibo cuatro razones.</w:t>
      </w:r>
    </w:p>
    <w:p w:rsidR="00E02699" w:rsidRPr="007A5A25" w:rsidRDefault="00E02699" w:rsidP="00E02699">
      <w:pPr>
        <w:spacing w:line="240" w:lineRule="auto"/>
        <w:jc w:val="both"/>
        <w:rPr>
          <w:rFonts w:ascii="Times New Roman" w:hAnsi="Times New Roman" w:cs="Times New Roman"/>
          <w:b/>
          <w:color w:val="FF0000"/>
          <w:sz w:val="24"/>
          <w:szCs w:val="24"/>
          <w:u w:val="single"/>
        </w:rPr>
      </w:pPr>
      <w:r w:rsidRPr="00224433">
        <w:rPr>
          <w:rFonts w:ascii="Times New Roman" w:hAnsi="Times New Roman" w:cs="Times New Roman"/>
          <w:color w:val="FF0000"/>
          <w:sz w:val="24"/>
          <w:szCs w:val="24"/>
          <w:u w:val="single"/>
        </w:rPr>
        <w:t>Primero y principal, a los políticos les resulta fácil culpar de los problemas de un país a los extranjeros e inmigrantes que no votan</w:t>
      </w:r>
      <w:r w:rsidRPr="005A3874">
        <w:rPr>
          <w:rFonts w:ascii="Times New Roman" w:hAnsi="Times New Roman" w:cs="Times New Roman"/>
          <w:sz w:val="24"/>
          <w:szCs w:val="24"/>
        </w:rPr>
        <w:t>. En 1890, cuando los políticos en el Imperio de Habsburgo solían culpar a los judíos de varios males socioeconómicos, el disidente austríaco Ferd</w:t>
      </w:r>
      <w:r>
        <w:rPr>
          <w:rFonts w:ascii="Times New Roman" w:hAnsi="Times New Roman" w:cs="Times New Roman"/>
          <w:sz w:val="24"/>
          <w:szCs w:val="24"/>
        </w:rPr>
        <w:t>inand Kronawetter observó que “</w:t>
      </w:r>
      <w:r w:rsidRPr="005A3874">
        <w:rPr>
          <w:rFonts w:ascii="Times New Roman" w:hAnsi="Times New Roman" w:cs="Times New Roman"/>
          <w:sz w:val="24"/>
          <w:szCs w:val="24"/>
        </w:rPr>
        <w:t>Der Antisemitismus ist d</w:t>
      </w:r>
      <w:r>
        <w:rPr>
          <w:rFonts w:ascii="Times New Roman" w:hAnsi="Times New Roman" w:cs="Times New Roman"/>
          <w:sz w:val="24"/>
          <w:szCs w:val="24"/>
        </w:rPr>
        <w:t>er Sozialismus der dummen Kerle”</w:t>
      </w:r>
      <w:r w:rsidRPr="005A3874">
        <w:rPr>
          <w:rFonts w:ascii="Times New Roman" w:hAnsi="Times New Roman" w:cs="Times New Roman"/>
          <w:sz w:val="24"/>
          <w:szCs w:val="24"/>
        </w:rPr>
        <w:t xml:space="preserve">: </w:t>
      </w:r>
      <w:r w:rsidRPr="007A5A25">
        <w:rPr>
          <w:rFonts w:ascii="Times New Roman" w:hAnsi="Times New Roman" w:cs="Times New Roman"/>
          <w:b/>
          <w:color w:val="FF0000"/>
          <w:sz w:val="24"/>
          <w:szCs w:val="24"/>
          <w:u w:val="single"/>
        </w:rPr>
        <w:t>el antisemitismo es el socialismo de los tontos. Lo mismo podría decirse de la antiglobalización hoy.</w:t>
      </w:r>
    </w:p>
    <w:p w:rsidR="00E02699" w:rsidRPr="005A3874" w:rsidRDefault="00E02699" w:rsidP="00E02699">
      <w:pPr>
        <w:spacing w:line="240" w:lineRule="auto"/>
        <w:jc w:val="both"/>
        <w:rPr>
          <w:rFonts w:ascii="Times New Roman" w:hAnsi="Times New Roman" w:cs="Times New Roman"/>
          <w:sz w:val="24"/>
          <w:szCs w:val="24"/>
        </w:rPr>
      </w:pPr>
      <w:r w:rsidRPr="007A5A25">
        <w:rPr>
          <w:rFonts w:ascii="Times New Roman" w:hAnsi="Times New Roman" w:cs="Times New Roman"/>
          <w:color w:val="FF0000"/>
          <w:sz w:val="24"/>
          <w:szCs w:val="24"/>
          <w:u w:val="single"/>
        </w:rPr>
        <w:t>Segundo, más de una generación de crecimiento económico desigual y más lento de lo esperado en el Norte global ha creado una fuerte necesidad política y psicológica de chivos expiatorios</w:t>
      </w:r>
      <w:r w:rsidRPr="005A3874">
        <w:rPr>
          <w:rFonts w:ascii="Times New Roman" w:hAnsi="Times New Roman" w:cs="Times New Roman"/>
          <w:sz w:val="24"/>
          <w:szCs w:val="24"/>
        </w:rPr>
        <w:t>. La gente quiere un discurso simple que explique por qué no se están beneficiando con la prosperidad que alguna vez les prometieron, y por qué existe una brecha tan grande y creciente entre una sobreclase cada vez más rica y todos los demás.</w:t>
      </w:r>
    </w:p>
    <w:p w:rsidR="00E02699" w:rsidRPr="005A3874" w:rsidRDefault="00E02699" w:rsidP="00E02699">
      <w:pPr>
        <w:spacing w:line="240" w:lineRule="auto"/>
        <w:jc w:val="both"/>
        <w:rPr>
          <w:rFonts w:ascii="Times New Roman" w:hAnsi="Times New Roman" w:cs="Times New Roman"/>
          <w:sz w:val="24"/>
          <w:szCs w:val="24"/>
        </w:rPr>
      </w:pPr>
      <w:r w:rsidRPr="007A5A25">
        <w:rPr>
          <w:rFonts w:ascii="Times New Roman" w:hAnsi="Times New Roman" w:cs="Times New Roman"/>
          <w:color w:val="FF0000"/>
          <w:sz w:val="24"/>
          <w:szCs w:val="24"/>
          <w:u w:val="single"/>
        </w:rPr>
        <w:t>Tercero, el ascenso económico de China coincidió con un período en el cual el Norte global se esforzaba por alcanzar el pleno empleo</w:t>
      </w:r>
      <w:r w:rsidRPr="005A3874">
        <w:rPr>
          <w:rFonts w:ascii="Times New Roman" w:hAnsi="Times New Roman" w:cs="Times New Roman"/>
          <w:sz w:val="24"/>
          <w:szCs w:val="24"/>
        </w:rPr>
        <w:t>. Contrariamente a lo que siempre han dicho los seguidores de Friedrich von Hayek y Andrew Mellon, los reajustes económicos no suceden cuando las quiebras provocan una salida de mano de obra y capital de industrias de baja productividad y baja demanda, sino más bien cuando las épocas de bonanza introducen mano de obra y capital en industrias de alta productividad y alta demanda.</w:t>
      </w:r>
    </w:p>
    <w:p w:rsidR="00E02699" w:rsidRPr="005A3874" w:rsidRDefault="00E02699" w:rsidP="00E02699">
      <w:pPr>
        <w:spacing w:line="240" w:lineRule="auto"/>
        <w:jc w:val="both"/>
        <w:rPr>
          <w:rFonts w:ascii="Times New Roman" w:hAnsi="Times New Roman" w:cs="Times New Roman"/>
          <w:sz w:val="24"/>
          <w:szCs w:val="24"/>
        </w:rPr>
      </w:pPr>
      <w:r w:rsidRPr="007A5A25">
        <w:rPr>
          <w:rFonts w:ascii="Times New Roman" w:hAnsi="Times New Roman" w:cs="Times New Roman"/>
          <w:sz w:val="24"/>
          <w:szCs w:val="24"/>
          <w:u w:val="single"/>
        </w:rPr>
        <w:t>En consecuencia, el neoliberalismo no sólo requiere mercados abiertos y competitivos, cambio global y estabilidad de precios. También depende del pleno empleo y de los períodos de bonanza casi permanentes, como había advertido el economista John Maynard Keynes en los años 1920 y 1930</w:t>
      </w:r>
      <w:r w:rsidRPr="005A3874">
        <w:rPr>
          <w:rFonts w:ascii="Times New Roman" w:hAnsi="Times New Roman" w:cs="Times New Roman"/>
          <w:sz w:val="24"/>
          <w:szCs w:val="24"/>
        </w:rPr>
        <w:t>. En las últimas décadas, el orden neoliberal no logró ofrecer ninguna de estas condiciones, muy probablemente porque hacerlo habría resultado imposible inclusive si se hubieran implementado las mejores políticas.</w:t>
      </w:r>
    </w:p>
    <w:p w:rsidR="00E02699" w:rsidRPr="005A3874" w:rsidRDefault="00E02699" w:rsidP="00E02699">
      <w:pPr>
        <w:spacing w:line="240" w:lineRule="auto"/>
        <w:jc w:val="both"/>
        <w:rPr>
          <w:rFonts w:ascii="Times New Roman" w:hAnsi="Times New Roman" w:cs="Times New Roman"/>
          <w:sz w:val="24"/>
          <w:szCs w:val="24"/>
        </w:rPr>
      </w:pPr>
      <w:r w:rsidRPr="007A5A25">
        <w:rPr>
          <w:rFonts w:ascii="Times New Roman" w:hAnsi="Times New Roman" w:cs="Times New Roman"/>
          <w:color w:val="FF0000"/>
          <w:sz w:val="24"/>
          <w:szCs w:val="24"/>
          <w:u w:val="single"/>
        </w:rPr>
        <w:t>Cuarto, los responsables de las políticas no hicieron lo suficiente para compensar esta deficiencia con una redistribución económica y geográfica y políticas sociales más agresivas.</w:t>
      </w:r>
      <w:r w:rsidRPr="007A5A25">
        <w:rPr>
          <w:rFonts w:ascii="Times New Roman" w:hAnsi="Times New Roman" w:cs="Times New Roman"/>
          <w:color w:val="FF0000"/>
          <w:sz w:val="24"/>
          <w:szCs w:val="24"/>
        </w:rPr>
        <w:t xml:space="preserve"> </w:t>
      </w:r>
      <w:r w:rsidRPr="005A3874">
        <w:rPr>
          <w:rFonts w:ascii="Times New Roman" w:hAnsi="Times New Roman" w:cs="Times New Roman"/>
          <w:sz w:val="24"/>
          <w:szCs w:val="24"/>
        </w:rPr>
        <w:lastRenderedPageBreak/>
        <w:t>Cuando el presidente de Estados Unidos, Donald Trump, recientemente les dijo a los neoyorquinos del norte del estado que debían irse de la región y buscar empleos en otra parte, no hizo más que hacerse eco de la generación pasada de políticos de centro derecha en el Norte global.</w:t>
      </w:r>
    </w:p>
    <w:p w:rsidR="00E02699" w:rsidRPr="007A5A25" w:rsidRDefault="00E02699" w:rsidP="00E02699">
      <w:pPr>
        <w:spacing w:line="240" w:lineRule="auto"/>
        <w:jc w:val="both"/>
        <w:rPr>
          <w:rFonts w:ascii="Times New Roman" w:hAnsi="Times New Roman" w:cs="Times New Roman"/>
          <w:sz w:val="24"/>
          <w:szCs w:val="24"/>
          <w:u w:val="single"/>
        </w:rPr>
      </w:pPr>
      <w:r w:rsidRPr="007A5A25">
        <w:rPr>
          <w:rFonts w:ascii="Times New Roman" w:hAnsi="Times New Roman" w:cs="Times New Roman"/>
          <w:sz w:val="24"/>
          <w:szCs w:val="24"/>
          <w:u w:val="single"/>
        </w:rPr>
        <w:t>Los actuales dilemas políticos y económicos del Norte global no son tan diferentes de los de los años 1920 y 1930. Como Keynes observó entonces, la clave es producir y mantener el pleno empleo, y en ese momento la mayoría de los otros problemas habrán desaparecido.</w:t>
      </w:r>
    </w:p>
    <w:p w:rsidR="00E02699" w:rsidRPr="007A5A25" w:rsidRDefault="00E02699" w:rsidP="00E02699">
      <w:pPr>
        <w:spacing w:line="240" w:lineRule="auto"/>
        <w:jc w:val="both"/>
        <w:rPr>
          <w:rFonts w:ascii="Times New Roman" w:hAnsi="Times New Roman" w:cs="Times New Roman"/>
          <w:sz w:val="24"/>
          <w:szCs w:val="24"/>
          <w:u w:val="single"/>
        </w:rPr>
      </w:pPr>
      <w:r w:rsidRPr="007A5A25">
        <w:rPr>
          <w:rFonts w:ascii="Times New Roman" w:hAnsi="Times New Roman" w:cs="Times New Roman"/>
          <w:sz w:val="24"/>
          <w:szCs w:val="24"/>
          <w:u w:val="single"/>
        </w:rPr>
        <w:t>Y, como sostenía el economista austro-húngaro Karl Polanyi, es responsabilidad del gobierno garantizar los derechos socioeconómicos. La gente cree que tiene derecho a vivir en comunidades saludables, tener ocupaciones estables y ganar un ingreso decente que aumente con el tiempo. Pero estos supuestos derechos no surgen naturalmente de los derechos de propiedad y de reclamos de recursos escasos -las monedas del reino neoliberal.</w:t>
      </w:r>
    </w:p>
    <w:p w:rsidR="00E02699" w:rsidRPr="007A5A25" w:rsidRDefault="00E02699" w:rsidP="00E02699">
      <w:pPr>
        <w:spacing w:line="240" w:lineRule="auto"/>
        <w:jc w:val="both"/>
        <w:rPr>
          <w:rFonts w:ascii="Times New Roman" w:hAnsi="Times New Roman" w:cs="Times New Roman"/>
          <w:color w:val="FF0000"/>
          <w:sz w:val="24"/>
          <w:szCs w:val="24"/>
          <w:u w:val="single"/>
        </w:rPr>
      </w:pPr>
      <w:r w:rsidRPr="007A5A25">
        <w:rPr>
          <w:rFonts w:ascii="Times New Roman" w:hAnsi="Times New Roman" w:cs="Times New Roman"/>
          <w:color w:val="FF0000"/>
          <w:sz w:val="24"/>
          <w:szCs w:val="24"/>
          <w:u w:val="single"/>
        </w:rPr>
        <w:t>Ya han pasado diez años desde la crisis finan</w:t>
      </w:r>
      <w:r>
        <w:rPr>
          <w:rFonts w:ascii="Times New Roman" w:hAnsi="Times New Roman" w:cs="Times New Roman"/>
          <w:color w:val="FF0000"/>
          <w:sz w:val="24"/>
          <w:szCs w:val="24"/>
          <w:u w:val="single"/>
        </w:rPr>
        <w:t>ciera global y el inicio de la “Gran Recesión”</w:t>
      </w:r>
      <w:r w:rsidRPr="007A5A25">
        <w:rPr>
          <w:rFonts w:ascii="Times New Roman" w:hAnsi="Times New Roman" w:cs="Times New Roman"/>
          <w:color w:val="FF0000"/>
          <w:sz w:val="24"/>
          <w:szCs w:val="24"/>
          <w:u w:val="single"/>
        </w:rPr>
        <w:t xml:space="preserve"> en el Norte global. Los gobiernos todavía no han sabido reparar el daño generado por esos acontecimient</w:t>
      </w:r>
      <w:r>
        <w:rPr>
          <w:rFonts w:ascii="Times New Roman" w:hAnsi="Times New Roman" w:cs="Times New Roman"/>
          <w:color w:val="FF0000"/>
          <w:sz w:val="24"/>
          <w:szCs w:val="24"/>
          <w:u w:val="single"/>
        </w:rPr>
        <w:t>os. Si no lo hacen pronto, los “ismos”</w:t>
      </w:r>
      <w:r w:rsidRPr="007A5A25">
        <w:rPr>
          <w:rFonts w:ascii="Times New Roman" w:hAnsi="Times New Roman" w:cs="Times New Roman"/>
          <w:color w:val="FF0000"/>
          <w:sz w:val="24"/>
          <w:szCs w:val="24"/>
          <w:u w:val="single"/>
        </w:rPr>
        <w:t xml:space="preserve"> de los tontos seguirán causando estragos en las próximas décadas.</w:t>
      </w:r>
    </w:p>
    <w:p w:rsidR="00E02699" w:rsidRDefault="00E02699" w:rsidP="00E02699">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Pr="005A3874">
        <w:rPr>
          <w:rFonts w:ascii="Times New Roman" w:hAnsi="Times New Roman" w:cs="Times New Roman"/>
          <w:sz w:val="24"/>
          <w:szCs w:val="24"/>
          <w:lang w:val="en-GB"/>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w:t>
      </w:r>
      <w:r>
        <w:rPr>
          <w:rFonts w:ascii="Times New Roman" w:hAnsi="Times New Roman" w:cs="Times New Roman"/>
          <w:sz w:val="24"/>
          <w:szCs w:val="24"/>
          <w:lang w:val="en-GB"/>
        </w:rPr>
        <w:t>n</w:t>
      </w:r>
      <w:r w:rsidRPr="005A3874">
        <w:rPr>
          <w:rFonts w:ascii="Times New Roman" w:hAnsi="Times New Roman" w:cs="Times New Roman"/>
          <w:sz w:val="24"/>
          <w:szCs w:val="24"/>
          <w:lang w:val="en-GB"/>
        </w:rPr>
        <w:t>…</w:t>
      </w:r>
      <w:r>
        <w:rPr>
          <w:rFonts w:ascii="Times New Roman" w:hAnsi="Times New Roman" w:cs="Times New Roman"/>
          <w:sz w:val="24"/>
          <w:szCs w:val="24"/>
          <w:lang w:val="en-GB"/>
        </w:rPr>
        <w:t>)</w:t>
      </w:r>
    </w:p>
    <w:p w:rsidR="00243444" w:rsidRPr="00B2306F" w:rsidRDefault="00243444" w:rsidP="0024344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2306F">
        <w:rPr>
          <w:rFonts w:ascii="Times New Roman" w:hAnsi="Times New Roman" w:cs="Times New Roman"/>
          <w:sz w:val="24"/>
          <w:szCs w:val="24"/>
        </w:rPr>
        <w:t>¿</w:t>
      </w:r>
      <w:r w:rsidRPr="00B2306F">
        <w:rPr>
          <w:rFonts w:ascii="Times New Roman" w:hAnsi="Times New Roman" w:cs="Times New Roman"/>
          <w:sz w:val="24"/>
          <w:szCs w:val="24"/>
          <w:u w:val="single"/>
        </w:rPr>
        <w:t xml:space="preserve">Una revolución </w:t>
      </w:r>
      <w:r w:rsidR="00E544AD">
        <w:rPr>
          <w:rFonts w:ascii="Times New Roman" w:hAnsi="Times New Roman" w:cs="Times New Roman"/>
          <w:sz w:val="24"/>
          <w:szCs w:val="24"/>
          <w:u w:val="single"/>
        </w:rPr>
        <w:t>“macroneconómica”</w:t>
      </w:r>
      <w:r w:rsidRPr="00B2306F">
        <w:rPr>
          <w:rFonts w:ascii="Times New Roman" w:hAnsi="Times New Roman" w:cs="Times New Roman"/>
          <w:sz w:val="24"/>
          <w:szCs w:val="24"/>
        </w:rPr>
        <w:t>?</w:t>
      </w:r>
      <w:r>
        <w:rPr>
          <w:rFonts w:ascii="Times New Roman" w:hAnsi="Times New Roman" w:cs="Times New Roman"/>
          <w:sz w:val="24"/>
          <w:szCs w:val="24"/>
        </w:rPr>
        <w:t xml:space="preserve"> (El Economista - </w:t>
      </w:r>
      <w:r w:rsidRPr="00B2306F">
        <w:rPr>
          <w:rFonts w:ascii="Times New Roman" w:hAnsi="Times New Roman" w:cs="Times New Roman"/>
          <w:b/>
          <w:sz w:val="24"/>
          <w:szCs w:val="24"/>
        </w:rPr>
        <w:t>10/8/17</w:t>
      </w:r>
      <w:r>
        <w:rPr>
          <w:rFonts w:ascii="Times New Roman" w:hAnsi="Times New Roman" w:cs="Times New Roman"/>
          <w:sz w:val="24"/>
          <w:szCs w:val="24"/>
        </w:rPr>
        <w:t>)</w:t>
      </w:r>
    </w:p>
    <w:p w:rsidR="00243444" w:rsidRDefault="00243444" w:rsidP="0024344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2306F">
        <w:rPr>
          <w:rFonts w:ascii="Times New Roman" w:hAnsi="Times New Roman" w:cs="Times New Roman"/>
          <w:sz w:val="24"/>
          <w:szCs w:val="24"/>
        </w:rPr>
        <w:t>A</w:t>
      </w:r>
      <w:r>
        <w:rPr>
          <w:rFonts w:ascii="Times New Roman" w:hAnsi="Times New Roman" w:cs="Times New Roman"/>
          <w:sz w:val="24"/>
          <w:szCs w:val="24"/>
        </w:rPr>
        <w:t>natole Kaletsky)</w:t>
      </w:r>
    </w:p>
    <w:p w:rsidR="00243444" w:rsidRPr="00EB5561" w:rsidRDefault="00243444" w:rsidP="00243444">
      <w:pPr>
        <w:spacing w:line="240" w:lineRule="auto"/>
        <w:jc w:val="both"/>
        <w:rPr>
          <w:rFonts w:ascii="Times New Roman" w:hAnsi="Times New Roman" w:cs="Times New Roman"/>
          <w:color w:val="FF0000"/>
          <w:sz w:val="24"/>
          <w:szCs w:val="24"/>
          <w:u w:val="single"/>
        </w:rPr>
      </w:pPr>
      <w:r w:rsidRPr="00EB5561">
        <w:rPr>
          <w:rFonts w:ascii="Times New Roman" w:hAnsi="Times New Roman" w:cs="Times New Roman"/>
          <w:color w:val="FF0000"/>
          <w:sz w:val="24"/>
          <w:szCs w:val="24"/>
          <w:u w:val="single"/>
        </w:rPr>
        <w:t>Este mes marcará el décimo aniversario de la crisis financiera global que empezó el 9 de agosto de 2007, cuando el Banco Nacional de París anunció que el valor de varios de sus fondos, con los bonos hipotecarios estadounidenses supuestamente más seguros, se había evaporado. Desde aquel día fatídico, el mundo capitalista avanzado ha vivido el periodo más largo de estancamiento económico desde la década que inauguró la crisis de Wall Street en 1929 y culminó en el estallido de la II Guerra Mundial diez años después.</w:t>
      </w:r>
    </w:p>
    <w:p w:rsidR="00243444" w:rsidRPr="00EB5561" w:rsidRDefault="00243444" w:rsidP="00243444">
      <w:pPr>
        <w:spacing w:line="240" w:lineRule="auto"/>
        <w:jc w:val="both"/>
        <w:rPr>
          <w:rFonts w:ascii="Times New Roman" w:hAnsi="Times New Roman" w:cs="Times New Roman"/>
          <w:color w:val="FF0000"/>
          <w:sz w:val="24"/>
          <w:szCs w:val="24"/>
        </w:rPr>
      </w:pPr>
      <w:r w:rsidRPr="00EB5561">
        <w:rPr>
          <w:rFonts w:ascii="Times New Roman" w:hAnsi="Times New Roman" w:cs="Times New Roman"/>
          <w:sz w:val="24"/>
          <w:szCs w:val="24"/>
          <w:u w:val="single"/>
        </w:rPr>
        <w:t xml:space="preserve">Hace unas semanas, en la conferencia Rencontres Économiques en Aix-en-Provence, me preguntaron si </w:t>
      </w:r>
      <w:r w:rsidRPr="00EB5561">
        <w:rPr>
          <w:rFonts w:ascii="Times New Roman" w:hAnsi="Times New Roman" w:cs="Times New Roman"/>
          <w:color w:val="FF0000"/>
          <w:sz w:val="24"/>
          <w:szCs w:val="24"/>
          <w:u w:val="single"/>
        </w:rPr>
        <w:t>se podía h</w:t>
      </w:r>
      <w:r>
        <w:rPr>
          <w:rFonts w:ascii="Times New Roman" w:hAnsi="Times New Roman" w:cs="Times New Roman"/>
          <w:color w:val="FF0000"/>
          <w:sz w:val="24"/>
          <w:szCs w:val="24"/>
          <w:u w:val="single"/>
        </w:rPr>
        <w:t>aber hecho algo para evitar la “década perdida”</w:t>
      </w:r>
      <w:r w:rsidRPr="00EB5561">
        <w:rPr>
          <w:rFonts w:ascii="Times New Roman" w:hAnsi="Times New Roman" w:cs="Times New Roman"/>
          <w:color w:val="FF0000"/>
          <w:sz w:val="24"/>
          <w:szCs w:val="24"/>
          <w:u w:val="single"/>
        </w:rPr>
        <w:t xml:space="preserve"> de infrarrendimiento económico desde la crisis</w:t>
      </w:r>
      <w:r w:rsidRPr="00EB5561">
        <w:rPr>
          <w:rFonts w:ascii="Times New Roman" w:hAnsi="Times New Roman" w:cs="Times New Roman"/>
          <w:sz w:val="24"/>
          <w:szCs w:val="24"/>
          <w:u w:val="single"/>
        </w:rPr>
        <w:t xml:space="preserve">. En una sesión titulada </w:t>
      </w:r>
      <w:r w:rsidRPr="00EB5561">
        <w:rPr>
          <w:rFonts w:ascii="Times New Roman" w:hAnsi="Times New Roman" w:cs="Times New Roman"/>
          <w:color w:val="FF0000"/>
          <w:sz w:val="24"/>
          <w:szCs w:val="24"/>
          <w:u w:val="single"/>
        </w:rPr>
        <w:t>¿Hemos agotado las políticas económicas?,</w:t>
      </w:r>
      <w:r w:rsidRPr="00EB5561">
        <w:rPr>
          <w:rFonts w:ascii="Times New Roman" w:hAnsi="Times New Roman" w:cs="Times New Roman"/>
          <w:sz w:val="24"/>
          <w:szCs w:val="24"/>
          <w:u w:val="single"/>
        </w:rPr>
        <w:t xml:space="preserve"> mis copanelistas demostraron que </w:t>
      </w:r>
      <w:r w:rsidRPr="00EB5561">
        <w:rPr>
          <w:rFonts w:ascii="Times New Roman" w:hAnsi="Times New Roman" w:cs="Times New Roman"/>
          <w:b/>
          <w:color w:val="FF0000"/>
          <w:sz w:val="24"/>
          <w:szCs w:val="24"/>
          <w:u w:val="single"/>
        </w:rPr>
        <w:t>no</w:t>
      </w:r>
      <w:r w:rsidRPr="00EB5561">
        <w:rPr>
          <w:rFonts w:ascii="Times New Roman" w:hAnsi="Times New Roman" w:cs="Times New Roman"/>
          <w:sz w:val="24"/>
          <w:szCs w:val="24"/>
          <w:u w:val="single"/>
        </w:rPr>
        <w:t xml:space="preserve">. </w:t>
      </w:r>
      <w:r w:rsidRPr="00EB5561">
        <w:rPr>
          <w:rFonts w:ascii="Times New Roman" w:hAnsi="Times New Roman" w:cs="Times New Roman"/>
          <w:color w:val="FF0000"/>
          <w:sz w:val="24"/>
          <w:szCs w:val="24"/>
          <w:u w:val="single"/>
        </w:rPr>
        <w:t>Ofrecieron muchos ejemplos de políticas que podrían haber mejorado el crecimiento de la producción, el empleo, la estabilidad financiera y la distribución de la renta</w:t>
      </w:r>
      <w:r w:rsidRPr="00EB5561">
        <w:rPr>
          <w:rFonts w:ascii="Times New Roman" w:hAnsi="Times New Roman" w:cs="Times New Roman"/>
          <w:color w:val="FF0000"/>
          <w:sz w:val="24"/>
          <w:szCs w:val="24"/>
        </w:rPr>
        <w:t>.</w:t>
      </w:r>
    </w:p>
    <w:p w:rsidR="00243444" w:rsidRPr="00B2306F" w:rsidRDefault="00243444" w:rsidP="00243444">
      <w:pPr>
        <w:spacing w:line="240" w:lineRule="auto"/>
        <w:jc w:val="both"/>
        <w:rPr>
          <w:rFonts w:ascii="Times New Roman" w:hAnsi="Times New Roman" w:cs="Times New Roman"/>
          <w:sz w:val="24"/>
          <w:szCs w:val="24"/>
        </w:rPr>
      </w:pPr>
      <w:r w:rsidRPr="00B2306F">
        <w:rPr>
          <w:rFonts w:ascii="Times New Roman" w:hAnsi="Times New Roman" w:cs="Times New Roman"/>
          <w:sz w:val="24"/>
          <w:szCs w:val="24"/>
        </w:rPr>
        <w:t xml:space="preserve">Eso me permitió abordar la pregunta que considero de mayor interés: </w:t>
      </w:r>
      <w:r w:rsidRPr="00EB5561">
        <w:rPr>
          <w:rFonts w:ascii="Times New Roman" w:hAnsi="Times New Roman" w:cs="Times New Roman"/>
          <w:color w:val="FF0000"/>
          <w:sz w:val="24"/>
          <w:szCs w:val="24"/>
          <w:u w:val="single"/>
        </w:rPr>
        <w:t>dada la abundancia de ideas útiles, ¿por qué no se han implantado desde la crisis más políticas que podrían haber mejorado las condiciones económicas y aliviado el resentimiento público?</w:t>
      </w:r>
    </w:p>
    <w:p w:rsidR="00243444" w:rsidRPr="00B2306F" w:rsidRDefault="00243444" w:rsidP="00243444">
      <w:pPr>
        <w:spacing w:line="240" w:lineRule="auto"/>
        <w:jc w:val="both"/>
        <w:rPr>
          <w:rFonts w:ascii="Times New Roman" w:hAnsi="Times New Roman" w:cs="Times New Roman"/>
          <w:sz w:val="24"/>
          <w:szCs w:val="24"/>
        </w:rPr>
      </w:pPr>
      <w:r w:rsidRPr="00EB5561">
        <w:rPr>
          <w:rFonts w:ascii="Times New Roman" w:hAnsi="Times New Roman" w:cs="Times New Roman"/>
          <w:color w:val="FF0000"/>
          <w:sz w:val="24"/>
          <w:szCs w:val="24"/>
          <w:u w:val="single"/>
        </w:rPr>
        <w:t>El primer obstáculo ha sido la ideología del fundamentalismo de mercado</w:t>
      </w:r>
      <w:r w:rsidRPr="00B2306F">
        <w:rPr>
          <w:rFonts w:ascii="Times New Roman" w:hAnsi="Times New Roman" w:cs="Times New Roman"/>
          <w:sz w:val="24"/>
          <w:szCs w:val="24"/>
        </w:rPr>
        <w:t xml:space="preserve">. </w:t>
      </w:r>
      <w:r w:rsidRPr="00EB5561">
        <w:rPr>
          <w:rFonts w:ascii="Times New Roman" w:hAnsi="Times New Roman" w:cs="Times New Roman"/>
          <w:sz w:val="24"/>
          <w:szCs w:val="24"/>
          <w:u w:val="single"/>
        </w:rPr>
        <w:t xml:space="preserve">Desde principios de los años ochenta, la política ha estado dominada por el dogma de que los mercados siempre tienen razón y la intervención económica de los gobiernos casi siempre es errónea. </w:t>
      </w:r>
      <w:r w:rsidRPr="00B2306F">
        <w:rPr>
          <w:rFonts w:ascii="Times New Roman" w:hAnsi="Times New Roman" w:cs="Times New Roman"/>
          <w:sz w:val="24"/>
          <w:szCs w:val="24"/>
        </w:rPr>
        <w:t>Esa doctrina se afianzó con la contrarrevolución monetaria contra la economía keynesiana que se derivó de las crisis inflacionarias de los setenta. Inspiró la revolución política Thatcher-Reagan, que a su vez ayudó a propulsar un auge e</w:t>
      </w:r>
      <w:r>
        <w:rPr>
          <w:rFonts w:ascii="Times New Roman" w:hAnsi="Times New Roman" w:cs="Times New Roman"/>
          <w:sz w:val="24"/>
          <w:szCs w:val="24"/>
        </w:rPr>
        <w:t>conómico de 25 años desde 1982.</w:t>
      </w:r>
    </w:p>
    <w:p w:rsidR="00243444" w:rsidRPr="00EB5561" w:rsidRDefault="00243444" w:rsidP="00243444">
      <w:pPr>
        <w:spacing w:line="240" w:lineRule="auto"/>
        <w:jc w:val="both"/>
        <w:rPr>
          <w:rFonts w:ascii="Times New Roman" w:hAnsi="Times New Roman" w:cs="Times New Roman"/>
          <w:sz w:val="24"/>
          <w:szCs w:val="24"/>
          <w:u w:val="single"/>
        </w:rPr>
      </w:pPr>
      <w:r w:rsidRPr="00EB5561">
        <w:rPr>
          <w:rFonts w:ascii="Times New Roman" w:hAnsi="Times New Roman" w:cs="Times New Roman"/>
          <w:sz w:val="24"/>
          <w:szCs w:val="24"/>
          <w:u w:val="single"/>
        </w:rPr>
        <w:lastRenderedPageBreak/>
        <w:t>Pero el fundamentalismo de mercado también inspiró peligrosas falacias intelectuales: que los mercados financieros son siempre racionales y eficientes; que los bancos centrales deben centrarse únicamente en la inflación y no preocuparse por la estabilidad financiera y el paro; que el único papel legítimo de la política fiscal es equilibrar presupuestos, no estabilizar el crecimiento económico. Aunque estas falacias hicieron estallar la economía fundamentalista de mercado después de 2007, la política fundamentalista de mercado sobrevivió, evitando una respuesta política adecuada a la crisis.</w:t>
      </w:r>
    </w:p>
    <w:p w:rsidR="00243444" w:rsidRPr="00EB5561" w:rsidRDefault="00243444" w:rsidP="00243444">
      <w:pPr>
        <w:spacing w:line="240" w:lineRule="auto"/>
        <w:jc w:val="both"/>
        <w:rPr>
          <w:rFonts w:ascii="Times New Roman" w:hAnsi="Times New Roman" w:cs="Times New Roman"/>
          <w:color w:val="FF0000"/>
          <w:sz w:val="24"/>
          <w:szCs w:val="24"/>
          <w:u w:val="single"/>
        </w:rPr>
      </w:pPr>
      <w:r w:rsidRPr="00EB5561">
        <w:rPr>
          <w:rFonts w:ascii="Times New Roman" w:hAnsi="Times New Roman" w:cs="Times New Roman"/>
          <w:color w:val="FF0000"/>
          <w:sz w:val="24"/>
          <w:szCs w:val="24"/>
          <w:u w:val="single"/>
        </w:rPr>
        <w:t>No debería sorprender. El fundamentalismo de mercado no ha sido solo una moda intelectual. La revolución del pensamiento económico de los setenta estuvo motivada por intereses políticos potentes. La supuesta evidencia científica de que la intervención económica estatal es casi siempre contraproducente legitimó un giro brusco en la distribución de la riqueza, desde los obreros industriales a los propietarios y gestores de capital financiero, y del poder, de la mano de obra organizada a los intereses comerciales.</w:t>
      </w:r>
    </w:p>
    <w:p w:rsidR="00243444" w:rsidRPr="00B2306F" w:rsidRDefault="00243444" w:rsidP="00243444">
      <w:pPr>
        <w:spacing w:line="240" w:lineRule="auto"/>
        <w:jc w:val="both"/>
        <w:rPr>
          <w:rFonts w:ascii="Times New Roman" w:hAnsi="Times New Roman" w:cs="Times New Roman"/>
          <w:sz w:val="24"/>
          <w:szCs w:val="24"/>
        </w:rPr>
      </w:pPr>
      <w:r w:rsidRPr="00B2306F">
        <w:rPr>
          <w:rFonts w:ascii="Times New Roman" w:hAnsi="Times New Roman" w:cs="Times New Roman"/>
          <w:sz w:val="24"/>
          <w:szCs w:val="24"/>
        </w:rPr>
        <w:t>El economista polaco Michal Kalecki, uno de los co-inventores de la economía keynesiana (y pariente lejano mío), predijo esta reversión ideológica de raíces políticas con una precisión</w:t>
      </w:r>
      <w:r>
        <w:rPr>
          <w:rFonts w:ascii="Times New Roman" w:hAnsi="Times New Roman" w:cs="Times New Roman"/>
          <w:sz w:val="24"/>
          <w:szCs w:val="24"/>
        </w:rPr>
        <w:t xml:space="preserve"> extraordinaria allá por 1943: “</w:t>
      </w:r>
      <w:r w:rsidRPr="00B2306F">
        <w:rPr>
          <w:rFonts w:ascii="Times New Roman" w:hAnsi="Times New Roman" w:cs="Times New Roman"/>
          <w:sz w:val="24"/>
          <w:szCs w:val="24"/>
        </w:rPr>
        <w:t>La hipótesis de que un gobierno mantendrá el pleno empleo en una economía capitalista si sabe cómo hacerlo es falaz. En un régimen de pleno empleo permanente, el despido dejaría de desempeñar su papel de medida disciplinaria y provocaría auges preelectorales inducidos por el gobierno. Los trabajadores escaparían del control y los capitanes del sector estarían dispu</w:t>
      </w:r>
      <w:r w:rsidR="00E544AD">
        <w:rPr>
          <w:rFonts w:ascii="Times New Roman" w:hAnsi="Times New Roman" w:cs="Times New Roman"/>
          <w:sz w:val="24"/>
          <w:szCs w:val="24"/>
        </w:rPr>
        <w:t>estos a “</w:t>
      </w:r>
      <w:r>
        <w:rPr>
          <w:rFonts w:ascii="Times New Roman" w:hAnsi="Times New Roman" w:cs="Times New Roman"/>
          <w:sz w:val="24"/>
          <w:szCs w:val="24"/>
        </w:rPr>
        <w:t>enseñarles una lección”</w:t>
      </w:r>
      <w:r w:rsidRPr="00B2306F">
        <w:rPr>
          <w:rFonts w:ascii="Times New Roman" w:hAnsi="Times New Roman" w:cs="Times New Roman"/>
          <w:sz w:val="24"/>
          <w:szCs w:val="24"/>
        </w:rPr>
        <w:t>. Se formaría con probabilidad un bloque poderoso entre las grandes empresas y los intereses rentistas, y seguramente encontrarían a más de un economista que declarase que la situaci</w:t>
      </w:r>
      <w:r w:rsidR="00E544AD">
        <w:rPr>
          <w:rFonts w:ascii="Times New Roman" w:hAnsi="Times New Roman" w:cs="Times New Roman"/>
          <w:sz w:val="24"/>
          <w:szCs w:val="24"/>
        </w:rPr>
        <w:t>ón era manifiestamente insana”</w:t>
      </w:r>
      <w:r>
        <w:rPr>
          <w:rFonts w:ascii="Times New Roman" w:hAnsi="Times New Roman" w:cs="Times New Roman"/>
          <w:sz w:val="24"/>
          <w:szCs w:val="24"/>
        </w:rPr>
        <w:t>.</w:t>
      </w:r>
    </w:p>
    <w:p w:rsidR="00243444" w:rsidRPr="00EB5561" w:rsidRDefault="00243444" w:rsidP="00243444">
      <w:pPr>
        <w:spacing w:line="240" w:lineRule="auto"/>
        <w:jc w:val="both"/>
        <w:rPr>
          <w:rFonts w:ascii="Times New Roman" w:hAnsi="Times New Roman" w:cs="Times New Roman"/>
          <w:sz w:val="24"/>
          <w:szCs w:val="24"/>
          <w:u w:val="single"/>
        </w:rPr>
      </w:pPr>
      <w:r w:rsidRPr="00EB5561">
        <w:rPr>
          <w:rFonts w:ascii="Times New Roman" w:hAnsi="Times New Roman" w:cs="Times New Roman"/>
          <w:color w:val="FF0000"/>
          <w:sz w:val="24"/>
          <w:szCs w:val="24"/>
          <w:u w:val="single"/>
        </w:rPr>
        <w:t xml:space="preserve">El economista que declaró que las políticas estatales para </w:t>
      </w:r>
      <w:r>
        <w:rPr>
          <w:rFonts w:ascii="Times New Roman" w:hAnsi="Times New Roman" w:cs="Times New Roman"/>
          <w:color w:val="FF0000"/>
          <w:sz w:val="24"/>
          <w:szCs w:val="24"/>
          <w:u w:val="single"/>
        </w:rPr>
        <w:t>conservar el pleno empleo eran “manifiestamente insanas”</w:t>
      </w:r>
      <w:r w:rsidRPr="00EB5561">
        <w:rPr>
          <w:rFonts w:ascii="Times New Roman" w:hAnsi="Times New Roman" w:cs="Times New Roman"/>
          <w:color w:val="FF0000"/>
          <w:sz w:val="24"/>
          <w:szCs w:val="24"/>
          <w:u w:val="single"/>
        </w:rPr>
        <w:t xml:space="preserve"> fue Milton Friedman</w:t>
      </w:r>
      <w:r w:rsidRPr="00EB5561">
        <w:rPr>
          <w:rFonts w:ascii="Times New Roman" w:hAnsi="Times New Roman" w:cs="Times New Roman"/>
          <w:sz w:val="24"/>
          <w:szCs w:val="24"/>
          <w:u w:val="single"/>
        </w:rPr>
        <w:t>. Y la revolución fundamentalista de mercado que ayudó a liderar contra la economía keynesiana duró treinta años. Aun así, al igual que el keynesianismo fue desacreditado por la crisis inflacionaria de los años setenta, el fundamentalismo de mercado sucumbió a sus propias contradicciones internas en la crisis deflacionaria de 2007.</w:t>
      </w:r>
    </w:p>
    <w:p w:rsidR="00243444" w:rsidRPr="00EB5561" w:rsidRDefault="00243444" w:rsidP="00243444">
      <w:pPr>
        <w:spacing w:line="240" w:lineRule="auto"/>
        <w:jc w:val="both"/>
        <w:rPr>
          <w:rFonts w:ascii="Times New Roman" w:hAnsi="Times New Roman" w:cs="Times New Roman"/>
          <w:color w:val="FF0000"/>
          <w:sz w:val="24"/>
          <w:szCs w:val="24"/>
          <w:u w:val="single"/>
        </w:rPr>
      </w:pPr>
      <w:r w:rsidRPr="00EB5561">
        <w:rPr>
          <w:rFonts w:ascii="Times New Roman" w:hAnsi="Times New Roman" w:cs="Times New Roman"/>
          <w:color w:val="FF0000"/>
          <w:sz w:val="24"/>
          <w:szCs w:val="24"/>
          <w:u w:val="single"/>
        </w:rPr>
        <w:t>Una contradicción específica del fundamentalismo de mercado sugiere otra razón del estancamiento de las rentas y el rebrote actual del sentimiento populista. Los economistas creen que las políticas que elevan la renta nacional, como el libre comercio y la desregulación, son siempre socialmente beneficiosas, sin tener en cuenta la forma de distribución de esas rentas más altas. Esta creencia se basa en un principio llamado optimalidad de Pareto, que asume que las personas que obtienen rentas más altas siempre pueden compensar a los perdedores. Por ello, cualquier política que aumente la renta agregada debe ser buena para la sociedad porque enriquece a algunos sin que nadie salga peor parado.</w:t>
      </w:r>
    </w:p>
    <w:p w:rsidR="00243444" w:rsidRPr="00EB5561" w:rsidRDefault="00243444" w:rsidP="00243444">
      <w:pPr>
        <w:spacing w:line="240" w:lineRule="auto"/>
        <w:jc w:val="both"/>
        <w:rPr>
          <w:rFonts w:ascii="Times New Roman" w:hAnsi="Times New Roman" w:cs="Times New Roman"/>
          <w:color w:val="FF0000"/>
          <w:sz w:val="24"/>
          <w:szCs w:val="24"/>
          <w:u w:val="single"/>
        </w:rPr>
      </w:pPr>
      <w:r w:rsidRPr="00EB5561">
        <w:rPr>
          <w:rFonts w:ascii="Times New Roman" w:hAnsi="Times New Roman" w:cs="Times New Roman"/>
          <w:color w:val="FF0000"/>
          <w:sz w:val="24"/>
          <w:szCs w:val="24"/>
          <w:u w:val="single"/>
        </w:rPr>
        <w:t xml:space="preserve">¿Y si la compensación asumida por los economistas en la teoría no se materializa en la práctica? ¿Y si la política fundamentalista de mercado impidiera específicamente la redistribución de la renta o los subsidios regionales, industriales y educativos que pudieran compensar a quienes </w:t>
      </w:r>
      <w:r w:rsidR="00E544AD">
        <w:rPr>
          <w:rFonts w:ascii="Times New Roman" w:hAnsi="Times New Roman" w:cs="Times New Roman"/>
          <w:color w:val="FF0000"/>
          <w:sz w:val="24"/>
          <w:szCs w:val="24"/>
          <w:u w:val="single"/>
        </w:rPr>
        <w:t>sufren del libre comercio y la “flexibilidad”</w:t>
      </w:r>
      <w:r w:rsidRPr="00EB5561">
        <w:rPr>
          <w:rFonts w:ascii="Times New Roman" w:hAnsi="Times New Roman" w:cs="Times New Roman"/>
          <w:color w:val="FF0000"/>
          <w:sz w:val="24"/>
          <w:szCs w:val="24"/>
          <w:u w:val="single"/>
        </w:rPr>
        <w:t xml:space="preserve"> del mercado laboral? En ese caso, la optimalidad de Pareto no sería socialmente óptima en absoluto. Al contrario, las políticas que intensifican la competencia, ya sean en el comercio, en los mercados laborales o la producción nacional, podrían ser socialmente destructivas y políticamente explosivas.</w:t>
      </w:r>
    </w:p>
    <w:p w:rsidR="00243444" w:rsidRPr="00EB5561" w:rsidRDefault="00243444" w:rsidP="00243444">
      <w:pPr>
        <w:spacing w:line="240" w:lineRule="auto"/>
        <w:jc w:val="both"/>
        <w:rPr>
          <w:rFonts w:ascii="Times New Roman" w:hAnsi="Times New Roman" w:cs="Times New Roman"/>
          <w:color w:val="FF0000"/>
          <w:sz w:val="24"/>
          <w:szCs w:val="24"/>
          <w:u w:val="single"/>
        </w:rPr>
      </w:pPr>
      <w:r w:rsidRPr="00EB5561">
        <w:rPr>
          <w:rFonts w:ascii="Times New Roman" w:hAnsi="Times New Roman" w:cs="Times New Roman"/>
          <w:color w:val="FF0000"/>
          <w:sz w:val="24"/>
          <w:szCs w:val="24"/>
          <w:u w:val="single"/>
        </w:rPr>
        <w:lastRenderedPageBreak/>
        <w:t>Esto resalta otra razón del fracaso de la política económica desde 2007. La ideología dominante de la no intervención estatal intensifica la resistencia a los cambios entre los perdedores de la globalización y la tecnología, y crea problemas abrumadores en la secuencia de las reformas económicas. Para triunfar, las políticas monetarias, fiscales y estructurales deben aplicarse juntas, en un orden lógico y mutuamente reforzante. Aun así, si el fundamentalismo de mercado bloquea las políticas de macroeconomía expansionista y previene la fiscalidad redistributiva o el gasto público, la resistencia populista al comercio, a la desregulación del mercado laboral y a la reforma de las pensiones está llamada a intensificarse. Por el contrario, si la oposición populista imposibilita la reforma estructural, se fomenta la resistencia conservadora a la macroeconomía expansionista.</w:t>
      </w:r>
    </w:p>
    <w:p w:rsidR="00243444" w:rsidRPr="00EB5561" w:rsidRDefault="00243444" w:rsidP="00243444">
      <w:pPr>
        <w:spacing w:line="240" w:lineRule="auto"/>
        <w:jc w:val="both"/>
        <w:rPr>
          <w:rFonts w:ascii="Times New Roman" w:hAnsi="Times New Roman" w:cs="Times New Roman"/>
          <w:sz w:val="24"/>
          <w:szCs w:val="24"/>
          <w:u w:val="single"/>
        </w:rPr>
      </w:pPr>
      <w:r w:rsidRPr="00EB5561">
        <w:rPr>
          <w:rFonts w:ascii="Times New Roman" w:hAnsi="Times New Roman" w:cs="Times New Roman"/>
          <w:sz w:val="24"/>
          <w:szCs w:val="24"/>
          <w:u w:val="single"/>
        </w:rPr>
        <w:t xml:space="preserve">Supongamos, </w:t>
      </w:r>
      <w:r>
        <w:rPr>
          <w:rFonts w:ascii="Times New Roman" w:hAnsi="Times New Roman" w:cs="Times New Roman"/>
          <w:sz w:val="24"/>
          <w:szCs w:val="24"/>
          <w:u w:val="single"/>
        </w:rPr>
        <w:t>por otro lado, que la economía “progresista”</w:t>
      </w:r>
      <w:r w:rsidRPr="00EB5561">
        <w:rPr>
          <w:rFonts w:ascii="Times New Roman" w:hAnsi="Times New Roman" w:cs="Times New Roman"/>
          <w:sz w:val="24"/>
          <w:szCs w:val="24"/>
          <w:u w:val="single"/>
        </w:rPr>
        <w:t xml:space="preserve"> del pleno empleo y la redistribución pudier</w:t>
      </w:r>
      <w:r>
        <w:rPr>
          <w:rFonts w:ascii="Times New Roman" w:hAnsi="Times New Roman" w:cs="Times New Roman"/>
          <w:sz w:val="24"/>
          <w:szCs w:val="24"/>
          <w:u w:val="single"/>
        </w:rPr>
        <w:t>a combinarse con la economía “conservadora”</w:t>
      </w:r>
      <w:r w:rsidRPr="00EB5561">
        <w:rPr>
          <w:rFonts w:ascii="Times New Roman" w:hAnsi="Times New Roman" w:cs="Times New Roman"/>
          <w:sz w:val="24"/>
          <w:szCs w:val="24"/>
          <w:u w:val="single"/>
        </w:rPr>
        <w:t xml:space="preserve"> del libre comercio y la liberalización del mercado laboral. Tanto las políticas macroeconómicas como estructurales serían más fáciles de justificar políticamente y mucho más propensas al éxito.</w:t>
      </w:r>
    </w:p>
    <w:p w:rsidR="00243444" w:rsidRPr="00125AB6" w:rsidRDefault="00243444" w:rsidP="00243444">
      <w:pPr>
        <w:spacing w:line="240" w:lineRule="auto"/>
        <w:jc w:val="both"/>
        <w:rPr>
          <w:rFonts w:ascii="Times New Roman" w:hAnsi="Times New Roman" w:cs="Times New Roman"/>
          <w:color w:val="FF0000"/>
          <w:sz w:val="24"/>
          <w:szCs w:val="24"/>
          <w:u w:val="single"/>
        </w:rPr>
      </w:pPr>
      <w:r w:rsidRPr="00EB5561">
        <w:rPr>
          <w:rFonts w:ascii="Times New Roman" w:hAnsi="Times New Roman" w:cs="Times New Roman"/>
          <w:sz w:val="24"/>
          <w:szCs w:val="24"/>
          <w:u w:val="single"/>
        </w:rPr>
        <w:t>¿Podría estar a punto de suceder en Europa? El nuevo presidente francés, Emmanuel Macron, basó su campaña electoral en una sínt</w:t>
      </w:r>
      <w:r>
        <w:rPr>
          <w:rFonts w:ascii="Times New Roman" w:hAnsi="Times New Roman" w:cs="Times New Roman"/>
          <w:sz w:val="24"/>
          <w:szCs w:val="24"/>
          <w:u w:val="single"/>
        </w:rPr>
        <w:t>esis de las reformas laborales “de derechas” y la flexibilización “de izquierdas”</w:t>
      </w:r>
      <w:r w:rsidRPr="00EB5561">
        <w:rPr>
          <w:rFonts w:ascii="Times New Roman" w:hAnsi="Times New Roman" w:cs="Times New Roman"/>
          <w:sz w:val="24"/>
          <w:szCs w:val="24"/>
          <w:u w:val="single"/>
        </w:rPr>
        <w:t xml:space="preserve"> de las condiciones fiscales y monetarias, y sus ideas ganan apoyos en Alemania y entre los políticos de la Unión Europea.</w:t>
      </w:r>
      <w:r w:rsidRPr="00B2306F">
        <w:rPr>
          <w:rFonts w:ascii="Times New Roman" w:hAnsi="Times New Roman" w:cs="Times New Roman"/>
          <w:sz w:val="24"/>
          <w:szCs w:val="24"/>
        </w:rPr>
        <w:t xml:space="preserve"> </w:t>
      </w:r>
      <w:r>
        <w:rPr>
          <w:rFonts w:ascii="Times New Roman" w:hAnsi="Times New Roman" w:cs="Times New Roman"/>
          <w:color w:val="FF0000"/>
          <w:sz w:val="24"/>
          <w:szCs w:val="24"/>
          <w:u w:val="single"/>
        </w:rPr>
        <w:t>Si la “</w:t>
      </w:r>
      <w:r w:rsidR="00DC73AB">
        <w:rPr>
          <w:rFonts w:ascii="Times New Roman" w:hAnsi="Times New Roman" w:cs="Times New Roman"/>
          <w:color w:val="FF0000"/>
          <w:sz w:val="24"/>
          <w:szCs w:val="24"/>
          <w:u w:val="single"/>
        </w:rPr>
        <w:t>macroeconomía</w:t>
      </w:r>
      <w:r>
        <w:rPr>
          <w:rFonts w:ascii="Times New Roman" w:hAnsi="Times New Roman" w:cs="Times New Roman"/>
          <w:color w:val="FF0000"/>
          <w:sz w:val="24"/>
          <w:szCs w:val="24"/>
          <w:u w:val="single"/>
        </w:rPr>
        <w:t>”</w:t>
      </w:r>
      <w:r w:rsidRPr="00125AB6">
        <w:rPr>
          <w:rFonts w:ascii="Times New Roman" w:hAnsi="Times New Roman" w:cs="Times New Roman"/>
          <w:color w:val="FF0000"/>
          <w:sz w:val="24"/>
          <w:szCs w:val="24"/>
          <w:u w:val="single"/>
        </w:rPr>
        <w:t xml:space="preserve"> (el intento de combinar las políticas estructurales conservadoras con la macroeconomía progresista) logra sustituir al fundamentalismo de mercado que falló en 2007, la década perdida de estancamiento económico podría acabar pronto, al menos en Europa.</w:t>
      </w:r>
    </w:p>
    <w:p w:rsidR="00243444" w:rsidRDefault="00243444" w:rsidP="00243444">
      <w:pPr>
        <w:spacing w:line="240" w:lineRule="auto"/>
        <w:jc w:val="both"/>
        <w:rPr>
          <w:rFonts w:ascii="Times New Roman" w:hAnsi="Times New Roman" w:cs="Times New Roman"/>
          <w:sz w:val="24"/>
          <w:szCs w:val="24"/>
        </w:rPr>
      </w:pPr>
      <w:r w:rsidRPr="00B2306F">
        <w:rPr>
          <w:rFonts w:ascii="Times New Roman" w:hAnsi="Times New Roman" w:cs="Times New Roman"/>
          <w:sz w:val="24"/>
          <w:szCs w:val="24"/>
        </w:rPr>
        <w:t>© Project Syndicate</w:t>
      </w:r>
    </w:p>
    <w:p w:rsidR="0093279F" w:rsidRDefault="0093279F" w:rsidP="009327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74F5B">
        <w:rPr>
          <w:rFonts w:ascii="Times New Roman" w:hAnsi="Times New Roman" w:cs="Times New Roman"/>
          <w:sz w:val="24"/>
          <w:szCs w:val="24"/>
          <w:u w:val="single"/>
        </w:rPr>
        <w:t>Lecciones de una década perdida</w:t>
      </w:r>
      <w:r>
        <w:rPr>
          <w:rFonts w:ascii="Times New Roman" w:hAnsi="Times New Roman" w:cs="Times New Roman"/>
          <w:sz w:val="24"/>
          <w:szCs w:val="24"/>
        </w:rPr>
        <w:t xml:space="preserve"> (El Economista - </w:t>
      </w:r>
      <w:r w:rsidRPr="00974F5B">
        <w:rPr>
          <w:rFonts w:ascii="Times New Roman" w:hAnsi="Times New Roman" w:cs="Times New Roman"/>
          <w:b/>
          <w:sz w:val="24"/>
          <w:szCs w:val="24"/>
        </w:rPr>
        <w:t>12/8/17</w:t>
      </w:r>
      <w:r>
        <w:rPr>
          <w:rFonts w:ascii="Times New Roman" w:hAnsi="Times New Roman" w:cs="Times New Roman"/>
          <w:sz w:val="24"/>
          <w:szCs w:val="24"/>
        </w:rPr>
        <w:t>)</w:t>
      </w:r>
    </w:p>
    <w:p w:rsidR="0093279F" w:rsidRDefault="0093279F" w:rsidP="009327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74F5B">
        <w:rPr>
          <w:rFonts w:ascii="Times New Roman" w:hAnsi="Times New Roman" w:cs="Times New Roman"/>
          <w:sz w:val="24"/>
          <w:szCs w:val="24"/>
        </w:rPr>
        <w:t>A</w:t>
      </w:r>
      <w:r w:rsidR="00F77BC5">
        <w:rPr>
          <w:rFonts w:ascii="Times New Roman" w:hAnsi="Times New Roman" w:cs="Times New Roman"/>
          <w:sz w:val="24"/>
          <w:szCs w:val="24"/>
        </w:rPr>
        <w:t>mador G. Ayora</w:t>
      </w:r>
      <w:r>
        <w:rPr>
          <w:rFonts w:ascii="Times New Roman" w:hAnsi="Times New Roman" w:cs="Times New Roman"/>
          <w:sz w:val="24"/>
          <w:szCs w:val="24"/>
        </w:rPr>
        <w:t>)</w:t>
      </w:r>
    </w:p>
    <w:p w:rsidR="0093279F" w:rsidRPr="00AE2FBE" w:rsidRDefault="0093279F" w:rsidP="0093279F">
      <w:pPr>
        <w:spacing w:line="240" w:lineRule="auto"/>
        <w:jc w:val="both"/>
        <w:rPr>
          <w:rFonts w:ascii="Times New Roman" w:hAnsi="Times New Roman" w:cs="Times New Roman"/>
          <w:color w:val="FF0000"/>
          <w:sz w:val="24"/>
          <w:szCs w:val="24"/>
          <w:u w:val="single"/>
        </w:rPr>
      </w:pPr>
      <w:r w:rsidRPr="00AE2FBE">
        <w:rPr>
          <w:rFonts w:ascii="Times New Roman" w:hAnsi="Times New Roman" w:cs="Times New Roman"/>
          <w:color w:val="FF0000"/>
          <w:sz w:val="24"/>
          <w:szCs w:val="24"/>
          <w:u w:val="single"/>
        </w:rPr>
        <w:t>Todo comenzó un 9 de agosto de 2007, cuando BNP Paribas suspendió tres fondos inmobiliarios porque no podía determinar su valoración. La noticia pasó en general desapercibida. Excepto para los medios especializados, como elEconomista. Un año después, la caída de Lehman Brothers fue el pistoletazo para lo que la mayoría de los economistas denominan como la Gran Recesión.</w:t>
      </w:r>
    </w:p>
    <w:p w:rsidR="0093279F" w:rsidRPr="00AE2FBE" w:rsidRDefault="0093279F" w:rsidP="0093279F">
      <w:pPr>
        <w:spacing w:line="240" w:lineRule="auto"/>
        <w:jc w:val="both"/>
        <w:rPr>
          <w:rFonts w:ascii="Times New Roman" w:hAnsi="Times New Roman" w:cs="Times New Roman"/>
          <w:sz w:val="24"/>
          <w:szCs w:val="24"/>
          <w:u w:val="single"/>
        </w:rPr>
      </w:pPr>
      <w:r w:rsidRPr="00AE2FBE">
        <w:rPr>
          <w:rFonts w:ascii="Times New Roman" w:hAnsi="Times New Roman" w:cs="Times New Roman"/>
          <w:sz w:val="24"/>
          <w:szCs w:val="24"/>
          <w:u w:val="single"/>
        </w:rPr>
        <w:t>Esta semana, la Comisión Europea dio carpetazo a la crisis, aunque matizó que “aún quedan elementos de incertidumbre por resolver”. Es la hora de hacer balance. ¿Cuáles fueron sus causas? Y, sobre todo, ¿cuáles sus soluciones? Hay que aprender de los errores para no volver a caer en los mismos problemas.</w:t>
      </w:r>
    </w:p>
    <w:p w:rsidR="0093279F" w:rsidRPr="00AE2FBE" w:rsidRDefault="0093279F" w:rsidP="0093279F">
      <w:pPr>
        <w:spacing w:line="240" w:lineRule="auto"/>
        <w:jc w:val="both"/>
        <w:rPr>
          <w:rFonts w:ascii="Times New Roman" w:hAnsi="Times New Roman" w:cs="Times New Roman"/>
          <w:sz w:val="24"/>
          <w:szCs w:val="24"/>
          <w:u w:val="single"/>
        </w:rPr>
      </w:pPr>
      <w:r w:rsidRPr="00AE2FBE">
        <w:rPr>
          <w:rFonts w:ascii="Times New Roman" w:hAnsi="Times New Roman" w:cs="Times New Roman"/>
          <w:sz w:val="24"/>
          <w:szCs w:val="24"/>
          <w:u w:val="single"/>
        </w:rPr>
        <w:t>En 2009, el gobernador del Banco Popular de China, Zhou Xiaochuan, se preguntaba “qué tipo de moneda internacional de reserva necesitamos para garantizar la estabilidad financiera global y facilitar el crecimiento económico mundial”</w:t>
      </w:r>
      <w:r w:rsidRPr="00974F5B">
        <w:rPr>
          <w:rFonts w:ascii="Times New Roman" w:hAnsi="Times New Roman" w:cs="Times New Roman"/>
          <w:sz w:val="24"/>
          <w:szCs w:val="24"/>
        </w:rPr>
        <w:t xml:space="preserve">. China, que supo sortear las dificultades desde el primer momento ampliando las facilidades de crédito y rebajando los tipos de interés, como luego haría el resto de Occidente, </w:t>
      </w:r>
      <w:r w:rsidRPr="00AE2FBE">
        <w:rPr>
          <w:rFonts w:ascii="Times New Roman" w:hAnsi="Times New Roman" w:cs="Times New Roman"/>
          <w:sz w:val="24"/>
          <w:szCs w:val="24"/>
          <w:u w:val="single"/>
        </w:rPr>
        <w:t>apuntaba de manera indirecta al dólar como factor de la crisis financiera mundial.</w:t>
      </w:r>
    </w:p>
    <w:p w:rsidR="0093279F" w:rsidRPr="00AE2FBE" w:rsidRDefault="0093279F" w:rsidP="0093279F">
      <w:pPr>
        <w:spacing w:line="240" w:lineRule="auto"/>
        <w:jc w:val="both"/>
        <w:rPr>
          <w:rFonts w:ascii="Times New Roman" w:hAnsi="Times New Roman" w:cs="Times New Roman"/>
          <w:color w:val="FF0000"/>
          <w:sz w:val="24"/>
          <w:szCs w:val="24"/>
          <w:u w:val="single"/>
        </w:rPr>
      </w:pPr>
      <w:r w:rsidRPr="00AE2FBE">
        <w:rPr>
          <w:rFonts w:ascii="Times New Roman" w:hAnsi="Times New Roman" w:cs="Times New Roman"/>
          <w:color w:val="FF0000"/>
          <w:sz w:val="24"/>
          <w:szCs w:val="24"/>
          <w:u w:val="single"/>
        </w:rPr>
        <w:t>Y no andaba descaminado. Los problemas surgieron en Estados Unidos por culpa de las hipotecas basura o subprime, que se empaquetaban y vendían como el producto más seguro del mundo, cuando era mentira. Para remate, el secretario del Tesoro, Hank Paulson, no pudo evitar la caída de Lehman, lo que provocó un efecto dominó sobre todo el planeta.</w:t>
      </w:r>
    </w:p>
    <w:p w:rsidR="0093279F" w:rsidRPr="00974F5B" w:rsidRDefault="0093279F" w:rsidP="0093279F">
      <w:pPr>
        <w:spacing w:line="240" w:lineRule="auto"/>
        <w:jc w:val="both"/>
        <w:rPr>
          <w:rFonts w:ascii="Times New Roman" w:hAnsi="Times New Roman" w:cs="Times New Roman"/>
          <w:sz w:val="24"/>
          <w:szCs w:val="24"/>
        </w:rPr>
      </w:pPr>
      <w:r w:rsidRPr="00974F5B">
        <w:rPr>
          <w:rFonts w:ascii="Times New Roman" w:hAnsi="Times New Roman" w:cs="Times New Roman"/>
          <w:sz w:val="24"/>
          <w:szCs w:val="24"/>
          <w:lang w:val="en-GB"/>
        </w:rPr>
        <w:lastRenderedPageBreak/>
        <w:t xml:space="preserve">Paulson publicó en 2010 el libro On the Brink: Inside the Race to Stop the Collapse of the Global Financial System (Ante el precipicio. </w:t>
      </w:r>
      <w:r w:rsidRPr="00974F5B">
        <w:rPr>
          <w:rFonts w:ascii="Times New Roman" w:hAnsi="Times New Roman" w:cs="Times New Roman"/>
          <w:sz w:val="24"/>
          <w:szCs w:val="24"/>
        </w:rPr>
        <w:t>Dentro de la carrera para evitar el colapso del sistema financiero global), de lectura recomendada para los amantes de la economía, por la gran cantidad de detalles sobre las negociaciones fallidas para salvar la entidad. Paulson intenta exculparse con este libro, pero lo cierto es que minusvaloró su impacto. Se equivocó, al igual que el resto de asesore</w:t>
      </w:r>
      <w:r>
        <w:rPr>
          <w:rFonts w:ascii="Times New Roman" w:hAnsi="Times New Roman" w:cs="Times New Roman"/>
          <w:sz w:val="24"/>
          <w:szCs w:val="24"/>
        </w:rPr>
        <w:t>s económicos de la Casa Blanca.</w:t>
      </w:r>
    </w:p>
    <w:p w:rsidR="0093279F" w:rsidRPr="00621ADC" w:rsidRDefault="0093279F" w:rsidP="0093279F">
      <w:pPr>
        <w:spacing w:line="240" w:lineRule="auto"/>
        <w:jc w:val="both"/>
        <w:rPr>
          <w:rFonts w:ascii="Times New Roman" w:hAnsi="Times New Roman" w:cs="Times New Roman"/>
          <w:color w:val="FF0000"/>
          <w:sz w:val="24"/>
          <w:szCs w:val="24"/>
          <w:u w:val="single"/>
        </w:rPr>
      </w:pPr>
      <w:r w:rsidRPr="00621ADC">
        <w:rPr>
          <w:rFonts w:ascii="Times New Roman" w:hAnsi="Times New Roman" w:cs="Times New Roman"/>
          <w:color w:val="FF0000"/>
          <w:sz w:val="24"/>
          <w:szCs w:val="24"/>
          <w:u w:val="single"/>
        </w:rPr>
        <w:t>Aun así, Estados Unidos no fue de los países que sufrieron peores consecuencias; apenas estuvo unos trimestres en recesión. Los economistas lo atribuyen al rescate de 700.00</w:t>
      </w:r>
      <w:r w:rsidR="00B94AB8">
        <w:rPr>
          <w:rFonts w:ascii="Times New Roman" w:hAnsi="Times New Roman" w:cs="Times New Roman"/>
          <w:color w:val="FF0000"/>
          <w:sz w:val="24"/>
          <w:szCs w:val="24"/>
          <w:u w:val="single"/>
        </w:rPr>
        <w:t>0</w:t>
      </w:r>
      <w:r w:rsidRPr="00621ADC">
        <w:rPr>
          <w:rFonts w:ascii="Times New Roman" w:hAnsi="Times New Roman" w:cs="Times New Roman"/>
          <w:color w:val="FF0000"/>
          <w:sz w:val="24"/>
          <w:szCs w:val="24"/>
          <w:u w:val="single"/>
        </w:rPr>
        <w:t xml:space="preserve"> millones que puso en marcha de inmediato el Gobierno para sanear sus principales bancos, junto a otro paquete de 800.000 millones entre impuestos y gastos extra. A ello se sumaron la bajada de tipos de interés hasta cero y las políticas de flexibilización cuantitativa, más conocidas por sus siglas en inglés QE (Quantitative Easing), puestas en marchar por el presidente de la Reserva Federal, Ben Bernanke.</w:t>
      </w:r>
    </w:p>
    <w:p w:rsidR="0093279F" w:rsidRPr="00974F5B" w:rsidRDefault="0093279F" w:rsidP="0093279F">
      <w:pPr>
        <w:spacing w:line="240" w:lineRule="auto"/>
        <w:jc w:val="both"/>
        <w:rPr>
          <w:rFonts w:ascii="Times New Roman" w:hAnsi="Times New Roman" w:cs="Times New Roman"/>
          <w:sz w:val="24"/>
          <w:szCs w:val="24"/>
        </w:rPr>
      </w:pPr>
      <w:r w:rsidRPr="00621ADC">
        <w:rPr>
          <w:rFonts w:ascii="Times New Roman" w:hAnsi="Times New Roman" w:cs="Times New Roman"/>
          <w:sz w:val="24"/>
          <w:szCs w:val="24"/>
          <w:u w:val="single"/>
        </w:rPr>
        <w:t>En esto sí hubo suerte. Bernanke, un estudioso de la Gran Depresión del 29, se inventó los QE para burlar las presiones de los congresistas, sobre todo de republicanos como Paul Ryan, en contra de reducir los tipos de interés, por temor a que se produjera una estampida de la inflación</w:t>
      </w:r>
      <w:r w:rsidRPr="00974F5B">
        <w:rPr>
          <w:rFonts w:ascii="Times New Roman" w:hAnsi="Times New Roman" w:cs="Times New Roman"/>
          <w:sz w:val="24"/>
          <w:szCs w:val="24"/>
        </w:rPr>
        <w:t xml:space="preserve">. Ryan fue luego nombrado presidente de la Comisión de Presupuestos </w:t>
      </w:r>
      <w:r>
        <w:rPr>
          <w:rFonts w:ascii="Times New Roman" w:hAnsi="Times New Roman" w:cs="Times New Roman"/>
          <w:sz w:val="24"/>
          <w:szCs w:val="24"/>
        </w:rPr>
        <w:t>de la Cámara de Representantes.</w:t>
      </w:r>
    </w:p>
    <w:p w:rsidR="0093279F" w:rsidRPr="00974F5B" w:rsidRDefault="0093279F" w:rsidP="0093279F">
      <w:pPr>
        <w:spacing w:line="240" w:lineRule="auto"/>
        <w:jc w:val="both"/>
        <w:rPr>
          <w:rFonts w:ascii="Times New Roman" w:hAnsi="Times New Roman" w:cs="Times New Roman"/>
          <w:sz w:val="24"/>
          <w:szCs w:val="24"/>
        </w:rPr>
      </w:pPr>
      <w:r w:rsidRPr="00621ADC">
        <w:rPr>
          <w:rFonts w:ascii="Times New Roman" w:hAnsi="Times New Roman" w:cs="Times New Roman"/>
          <w:color w:val="FF0000"/>
          <w:sz w:val="24"/>
          <w:szCs w:val="24"/>
          <w:u w:val="single"/>
        </w:rPr>
        <w:t>Un QE consiste básicamente en imprimir dinero para comprar bonos del Tesoro</w:t>
      </w:r>
      <w:r w:rsidRPr="00974F5B">
        <w:rPr>
          <w:rFonts w:ascii="Times New Roman" w:hAnsi="Times New Roman" w:cs="Times New Roman"/>
          <w:sz w:val="24"/>
          <w:szCs w:val="24"/>
        </w:rPr>
        <w:t>. Los inversores tienen entonces que desplazar la cuantía de estos bonos a otras partes del mercado, lo que provoca una inyección de dinero extra que sirve para aliviar las necesidades de liquidez. La fórmula se denomina de manera figurada como el helicóptero, ya que es como si el diner</w:t>
      </w:r>
      <w:r>
        <w:rPr>
          <w:rFonts w:ascii="Times New Roman" w:hAnsi="Times New Roman" w:cs="Times New Roman"/>
          <w:sz w:val="24"/>
          <w:szCs w:val="24"/>
        </w:rPr>
        <w:t>o fuera lanzado desde el cielo.</w:t>
      </w:r>
    </w:p>
    <w:p w:rsidR="0093279F" w:rsidRPr="00974F5B" w:rsidRDefault="0093279F" w:rsidP="0093279F">
      <w:pPr>
        <w:spacing w:line="240" w:lineRule="auto"/>
        <w:jc w:val="both"/>
        <w:rPr>
          <w:rFonts w:ascii="Times New Roman" w:hAnsi="Times New Roman" w:cs="Times New Roman"/>
          <w:sz w:val="24"/>
          <w:szCs w:val="24"/>
        </w:rPr>
      </w:pPr>
      <w:r w:rsidRPr="00621ADC">
        <w:rPr>
          <w:rFonts w:ascii="Times New Roman" w:hAnsi="Times New Roman" w:cs="Times New Roman"/>
          <w:color w:val="FF0000"/>
          <w:sz w:val="24"/>
          <w:szCs w:val="24"/>
          <w:u w:val="single"/>
        </w:rPr>
        <w:t>Cuando los QE llegaron a los dos billones de dólares sin que la economía ni el empleo hubieran recuperado un buen ritmo de crecimiento, los sabuesos de la Comisión de Presupuestos de la Cámara Baja pusieron el grito en el cielo y hasta hicieron chistes sobre la magnanimidad de la Fed para repartir dólares</w:t>
      </w:r>
      <w:r w:rsidRPr="00974F5B">
        <w:rPr>
          <w:rFonts w:ascii="Times New Roman" w:hAnsi="Times New Roman" w:cs="Times New Roman"/>
          <w:sz w:val="24"/>
          <w:szCs w:val="24"/>
        </w:rPr>
        <w:t xml:space="preserve">. </w:t>
      </w:r>
      <w:r w:rsidRPr="00621ADC">
        <w:rPr>
          <w:rFonts w:ascii="Times New Roman" w:hAnsi="Times New Roman" w:cs="Times New Roman"/>
          <w:color w:val="FF0000"/>
          <w:sz w:val="24"/>
          <w:szCs w:val="24"/>
          <w:u w:val="single"/>
        </w:rPr>
        <w:t>Entonces, Bernanke se sacó de la chistera un nuevo instrumento, el Twist, que consistía en cambiar los préstamos a corto a la banca concedidos por la Reserva Federal, por otros a largo para rebajar la curva de los tipos de interés.</w:t>
      </w:r>
      <w:r w:rsidRPr="00974F5B">
        <w:rPr>
          <w:rFonts w:ascii="Times New Roman" w:hAnsi="Times New Roman" w:cs="Times New Roman"/>
          <w:sz w:val="24"/>
          <w:szCs w:val="24"/>
        </w:rPr>
        <w:t xml:space="preserve"> La prensa lo bautizó con el nombre del popular baile ideado en los sesenta, que consistía en un dar un giro, twist, porque ya había sido ensayado en esa época por el banco central.</w:t>
      </w:r>
    </w:p>
    <w:p w:rsidR="0093279F" w:rsidRPr="00974F5B" w:rsidRDefault="0093279F" w:rsidP="0093279F">
      <w:pPr>
        <w:spacing w:line="240" w:lineRule="auto"/>
        <w:jc w:val="both"/>
        <w:rPr>
          <w:rFonts w:ascii="Times New Roman" w:hAnsi="Times New Roman" w:cs="Times New Roman"/>
          <w:sz w:val="24"/>
          <w:szCs w:val="24"/>
        </w:rPr>
      </w:pPr>
      <w:r w:rsidRPr="00621ADC">
        <w:rPr>
          <w:rFonts w:ascii="Times New Roman" w:hAnsi="Times New Roman" w:cs="Times New Roman"/>
          <w:color w:val="FF0000"/>
          <w:sz w:val="24"/>
          <w:szCs w:val="24"/>
          <w:u w:val="single"/>
        </w:rPr>
        <w:t>Naturalmente, todo esto no hubiera sido posible sin el dólar, que permitía seguir atrayendo los capitales de todo el mundo para financiar sus desequilibrios de déficit o deuda, sin que se resintiera la confianza en el futuro</w:t>
      </w:r>
      <w:r w:rsidRPr="00974F5B">
        <w:rPr>
          <w:rFonts w:ascii="Times New Roman" w:hAnsi="Times New Roman" w:cs="Times New Roman"/>
          <w:sz w:val="24"/>
          <w:szCs w:val="24"/>
        </w:rPr>
        <w:t>. Los chinos estaban enfadados, porque los QE abarataban el dólar y, por ende, sus masivas inversiones en bonos d</w:t>
      </w:r>
      <w:r>
        <w:rPr>
          <w:rFonts w:ascii="Times New Roman" w:hAnsi="Times New Roman" w:cs="Times New Roman"/>
          <w:sz w:val="24"/>
          <w:szCs w:val="24"/>
        </w:rPr>
        <w:t>el Tesoro USA.</w:t>
      </w:r>
    </w:p>
    <w:p w:rsidR="0093279F" w:rsidRPr="00621ADC" w:rsidRDefault="0093279F" w:rsidP="0093279F">
      <w:pPr>
        <w:spacing w:line="240" w:lineRule="auto"/>
        <w:jc w:val="both"/>
        <w:rPr>
          <w:rFonts w:ascii="Times New Roman" w:hAnsi="Times New Roman" w:cs="Times New Roman"/>
          <w:color w:val="FF0000"/>
          <w:sz w:val="24"/>
          <w:szCs w:val="24"/>
          <w:u w:val="single"/>
        </w:rPr>
      </w:pPr>
      <w:r w:rsidRPr="00621ADC">
        <w:rPr>
          <w:rFonts w:ascii="Times New Roman" w:hAnsi="Times New Roman" w:cs="Times New Roman"/>
          <w:color w:val="FF0000"/>
          <w:sz w:val="24"/>
          <w:szCs w:val="24"/>
          <w:u w:val="single"/>
        </w:rPr>
        <w:t>Y entretanto, ¿qué ocurría en Europa? Justamente lo contrario que en Estados Unidos. El gobernador del BCE, Jean-Claude Trichet, subió en dos ocasiones consecutivas los tipos de interés en el primer semestre de 2011. Cedía así a la presión de los alemanes, que también temían un resurgir del fantasma de la inflación, como sus colegas americanos.</w:t>
      </w:r>
    </w:p>
    <w:p w:rsidR="0093279F" w:rsidRPr="00974F5B" w:rsidRDefault="0093279F" w:rsidP="0093279F">
      <w:pPr>
        <w:spacing w:line="240" w:lineRule="auto"/>
        <w:jc w:val="both"/>
        <w:rPr>
          <w:rFonts w:ascii="Times New Roman" w:hAnsi="Times New Roman" w:cs="Times New Roman"/>
          <w:sz w:val="24"/>
          <w:szCs w:val="24"/>
        </w:rPr>
      </w:pPr>
      <w:r w:rsidRPr="00621ADC">
        <w:rPr>
          <w:rFonts w:ascii="Times New Roman" w:hAnsi="Times New Roman" w:cs="Times New Roman"/>
          <w:sz w:val="24"/>
          <w:szCs w:val="24"/>
          <w:u w:val="single"/>
        </w:rPr>
        <w:t>Una bofetada para los países del sur de Europa (Italia, España, Grecia y Portugal), además de Irlanda, los llamados Gipsy, (gitanos, en inglés), que entraron en recesión en picado. La peor parte se la llevó Grecia y después España, que sufrió una recaída de su economía</w:t>
      </w:r>
      <w:r w:rsidRPr="00974F5B">
        <w:rPr>
          <w:rFonts w:ascii="Times New Roman" w:hAnsi="Times New Roman" w:cs="Times New Roman"/>
          <w:sz w:val="24"/>
          <w:szCs w:val="24"/>
        </w:rPr>
        <w:t>, debido a los desmanes de Zapatero y s</w:t>
      </w:r>
      <w:r>
        <w:rPr>
          <w:rFonts w:ascii="Times New Roman" w:hAnsi="Times New Roman" w:cs="Times New Roman"/>
          <w:sz w:val="24"/>
          <w:szCs w:val="24"/>
        </w:rPr>
        <w:t>u vicepresidenta Elena Salgado.</w:t>
      </w:r>
    </w:p>
    <w:p w:rsidR="0093279F" w:rsidRPr="00974F5B" w:rsidRDefault="0093279F" w:rsidP="0093279F">
      <w:pPr>
        <w:spacing w:line="240" w:lineRule="auto"/>
        <w:jc w:val="both"/>
        <w:rPr>
          <w:rFonts w:ascii="Times New Roman" w:hAnsi="Times New Roman" w:cs="Times New Roman"/>
          <w:sz w:val="24"/>
          <w:szCs w:val="24"/>
        </w:rPr>
      </w:pPr>
      <w:r w:rsidRPr="00621ADC">
        <w:rPr>
          <w:rFonts w:ascii="Times New Roman" w:hAnsi="Times New Roman" w:cs="Times New Roman"/>
          <w:color w:val="FF0000"/>
          <w:sz w:val="24"/>
          <w:szCs w:val="24"/>
          <w:u w:val="single"/>
        </w:rPr>
        <w:lastRenderedPageBreak/>
        <w:t>Sin una máquina de imprimir billetes como la de Bernanke, la única solución que les quedaba a los países del Sur fue una devaluación competitiva, es decir, bajar el coste de los salarios para poder competir en el mercado</w:t>
      </w:r>
      <w:r w:rsidRPr="00974F5B">
        <w:rPr>
          <w:rFonts w:ascii="Times New Roman" w:hAnsi="Times New Roman" w:cs="Times New Roman"/>
          <w:sz w:val="24"/>
          <w:szCs w:val="24"/>
        </w:rPr>
        <w:t>. Eso provocó manifestaciones de protesta violentas en Grecia, contra la precariedad laboral y los recortes públicos, que se llevaron por delante el Gobierno de Yorgos Papandréu, y un gran descontento en Italia, Irlanda, España y Portugal, que provocaron la caída de sus dirigentes respectivos en las urnas, a medida que</w:t>
      </w:r>
      <w:r>
        <w:rPr>
          <w:rFonts w:ascii="Times New Roman" w:hAnsi="Times New Roman" w:cs="Times New Roman"/>
          <w:sz w:val="24"/>
          <w:szCs w:val="24"/>
        </w:rPr>
        <w:t xml:space="preserve"> se iban celebrando elecciones.</w:t>
      </w:r>
    </w:p>
    <w:p w:rsidR="0093279F" w:rsidRPr="00621ADC" w:rsidRDefault="0093279F" w:rsidP="0093279F">
      <w:pPr>
        <w:spacing w:line="240" w:lineRule="auto"/>
        <w:jc w:val="both"/>
        <w:rPr>
          <w:rFonts w:ascii="Times New Roman" w:hAnsi="Times New Roman" w:cs="Times New Roman"/>
          <w:sz w:val="24"/>
          <w:szCs w:val="24"/>
          <w:u w:val="single"/>
        </w:rPr>
      </w:pPr>
      <w:r w:rsidRPr="00621ADC">
        <w:rPr>
          <w:rFonts w:ascii="Times New Roman" w:hAnsi="Times New Roman" w:cs="Times New Roman"/>
          <w:sz w:val="24"/>
          <w:szCs w:val="24"/>
          <w:u w:val="single"/>
        </w:rPr>
        <w:t>El italiano Mario Draghi, que llegó a la cúpula del BCE con el apoyo de Merkel tras la dimisión de su candidato, Axel Weber, aplicó a rajatabla una regla puesta en marcha por su antecesor: el que no colabore, no tiene protección del BCE para su abultada deuda.</w:t>
      </w:r>
    </w:p>
    <w:p w:rsidR="0093279F" w:rsidRPr="00974F5B" w:rsidRDefault="0093279F" w:rsidP="0093279F">
      <w:pPr>
        <w:spacing w:line="240" w:lineRule="auto"/>
        <w:jc w:val="both"/>
        <w:rPr>
          <w:rFonts w:ascii="Times New Roman" w:hAnsi="Times New Roman" w:cs="Times New Roman"/>
          <w:sz w:val="24"/>
          <w:szCs w:val="24"/>
        </w:rPr>
      </w:pPr>
      <w:r w:rsidRPr="00974F5B">
        <w:rPr>
          <w:rFonts w:ascii="Times New Roman" w:hAnsi="Times New Roman" w:cs="Times New Roman"/>
          <w:sz w:val="24"/>
          <w:szCs w:val="24"/>
        </w:rPr>
        <w:t>Zapatero se vio obligado a adoptar un programa urgente de reformas y Berlusconi, que se consideraba incombustible, ya que no tenía elecciones a la vista, tuvo que dejar el puesto a Mario Monti, tras derogar los ajustes para ganarse al Parlamento. Los bonos del Tesoro italiano pasaron del 4,5 por ciento al 6,5 por ciento y amenazaban con incendiar toda la economía transalpina. Merkel se cobró su pieza, después de los des</w:t>
      </w:r>
      <w:r>
        <w:rPr>
          <w:rFonts w:ascii="Times New Roman" w:hAnsi="Times New Roman" w:cs="Times New Roman"/>
          <w:sz w:val="24"/>
          <w:szCs w:val="24"/>
        </w:rPr>
        <w:t>precios recibidos del italiano.</w:t>
      </w:r>
    </w:p>
    <w:p w:rsidR="0093279F" w:rsidRPr="00621ADC" w:rsidRDefault="00DC73AB" w:rsidP="0093279F">
      <w:pPr>
        <w:spacing w:line="240" w:lineRule="auto"/>
        <w:jc w:val="both"/>
        <w:rPr>
          <w:rFonts w:ascii="Times New Roman" w:hAnsi="Times New Roman" w:cs="Times New Roman"/>
          <w:sz w:val="24"/>
          <w:szCs w:val="24"/>
          <w:u w:val="single"/>
        </w:rPr>
      </w:pPr>
      <w:r w:rsidRPr="00621ADC">
        <w:rPr>
          <w:rFonts w:ascii="Times New Roman" w:hAnsi="Times New Roman" w:cs="Times New Roman"/>
          <w:sz w:val="24"/>
          <w:szCs w:val="24"/>
          <w:u w:val="single"/>
        </w:rPr>
        <w:t>Trichet</w:t>
      </w:r>
      <w:r w:rsidR="0093279F" w:rsidRPr="00621ADC">
        <w:rPr>
          <w:rFonts w:ascii="Times New Roman" w:hAnsi="Times New Roman" w:cs="Times New Roman"/>
          <w:sz w:val="24"/>
          <w:szCs w:val="24"/>
          <w:u w:val="single"/>
        </w:rPr>
        <w:t xml:space="preserve"> rompió así la norma sacrosanta que prohíbe al BCE inmiscuirse en la política interna de los Estados miembros del euro. Lo hizo, por supuesto, por la supervivencia de la divisa común. Su sucesor, Mario Draghi, volvió a violar las reglas, aunque no el espíritu, que prohíben la adquisición directa de deuda soberana por parte del BCE.</w:t>
      </w:r>
    </w:p>
    <w:p w:rsidR="0093279F" w:rsidRPr="00621ADC" w:rsidRDefault="0093279F" w:rsidP="0093279F">
      <w:pPr>
        <w:spacing w:line="240" w:lineRule="auto"/>
        <w:jc w:val="both"/>
        <w:rPr>
          <w:rFonts w:ascii="Times New Roman" w:hAnsi="Times New Roman" w:cs="Times New Roman"/>
          <w:color w:val="FF0000"/>
          <w:sz w:val="24"/>
          <w:szCs w:val="24"/>
          <w:u w:val="single"/>
        </w:rPr>
      </w:pPr>
      <w:r w:rsidRPr="00621ADC">
        <w:rPr>
          <w:rFonts w:ascii="Times New Roman" w:hAnsi="Times New Roman" w:cs="Times New Roman"/>
          <w:color w:val="FF0000"/>
          <w:sz w:val="24"/>
          <w:szCs w:val="24"/>
          <w:u w:val="single"/>
        </w:rPr>
        <w:t>El banquero italiano echó el órdago en julio de 2012 cuando pronunció la famosa frase de “haré lo que sea necesario para salvar el euro, y créanme que será suficiente”. En los meses siguientes, forjó un acuerdo con todos los miembros de su consejo y dejó aislado a Jens Weidmann, el representante del Bundesbank, para sacar adelante la compra masiva de bonos soberanos, la versión europea del helicóptero de Bernanke.</w:t>
      </w:r>
    </w:p>
    <w:p w:rsidR="0093279F" w:rsidRPr="00621ADC" w:rsidRDefault="0093279F" w:rsidP="0093279F">
      <w:pPr>
        <w:spacing w:line="240" w:lineRule="auto"/>
        <w:jc w:val="both"/>
        <w:rPr>
          <w:rFonts w:ascii="Times New Roman" w:hAnsi="Times New Roman" w:cs="Times New Roman"/>
          <w:color w:val="FF0000"/>
          <w:sz w:val="24"/>
          <w:szCs w:val="24"/>
          <w:u w:val="single"/>
        </w:rPr>
      </w:pPr>
      <w:r w:rsidRPr="00621ADC">
        <w:rPr>
          <w:rFonts w:ascii="Times New Roman" w:hAnsi="Times New Roman" w:cs="Times New Roman"/>
          <w:color w:val="FF0000"/>
          <w:sz w:val="24"/>
          <w:szCs w:val="24"/>
          <w:u w:val="single"/>
        </w:rPr>
        <w:t>Fue clave la cooperación entre los grandes bancos centrales. Sobre todo, los pasos dados en la misma dirección por el BCE y la Reserva Federal, que luego siguieron Reino Unido, Japón y hasta Canadá.</w:t>
      </w:r>
    </w:p>
    <w:p w:rsidR="0093279F" w:rsidRPr="00974F5B" w:rsidRDefault="0093279F" w:rsidP="0093279F">
      <w:pPr>
        <w:spacing w:line="240" w:lineRule="auto"/>
        <w:jc w:val="both"/>
        <w:rPr>
          <w:rFonts w:ascii="Times New Roman" w:hAnsi="Times New Roman" w:cs="Times New Roman"/>
          <w:sz w:val="24"/>
          <w:szCs w:val="24"/>
        </w:rPr>
      </w:pPr>
      <w:r w:rsidRPr="00974F5B">
        <w:rPr>
          <w:rFonts w:ascii="Times New Roman" w:hAnsi="Times New Roman" w:cs="Times New Roman"/>
          <w:sz w:val="24"/>
          <w:szCs w:val="24"/>
        </w:rPr>
        <w:t xml:space="preserve">Diez años después, el dólar sigue siendo la moneda de reserva internacional, mientras que el euro pugna por consolidarse. Pero sus miembros han aprendido que es imprescindible para salir adelante. ¿Qué hubiera sido de España o de Grecia sin euro? Una gran devaluación de sus monedas, una </w:t>
      </w:r>
      <w:r w:rsidR="00DC73AB" w:rsidRPr="00974F5B">
        <w:rPr>
          <w:rFonts w:ascii="Times New Roman" w:hAnsi="Times New Roman" w:cs="Times New Roman"/>
          <w:sz w:val="24"/>
          <w:szCs w:val="24"/>
        </w:rPr>
        <w:t>superinflación</w:t>
      </w:r>
      <w:r w:rsidRPr="00974F5B">
        <w:rPr>
          <w:rFonts w:ascii="Times New Roman" w:hAnsi="Times New Roman" w:cs="Times New Roman"/>
          <w:sz w:val="24"/>
          <w:szCs w:val="24"/>
        </w:rPr>
        <w:t xml:space="preserve"> y años de retraso</w:t>
      </w:r>
      <w:r>
        <w:rPr>
          <w:rFonts w:ascii="Times New Roman" w:hAnsi="Times New Roman" w:cs="Times New Roman"/>
          <w:sz w:val="24"/>
          <w:szCs w:val="24"/>
        </w:rPr>
        <w:t xml:space="preserve"> para ponerse al día.</w:t>
      </w:r>
    </w:p>
    <w:p w:rsidR="0093279F" w:rsidRPr="00621ADC" w:rsidRDefault="0093279F" w:rsidP="0093279F">
      <w:pPr>
        <w:spacing w:line="240" w:lineRule="auto"/>
        <w:jc w:val="both"/>
        <w:rPr>
          <w:rFonts w:ascii="Times New Roman" w:hAnsi="Times New Roman" w:cs="Times New Roman"/>
          <w:color w:val="FF0000"/>
          <w:sz w:val="24"/>
          <w:szCs w:val="24"/>
          <w:u w:val="single"/>
        </w:rPr>
      </w:pPr>
      <w:r w:rsidRPr="00621ADC">
        <w:rPr>
          <w:rFonts w:ascii="Times New Roman" w:hAnsi="Times New Roman" w:cs="Times New Roman"/>
          <w:color w:val="FF0000"/>
          <w:sz w:val="24"/>
          <w:szCs w:val="24"/>
          <w:u w:val="single"/>
        </w:rPr>
        <w:t>Una década perdida para la economía, marcada por las políticas de austeridad, por el incremento de los descontentos sociales y de la desigualdad, que nos acompañarán aún durante años. La crisis se superó gracias a la interpretación generosa de las normas, que permitió una política flexible. Pero, sobre todo, a los novedosos instrumentos monetarios.</w:t>
      </w:r>
    </w:p>
    <w:p w:rsidR="0093279F" w:rsidRPr="00621ADC" w:rsidRDefault="0093279F" w:rsidP="0093279F">
      <w:pPr>
        <w:spacing w:line="240" w:lineRule="auto"/>
        <w:jc w:val="both"/>
        <w:rPr>
          <w:rFonts w:ascii="Times New Roman" w:hAnsi="Times New Roman" w:cs="Times New Roman"/>
          <w:sz w:val="24"/>
          <w:szCs w:val="24"/>
          <w:u w:val="single"/>
        </w:rPr>
      </w:pPr>
      <w:r w:rsidRPr="00621ADC">
        <w:rPr>
          <w:rFonts w:ascii="Times New Roman" w:hAnsi="Times New Roman" w:cs="Times New Roman"/>
          <w:sz w:val="24"/>
          <w:szCs w:val="24"/>
          <w:u w:val="single"/>
        </w:rPr>
        <w:t>La innovación financiera aplicada por los Trichet, Draghi, Bernanke o Mervyn King, como ocurre en la actualidad con la tecnología, es esencial para preservar el desarrollo de las sociedades occidentales. Hoy nadie pone ya en duda que su papel es imprescindible.</w:t>
      </w:r>
    </w:p>
    <w:p w:rsidR="0093279F" w:rsidRDefault="0093279F" w:rsidP="0093279F">
      <w:pPr>
        <w:spacing w:line="240" w:lineRule="auto"/>
        <w:jc w:val="both"/>
        <w:rPr>
          <w:rFonts w:ascii="Times New Roman" w:hAnsi="Times New Roman" w:cs="Times New Roman"/>
          <w:sz w:val="24"/>
          <w:szCs w:val="24"/>
        </w:rPr>
      </w:pPr>
      <w:r w:rsidRPr="00974F5B">
        <w:rPr>
          <w:rFonts w:ascii="Times New Roman" w:hAnsi="Times New Roman" w:cs="Times New Roman"/>
          <w:sz w:val="24"/>
          <w:szCs w:val="24"/>
        </w:rPr>
        <w:t>P. D.- Para entender a fondo la crisis financiera global de estos ú</w:t>
      </w:r>
      <w:r>
        <w:rPr>
          <w:rFonts w:ascii="Times New Roman" w:hAnsi="Times New Roman" w:cs="Times New Roman"/>
          <w:sz w:val="24"/>
          <w:szCs w:val="24"/>
        </w:rPr>
        <w:t>ltimos años son recomendables: “Los alquimistas”</w:t>
      </w:r>
      <w:r w:rsidRPr="00974F5B">
        <w:rPr>
          <w:rFonts w:ascii="Times New Roman" w:hAnsi="Times New Roman" w:cs="Times New Roman"/>
          <w:sz w:val="24"/>
          <w:szCs w:val="24"/>
        </w:rPr>
        <w:t>, del reportero de The Washington Post, Neil Irwin, Edit</w:t>
      </w:r>
      <w:r>
        <w:rPr>
          <w:rFonts w:ascii="Times New Roman" w:hAnsi="Times New Roman" w:cs="Times New Roman"/>
          <w:sz w:val="24"/>
          <w:szCs w:val="24"/>
        </w:rPr>
        <w:t>orial Deusto; “Too Big to Fail”</w:t>
      </w:r>
      <w:r w:rsidRPr="00974F5B">
        <w:rPr>
          <w:rFonts w:ascii="Times New Roman" w:hAnsi="Times New Roman" w:cs="Times New Roman"/>
          <w:sz w:val="24"/>
          <w:szCs w:val="24"/>
        </w:rPr>
        <w:t xml:space="preserve">, de Andrew Ross. Planeta editó una </w:t>
      </w:r>
      <w:r>
        <w:rPr>
          <w:rFonts w:ascii="Times New Roman" w:hAnsi="Times New Roman" w:cs="Times New Roman"/>
          <w:sz w:val="24"/>
          <w:szCs w:val="24"/>
        </w:rPr>
        <w:t>versión en castellano. También “In Fed We Trust”</w:t>
      </w:r>
      <w:r w:rsidRPr="00974F5B">
        <w:rPr>
          <w:rFonts w:ascii="Times New Roman" w:hAnsi="Times New Roman" w:cs="Times New Roman"/>
          <w:sz w:val="24"/>
          <w:szCs w:val="24"/>
        </w:rPr>
        <w:t>, de David Wes</w:t>
      </w:r>
      <w:r>
        <w:rPr>
          <w:rFonts w:ascii="Times New Roman" w:hAnsi="Times New Roman" w:cs="Times New Roman"/>
          <w:sz w:val="24"/>
          <w:szCs w:val="24"/>
        </w:rPr>
        <w:t>sel y, sobre todo, “Stress Test”</w:t>
      </w:r>
      <w:r w:rsidRPr="00974F5B">
        <w:rPr>
          <w:rFonts w:ascii="Times New Roman" w:hAnsi="Times New Roman" w:cs="Times New Roman"/>
          <w:sz w:val="24"/>
          <w:szCs w:val="24"/>
        </w:rPr>
        <w:t>, del exsecretario del Tesoro, Timothy Geithner.</w:t>
      </w:r>
    </w:p>
    <w:p w:rsidR="0093279F" w:rsidRPr="004621A5" w:rsidRDefault="0093279F" w:rsidP="0093279F">
      <w:pPr>
        <w:spacing w:line="240" w:lineRule="auto"/>
        <w:jc w:val="both"/>
        <w:rPr>
          <w:rFonts w:ascii="Times New Roman" w:hAnsi="Times New Roman" w:cs="Times New Roman"/>
          <w:color w:val="FF0000"/>
          <w:sz w:val="24"/>
          <w:szCs w:val="24"/>
          <w:lang w:val="en-GB"/>
        </w:rPr>
      </w:pPr>
      <w:r w:rsidRPr="004621A5">
        <w:rPr>
          <w:rFonts w:ascii="Times New Roman" w:hAnsi="Times New Roman" w:cs="Times New Roman"/>
          <w:color w:val="FF0000"/>
          <w:sz w:val="24"/>
          <w:szCs w:val="24"/>
          <w:lang w:val="en-GB"/>
        </w:rPr>
        <w:lastRenderedPageBreak/>
        <w:t>Charles Wyplosz dispels myths about the implications of current-account imbalances – and offers policy recommendations that get to the heart of the problem.</w:t>
      </w:r>
    </w:p>
    <w:p w:rsidR="0093279F" w:rsidRPr="004621A5" w:rsidRDefault="0093279F" w:rsidP="0093279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4621A5">
        <w:rPr>
          <w:rFonts w:ascii="Times New Roman" w:hAnsi="Times New Roman" w:cs="Times New Roman"/>
          <w:sz w:val="24"/>
          <w:szCs w:val="24"/>
          <w:u w:val="single"/>
          <w:lang w:val="en-GB"/>
        </w:rPr>
        <w:t>The Deficit Tango</w:t>
      </w:r>
      <w:r>
        <w:rPr>
          <w:rFonts w:ascii="Times New Roman" w:hAnsi="Times New Roman" w:cs="Times New Roman"/>
          <w:sz w:val="24"/>
          <w:szCs w:val="24"/>
          <w:lang w:val="en-GB"/>
        </w:rPr>
        <w:t xml:space="preserve"> (Project Syndicate - </w:t>
      </w:r>
      <w:r w:rsidRPr="004621A5">
        <w:rPr>
          <w:rFonts w:ascii="Times New Roman" w:hAnsi="Times New Roman" w:cs="Times New Roman"/>
          <w:b/>
          <w:sz w:val="24"/>
          <w:szCs w:val="24"/>
          <w:lang w:val="en-GB"/>
        </w:rPr>
        <w:t>11/8/17</w:t>
      </w:r>
      <w:r>
        <w:rPr>
          <w:rFonts w:ascii="Times New Roman" w:hAnsi="Times New Roman" w:cs="Times New Roman"/>
          <w:sz w:val="24"/>
          <w:szCs w:val="24"/>
          <w:lang w:val="en-GB"/>
        </w:rPr>
        <w:t>)</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Today, much of the world is fixated on current-account imbalances, with surplus countries demonized by deficit countries for supposedly hoarding demand, and deficit countries demonized by surplus countries for their supposed profligacy. But, while the preoccupation with imbalances is justified, the assumptions often underlying it are not.</w:t>
      </w:r>
    </w:p>
    <w:p w:rsidR="0093279F" w:rsidRPr="004621A5" w:rsidRDefault="0093279F" w:rsidP="0093279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Geneva.-</w:t>
      </w:r>
      <w:r w:rsidRPr="004621A5">
        <w:rPr>
          <w:rFonts w:ascii="Times New Roman" w:hAnsi="Times New Roman" w:cs="Times New Roman"/>
          <w:sz w:val="24"/>
          <w:szCs w:val="24"/>
          <w:lang w:val="en-GB"/>
        </w:rPr>
        <w:t xml:space="preserve"> During the early 2000s, there were myriad warnings that the world economy was headed for a crisis, owing to large and persistent external imbalances. The doomsayers turned out to be only half right: the world economy did go into a tailspin, beginning in the summer of 2007, but not because of the imbalances.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Instead, the Great Financial Crisis was rooted primarily in excessive risk-taki</w:t>
      </w:r>
      <w:r>
        <w:rPr>
          <w:rFonts w:ascii="Times New Roman" w:hAnsi="Times New Roman" w:cs="Times New Roman"/>
          <w:sz w:val="24"/>
          <w:szCs w:val="24"/>
          <w:lang w:val="en-GB"/>
        </w:rPr>
        <w:t>ng by financial intermediaries -</w:t>
      </w:r>
      <w:r w:rsidRPr="004621A5">
        <w:rPr>
          <w:rFonts w:ascii="Times New Roman" w:hAnsi="Times New Roman" w:cs="Times New Roman"/>
          <w:sz w:val="24"/>
          <w:szCs w:val="24"/>
          <w:lang w:val="en-GB"/>
        </w:rPr>
        <w:t xml:space="preserve"> a result of the poor regulation and supervision that emerged from earlier financial liberalization. Current-account balances did not even correlate with p</w:t>
      </w:r>
      <w:r>
        <w:rPr>
          <w:rFonts w:ascii="Times New Roman" w:hAnsi="Times New Roman" w:cs="Times New Roman"/>
          <w:sz w:val="24"/>
          <w:szCs w:val="24"/>
          <w:lang w:val="en-GB"/>
        </w:rPr>
        <w:t>erformance through that crisis.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To be sure, within the eurozone, those countries with large and persistent external deficits were hit hard by a crisis that surplus countries generally avoided. Yet Australia’s current account has been in deficit every year since 1975, with the gap averaging about 4% of GDP, and it made it through the crisis and subsequent recession virtually unscathed.</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At the opposite end of the spectrum, Switzerland’s current</w:t>
      </w:r>
      <w:r w:rsidR="00ED7FAB">
        <w:rPr>
          <w:rFonts w:ascii="Times New Roman" w:hAnsi="Times New Roman" w:cs="Times New Roman"/>
          <w:sz w:val="24"/>
          <w:szCs w:val="24"/>
          <w:lang w:val="en-GB"/>
        </w:rPr>
        <w:t>-account surplus has averaged 7,</w:t>
      </w:r>
      <w:r w:rsidRPr="004621A5">
        <w:rPr>
          <w:rFonts w:ascii="Times New Roman" w:hAnsi="Times New Roman" w:cs="Times New Roman"/>
          <w:sz w:val="24"/>
          <w:szCs w:val="24"/>
          <w:lang w:val="en-GB"/>
        </w:rPr>
        <w:t>8% of GDP since 1981. It peaked at 14.9% of GDP in 2010, and in 2016, it still stood at 12%. Yet the crisis inflicted significant damage on the Swiss economy, because it hit the country’s two largest banks hard.</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Today, much of the world remains fixated on current-account imbalances. But most observers still misunderstand what these imbalances really mean.</w:t>
      </w:r>
    </w:p>
    <w:p w:rsidR="0093279F" w:rsidRPr="004621A5" w:rsidRDefault="0093279F" w:rsidP="0093279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Minding the Gap</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Economists have made a specialty of disagreeing about the causes and policy implications of large external imbalances. Current accounts are endogenous, driven by a host of factors, domestic and foreign, which are also endogenous, driven by another host of factors, and so on.</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Faced with such a complex situation, many observers take the simple route</w:t>
      </w:r>
      <w:r>
        <w:rPr>
          <w:rFonts w:ascii="Times New Roman" w:hAnsi="Times New Roman" w:cs="Times New Roman"/>
          <w:sz w:val="24"/>
          <w:szCs w:val="24"/>
          <w:lang w:val="en-GB"/>
        </w:rPr>
        <w:t>, choosing one or perhaps two -rarely three or more-</w:t>
      </w:r>
      <w:r w:rsidRPr="004621A5">
        <w:rPr>
          <w:rFonts w:ascii="Times New Roman" w:hAnsi="Times New Roman" w:cs="Times New Roman"/>
          <w:sz w:val="24"/>
          <w:szCs w:val="24"/>
          <w:lang w:val="en-GB"/>
        </w:rPr>
        <w:t xml:space="preserve"> “causes” that they deem exogenous. Based on those causes, they offer sweeping recommendations, which reflect hidden beliefs backed by unspecified assumptions.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Nothing better illustrates how this type of reasoning can go wrong than the current row, incited by US President Donald Trump, about US deficits and German surpluses. It seems obvious to Trump and the economic nationalists advising him that Germany’s current-account surplus is the counterpart of America’s deficit, and vice versa. As a result, they assume that the US deficit will be reduced when Germany’s surplus shrinks.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This assumption is, as Trump might say, “bigly” wrong. But so is the conclusion, reached by some Germans, that Germany’s surplus will shrink whe</w:t>
      </w:r>
      <w:r w:rsidR="00DC73AB">
        <w:rPr>
          <w:rFonts w:ascii="Times New Roman" w:hAnsi="Times New Roman" w:cs="Times New Roman"/>
          <w:sz w:val="24"/>
          <w:szCs w:val="24"/>
          <w:lang w:val="en-GB"/>
        </w:rPr>
        <w:t>n America’s deficit is reduced -</w:t>
      </w:r>
      <w:r w:rsidRPr="004621A5">
        <w:rPr>
          <w:rFonts w:ascii="Times New Roman" w:hAnsi="Times New Roman" w:cs="Times New Roman"/>
          <w:sz w:val="24"/>
          <w:szCs w:val="24"/>
          <w:lang w:val="en-GB"/>
        </w:rPr>
        <w:t xml:space="preserve"> a </w:t>
      </w:r>
      <w:r w:rsidRPr="004621A5">
        <w:rPr>
          <w:rFonts w:ascii="Times New Roman" w:hAnsi="Times New Roman" w:cs="Times New Roman"/>
          <w:sz w:val="24"/>
          <w:szCs w:val="24"/>
          <w:lang w:val="en-GB"/>
        </w:rPr>
        <w:lastRenderedPageBreak/>
        <w:t>conclusion based on the assumption that the US deficit is exogenous, and the German surplus is endogenous.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Equally misguided is the widely popular view that Germany’s surplus reflects the country’s superior productivity, rooted in its engineering prowess and wage moderation. Yes, when German goods and services sell well around the world, export earnings are high. But at the heart of the issue is what Germany does with those earnings: rather than spend them on imports, it saves a large share of them.</w:t>
      </w:r>
    </w:p>
    <w:p w:rsidR="0093279F" w:rsidRPr="004621A5" w:rsidRDefault="0093279F" w:rsidP="0093279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The Competitiveness Chimera</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One definition of the current account is the difference between suitably defi</w:t>
      </w:r>
      <w:r w:rsidR="00B94AB8">
        <w:rPr>
          <w:rFonts w:ascii="Times New Roman" w:hAnsi="Times New Roman" w:cs="Times New Roman"/>
          <w:sz w:val="24"/>
          <w:szCs w:val="24"/>
          <w:lang w:val="en-GB"/>
        </w:rPr>
        <w:t>ned export and import earnings -</w:t>
      </w:r>
      <w:r w:rsidRPr="004621A5">
        <w:rPr>
          <w:rFonts w:ascii="Times New Roman" w:hAnsi="Times New Roman" w:cs="Times New Roman"/>
          <w:sz w:val="24"/>
          <w:szCs w:val="24"/>
          <w:lang w:val="en-GB"/>
        </w:rPr>
        <w:t xml:space="preserve"> an interpretation that leads naturally to a focus on competitiveness. But competitiveness is an elusive concept. Indeed, the Nobel laureate economist Paul Krugman has called it a dangerous obsession.</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Competitiveness encompasses not only the prices of goods and services, but also their quality, production costs, and the processes by which they are transported and delivered. It is one of those endogenous variables that respond to a large number of factors, such as firms’ business strategies and the evolution and structure of labor markets, including welfare systems. Given this, a focus on any one variable is likely to produce misleading results.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If one focuses only on price levels, for example, it would be difficult to understand how Switzerland retains a large current-account surplus, even though its currency, the franc, is notoriously overvalued. Likewise, price levels can’t explain how the US has maintained a current-account deficit since 1984, given wide fluctuations in the dollar’s exchange rate over that period. Today, the US deficit stands at $</w:t>
      </w:r>
      <w:r w:rsidR="00ED7FAB">
        <w:rPr>
          <w:rFonts w:ascii="Times New Roman" w:hAnsi="Times New Roman" w:cs="Times New Roman"/>
          <w:sz w:val="24"/>
          <w:szCs w:val="24"/>
          <w:lang w:val="en-GB"/>
        </w:rPr>
        <w:t xml:space="preserve"> 116,</w:t>
      </w:r>
      <w:r w:rsidRPr="004621A5">
        <w:rPr>
          <w:rFonts w:ascii="Times New Roman" w:hAnsi="Times New Roman" w:cs="Times New Roman"/>
          <w:sz w:val="24"/>
          <w:szCs w:val="24"/>
          <w:lang w:val="en-GB"/>
        </w:rPr>
        <w:t>8 billion, despite little indication that the dollar is overvalued.</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None of this is to say that competitiveness does not matter. But competitiveness is more a symptom than a cause of what is happening in the economy, and therefore should be viewed as just one clue as to what drives current-account imbalances.</w:t>
      </w:r>
    </w:p>
    <w:p w:rsidR="0093279F" w:rsidRPr="004621A5" w:rsidRDefault="0093279F" w:rsidP="0093279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The Borrower’s Dilemma</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The other defi</w:t>
      </w:r>
      <w:r>
        <w:rPr>
          <w:rFonts w:ascii="Times New Roman" w:hAnsi="Times New Roman" w:cs="Times New Roman"/>
          <w:sz w:val="24"/>
          <w:szCs w:val="24"/>
          <w:lang w:val="en-GB"/>
        </w:rPr>
        <w:t>nition of the current account -</w:t>
      </w:r>
      <w:r w:rsidRPr="004621A5">
        <w:rPr>
          <w:rFonts w:ascii="Times New Roman" w:hAnsi="Times New Roman" w:cs="Times New Roman"/>
          <w:sz w:val="24"/>
          <w:szCs w:val="24"/>
          <w:lang w:val="en-GB"/>
        </w:rPr>
        <w:t>a country’s saving or borrowing v</w:t>
      </w:r>
      <w:r>
        <w:rPr>
          <w:rFonts w:ascii="Times New Roman" w:hAnsi="Times New Roman" w:cs="Times New Roman"/>
          <w:sz w:val="24"/>
          <w:szCs w:val="24"/>
          <w:lang w:val="en-GB"/>
        </w:rPr>
        <w:t>is-à-vis the rest of the world-</w:t>
      </w:r>
      <w:r w:rsidRPr="004621A5">
        <w:rPr>
          <w:rFonts w:ascii="Times New Roman" w:hAnsi="Times New Roman" w:cs="Times New Roman"/>
          <w:sz w:val="24"/>
          <w:szCs w:val="24"/>
          <w:lang w:val="en-GB"/>
        </w:rPr>
        <w:t xml:space="preserve"> is much more illuminating. It certainly reflects more closely the primary concern about current-account deficits: that they result from excessive external borrowing. As long as deficits persist, the logic goes, external debt will keep growing until the country is unable to repay it.</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But here, too, the prevailing assumptions may be faulty. If a country borrows heavily to finance productive investment, ensuring that the rate of return on the investment exceeds borrowing costs, more borrowing would translate into more wealth. In this situation, a country should not have any difficulty servicing its debt, as has been the case with Australia for decades.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If a country borrows heavily to support spending, however, the outcome is less straightforward. If the externally financed spending is private, the implication is that a large number of people are borrowing from many different financial intermediaries. As long as these financial intermediaries exert normal due diligence, the presumption is that most of the borrowers will be able to honor their debts.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lastRenderedPageBreak/>
        <w:t>The risks are greater when private actors borrow from domestic intermediaries that borrow externally, because a lack of vigilance on the part of those intermediaries could result in non-performing loans. That may force the intermediary to default to foreign lenders, who had assumed that they were not taking big risks.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Facing large defaults, foreign financial intermediaries may then fail as well, possibly even bringing down their national financial systems. That is what happened in 2007-2008, when the subprime-mortgage crisis in the US morphed into a global financial crisis. It is also what happened in Spain and Ireland shortly after.</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But it is excessive public spending financed by external borrowing that is most worrisome, because highly indebted governments can default more easily than private entities. Unlike firms and households, states cannot be closed down or forced to sell assets. Moreover, they may have some political leverage, as was the case with Greece and Portugal during the euro crisis.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 xml:space="preserve">An awareness of these risks may cause foreign lenders, rightly or wrongly, to panic and stop lending to a country with large external debts, making it impossible for that country to finance its ongoing deficit. What is ironic about these sudden stops is that they can be the catalyst of the very crisis that international lenders </w:t>
      </w:r>
      <w:r w:rsidR="00F77BC5">
        <w:rPr>
          <w:rFonts w:ascii="Times New Roman" w:hAnsi="Times New Roman" w:cs="Times New Roman"/>
          <w:sz w:val="24"/>
          <w:szCs w:val="24"/>
          <w:lang w:val="en-GB"/>
        </w:rPr>
        <w:t>fear when they cut off lending -</w:t>
      </w:r>
      <w:r w:rsidRPr="004621A5">
        <w:rPr>
          <w:rFonts w:ascii="Times New Roman" w:hAnsi="Times New Roman" w:cs="Times New Roman"/>
          <w:sz w:val="24"/>
          <w:szCs w:val="24"/>
          <w:lang w:val="en-GB"/>
        </w:rPr>
        <w:t xml:space="preserve"> a crisis that may not have materialized otherwise. Arguably, the eurozone crisis was of this self-fulfilling variety.</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These experiences invite three important observations. First, it usually takes too long for questions to arise about whether countries that borrow excessively are competitive or not. Uncompetitive countries therefore have plenty of time to indulge in buying goods and services abroad using borrowed money.</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Of course, for that to happen, they must find willing lenders abroad. This leads to the second o</w:t>
      </w:r>
      <w:r>
        <w:rPr>
          <w:rFonts w:ascii="Times New Roman" w:hAnsi="Times New Roman" w:cs="Times New Roman"/>
          <w:sz w:val="24"/>
          <w:szCs w:val="24"/>
          <w:lang w:val="en-GB"/>
        </w:rPr>
        <w:t>bservation: imprudent lending -</w:t>
      </w:r>
      <w:r w:rsidRPr="004621A5">
        <w:rPr>
          <w:rFonts w:ascii="Times New Roman" w:hAnsi="Times New Roman" w:cs="Times New Roman"/>
          <w:sz w:val="24"/>
          <w:szCs w:val="24"/>
          <w:lang w:val="en-GB"/>
        </w:rPr>
        <w:t>whether motivated by carelessness or the expectation o</w:t>
      </w:r>
      <w:r>
        <w:rPr>
          <w:rFonts w:ascii="Times New Roman" w:hAnsi="Times New Roman" w:cs="Times New Roman"/>
          <w:sz w:val="24"/>
          <w:szCs w:val="24"/>
          <w:lang w:val="en-GB"/>
        </w:rPr>
        <w:t>f a bailout if things go wrong-</w:t>
      </w:r>
      <w:r w:rsidRPr="004621A5">
        <w:rPr>
          <w:rFonts w:ascii="Times New Roman" w:hAnsi="Times New Roman" w:cs="Times New Roman"/>
          <w:sz w:val="24"/>
          <w:szCs w:val="24"/>
          <w:lang w:val="en-GB"/>
        </w:rPr>
        <w:t xml:space="preserve"> is always the root cause of persistent high deficits that finance private or public spending in excess of earnings. This takes us into the thicket of financial regulation and supervision in the lending countries, a fundamental exogenous cause of financial crises seldom mentioned in debates about the dangers of current-account deficits and external debts.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 xml:space="preserve">The third observation is that large and persistent external deficits create vulnerability, because they result in the </w:t>
      </w:r>
      <w:r w:rsidR="00DC73AB" w:rsidRPr="004621A5">
        <w:rPr>
          <w:rFonts w:ascii="Times New Roman" w:hAnsi="Times New Roman" w:cs="Times New Roman"/>
          <w:sz w:val="24"/>
          <w:szCs w:val="24"/>
          <w:lang w:val="en-GB"/>
        </w:rPr>
        <w:t>build-up</w:t>
      </w:r>
      <w:r w:rsidRPr="004621A5">
        <w:rPr>
          <w:rFonts w:ascii="Times New Roman" w:hAnsi="Times New Roman" w:cs="Times New Roman"/>
          <w:sz w:val="24"/>
          <w:szCs w:val="24"/>
          <w:lang w:val="en-GB"/>
        </w:rPr>
        <w:t xml:space="preserve"> of debt that can eventually become worrisome for lenders, while locking borrowers into an inescapable pattern of borrowing.</w:t>
      </w:r>
    </w:p>
    <w:p w:rsidR="0093279F" w:rsidRPr="004621A5" w:rsidRDefault="0093279F" w:rsidP="0093279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Dangerous Surpluses?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While much attention is devoted to the risks posed by large deficits, it is generally assumed that a large and persistent surplus is innocuous. But that is not the case. After all, persistent surpluses occur only if, collectively, households, firms, or governments consistently spend less than they earn. That means that these actors save more than they borrow, and thus that the surplus must be invested abroad.</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 xml:space="preserve">There is nothing fundamentally wrong with the decision to save, which may well be driven by sound logic. For firms, the objective may be to invest in production abroad, because they want to expand internationally, because production costs are lower elsewhere, or because the rates of return are higher where capital is scarcer. And </w:t>
      </w:r>
      <w:r>
        <w:rPr>
          <w:rFonts w:ascii="Times New Roman" w:hAnsi="Times New Roman" w:cs="Times New Roman"/>
          <w:sz w:val="24"/>
          <w:szCs w:val="24"/>
          <w:lang w:val="en-GB"/>
        </w:rPr>
        <w:t>households in an aging society -</w:t>
      </w:r>
      <w:r w:rsidRPr="004621A5">
        <w:rPr>
          <w:rFonts w:ascii="Times New Roman" w:hAnsi="Times New Roman" w:cs="Times New Roman"/>
          <w:sz w:val="24"/>
          <w:szCs w:val="24"/>
          <w:lang w:val="en-GB"/>
        </w:rPr>
        <w:t>Trump’s G</w:t>
      </w:r>
      <w:r>
        <w:rPr>
          <w:rFonts w:ascii="Times New Roman" w:hAnsi="Times New Roman" w:cs="Times New Roman"/>
          <w:sz w:val="24"/>
          <w:szCs w:val="24"/>
          <w:lang w:val="en-GB"/>
        </w:rPr>
        <w:t>erman bête noire comes to mind-</w:t>
      </w:r>
      <w:r w:rsidRPr="004621A5">
        <w:rPr>
          <w:rFonts w:ascii="Times New Roman" w:hAnsi="Times New Roman" w:cs="Times New Roman"/>
          <w:sz w:val="24"/>
          <w:szCs w:val="24"/>
          <w:lang w:val="en-GB"/>
        </w:rPr>
        <w:t xml:space="preserve"> may wish to save for future needs.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lastRenderedPageBreak/>
        <w:t>But saving is always a risky business. Countries that accumulate large external debts are at the mercy of actions taken in sometimes-faraway lands, which can trigger international contagion, as happened to Switzerland in 2008. Given this, prudent investment is critical.</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Monetary unions present a special case in this regard, as Europe discovered in 2010. When the eurozone was created, it was assumed that current-account balances no longer mattered for member countries. There were even proposals to stop measuring them, just as states’ current accounts are not measured in the US. Either carelessness, made possible by poor regulation and supervision, or the expectation of a bailout meant that, from lenders’ perspective, there seemed to be no reason to assume that debt service would, sooner or later, hit a wall.</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But it is only in a complete monetary union that current accounts do not matter, because a common set of financial rules is enforced effectively or because there is a white knight to save the day with a bailout. In the US, regulation and supervision failed to prevent the subprime crisis from morphing into a systemic crisis, but white knights (the US Treasury and the Federal Reserve) rushed to bail out troubled financial institutions, with the notorious exception of Lehman Brothers.</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In the eurozone, by contrast, the economies with large and persistent deficits were hit hard by the crisis. They also received bailouts, but only after 2012, when European Central Bank President Mario Draghi declared that the ECB was ready to do “whatever it takes to preserve the euro</w:t>
      </w:r>
      <w:r>
        <w:rPr>
          <w:rFonts w:ascii="Times New Roman" w:hAnsi="Times New Roman" w:cs="Times New Roman"/>
          <w:sz w:val="24"/>
          <w:szCs w:val="24"/>
          <w:lang w:val="en-GB"/>
        </w:rPr>
        <w:t>”.</w:t>
      </w:r>
      <w:r w:rsidRPr="004621A5">
        <w:rPr>
          <w:rFonts w:ascii="Times New Roman" w:hAnsi="Times New Roman" w:cs="Times New Roman"/>
          <w:sz w:val="24"/>
          <w:szCs w:val="24"/>
          <w:lang w:val="en-GB"/>
        </w:rPr>
        <w:t xml:space="preserve"> In this sense, the eurozone’s real problem was not external borrowing, but the incompleteness of the eurozone monetary union, which delayed and constrained ECB action.</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This experience is often taken as evidence that current accounts matter a lot in a monetary union. This conclusion has led to the adoption of the Macroeconomic Imbalance Procedure, which requires the European Commission to monitor external imbalances and, where necessary, to recommend reducing them.</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But even this conclusion is flawed, because it neglects, once again, the fact that current-account imbalances are endogenous and subject to exogenous factors. In Greece and Portugal, current-account deficits were closely tied to large and persistent public deficits. In Cyprus, Ireland, and Spain, it was the private sector that had borrowed huge amounts. In all of these cases, external borrowing had been used for non-productive spending.</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What about external competitiveness? Wages and prices began growing fast in all the crisis countries once they became eurozone members. But, given that prices and wages are among the ultimate endogenous variables, this was a symptom, not a cause. The true cause was strong loan-financed demand for locally produced goods and services (itself endogenous to financial exuberance allowed by faulty supervision) and, in some cases, overly generous public-sector wage increases.</w:t>
      </w:r>
    </w:p>
    <w:p w:rsidR="0093279F" w:rsidRPr="0093279F" w:rsidRDefault="0093279F" w:rsidP="0093279F">
      <w:pPr>
        <w:spacing w:line="240" w:lineRule="auto"/>
        <w:jc w:val="both"/>
        <w:rPr>
          <w:rFonts w:ascii="Times New Roman" w:hAnsi="Times New Roman" w:cs="Times New Roman"/>
          <w:sz w:val="24"/>
          <w:szCs w:val="24"/>
          <w:lang w:val="en-GB"/>
        </w:rPr>
      </w:pPr>
      <w:r w:rsidRPr="0093279F">
        <w:rPr>
          <w:rFonts w:ascii="Times New Roman" w:hAnsi="Times New Roman" w:cs="Times New Roman"/>
          <w:sz w:val="24"/>
          <w:szCs w:val="24"/>
          <w:lang w:val="en-GB"/>
        </w:rPr>
        <w:t>Good Deficit, Bad Deficit</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The current preoccupation with large and persistent current-account imbalances is justified. But it rests on flawed assumptions. The truth is that all current-account imbalances are not created equal.</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Consider the US, which ran large and persistent deficits thr</w:t>
      </w:r>
      <w:r>
        <w:rPr>
          <w:rFonts w:ascii="Times New Roman" w:hAnsi="Times New Roman" w:cs="Times New Roman"/>
          <w:sz w:val="24"/>
          <w:szCs w:val="24"/>
          <w:lang w:val="en-GB"/>
        </w:rPr>
        <w:t>oughout the nineteenth century -</w:t>
      </w:r>
      <w:r w:rsidRPr="004621A5">
        <w:rPr>
          <w:rFonts w:ascii="Times New Roman" w:hAnsi="Times New Roman" w:cs="Times New Roman"/>
          <w:sz w:val="24"/>
          <w:szCs w:val="24"/>
          <w:lang w:val="en-GB"/>
        </w:rPr>
        <w:t xml:space="preserve"> deficits that were used to finance the massive investment needs of the country’s fast-growing population and vast geography. For the most part, the investments made were highly productive, and the foreign lenders who provided the funding largely became rich.</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lastRenderedPageBreak/>
        <w:t>By contrast, Greece borrowed heavily in the 2000s to pay for unproductive consumption. That was a bad deficit, which not only hit the country hard, but also left foreign lenders badly exposed, though they were largely rescued. The Germans and the Swiss may have good reasons to run surpluses today, but this is a matter of debate.</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Per</w:t>
      </w:r>
      <w:r>
        <w:rPr>
          <w:rFonts w:ascii="Times New Roman" w:hAnsi="Times New Roman" w:cs="Times New Roman"/>
          <w:sz w:val="24"/>
          <w:szCs w:val="24"/>
          <w:lang w:val="en-GB"/>
        </w:rPr>
        <w:t>sistent imbalances are bad if -and only if-</w:t>
      </w:r>
      <w:r w:rsidRPr="004621A5">
        <w:rPr>
          <w:rFonts w:ascii="Times New Roman" w:hAnsi="Times New Roman" w:cs="Times New Roman"/>
          <w:sz w:val="24"/>
          <w:szCs w:val="24"/>
          <w:lang w:val="en-GB"/>
        </w:rPr>
        <w:t xml:space="preserve"> they reflect deep-rooted factors, which may well seem distant from the imbalances themselves. Of course, even if they are “good</w:t>
      </w:r>
      <w:r w:rsidR="00B94AB8">
        <w:rPr>
          <w:rFonts w:ascii="Times New Roman" w:hAnsi="Times New Roman" w:cs="Times New Roman"/>
          <w:sz w:val="24"/>
          <w:szCs w:val="24"/>
          <w:lang w:val="en-GB"/>
        </w:rPr>
        <w:t>”,</w:t>
      </w:r>
      <w:r w:rsidRPr="004621A5">
        <w:rPr>
          <w:rFonts w:ascii="Times New Roman" w:hAnsi="Times New Roman" w:cs="Times New Roman"/>
          <w:sz w:val="24"/>
          <w:szCs w:val="24"/>
          <w:lang w:val="en-GB"/>
        </w:rPr>
        <w:t xml:space="preserve"> they can fuel vulnerability, because financial markets might become concerned about the mounting external debt. That is why it is essential to watch imbalances carefully.</w:t>
      </w:r>
    </w:p>
    <w:p w:rsidR="0093279F" w:rsidRPr="004621A5"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But it is critical that policy recommendations aim to tackle th</w:t>
      </w:r>
      <w:r>
        <w:rPr>
          <w:rFonts w:ascii="Times New Roman" w:hAnsi="Times New Roman" w:cs="Times New Roman"/>
          <w:sz w:val="24"/>
          <w:szCs w:val="24"/>
          <w:lang w:val="en-GB"/>
        </w:rPr>
        <w:t>e root causes of vulnerability -</w:t>
      </w:r>
      <w:r w:rsidRPr="004621A5">
        <w:rPr>
          <w:rFonts w:ascii="Times New Roman" w:hAnsi="Times New Roman" w:cs="Times New Roman"/>
          <w:sz w:val="24"/>
          <w:szCs w:val="24"/>
          <w:lang w:val="en-GB"/>
        </w:rPr>
        <w:t xml:space="preserve"> such as lenders’ assumption that they will not face cons</w:t>
      </w:r>
      <w:r>
        <w:rPr>
          <w:rFonts w:ascii="Times New Roman" w:hAnsi="Times New Roman" w:cs="Times New Roman"/>
          <w:sz w:val="24"/>
          <w:szCs w:val="24"/>
          <w:lang w:val="en-GB"/>
        </w:rPr>
        <w:t>equences for their risk-taking-</w:t>
      </w:r>
      <w:r w:rsidRPr="004621A5">
        <w:rPr>
          <w:rFonts w:ascii="Times New Roman" w:hAnsi="Times New Roman" w:cs="Times New Roman"/>
          <w:sz w:val="24"/>
          <w:szCs w:val="24"/>
          <w:lang w:val="en-GB"/>
        </w:rPr>
        <w:t xml:space="preserve"> rather than symptoms like competitiveness. For private debts, this implies the need for proper regulation and supervision. For sovereign debts, international crisis-resolution schemes, such as those long proposed by the International Monetary Fund, must be deployed.</w:t>
      </w:r>
    </w:p>
    <w:p w:rsidR="0093279F" w:rsidRDefault="0093279F" w:rsidP="0093279F">
      <w:pPr>
        <w:spacing w:line="240" w:lineRule="auto"/>
        <w:jc w:val="both"/>
        <w:rPr>
          <w:rFonts w:ascii="Times New Roman" w:hAnsi="Times New Roman" w:cs="Times New Roman"/>
          <w:sz w:val="24"/>
          <w:szCs w:val="24"/>
          <w:lang w:val="en-GB"/>
        </w:rPr>
      </w:pPr>
      <w:r w:rsidRPr="004621A5">
        <w:rPr>
          <w:rFonts w:ascii="Times New Roman" w:hAnsi="Times New Roman" w:cs="Times New Roman"/>
          <w:sz w:val="24"/>
          <w:szCs w:val="24"/>
          <w:lang w:val="en-GB"/>
        </w:rPr>
        <w:t>As the old saying goes, it takes two to tango. For every risky borrower, there is a careless lender ready to dip and twirl. And it is the lender who will ultimately decide when the music stops.</w:t>
      </w:r>
    </w:p>
    <w:p w:rsidR="0093279F" w:rsidRDefault="0093279F" w:rsidP="0093279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Pr="004621A5">
        <w:rPr>
          <w:rFonts w:ascii="Times New Roman" w:hAnsi="Times New Roman" w:cs="Times New Roman"/>
          <w:sz w:val="24"/>
          <w:szCs w:val="24"/>
          <w:lang w:val="en-GB"/>
        </w:rPr>
        <w:t xml:space="preserve">Charles Wyplosz is Professor of Economics at the Graduate Institute of International Studies, Director of the International </w:t>
      </w:r>
      <w:r w:rsidR="00DC73AB">
        <w:rPr>
          <w:rFonts w:ascii="Times New Roman" w:hAnsi="Times New Roman" w:cs="Times New Roman"/>
          <w:sz w:val="24"/>
          <w:szCs w:val="24"/>
          <w:lang w:val="en-GB"/>
        </w:rPr>
        <w:t>Center</w:t>
      </w:r>
      <w:r w:rsidRPr="004621A5">
        <w:rPr>
          <w:rFonts w:ascii="Times New Roman" w:hAnsi="Times New Roman" w:cs="Times New Roman"/>
          <w:sz w:val="24"/>
          <w:szCs w:val="24"/>
          <w:lang w:val="en-GB"/>
        </w:rPr>
        <w:t xml:space="preserve"> for Money and Banking Studies, and Policy Director of the Cent</w:t>
      </w:r>
      <w:r>
        <w:rPr>
          <w:rFonts w:ascii="Times New Roman" w:hAnsi="Times New Roman" w:cs="Times New Roman"/>
          <w:sz w:val="24"/>
          <w:szCs w:val="24"/>
          <w:lang w:val="en-GB"/>
        </w:rPr>
        <w:t>re for Economic Policy Research)</w:t>
      </w:r>
    </w:p>
    <w:p w:rsidR="0093279F" w:rsidRPr="00ED091B" w:rsidRDefault="0093279F" w:rsidP="009327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D091B">
        <w:rPr>
          <w:rFonts w:ascii="Times New Roman" w:hAnsi="Times New Roman" w:cs="Times New Roman"/>
          <w:sz w:val="24"/>
          <w:szCs w:val="24"/>
          <w:u w:val="single"/>
        </w:rPr>
        <w:t>Los “cachondos” de Bruselas (I)</w:t>
      </w:r>
      <w:r>
        <w:rPr>
          <w:rFonts w:ascii="Times New Roman" w:hAnsi="Times New Roman" w:cs="Times New Roman"/>
          <w:sz w:val="24"/>
          <w:szCs w:val="24"/>
        </w:rPr>
        <w:t xml:space="preserve"> (Vozpópuli - </w:t>
      </w:r>
      <w:r w:rsidRPr="00ED091B">
        <w:rPr>
          <w:rFonts w:ascii="Times New Roman" w:hAnsi="Times New Roman" w:cs="Times New Roman"/>
          <w:b/>
          <w:sz w:val="24"/>
          <w:szCs w:val="24"/>
        </w:rPr>
        <w:t>13/8/17</w:t>
      </w:r>
      <w:r>
        <w:rPr>
          <w:rFonts w:ascii="Times New Roman" w:hAnsi="Times New Roman" w:cs="Times New Roman"/>
          <w:sz w:val="24"/>
          <w:szCs w:val="24"/>
        </w:rPr>
        <w:t>)</w:t>
      </w:r>
    </w:p>
    <w:p w:rsidR="0093279F" w:rsidRPr="001C4483" w:rsidRDefault="0093279F" w:rsidP="0093279F">
      <w:pPr>
        <w:spacing w:line="240" w:lineRule="auto"/>
        <w:jc w:val="both"/>
        <w:rPr>
          <w:rFonts w:ascii="Times New Roman" w:hAnsi="Times New Roman" w:cs="Times New Roman"/>
          <w:color w:val="FF0000"/>
          <w:sz w:val="24"/>
          <w:szCs w:val="24"/>
        </w:rPr>
      </w:pPr>
      <w:r w:rsidRPr="001C4483">
        <w:rPr>
          <w:rFonts w:ascii="Times New Roman" w:hAnsi="Times New Roman" w:cs="Times New Roman"/>
          <w:color w:val="FF0000"/>
          <w:sz w:val="24"/>
          <w:szCs w:val="24"/>
        </w:rPr>
        <w:t>Bajo cifras promedio ocultan una realidad. El paro en algunos países del sur de Europa, España y Grecia, es el doble del que había antes de la crisis, y con una situación mucho más deplorable.</w:t>
      </w:r>
    </w:p>
    <w:p w:rsidR="0093279F" w:rsidRDefault="0093279F" w:rsidP="0093279F">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Laborda)</w:t>
      </w:r>
    </w:p>
    <w:p w:rsidR="0093279F" w:rsidRPr="001C4483" w:rsidRDefault="0093279F" w:rsidP="0093279F">
      <w:pPr>
        <w:spacing w:line="240" w:lineRule="auto"/>
        <w:jc w:val="both"/>
        <w:rPr>
          <w:rFonts w:ascii="Times New Roman" w:hAnsi="Times New Roman" w:cs="Times New Roman"/>
          <w:color w:val="FF0000"/>
          <w:sz w:val="24"/>
          <w:szCs w:val="24"/>
          <w:u w:val="single"/>
        </w:rPr>
      </w:pPr>
      <w:r w:rsidRPr="001C4483">
        <w:rPr>
          <w:rFonts w:ascii="Times New Roman" w:hAnsi="Times New Roman" w:cs="Times New Roman"/>
          <w:color w:val="FF0000"/>
          <w:sz w:val="24"/>
          <w:szCs w:val="24"/>
          <w:u w:val="single"/>
        </w:rPr>
        <w:t>De hilarante y puro cachondeo se puede calificar el panfleto de la Comisión Europea sobre la Gran Recesión y su impacto en Europa</w:t>
      </w:r>
      <w:r w:rsidRPr="00ED091B">
        <w:rPr>
          <w:rFonts w:ascii="Times New Roman" w:hAnsi="Times New Roman" w:cs="Times New Roman"/>
          <w:sz w:val="24"/>
          <w:szCs w:val="24"/>
        </w:rPr>
        <w:t xml:space="preserve">. </w:t>
      </w:r>
      <w:r w:rsidRPr="001C4483">
        <w:rPr>
          <w:rFonts w:ascii="Times New Roman" w:hAnsi="Times New Roman" w:cs="Times New Roman"/>
          <w:sz w:val="24"/>
          <w:szCs w:val="24"/>
          <w:u w:val="single"/>
        </w:rPr>
        <w:t>Su diagnóstico y análisis de la situación refleja una caradura que haría sonrojar a los bufones y pícaros del Barroco español. Producirían risa si no fuera por el enorme daño que han ocasionado, sobretodo, a la ciudadanía del sur de Europa, con el apoyo inesti</w:t>
      </w:r>
      <w:r>
        <w:rPr>
          <w:rFonts w:ascii="Times New Roman" w:hAnsi="Times New Roman" w:cs="Times New Roman"/>
          <w:sz w:val="24"/>
          <w:szCs w:val="24"/>
          <w:u w:val="single"/>
        </w:rPr>
        <w:t>mable de las élites autóctonas -</w:t>
      </w:r>
      <w:r w:rsidRPr="001C4483">
        <w:rPr>
          <w:rFonts w:ascii="Times New Roman" w:hAnsi="Times New Roman" w:cs="Times New Roman"/>
          <w:sz w:val="24"/>
          <w:szCs w:val="24"/>
          <w:u w:val="single"/>
        </w:rPr>
        <w:t>políticas, económicas y mediáticas-, nuestros “patriotas de hojalata”</w:t>
      </w:r>
      <w:r w:rsidRPr="00ED091B">
        <w:rPr>
          <w:rFonts w:ascii="Times New Roman" w:hAnsi="Times New Roman" w:cs="Times New Roman"/>
          <w:sz w:val="24"/>
          <w:szCs w:val="24"/>
        </w:rPr>
        <w:t xml:space="preserve">. </w:t>
      </w:r>
      <w:r w:rsidRPr="001C4483">
        <w:rPr>
          <w:rFonts w:ascii="Times New Roman" w:hAnsi="Times New Roman" w:cs="Times New Roman"/>
          <w:color w:val="FF0000"/>
          <w:sz w:val="24"/>
          <w:szCs w:val="24"/>
          <w:u w:val="single"/>
        </w:rPr>
        <w:t>La crisis fue aprovechada para practicar un expolio a favor de las élites rentistas y en contra de los más débiles, especialmente los más jóvenes -indefensos, sin futuro-. Para ello han contado con el apoyo inestimable de ese 20%-25% de la población cuya percepción de rentas se está financiando con la emisión masiva de deuda pública.</w:t>
      </w:r>
    </w:p>
    <w:p w:rsidR="0093279F" w:rsidRPr="001C4483" w:rsidRDefault="0093279F" w:rsidP="0093279F">
      <w:pPr>
        <w:spacing w:line="240" w:lineRule="auto"/>
        <w:jc w:val="both"/>
        <w:rPr>
          <w:rFonts w:ascii="Times New Roman" w:hAnsi="Times New Roman" w:cs="Times New Roman"/>
          <w:color w:val="FF0000"/>
          <w:sz w:val="24"/>
          <w:szCs w:val="24"/>
          <w:u w:val="single"/>
        </w:rPr>
      </w:pPr>
      <w:r w:rsidRPr="00ED091B">
        <w:rPr>
          <w:rFonts w:ascii="Times New Roman" w:hAnsi="Times New Roman" w:cs="Times New Roman"/>
          <w:b/>
          <w:color w:val="FF0000"/>
          <w:sz w:val="24"/>
          <w:szCs w:val="24"/>
          <w:u w:val="single"/>
        </w:rPr>
        <w:t>Estos pícaros y bufones postmodernos dan por terminada, tras 10 años de dura crisis, la Gran Recesión en Europa</w:t>
      </w:r>
      <w:r w:rsidRPr="00ED091B">
        <w:rPr>
          <w:rFonts w:ascii="Times New Roman" w:hAnsi="Times New Roman" w:cs="Times New Roman"/>
          <w:sz w:val="24"/>
          <w:szCs w:val="24"/>
        </w:rPr>
        <w:t xml:space="preserve">. </w:t>
      </w:r>
      <w:r w:rsidRPr="001C4483">
        <w:rPr>
          <w:rFonts w:ascii="Times New Roman" w:hAnsi="Times New Roman" w:cs="Times New Roman"/>
          <w:sz w:val="24"/>
          <w:szCs w:val="24"/>
          <w:u w:val="single"/>
        </w:rPr>
        <w:t>Dicen que “tomaron importantes decisiones para contener la crisis, preservar la integridad del euro y evitar peores posibles resultados” y que después de 10 años han logrado sus objetivos: “los bancos son más fuertes, la inversión está aumentando y las finanzas públicas están en mejor forma”.</w:t>
      </w:r>
      <w:r w:rsidRPr="00ED091B">
        <w:rPr>
          <w:rFonts w:ascii="Times New Roman" w:hAnsi="Times New Roman" w:cs="Times New Roman"/>
          <w:sz w:val="24"/>
          <w:szCs w:val="24"/>
        </w:rPr>
        <w:t xml:space="preserve"> </w:t>
      </w:r>
      <w:r w:rsidRPr="001C4483">
        <w:rPr>
          <w:rFonts w:ascii="Times New Roman" w:hAnsi="Times New Roman" w:cs="Times New Roman"/>
          <w:color w:val="FF0000"/>
          <w:sz w:val="24"/>
          <w:szCs w:val="24"/>
          <w:u w:val="single"/>
        </w:rPr>
        <w:t>Una de dos, o mienten, o son unos ineptos.</w:t>
      </w:r>
    </w:p>
    <w:p w:rsidR="0093279F" w:rsidRPr="009C6F1D" w:rsidRDefault="0093279F" w:rsidP="0093279F">
      <w:pPr>
        <w:spacing w:line="240" w:lineRule="auto"/>
        <w:jc w:val="both"/>
        <w:rPr>
          <w:rFonts w:ascii="Times New Roman" w:hAnsi="Times New Roman" w:cs="Times New Roman"/>
          <w:sz w:val="24"/>
          <w:szCs w:val="24"/>
          <w:u w:val="single"/>
        </w:rPr>
      </w:pPr>
      <w:r w:rsidRPr="001C4483">
        <w:rPr>
          <w:rFonts w:ascii="Times New Roman" w:hAnsi="Times New Roman" w:cs="Times New Roman"/>
          <w:sz w:val="24"/>
          <w:szCs w:val="24"/>
          <w:u w:val="single"/>
        </w:rPr>
        <w:t>Es mentira que los bancos estén en mejor forma</w:t>
      </w:r>
      <w:r w:rsidRPr="00ED091B">
        <w:rPr>
          <w:rFonts w:ascii="Times New Roman" w:hAnsi="Times New Roman" w:cs="Times New Roman"/>
          <w:sz w:val="24"/>
          <w:szCs w:val="24"/>
        </w:rPr>
        <w:t xml:space="preserve">. ¿Se acuerdan de lo que nos decían antes de la caída de bancos como Dexia o Popular? El sistema bancario europeo, especialmente la banca sistémica, sigue siendo frágil e ineficiente. Las razones son varias. Por un lado, su opacidad, complejidad e interconectividad. Por otro, su excesiva dependencia de la deuda. </w:t>
      </w:r>
      <w:r w:rsidRPr="00ED091B">
        <w:rPr>
          <w:rFonts w:ascii="Times New Roman" w:hAnsi="Times New Roman" w:cs="Times New Roman"/>
          <w:sz w:val="24"/>
          <w:szCs w:val="24"/>
        </w:rPr>
        <w:lastRenderedPageBreak/>
        <w:t xml:space="preserve">Unamos a ello graves problemas de gobernabilidad y distorsiones que no se resuelven en los mercados; leyes y reglamentos defectuosos; y una absoluta falta de rendición de cuentas por parte de las gerencias bancarias. </w:t>
      </w:r>
      <w:r w:rsidRPr="009C6F1D">
        <w:rPr>
          <w:rFonts w:ascii="Times New Roman" w:hAnsi="Times New Roman" w:cs="Times New Roman"/>
          <w:sz w:val="24"/>
          <w:szCs w:val="24"/>
          <w:u w:val="single"/>
        </w:rPr>
        <w:t>Los bancos sistémicos europeos son cada día más sistémicos, y el total de activos medio y el apalancamiento promedio es mayor que en 2007. El déficit de capital, ante un escenario adverso, preocupante.</w:t>
      </w:r>
    </w:p>
    <w:p w:rsidR="0093279F" w:rsidRPr="00ED091B" w:rsidRDefault="0093279F" w:rsidP="0093279F">
      <w:pPr>
        <w:spacing w:line="240" w:lineRule="auto"/>
        <w:jc w:val="both"/>
        <w:rPr>
          <w:rFonts w:ascii="Times New Roman" w:hAnsi="Times New Roman" w:cs="Times New Roman"/>
          <w:sz w:val="24"/>
          <w:szCs w:val="24"/>
        </w:rPr>
      </w:pPr>
      <w:r w:rsidRPr="00ED091B">
        <w:rPr>
          <w:rFonts w:ascii="Times New Roman" w:hAnsi="Times New Roman" w:cs="Times New Roman"/>
          <w:sz w:val="24"/>
          <w:szCs w:val="24"/>
        </w:rPr>
        <w:t>Les importa un bledo el bienestar de la ciudadanía</w:t>
      </w:r>
    </w:p>
    <w:p w:rsidR="0093279F" w:rsidRPr="00ED091B" w:rsidRDefault="0093279F" w:rsidP="0093279F">
      <w:pPr>
        <w:spacing w:line="240" w:lineRule="auto"/>
        <w:jc w:val="both"/>
        <w:rPr>
          <w:rFonts w:ascii="Times New Roman" w:hAnsi="Times New Roman" w:cs="Times New Roman"/>
          <w:sz w:val="24"/>
          <w:szCs w:val="24"/>
        </w:rPr>
      </w:pPr>
      <w:r w:rsidRPr="009C6F1D">
        <w:rPr>
          <w:rFonts w:ascii="Times New Roman" w:hAnsi="Times New Roman" w:cs="Times New Roman"/>
          <w:color w:val="FF0000"/>
          <w:sz w:val="24"/>
          <w:szCs w:val="24"/>
          <w:u w:val="single"/>
        </w:rPr>
        <w:t>Pero además carecen de empatía. No comentan nada del empobrecimiento generalizado que han tenido que soportar, como un sacrificio ante no sé qué deidad, los ciudadanos de países como Grecia, España, Portugal o Irlanda. Bajo cifras promedio ocultan una realidad. El paro en algunos países del sur de Europa, España y Grecia, es el doble del que había antes de la crisis, y con una situación mucho más deplorable.</w:t>
      </w:r>
      <w:r w:rsidRPr="00ED091B">
        <w:rPr>
          <w:rFonts w:ascii="Times New Roman" w:hAnsi="Times New Roman" w:cs="Times New Roman"/>
          <w:sz w:val="24"/>
          <w:szCs w:val="24"/>
        </w:rPr>
        <w:t xml:space="preserve"> </w:t>
      </w:r>
      <w:r w:rsidRPr="009C6F1D">
        <w:rPr>
          <w:rFonts w:ascii="Times New Roman" w:hAnsi="Times New Roman" w:cs="Times New Roman"/>
          <w:color w:val="FF0000"/>
          <w:sz w:val="24"/>
          <w:szCs w:val="24"/>
          <w:u w:val="single"/>
        </w:rPr>
        <w:t>El empleo que se crea es temporal y precario, inestable y de bajos salarios. Todo es humo, no hay nada, ningún cambio de modelo productivo basado en la industria, en la innovación, en el conocimiento, en las nuevas tecnologías y en otras milongas que nos vendieron.</w:t>
      </w:r>
      <w:r w:rsidRPr="00ED091B">
        <w:rPr>
          <w:rFonts w:ascii="Times New Roman" w:hAnsi="Times New Roman" w:cs="Times New Roman"/>
          <w:sz w:val="24"/>
          <w:szCs w:val="24"/>
        </w:rPr>
        <w:t xml:space="preserve"> Pretenden, además, reactivar otra burbuja inmobiliaria. </w:t>
      </w:r>
      <w:r w:rsidRPr="009C6F1D">
        <w:rPr>
          <w:rFonts w:ascii="Times New Roman" w:hAnsi="Times New Roman" w:cs="Times New Roman"/>
          <w:sz w:val="24"/>
          <w:szCs w:val="24"/>
          <w:u w:val="single"/>
        </w:rPr>
        <w:t>Las tasas de paro corregidas por precariedad, temporalidad, parcialidad no deseada y falta de expectativas se sitúan en España y Grecia alrededor del 30% (medidas de desempleo equivalentes a las U6 y U7 estadounidenses).</w:t>
      </w:r>
      <w:r w:rsidRPr="00ED091B">
        <w:rPr>
          <w:rFonts w:ascii="Times New Roman" w:hAnsi="Times New Roman" w:cs="Times New Roman"/>
          <w:sz w:val="24"/>
          <w:szCs w:val="24"/>
        </w:rPr>
        <w:t xml:space="preserve"> Me produce sonrojo cuando Bañez y/o Rajoy hablan de empleo. Con estos mimbres, una de las razones detrás del proyecto de Unión Europea, la convergencia de rentas entre el Sur y el</w:t>
      </w:r>
      <w:r>
        <w:rPr>
          <w:rFonts w:ascii="Times New Roman" w:hAnsi="Times New Roman" w:cs="Times New Roman"/>
          <w:sz w:val="24"/>
          <w:szCs w:val="24"/>
        </w:rPr>
        <w:t xml:space="preserve"> Norte de Europa, hecha añicos.</w:t>
      </w:r>
    </w:p>
    <w:p w:rsidR="0093279F" w:rsidRPr="0093279F" w:rsidRDefault="0093279F" w:rsidP="0093279F">
      <w:pPr>
        <w:spacing w:line="240" w:lineRule="auto"/>
        <w:jc w:val="both"/>
        <w:rPr>
          <w:rFonts w:ascii="Times New Roman" w:hAnsi="Times New Roman" w:cs="Times New Roman"/>
          <w:sz w:val="24"/>
          <w:szCs w:val="24"/>
          <w:u w:val="single"/>
        </w:rPr>
      </w:pPr>
      <w:r w:rsidRPr="009C6F1D">
        <w:rPr>
          <w:rFonts w:ascii="Times New Roman" w:hAnsi="Times New Roman" w:cs="Times New Roman"/>
          <w:color w:val="FF0000"/>
          <w:sz w:val="24"/>
          <w:szCs w:val="24"/>
          <w:u w:val="single"/>
        </w:rPr>
        <w:t>Detrás de todo, como responsables últimos de esta situación, las políticas económicas y un diseño del euro totalmente inadecuado</w:t>
      </w:r>
      <w:r w:rsidRPr="00ED091B">
        <w:rPr>
          <w:rFonts w:ascii="Times New Roman" w:hAnsi="Times New Roman" w:cs="Times New Roman"/>
          <w:sz w:val="24"/>
          <w:szCs w:val="24"/>
        </w:rPr>
        <w:t xml:space="preserve">. El diagnóstico de la crisis fue erróneo, y las recetas completamente tóxicas. </w:t>
      </w:r>
      <w:r w:rsidRPr="009C6F1D">
        <w:rPr>
          <w:rFonts w:ascii="Times New Roman" w:hAnsi="Times New Roman" w:cs="Times New Roman"/>
          <w:sz w:val="24"/>
          <w:szCs w:val="24"/>
          <w:u w:val="single"/>
        </w:rPr>
        <w:t>Solo cu</w:t>
      </w:r>
      <w:r w:rsidR="00F77BC5">
        <w:rPr>
          <w:rFonts w:ascii="Times New Roman" w:hAnsi="Times New Roman" w:cs="Times New Roman"/>
          <w:sz w:val="24"/>
          <w:szCs w:val="24"/>
          <w:u w:val="single"/>
        </w:rPr>
        <w:t>ando vieron las orejas al lobo -</w:t>
      </w:r>
      <w:r w:rsidRPr="009C6F1D">
        <w:rPr>
          <w:rFonts w:ascii="Times New Roman" w:hAnsi="Times New Roman" w:cs="Times New Roman"/>
          <w:sz w:val="24"/>
          <w:szCs w:val="24"/>
          <w:u w:val="single"/>
        </w:rPr>
        <w:t>la posibilidad de perder el control político- empezaron a cambiar tímidamente de rumbo ciertas políticas. Pero el daño ya estaba hecho</w:t>
      </w:r>
      <w:r w:rsidRPr="00ED091B">
        <w:rPr>
          <w:rFonts w:ascii="Times New Roman" w:hAnsi="Times New Roman" w:cs="Times New Roman"/>
          <w:sz w:val="24"/>
          <w:szCs w:val="24"/>
        </w:rPr>
        <w:t>. Y miren que no he hablado de algo tangencial pero inherente a la crisis, la sobrevaloración del PIB patrio, al menos en un 17%. Porque nuestro nivel de deuda pública sobre PIB es mayor de lo que nos dicen; nuestra presión fiscal, de las más altas de Europa pero con unas prestacione</w:t>
      </w:r>
      <w:r w:rsidR="00F77BC5">
        <w:rPr>
          <w:rFonts w:ascii="Times New Roman" w:hAnsi="Times New Roman" w:cs="Times New Roman"/>
          <w:sz w:val="24"/>
          <w:szCs w:val="24"/>
        </w:rPr>
        <w:t>s sociales deficientes -</w:t>
      </w:r>
      <w:r w:rsidRPr="009C6F1D">
        <w:rPr>
          <w:rFonts w:ascii="Times New Roman" w:hAnsi="Times New Roman" w:cs="Times New Roman"/>
          <w:sz w:val="24"/>
          <w:szCs w:val="24"/>
          <w:u w:val="single"/>
        </w:rPr>
        <w:t>ya saben a dónde van a parar parte de las cuantiosas cantidades de euros de deuda pública soberana emitida, a financiar a lobbies y gr</w:t>
      </w:r>
      <w:r>
        <w:rPr>
          <w:rFonts w:ascii="Times New Roman" w:hAnsi="Times New Roman" w:cs="Times New Roman"/>
          <w:sz w:val="24"/>
          <w:szCs w:val="24"/>
          <w:u w:val="single"/>
        </w:rPr>
        <w:t>upos de electores influyentes-.</w:t>
      </w:r>
    </w:p>
    <w:p w:rsidR="0093279F" w:rsidRPr="00ED091B" w:rsidRDefault="0093279F" w:rsidP="0093279F">
      <w:pPr>
        <w:spacing w:line="240" w:lineRule="auto"/>
        <w:jc w:val="both"/>
        <w:rPr>
          <w:rFonts w:ascii="Times New Roman" w:hAnsi="Times New Roman" w:cs="Times New Roman"/>
          <w:sz w:val="24"/>
          <w:szCs w:val="24"/>
        </w:rPr>
      </w:pPr>
      <w:r w:rsidRPr="00ED091B">
        <w:rPr>
          <w:rFonts w:ascii="Times New Roman" w:hAnsi="Times New Roman" w:cs="Times New Roman"/>
          <w:sz w:val="24"/>
          <w:szCs w:val="24"/>
        </w:rPr>
        <w:t>La Comisión Europea como problema</w:t>
      </w:r>
    </w:p>
    <w:p w:rsidR="0093279F" w:rsidRPr="009C6F1D" w:rsidRDefault="0093279F" w:rsidP="0093279F">
      <w:pPr>
        <w:spacing w:line="240" w:lineRule="auto"/>
        <w:jc w:val="both"/>
        <w:rPr>
          <w:rFonts w:ascii="Times New Roman" w:hAnsi="Times New Roman" w:cs="Times New Roman"/>
          <w:color w:val="FF0000"/>
          <w:sz w:val="24"/>
          <w:szCs w:val="24"/>
          <w:u w:val="single"/>
        </w:rPr>
      </w:pPr>
      <w:r w:rsidRPr="009C6F1D">
        <w:rPr>
          <w:rFonts w:ascii="Times New Roman" w:hAnsi="Times New Roman" w:cs="Times New Roman"/>
          <w:color w:val="FF0000"/>
          <w:sz w:val="24"/>
          <w:szCs w:val="24"/>
          <w:u w:val="single"/>
        </w:rPr>
        <w:t>Cuando se inicia la Gran Recesión, allá por 2008, las autoridades políticas, económicas y monetarias del momento achacaron los males de la economía española a la ineficiencia del sector público y a una baja productividad del factor trabajo, que debería, según ellos, compensarse vía salarios más bajos. En base a este diagnóstico aplicaron el recetario de la Teoría Neoclásica dominante, bajo el cual se educaron. Consistía en un cóctel peligroso para la salud de los españoles: política fiscal restrictiva, política monetaria expansiva (papel del BCE), y deflación de salarios. Como consecuencia la economía española se vio abocada a una brutal contracción económica, que en términos técnicos se conoce como Recesión de Balances. Algunos aprendieron más tarde qué es una crisis “a la Minsky”, creada por una brutal expansión de la deuda privada alrededor de un colateral-burbuja inmobiliaria y/o financiera.</w:t>
      </w:r>
    </w:p>
    <w:p w:rsidR="0093279F" w:rsidRDefault="0093279F" w:rsidP="0093279F">
      <w:pPr>
        <w:spacing w:line="240" w:lineRule="auto"/>
        <w:jc w:val="both"/>
        <w:rPr>
          <w:rFonts w:ascii="Times New Roman" w:hAnsi="Times New Roman" w:cs="Times New Roman"/>
          <w:sz w:val="24"/>
          <w:szCs w:val="24"/>
        </w:rPr>
      </w:pPr>
      <w:r w:rsidRPr="009C6F1D">
        <w:rPr>
          <w:rFonts w:ascii="Times New Roman" w:hAnsi="Times New Roman" w:cs="Times New Roman"/>
          <w:sz w:val="24"/>
          <w:szCs w:val="24"/>
          <w:u w:val="single"/>
        </w:rPr>
        <w:t xml:space="preserve">Pero lo peor es que detrás de esa burbuja los principales responsables, más allá incluso de las autoridades políticas y económicas patrias y de nuestro sistema bancario, fueron las autoridades económicas y monetarias europeas (Banco Central Europeo y Comisión Europea). El economista jefe de Nomura, Richard Koo lo explicó en una excelente nota bajo el sugerente título “The entire crisis in Europe started with a big ECB bailout of Germany”. </w:t>
      </w:r>
      <w:r w:rsidRPr="009C6F1D">
        <w:rPr>
          <w:rFonts w:ascii="Times New Roman" w:hAnsi="Times New Roman" w:cs="Times New Roman"/>
          <w:sz w:val="24"/>
          <w:szCs w:val="24"/>
          <w:u w:val="single"/>
        </w:rPr>
        <w:lastRenderedPageBreak/>
        <w:t>Según Koo el denominado “problema de competitividad” de los países del sur de Europa fue consecuencia de una política monetaria excesivamente expansiva del BCE. Ésta tenía como objetivo último estimular la economía con el fin de que Alemania no tuviera que expandir su crecimiento vía política fiscal. Sin embargo, el impacto sobre la demanda interna de Alemania fue nulo, al encontrarse en recesión de balances. Por el contrario aceleró e infló hasta límites insospechados las burbujas en la periferia, especialmente la inmobiliaria, lo que impulsó las importaciones alemanas, rescatando al país teutón de los miedos provocados por el estallido de la burbuja tecnológica, de la que apenas se beneficiaron los países europeos del sur.</w:t>
      </w:r>
      <w:r w:rsidRPr="00ED091B">
        <w:rPr>
          <w:rFonts w:ascii="Times New Roman" w:hAnsi="Times New Roman" w:cs="Times New Roman"/>
          <w:sz w:val="24"/>
          <w:szCs w:val="24"/>
        </w:rPr>
        <w:t xml:space="preserve"> Lo que subyace en el fondo es algo que dejamos para el siguiente blog, el diseño del Euro como problema.</w:t>
      </w:r>
    </w:p>
    <w:p w:rsidR="002E6C87" w:rsidRPr="008060EA" w:rsidRDefault="002E6C87" w:rsidP="002E6C87">
      <w:pPr>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8060EA">
        <w:rPr>
          <w:rFonts w:ascii="Times New Roman" w:hAnsi="Times New Roman" w:cs="Times New Roman"/>
          <w:color w:val="1A1A1A"/>
          <w:sz w:val="24"/>
          <w:szCs w:val="24"/>
          <w:u w:val="single"/>
        </w:rPr>
        <w:t>Los “cachondos” de Bruselas (II)</w:t>
      </w:r>
      <w:r>
        <w:rPr>
          <w:rFonts w:ascii="Times New Roman" w:hAnsi="Times New Roman" w:cs="Times New Roman"/>
          <w:color w:val="1A1A1A"/>
          <w:sz w:val="24"/>
          <w:szCs w:val="24"/>
        </w:rPr>
        <w:t xml:space="preserve"> (Vozpópuli - </w:t>
      </w:r>
      <w:r w:rsidRPr="008060EA">
        <w:rPr>
          <w:rFonts w:ascii="Times New Roman" w:hAnsi="Times New Roman" w:cs="Times New Roman"/>
          <w:b/>
          <w:color w:val="1A1A1A"/>
          <w:sz w:val="24"/>
          <w:szCs w:val="24"/>
        </w:rPr>
        <w:t>17/8/17</w:t>
      </w:r>
      <w:r>
        <w:rPr>
          <w:rFonts w:ascii="Times New Roman" w:hAnsi="Times New Roman" w:cs="Times New Roman"/>
          <w:color w:val="1A1A1A"/>
          <w:sz w:val="24"/>
          <w:szCs w:val="24"/>
        </w:rPr>
        <w:t>)</w:t>
      </w:r>
    </w:p>
    <w:p w:rsidR="002E6C87" w:rsidRPr="00897139" w:rsidRDefault="002E6C87" w:rsidP="002E6C87">
      <w:pPr>
        <w:spacing w:line="240" w:lineRule="auto"/>
        <w:jc w:val="both"/>
        <w:textAlignment w:val="baseline"/>
        <w:rPr>
          <w:rFonts w:ascii="Times New Roman" w:hAnsi="Times New Roman" w:cs="Times New Roman"/>
          <w:color w:val="FF0000"/>
          <w:sz w:val="24"/>
          <w:szCs w:val="24"/>
        </w:rPr>
      </w:pPr>
      <w:r w:rsidRPr="00897139">
        <w:rPr>
          <w:rFonts w:ascii="Times New Roman" w:hAnsi="Times New Roman" w:cs="Times New Roman"/>
          <w:color w:val="FF0000"/>
          <w:sz w:val="24"/>
          <w:szCs w:val="24"/>
        </w:rPr>
        <w:t>El problema de fondo tiene su origen en Alemania y los distintos diseños realizados, tras la ruptura de Breton Woods, a medida del país teutón para evitar una apreciación continuada del marco alemán.</w:t>
      </w:r>
    </w:p>
    <w:p w:rsidR="002E6C87" w:rsidRDefault="002E6C87" w:rsidP="002E6C87">
      <w:pPr>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(Por Juan Laborda)</w:t>
      </w:r>
    </w:p>
    <w:p w:rsidR="002E6C87" w:rsidRPr="008060EA" w:rsidRDefault="002E6C87" w:rsidP="002E6C87">
      <w:pPr>
        <w:spacing w:line="240" w:lineRule="auto"/>
        <w:jc w:val="both"/>
        <w:textAlignment w:val="baseline"/>
        <w:rPr>
          <w:rFonts w:ascii="Times New Roman" w:hAnsi="Times New Roman" w:cs="Times New Roman"/>
          <w:color w:val="1A1A1A"/>
          <w:sz w:val="24"/>
          <w:szCs w:val="24"/>
        </w:rPr>
      </w:pPr>
      <w:r w:rsidRPr="00897139">
        <w:rPr>
          <w:rFonts w:ascii="Times New Roman" w:hAnsi="Times New Roman" w:cs="Times New Roman"/>
          <w:color w:val="1A1A1A"/>
          <w:sz w:val="24"/>
          <w:szCs w:val="24"/>
          <w:u w:val="single"/>
        </w:rPr>
        <w:t>En el blog anterior empezamos a desmontar el hilarante panfleto de la Comisión Europea sobre la Gran Recesión y su impacto en Europa. Estos pícaros y bufones postmodernos daban por terminada, tras 10 años de dura crisis, la Gran Recesión en Europa y en España. Dicen que “tomaron importantes decisiones para contener la crisis, preservar la integridad del euro y evitar peores posibles resultados” y que después de 10 años han logrado sus objetivos: “los bancos son más fuertes, la inversión está aumentando y las finanzas públicas están en mejor forma”. Tremendo cuando estamos en la antesala de la segunda ola de la Gran Recesión</w:t>
      </w:r>
      <w:r>
        <w:rPr>
          <w:rFonts w:ascii="Times New Roman" w:hAnsi="Times New Roman" w:cs="Times New Roman"/>
          <w:color w:val="1A1A1A"/>
          <w:sz w:val="24"/>
          <w:szCs w:val="24"/>
        </w:rPr>
        <w:t>.</w:t>
      </w:r>
    </w:p>
    <w:p w:rsidR="002E6C87" w:rsidRPr="00897139" w:rsidRDefault="002E6C87" w:rsidP="002E6C87">
      <w:pPr>
        <w:spacing w:line="240" w:lineRule="auto"/>
        <w:jc w:val="both"/>
        <w:textAlignment w:val="baseline"/>
        <w:rPr>
          <w:rFonts w:ascii="Times New Roman" w:hAnsi="Times New Roman" w:cs="Times New Roman"/>
          <w:color w:val="FF0000"/>
          <w:sz w:val="24"/>
          <w:szCs w:val="24"/>
          <w:u w:val="single"/>
        </w:rPr>
      </w:pPr>
      <w:r w:rsidRPr="00897139">
        <w:rPr>
          <w:rFonts w:ascii="Times New Roman" w:hAnsi="Times New Roman" w:cs="Times New Roman"/>
          <w:color w:val="1A1A1A"/>
          <w:sz w:val="24"/>
          <w:szCs w:val="24"/>
          <w:u w:val="single"/>
        </w:rPr>
        <w:t>Ya detallamos los errores de los análisis y estudios que las autoridades políticas, económicas y monetarias europeas del momento hicieron de la Gran Recesión. Obviamente no tenían ni idea de la hipótesis de inestabilidad financiera de Hyman Minsky, ni habían oído hablar de la Recesión de Balances de Richard Koo</w:t>
      </w:r>
      <w:r w:rsidRPr="008060EA">
        <w:rPr>
          <w:rFonts w:ascii="Times New Roman" w:hAnsi="Times New Roman" w:cs="Times New Roman"/>
          <w:color w:val="1A1A1A"/>
          <w:sz w:val="24"/>
          <w:szCs w:val="24"/>
        </w:rPr>
        <w:t xml:space="preserve">. En lo relativo a nuestro país, estos estudios presentaban dos clarísimas deficiencias. En primer lugar, hicieron un diagnóstico erróneo sobre las razones que provocaron la crisis sistémica. En segundo lugar, y derivado de lo anterior, las recetas ofrecidas no hicieron sino ahondar aún más el empobrecimiento de nuestro país. Sin embargo, </w:t>
      </w:r>
      <w:r w:rsidRPr="00897139">
        <w:rPr>
          <w:rFonts w:ascii="Times New Roman" w:hAnsi="Times New Roman" w:cs="Times New Roman"/>
          <w:color w:val="FF0000"/>
          <w:sz w:val="24"/>
          <w:szCs w:val="24"/>
          <w:u w:val="single"/>
        </w:rPr>
        <w:t>en el trasfondo de todo, está el diseño del Euro como problema.</w:t>
      </w:r>
    </w:p>
    <w:p w:rsidR="002E6C87" w:rsidRPr="008060EA" w:rsidRDefault="002E6C87" w:rsidP="002E6C87">
      <w:pPr>
        <w:spacing w:line="240" w:lineRule="auto"/>
        <w:jc w:val="both"/>
        <w:textAlignment w:val="baseline"/>
        <w:rPr>
          <w:rFonts w:ascii="Times New Roman" w:hAnsi="Times New Roman" w:cs="Times New Roman"/>
          <w:color w:val="1A1A1A"/>
          <w:sz w:val="24"/>
          <w:szCs w:val="24"/>
        </w:rPr>
      </w:pPr>
      <w:r w:rsidRPr="008060EA">
        <w:rPr>
          <w:rFonts w:ascii="Times New Roman" w:hAnsi="Times New Roman" w:cs="Times New Roman"/>
          <w:color w:val="1A1A1A"/>
          <w:sz w:val="24"/>
          <w:szCs w:val="24"/>
        </w:rPr>
        <w:t>Al final, el diseño del Euro como problema</w:t>
      </w:r>
    </w:p>
    <w:p w:rsidR="002E6C87" w:rsidRPr="00897139" w:rsidRDefault="002E6C87" w:rsidP="002E6C87">
      <w:pPr>
        <w:spacing w:line="240" w:lineRule="auto"/>
        <w:jc w:val="both"/>
        <w:textAlignment w:val="baseline"/>
        <w:rPr>
          <w:rFonts w:ascii="Times New Roman" w:hAnsi="Times New Roman" w:cs="Times New Roman"/>
          <w:color w:val="FF0000"/>
          <w:sz w:val="24"/>
          <w:szCs w:val="24"/>
          <w:u w:val="single"/>
        </w:rPr>
      </w:pPr>
      <w:r w:rsidRPr="00897139">
        <w:rPr>
          <w:rFonts w:ascii="Times New Roman" w:hAnsi="Times New Roman" w:cs="Times New Roman"/>
          <w:color w:val="1A1A1A"/>
          <w:sz w:val="24"/>
          <w:szCs w:val="24"/>
          <w:u w:val="single"/>
        </w:rPr>
        <w:t>Desde el inicio de la crisis de la eurozona había soluciones más eficientes y más justas</w:t>
      </w:r>
      <w:r w:rsidRPr="008060EA">
        <w:rPr>
          <w:rFonts w:ascii="Times New Roman" w:hAnsi="Times New Roman" w:cs="Times New Roman"/>
          <w:color w:val="1A1A1A"/>
          <w:sz w:val="24"/>
          <w:szCs w:val="24"/>
        </w:rPr>
        <w:t xml:space="preserve">. Estas eran ampliamente entendidas por los economistas y no eran especialmente difíciles de implementar -al menos técnicamente (otra cosa es la política)-. </w:t>
      </w:r>
      <w:r w:rsidRPr="00897139">
        <w:rPr>
          <w:rFonts w:ascii="Times New Roman" w:hAnsi="Times New Roman" w:cs="Times New Roman"/>
          <w:color w:val="FF0000"/>
          <w:sz w:val="24"/>
          <w:szCs w:val="24"/>
          <w:u w:val="single"/>
        </w:rPr>
        <w:t>Había un camino alternativo, cancelación de deudas y mucha menos austeridad. Pero este camino no fue tomado. La deuda (sobre todo privada) fue utilizada como una excusa para apretar el orden económico neoliberal dentro de un marco federalista conservador. La alternativa habría ayudado a preservar el modelo social europeo y habría cambiado la agenda neoliberal. Y solo cuando algunos gobiernos sumisos con las élites dominantes vieron peligrar su posición en favor de fuerzas políticas emergentes se relajó la austeridad y se usó el BCE para financiar la expansión de deuda soberana.</w:t>
      </w:r>
    </w:p>
    <w:p w:rsidR="002E6C87" w:rsidRPr="00897139" w:rsidRDefault="002E6C87" w:rsidP="002E6C87">
      <w:pPr>
        <w:spacing w:line="240" w:lineRule="auto"/>
        <w:jc w:val="both"/>
        <w:textAlignment w:val="baseline"/>
        <w:rPr>
          <w:rFonts w:ascii="Times New Roman" w:hAnsi="Times New Roman" w:cs="Times New Roman"/>
          <w:color w:val="FF0000"/>
          <w:sz w:val="24"/>
          <w:szCs w:val="24"/>
          <w:u w:val="single"/>
        </w:rPr>
      </w:pPr>
      <w:r w:rsidRPr="00897139">
        <w:rPr>
          <w:rFonts w:ascii="Times New Roman" w:hAnsi="Times New Roman" w:cs="Times New Roman"/>
          <w:color w:val="FF0000"/>
          <w:sz w:val="24"/>
          <w:szCs w:val="24"/>
          <w:u w:val="single"/>
        </w:rPr>
        <w:t xml:space="preserve">La Unión Monetaria Europea (UME) es en realidad un sistema defectuoso desde sus orígenes. Se hizo caso omiso de los informes precedentes (Werner, 1970; MacDougall, 1977) donde se avisaba de la necesidad de una instancia fiscal federal y de los peligros de dejar todo </w:t>
      </w:r>
      <w:r w:rsidRPr="00897139">
        <w:rPr>
          <w:rFonts w:ascii="Times New Roman" w:hAnsi="Times New Roman" w:cs="Times New Roman"/>
          <w:color w:val="FF0000"/>
          <w:sz w:val="24"/>
          <w:szCs w:val="24"/>
          <w:u w:val="single"/>
        </w:rPr>
        <w:lastRenderedPageBreak/>
        <w:t>en manos de una Banco Central, como una parte no constituyente del gobierno, y de establecer, en este contexto, unos tipos de cambio fijos entre los estados miembros.</w:t>
      </w:r>
    </w:p>
    <w:p w:rsidR="002E6C87" w:rsidRPr="00897139" w:rsidRDefault="002E6C87" w:rsidP="002E6C87">
      <w:pPr>
        <w:spacing w:line="240" w:lineRule="auto"/>
        <w:jc w:val="both"/>
        <w:textAlignment w:val="baseline"/>
        <w:rPr>
          <w:rFonts w:ascii="Times New Roman" w:hAnsi="Times New Roman" w:cs="Times New Roman"/>
          <w:color w:val="FF0000"/>
          <w:sz w:val="24"/>
          <w:szCs w:val="24"/>
          <w:u w:val="single"/>
        </w:rPr>
      </w:pPr>
      <w:r w:rsidRPr="00897139">
        <w:rPr>
          <w:rFonts w:ascii="Times New Roman" w:hAnsi="Times New Roman" w:cs="Times New Roman"/>
          <w:color w:val="FF0000"/>
          <w:sz w:val="24"/>
          <w:szCs w:val="24"/>
          <w:u w:val="single"/>
        </w:rPr>
        <w:t>El problema de fondo tiene su origen en Alemania y los distintos diseños realizados, tras la ruptura de Breton Woods, a medida del país teutón para evitar una apreciación continuada del marco alemán. Pero al final al dar primacía a la posición monetarista sobre la inflación, Alemania se convirtió en la autoridad monetaria de facto en Europa. La decisión de los Estados miembros del Sistema Monetario Europeo de subyugar su propia independencia política significó que el Bundesbank se convirtió en el banco central de la Comunidad Económica Europea. Lo importante era que a medida que Europa avanzaba hacia la creación de la zona euro, la inestabilidad monetaria era abundante y Alemania estaba renunciando a sus acuerdos de comportarse simétricamente para estabilizar el sistema.</w:t>
      </w:r>
    </w:p>
    <w:p w:rsidR="002E6C87" w:rsidRPr="00897139" w:rsidRDefault="002E6C87" w:rsidP="002E6C87">
      <w:pPr>
        <w:spacing w:line="240" w:lineRule="auto"/>
        <w:jc w:val="both"/>
        <w:textAlignment w:val="baseline"/>
        <w:rPr>
          <w:rFonts w:ascii="Times New Roman" w:hAnsi="Times New Roman" w:cs="Times New Roman"/>
          <w:color w:val="FF0000"/>
          <w:sz w:val="24"/>
          <w:szCs w:val="24"/>
          <w:u w:val="single"/>
        </w:rPr>
      </w:pPr>
      <w:r w:rsidRPr="00897139">
        <w:rPr>
          <w:rFonts w:ascii="Times New Roman" w:hAnsi="Times New Roman" w:cs="Times New Roman"/>
          <w:color w:val="FF0000"/>
          <w:sz w:val="24"/>
          <w:szCs w:val="24"/>
          <w:u w:val="single"/>
        </w:rPr>
        <w:t>Alemania no quiso generar déficits por cuenta corriente, tan necesarios para la estabilidad del resto de países. En ese momento las otras naciones europeas deberían haber detenido la creación de la Eurozona. Era obvio que estas naciones no estaban aptas para compartir una moneda, ya que no podían mantener ninguna estabilidad monetaria, excepto si se recurría a los controles de capital.</w:t>
      </w:r>
    </w:p>
    <w:p w:rsidR="002E6C87" w:rsidRPr="008060EA" w:rsidRDefault="002E6C87" w:rsidP="002E6C87">
      <w:pPr>
        <w:spacing w:line="240" w:lineRule="auto"/>
        <w:jc w:val="both"/>
        <w:textAlignment w:val="baseline"/>
        <w:rPr>
          <w:rFonts w:ascii="Times New Roman" w:hAnsi="Times New Roman" w:cs="Times New Roman"/>
          <w:color w:val="1A1A1A"/>
          <w:sz w:val="24"/>
          <w:szCs w:val="24"/>
        </w:rPr>
      </w:pPr>
      <w:r w:rsidRPr="008060EA">
        <w:rPr>
          <w:rFonts w:ascii="Times New Roman" w:hAnsi="Times New Roman" w:cs="Times New Roman"/>
          <w:color w:val="1A1A1A"/>
          <w:sz w:val="24"/>
          <w:szCs w:val="24"/>
        </w:rPr>
        <w:t>El hecho de que Alemania continúe violando el Procedimiento de Desequilibrio Macroeconómico, incorporado en los cambios del Pacto de Estabilidad y Crecimiento -que restringía los superávits en cuenta corriente al 6 por ciento del PIB-, es porque su tipo de cambio efectivo real sigue siendo demasiado bajo. Si la zona euro se desintegrara, la nueva moneda teutona se apreciaría entre un 15%-30% para reflejar su fortaleza comercial y permitir así posiciones más competitivas para sus socios europeos. Pero aquí ni se enteran de que va la fiesta, ni apenas presionan a favor de sus ciudadanos, adoptando una postura de genuflexión y sumis</w:t>
      </w:r>
      <w:r>
        <w:rPr>
          <w:rFonts w:ascii="Times New Roman" w:hAnsi="Times New Roman" w:cs="Times New Roman"/>
          <w:color w:val="1A1A1A"/>
          <w:sz w:val="24"/>
          <w:szCs w:val="24"/>
        </w:rPr>
        <w:t>ión inaceptable.</w:t>
      </w:r>
    </w:p>
    <w:p w:rsidR="002E6C87" w:rsidRPr="008060EA" w:rsidRDefault="002E6C87" w:rsidP="002E6C87">
      <w:pPr>
        <w:spacing w:line="240" w:lineRule="auto"/>
        <w:jc w:val="both"/>
        <w:textAlignment w:val="baseline"/>
        <w:rPr>
          <w:rFonts w:ascii="Times New Roman" w:hAnsi="Times New Roman" w:cs="Times New Roman"/>
          <w:color w:val="1A1A1A"/>
          <w:sz w:val="24"/>
          <w:szCs w:val="24"/>
        </w:rPr>
      </w:pPr>
      <w:r w:rsidRPr="008060EA">
        <w:rPr>
          <w:rFonts w:ascii="Times New Roman" w:hAnsi="Times New Roman" w:cs="Times New Roman"/>
          <w:color w:val="1A1A1A"/>
          <w:sz w:val="24"/>
          <w:szCs w:val="24"/>
        </w:rPr>
        <w:t>Posibles soluciones</w:t>
      </w:r>
    </w:p>
    <w:p w:rsidR="002E6C87" w:rsidRPr="00897139" w:rsidRDefault="002E6C87" w:rsidP="002E6C87">
      <w:pPr>
        <w:spacing w:line="240" w:lineRule="auto"/>
        <w:jc w:val="both"/>
        <w:textAlignment w:val="baseline"/>
        <w:rPr>
          <w:rFonts w:ascii="Times New Roman" w:hAnsi="Times New Roman" w:cs="Times New Roman"/>
          <w:color w:val="FF0000"/>
          <w:sz w:val="24"/>
          <w:szCs w:val="24"/>
          <w:u w:val="single"/>
        </w:rPr>
      </w:pPr>
      <w:r w:rsidRPr="00897139">
        <w:rPr>
          <w:rFonts w:ascii="Times New Roman" w:hAnsi="Times New Roman" w:cs="Times New Roman"/>
          <w:color w:val="1A1A1A"/>
          <w:sz w:val="24"/>
          <w:szCs w:val="24"/>
          <w:u w:val="single"/>
        </w:rPr>
        <w:t>A partir de este análisis se plantean tres alternativas para buscar una solución óptima para el conjunto de los países de la Eurozona</w:t>
      </w:r>
      <w:r w:rsidRPr="008060EA">
        <w:rPr>
          <w:rFonts w:ascii="Times New Roman" w:hAnsi="Times New Roman" w:cs="Times New Roman"/>
          <w:color w:val="1A1A1A"/>
          <w:sz w:val="24"/>
          <w:szCs w:val="24"/>
        </w:rPr>
        <w:t xml:space="preserve">. </w:t>
      </w:r>
      <w:r w:rsidRPr="00897139">
        <w:rPr>
          <w:rFonts w:ascii="Times New Roman" w:hAnsi="Times New Roman" w:cs="Times New Roman"/>
          <w:color w:val="FF0000"/>
          <w:sz w:val="24"/>
          <w:szCs w:val="24"/>
          <w:u w:val="single"/>
        </w:rPr>
        <w:t>En primer lugar, el establecimiento de una verdadera federación política y económica, pero a fecha de hoy las grandes diferencias entre las naciones europeas lo hacen altamente improbable. En una segunda alternativa, el BCE podría utilizar su capacidad de emisión de moneda para financiar los déficits fiscales de los Estados miembros para que pudieran fomentar el crecimiento y el empleo en sus economías nacionales sin encontrarse con las restricciones que los mercados de bonos privados ejercen en sus gastos. Sin embargo, se opone con contundencia Alemania y la propia Comisión Europea. Pero sería una alternativa muy interesante.</w:t>
      </w:r>
    </w:p>
    <w:p w:rsidR="002E6C87" w:rsidRPr="00897139" w:rsidRDefault="002E6C87" w:rsidP="002E6C87">
      <w:pPr>
        <w:spacing w:line="240" w:lineRule="auto"/>
        <w:jc w:val="both"/>
        <w:textAlignment w:val="baseline"/>
        <w:rPr>
          <w:rFonts w:ascii="Times New Roman" w:hAnsi="Times New Roman" w:cs="Times New Roman"/>
          <w:color w:val="FF0000"/>
          <w:sz w:val="24"/>
          <w:szCs w:val="24"/>
          <w:u w:val="single"/>
        </w:rPr>
      </w:pPr>
      <w:r w:rsidRPr="00897139">
        <w:rPr>
          <w:rFonts w:ascii="Times New Roman" w:hAnsi="Times New Roman" w:cs="Times New Roman"/>
          <w:color w:val="FF0000"/>
          <w:sz w:val="24"/>
          <w:szCs w:val="24"/>
          <w:u w:val="single"/>
        </w:rPr>
        <w:t>Bajo este escenario, si nada cambia, deberíamos plantearnos una alternativa, en principio considerada tabú por la mayoría de la ciudadanía, la opción de la salida del euro. Puede ser o bien mediante un desmantelamiento ordenado de la moneda y una restauración de la soberanía monetaria individual para cada nación, con el restablecimiento de su propio banco central, o bien una salida unilateral de cada nación. La mejor opción para países como Italia, España, Grecia o Portugal, si nada cambia, es la salida unilateral de la unión monetaria mediante el restablecimiento de su propia soberanía económica y política.</w:t>
      </w:r>
    </w:p>
    <w:p w:rsidR="002E6C87" w:rsidRPr="002E6C87" w:rsidRDefault="002E6C87" w:rsidP="002E6C87">
      <w:pPr>
        <w:spacing w:line="240" w:lineRule="auto"/>
        <w:jc w:val="both"/>
        <w:textAlignment w:val="baseline"/>
        <w:rPr>
          <w:rFonts w:ascii="Times New Roman" w:hAnsi="Times New Roman" w:cs="Times New Roman"/>
          <w:color w:val="1A1A1A"/>
          <w:sz w:val="24"/>
          <w:szCs w:val="24"/>
        </w:rPr>
      </w:pPr>
      <w:r w:rsidRPr="008060EA">
        <w:rPr>
          <w:rFonts w:ascii="Times New Roman" w:hAnsi="Times New Roman" w:cs="Times New Roman"/>
          <w:color w:val="1A1A1A"/>
          <w:sz w:val="24"/>
          <w:szCs w:val="24"/>
        </w:rPr>
        <w:t xml:space="preserve">Este análisis es especialmente certero si analizamos el crecimiento económico de España desde la segunda mitad de 2014, frágil y auto-programado por las élites. Se permitió al ejecutivo del PP una expansión fiscal que invalidaba la austeridad, y que produjo una recuperación del consumo público, y por ende de la economía. Y además el BCE empezó, </w:t>
      </w:r>
      <w:r w:rsidRPr="008060EA">
        <w:rPr>
          <w:rFonts w:ascii="Times New Roman" w:hAnsi="Times New Roman" w:cs="Times New Roman"/>
          <w:color w:val="1A1A1A"/>
          <w:sz w:val="24"/>
          <w:szCs w:val="24"/>
        </w:rPr>
        <w:lastRenderedPageBreak/>
        <w:t>primero, a regar generosamente a un sistema bancario español con problemas de fondo, facilitando una modesta recuperación del flujo del crédito; y, posteriormente, a comprar deuda soberana patria en mercado secundario hasta convertir al Banco de España en el principal acreedor del Tesoro. Si alguien cuestionará el orden actual establecido, automáticamente el Banco Central cerraría el grifo, se paralizaría el crédito, no se podría  refinanciar la deuda soberana, aumentaría la aversión al riesgo y emergería con toda su fuerza la fragilidad de los balances bancarios y la inestabilidad de nuestra economía. Por eso quizás hay que tener siempre preparado un Plan B.</w:t>
      </w:r>
    </w:p>
    <w:p w:rsidR="0093279F" w:rsidRPr="006018AE" w:rsidRDefault="0093279F" w:rsidP="009327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018AE">
        <w:rPr>
          <w:rFonts w:ascii="Times New Roman" w:hAnsi="Times New Roman" w:cs="Times New Roman"/>
          <w:sz w:val="24"/>
          <w:szCs w:val="24"/>
          <w:u w:val="single"/>
        </w:rPr>
        <w:t>La gran lección no aprendida de la crisis económica</w:t>
      </w:r>
      <w:r>
        <w:rPr>
          <w:rFonts w:ascii="Times New Roman" w:hAnsi="Times New Roman" w:cs="Times New Roman"/>
          <w:sz w:val="24"/>
          <w:szCs w:val="24"/>
        </w:rPr>
        <w:t xml:space="preserve"> (El Confidencial - </w:t>
      </w:r>
      <w:r w:rsidRPr="006018AE">
        <w:rPr>
          <w:rFonts w:ascii="Times New Roman" w:hAnsi="Times New Roman" w:cs="Times New Roman"/>
          <w:b/>
          <w:sz w:val="24"/>
          <w:szCs w:val="24"/>
        </w:rPr>
        <w:t>14/8/17</w:t>
      </w:r>
      <w:r>
        <w:rPr>
          <w:rFonts w:ascii="Times New Roman" w:hAnsi="Times New Roman" w:cs="Times New Roman"/>
          <w:sz w:val="24"/>
          <w:szCs w:val="24"/>
        </w:rPr>
        <w:t>)</w:t>
      </w:r>
    </w:p>
    <w:p w:rsidR="0093279F" w:rsidRPr="002E6C87" w:rsidRDefault="0093279F" w:rsidP="002E6C87">
      <w:pPr>
        <w:spacing w:line="240" w:lineRule="auto"/>
        <w:jc w:val="both"/>
        <w:rPr>
          <w:rFonts w:ascii="Times New Roman" w:hAnsi="Times New Roman" w:cs="Times New Roman"/>
          <w:color w:val="FF0000"/>
          <w:sz w:val="24"/>
          <w:szCs w:val="24"/>
        </w:rPr>
      </w:pPr>
      <w:r w:rsidRPr="0080650C">
        <w:rPr>
          <w:rFonts w:ascii="Times New Roman" w:hAnsi="Times New Roman" w:cs="Times New Roman"/>
          <w:color w:val="FF0000"/>
          <w:sz w:val="24"/>
          <w:szCs w:val="24"/>
        </w:rPr>
        <w:t>Pese a los mensajes de optimismo de muchos gobernantes, mucho me temo que las auténticas lecciones que deberíamos haber extraído continúan ma</w:t>
      </w:r>
      <w:r w:rsidR="002E6C87">
        <w:rPr>
          <w:rFonts w:ascii="Times New Roman" w:hAnsi="Times New Roman" w:cs="Times New Roman"/>
          <w:color w:val="FF0000"/>
          <w:sz w:val="24"/>
          <w:szCs w:val="24"/>
        </w:rPr>
        <w:t>rginadas en el cajón del olvido</w:t>
      </w:r>
    </w:p>
    <w:p w:rsidR="0093279F" w:rsidRDefault="0093279F" w:rsidP="009327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Juan Ramón Rallo)</w:t>
      </w:r>
    </w:p>
    <w:p w:rsidR="0093279F" w:rsidRPr="0080650C" w:rsidRDefault="0093279F" w:rsidP="0093279F">
      <w:pPr>
        <w:spacing w:line="240" w:lineRule="auto"/>
        <w:jc w:val="both"/>
        <w:rPr>
          <w:rFonts w:ascii="Times New Roman" w:hAnsi="Times New Roman" w:cs="Times New Roman"/>
          <w:sz w:val="24"/>
          <w:szCs w:val="24"/>
          <w:u w:val="single"/>
        </w:rPr>
      </w:pPr>
      <w:r w:rsidRPr="0080650C">
        <w:rPr>
          <w:rFonts w:ascii="Times New Roman" w:hAnsi="Times New Roman" w:cs="Times New Roman"/>
          <w:sz w:val="24"/>
          <w:szCs w:val="24"/>
          <w:u w:val="single"/>
        </w:rPr>
        <w:t>La Gran Recesión cumple 10 años: una década desde el estallido de la crisis global de liquidez que terminó provocando la quiebra del sistema financiero internacional y el colapso de una parte sustancial de su aparato productivo. Muchos gobernantes ya dan la depresión por finiquitada: Occidente vuelve a crecer y el desempleo ha recuperado sus niveles previos a la crisis tanto en Europa como en EEUU. A su vez, se nos asegura que hemos aprendido sobradamente las lecciones del pasado y que la repetición de un fenómeno tan devastador sería hoy imposible.</w:t>
      </w:r>
    </w:p>
    <w:p w:rsidR="0093279F" w:rsidRPr="0080650C" w:rsidRDefault="0093279F" w:rsidP="0093279F">
      <w:pPr>
        <w:spacing w:line="240" w:lineRule="auto"/>
        <w:jc w:val="both"/>
        <w:rPr>
          <w:rFonts w:ascii="Times New Roman" w:hAnsi="Times New Roman" w:cs="Times New Roman"/>
          <w:color w:val="FF0000"/>
          <w:sz w:val="24"/>
          <w:szCs w:val="24"/>
          <w:u w:val="single"/>
        </w:rPr>
      </w:pPr>
      <w:r w:rsidRPr="0080650C">
        <w:rPr>
          <w:rFonts w:ascii="Times New Roman" w:hAnsi="Times New Roman" w:cs="Times New Roman"/>
          <w:color w:val="FF0000"/>
          <w:sz w:val="24"/>
          <w:szCs w:val="24"/>
          <w:u w:val="single"/>
        </w:rPr>
        <w:t>Sin embargo, mucho me temo que las auténticas lecciones que deberíamos haber extraído sobre las causas últimas de este magno descalabro continúan marginadas en el cajón del olvido y de la ignorancia</w:t>
      </w:r>
      <w:r w:rsidRPr="006018AE">
        <w:rPr>
          <w:rFonts w:ascii="Times New Roman" w:hAnsi="Times New Roman" w:cs="Times New Roman"/>
          <w:sz w:val="24"/>
          <w:szCs w:val="24"/>
        </w:rPr>
        <w:t xml:space="preserve">. </w:t>
      </w:r>
      <w:r w:rsidRPr="0080650C">
        <w:rPr>
          <w:rFonts w:ascii="Times New Roman" w:hAnsi="Times New Roman" w:cs="Times New Roman"/>
          <w:sz w:val="24"/>
          <w:szCs w:val="24"/>
          <w:u w:val="single"/>
        </w:rPr>
        <w:t>En contra de lo que suele repetirse, no estamos mejor preparados para prevenir nuevos desastres económicos y lo único que, por el momento, nos aleja de regresar a las andadas es que los recuerdos de tan terribles errores financieros todavía están muy frescos.</w:t>
      </w:r>
      <w:r w:rsidRPr="006018AE">
        <w:rPr>
          <w:rFonts w:ascii="Times New Roman" w:hAnsi="Times New Roman" w:cs="Times New Roman"/>
          <w:sz w:val="24"/>
          <w:szCs w:val="24"/>
        </w:rPr>
        <w:t xml:space="preserve"> </w:t>
      </w:r>
      <w:r w:rsidRPr="0080650C">
        <w:rPr>
          <w:rFonts w:ascii="Times New Roman" w:hAnsi="Times New Roman" w:cs="Times New Roman"/>
          <w:color w:val="FF0000"/>
          <w:sz w:val="24"/>
          <w:szCs w:val="24"/>
          <w:u w:val="single"/>
        </w:rPr>
        <w:t>Pero la estructura institucional que recubre nuestras sociedades no ha cambiado en absoluto y, por tanto, los incentivos perversos a reeditar periódicamente los desequilibrios burbujísticos que nos han asolado durante una década también siguen vigentes.</w:t>
      </w:r>
    </w:p>
    <w:p w:rsidR="0093279F" w:rsidRPr="006018AE" w:rsidRDefault="0093279F" w:rsidP="0093279F">
      <w:pPr>
        <w:spacing w:line="240" w:lineRule="auto"/>
        <w:jc w:val="both"/>
        <w:rPr>
          <w:rFonts w:ascii="Times New Roman" w:hAnsi="Times New Roman" w:cs="Times New Roman"/>
          <w:sz w:val="24"/>
          <w:szCs w:val="24"/>
        </w:rPr>
      </w:pPr>
      <w:r w:rsidRPr="0080650C">
        <w:rPr>
          <w:rFonts w:ascii="Times New Roman" w:hAnsi="Times New Roman" w:cs="Times New Roman"/>
          <w:color w:val="FF0000"/>
          <w:sz w:val="24"/>
          <w:szCs w:val="24"/>
          <w:u w:val="single"/>
        </w:rPr>
        <w:t>Las crisis económicas hunden sus raíces en los privilegios que los estados otorgan a la banca para evitar que esta internalice los costes de su propia irresponsabilidad especulativa. Y es que los bancos, como cualquier otro agente económico, se hallan tentados a desarrollar una estrategia financiera potencialmente muy rentable pero también enormemente peligrosa: endeudarse a corto plazo e invertir a largo plazo</w:t>
      </w:r>
      <w:r w:rsidRPr="006018AE">
        <w:rPr>
          <w:rFonts w:ascii="Times New Roman" w:hAnsi="Times New Roman" w:cs="Times New Roman"/>
          <w:sz w:val="24"/>
          <w:szCs w:val="24"/>
        </w:rPr>
        <w:t>. Los tipos de interés a corto plazo suelen ser muy inferiores a los tipos de interés a largo plazo (de ahí los diferenciales positivos por plazo que exhibe la curva de rendimientos en su forma normal), de manera que resulta rentable arbitrarlos.</w:t>
      </w:r>
    </w:p>
    <w:p w:rsidR="0093279F" w:rsidRPr="006018AE" w:rsidRDefault="0093279F" w:rsidP="0093279F">
      <w:pPr>
        <w:spacing w:line="240" w:lineRule="auto"/>
        <w:jc w:val="both"/>
        <w:rPr>
          <w:rFonts w:ascii="Times New Roman" w:hAnsi="Times New Roman" w:cs="Times New Roman"/>
          <w:sz w:val="24"/>
          <w:szCs w:val="24"/>
        </w:rPr>
      </w:pPr>
      <w:r w:rsidRPr="006018AE">
        <w:rPr>
          <w:rFonts w:ascii="Times New Roman" w:hAnsi="Times New Roman" w:cs="Times New Roman"/>
          <w:sz w:val="24"/>
          <w:szCs w:val="24"/>
        </w:rPr>
        <w:t>Evidentemente, el riesgo de semejante operación es también muy elevado: si pido prestados 100.000 euros a un día y los invierto a 30 años, deberé refinanciar ese crédito de 100.000 euros todos los días del año durante 30 ejercicios; en caso de que un solo día fracase en el intento, no podré hacer frente a mi deuda y deberé liquidar (previsiblemente con pérdidas) mi inversión todavía no rentabilizada a 30 años.</w:t>
      </w:r>
    </w:p>
    <w:p w:rsidR="0093279F" w:rsidRPr="006018AE" w:rsidRDefault="0093279F" w:rsidP="0093279F">
      <w:pPr>
        <w:spacing w:line="240" w:lineRule="auto"/>
        <w:jc w:val="both"/>
        <w:rPr>
          <w:rFonts w:ascii="Times New Roman" w:hAnsi="Times New Roman" w:cs="Times New Roman"/>
          <w:sz w:val="24"/>
          <w:szCs w:val="24"/>
        </w:rPr>
      </w:pPr>
      <w:r w:rsidRPr="006018AE">
        <w:rPr>
          <w:rFonts w:ascii="Times New Roman" w:hAnsi="Times New Roman" w:cs="Times New Roman"/>
          <w:sz w:val="24"/>
          <w:szCs w:val="24"/>
        </w:rPr>
        <w:t>La estructura institucional que recubre nuestras sociedades no ha cambiado en absoluto</w:t>
      </w:r>
    </w:p>
    <w:p w:rsidR="0093279F" w:rsidRPr="006018AE" w:rsidRDefault="0093279F" w:rsidP="0093279F">
      <w:pPr>
        <w:spacing w:line="240" w:lineRule="auto"/>
        <w:jc w:val="both"/>
        <w:rPr>
          <w:rFonts w:ascii="Times New Roman" w:hAnsi="Times New Roman" w:cs="Times New Roman"/>
          <w:sz w:val="24"/>
          <w:szCs w:val="24"/>
        </w:rPr>
      </w:pPr>
      <w:r w:rsidRPr="006018AE">
        <w:rPr>
          <w:rFonts w:ascii="Times New Roman" w:hAnsi="Times New Roman" w:cs="Times New Roman"/>
          <w:sz w:val="24"/>
          <w:szCs w:val="24"/>
        </w:rPr>
        <w:t xml:space="preserve">Debido a estos muy altos riesgos y a pesar de las notables oportunidades de ganancia, la práctica totalidad de familias y empresas evita desajustar el plazo de sus activos y de sus pasivos: los plazos a los que recaban financiación suelen estar vinculados con el periodo de </w:t>
      </w:r>
      <w:r w:rsidRPr="006018AE">
        <w:rPr>
          <w:rFonts w:ascii="Times New Roman" w:hAnsi="Times New Roman" w:cs="Times New Roman"/>
          <w:sz w:val="24"/>
          <w:szCs w:val="24"/>
        </w:rPr>
        <w:lastRenderedPageBreak/>
        <w:t>recuperación de las inversiones que proyectan emprender con esa financiación. Hay, empero, una notable excepción a esta regla prudencial: los bancos.</w:t>
      </w:r>
    </w:p>
    <w:p w:rsidR="0093279F" w:rsidRPr="0080650C" w:rsidRDefault="0093279F" w:rsidP="0093279F">
      <w:pPr>
        <w:spacing w:line="240" w:lineRule="auto"/>
        <w:jc w:val="both"/>
        <w:rPr>
          <w:rFonts w:ascii="Times New Roman" w:hAnsi="Times New Roman" w:cs="Times New Roman"/>
          <w:color w:val="FF0000"/>
          <w:sz w:val="24"/>
          <w:szCs w:val="24"/>
          <w:u w:val="single"/>
        </w:rPr>
      </w:pPr>
      <w:r w:rsidRPr="0080650C">
        <w:rPr>
          <w:rFonts w:ascii="Times New Roman" w:hAnsi="Times New Roman" w:cs="Times New Roman"/>
          <w:color w:val="FF0000"/>
          <w:sz w:val="24"/>
          <w:szCs w:val="24"/>
          <w:u w:val="single"/>
        </w:rPr>
        <w:t>La banca se financia mayoritariamente mediante pasivos a corto plazo (de manera paradigmática, los depósitos) e invierte en activos a muy largo plazo (hipotecas, préstamos empresariales, etc.). De hecho, su principal fuente de beneficios es esa: el margen de intermediación entre su activo (a largo plazo) y su pasivo (a corto plazo). ¿Cómo es posible que la banca se atreva a hacer aquello que nadie más osa intentar? Pues porque los bancos tiran con pólvora del rey: los privilegios que durante décadas les ha ido otorgando el Estado los blindan frente a las consecuencias adversas que tendería a generar su imprudente comportamiento.</w:t>
      </w:r>
    </w:p>
    <w:p w:rsidR="0093279F" w:rsidRPr="0080650C" w:rsidRDefault="0093279F" w:rsidP="0093279F">
      <w:pPr>
        <w:spacing w:line="240" w:lineRule="auto"/>
        <w:jc w:val="both"/>
        <w:rPr>
          <w:rFonts w:ascii="Times New Roman" w:hAnsi="Times New Roman" w:cs="Times New Roman"/>
          <w:color w:val="FF0000"/>
          <w:sz w:val="24"/>
          <w:szCs w:val="24"/>
          <w:u w:val="single"/>
        </w:rPr>
      </w:pPr>
      <w:r w:rsidRPr="0080650C">
        <w:rPr>
          <w:rFonts w:ascii="Times New Roman" w:hAnsi="Times New Roman" w:cs="Times New Roman"/>
          <w:color w:val="FF0000"/>
          <w:sz w:val="24"/>
          <w:szCs w:val="24"/>
          <w:u w:val="single"/>
        </w:rPr>
        <w:t>Por un lado, los bancos cuentan con acceso privileg</w:t>
      </w:r>
      <w:r>
        <w:rPr>
          <w:rFonts w:ascii="Times New Roman" w:hAnsi="Times New Roman" w:cs="Times New Roman"/>
          <w:color w:val="FF0000"/>
          <w:sz w:val="24"/>
          <w:szCs w:val="24"/>
          <w:u w:val="single"/>
        </w:rPr>
        <w:t>iado a una institución estatal -los bancos centrales-</w:t>
      </w:r>
      <w:r w:rsidRPr="0080650C">
        <w:rPr>
          <w:rFonts w:ascii="Times New Roman" w:hAnsi="Times New Roman" w:cs="Times New Roman"/>
          <w:color w:val="FF0000"/>
          <w:sz w:val="24"/>
          <w:szCs w:val="24"/>
          <w:u w:val="single"/>
        </w:rPr>
        <w:t xml:space="preserve"> cuya misión es, justamente, la de garantizar que no se interrumpa el flujo de refinanciación a corto plazo que reciben. Los bancos centrales actúan como prestamistas de última instancia y, de ese modo, anestesian el enorme riesgo de liquidez que existe en toda estrategia de descalce de plazos. ¿Qué sentido tiene captar financiación a largo plazo (cara) cuando uno puede acogerse a la financiación a corto plazo (barata) con la completa confianza de que e</w:t>
      </w:r>
      <w:r w:rsidR="00DC73AB">
        <w:rPr>
          <w:rFonts w:ascii="Times New Roman" w:hAnsi="Times New Roman" w:cs="Times New Roman"/>
          <w:color w:val="FF0000"/>
          <w:sz w:val="24"/>
          <w:szCs w:val="24"/>
          <w:u w:val="single"/>
        </w:rPr>
        <w:t>l banco central garantizará el “roll-over”</w:t>
      </w:r>
      <w:r w:rsidRPr="0080650C">
        <w:rPr>
          <w:rFonts w:ascii="Times New Roman" w:hAnsi="Times New Roman" w:cs="Times New Roman"/>
          <w:color w:val="FF0000"/>
          <w:sz w:val="24"/>
          <w:szCs w:val="24"/>
          <w:u w:val="single"/>
        </w:rPr>
        <w:t xml:space="preserve"> permanente de la deuda a corto?</w:t>
      </w:r>
    </w:p>
    <w:p w:rsidR="0093279F" w:rsidRPr="0080650C" w:rsidRDefault="0093279F" w:rsidP="0093279F">
      <w:pPr>
        <w:spacing w:line="240" w:lineRule="auto"/>
        <w:jc w:val="both"/>
        <w:rPr>
          <w:rFonts w:ascii="Times New Roman" w:hAnsi="Times New Roman" w:cs="Times New Roman"/>
          <w:color w:val="FF0000"/>
          <w:sz w:val="24"/>
          <w:szCs w:val="24"/>
          <w:u w:val="single"/>
        </w:rPr>
      </w:pPr>
      <w:r w:rsidRPr="0080650C">
        <w:rPr>
          <w:rFonts w:ascii="Times New Roman" w:hAnsi="Times New Roman" w:cs="Times New Roman"/>
          <w:color w:val="FF0000"/>
          <w:sz w:val="24"/>
          <w:szCs w:val="24"/>
          <w:u w:val="single"/>
        </w:rPr>
        <w:t>Por otro, los bancos también se hallan, explícita o implícitamente, protegidos frente al riesgo de insolvencia: los distintos gobiernos han mostrado reiteradamente su predisposición a rescatar a los acreedores de la banca en caso de que sus activos no alcancen a cubrir sus pasivos. De ahí que haya tantos inversores dispuestos a prestarle su capital a la banca: aunque esta lo gestione fatal, es harto probable que terminen recuperando su dinero a costa de los contribuyentes.</w:t>
      </w:r>
    </w:p>
    <w:p w:rsidR="0093279F" w:rsidRPr="006018AE" w:rsidRDefault="0093279F" w:rsidP="0093279F">
      <w:pPr>
        <w:spacing w:line="240" w:lineRule="auto"/>
        <w:jc w:val="both"/>
        <w:rPr>
          <w:rFonts w:ascii="Times New Roman" w:hAnsi="Times New Roman" w:cs="Times New Roman"/>
          <w:sz w:val="24"/>
          <w:szCs w:val="24"/>
        </w:rPr>
      </w:pPr>
      <w:r w:rsidRPr="006018AE">
        <w:rPr>
          <w:rFonts w:ascii="Times New Roman" w:hAnsi="Times New Roman" w:cs="Times New Roman"/>
          <w:sz w:val="24"/>
          <w:szCs w:val="24"/>
        </w:rPr>
        <w:t>Los estados blindan a las entidades bancarias frente a las consecuencias adversas que tendería a generar su imprudente comportamiento</w:t>
      </w:r>
    </w:p>
    <w:p w:rsidR="0093279F" w:rsidRPr="0080650C" w:rsidRDefault="002E6C87" w:rsidP="0093279F">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Ambos privilegios estatales -</w:t>
      </w:r>
      <w:r w:rsidR="0093279F" w:rsidRPr="0080650C">
        <w:rPr>
          <w:rFonts w:ascii="Times New Roman" w:hAnsi="Times New Roman" w:cs="Times New Roman"/>
          <w:color w:val="FF0000"/>
          <w:sz w:val="24"/>
          <w:szCs w:val="24"/>
          <w:u w:val="single"/>
        </w:rPr>
        <w:t>disfrutados en exclusi</w:t>
      </w:r>
      <w:r>
        <w:rPr>
          <w:rFonts w:ascii="Times New Roman" w:hAnsi="Times New Roman" w:cs="Times New Roman"/>
          <w:color w:val="FF0000"/>
          <w:sz w:val="24"/>
          <w:szCs w:val="24"/>
          <w:u w:val="single"/>
        </w:rPr>
        <w:t>va por las entidades de crédito-</w:t>
      </w:r>
      <w:r w:rsidR="0093279F" w:rsidRPr="0080650C">
        <w:rPr>
          <w:rFonts w:ascii="Times New Roman" w:hAnsi="Times New Roman" w:cs="Times New Roman"/>
          <w:color w:val="FF0000"/>
          <w:sz w:val="24"/>
          <w:szCs w:val="24"/>
          <w:u w:val="single"/>
        </w:rPr>
        <w:t xml:space="preserve"> proporcionan a la banca una extraordinaria capacidad para captar volúmenes gigantescos de ahorro de familias y empresas con un perfil a corto plazo y adverso al riesgo. ¿Y dónde inmovilizan esos volúmenes extraordinarios de ahorro a corto plazo y adverso al riesgo? En inversiones a largo plazo </w:t>
      </w:r>
      <w:r>
        <w:rPr>
          <w:rFonts w:ascii="Times New Roman" w:hAnsi="Times New Roman" w:cs="Times New Roman"/>
          <w:color w:val="FF0000"/>
          <w:sz w:val="24"/>
          <w:szCs w:val="24"/>
          <w:u w:val="single"/>
        </w:rPr>
        <w:t>y de elevado riesgo (hipotecas “subprime”</w:t>
      </w:r>
      <w:r w:rsidR="0093279F" w:rsidRPr="0080650C">
        <w:rPr>
          <w:rFonts w:ascii="Times New Roman" w:hAnsi="Times New Roman" w:cs="Times New Roman"/>
          <w:color w:val="FF0000"/>
          <w:sz w:val="24"/>
          <w:szCs w:val="24"/>
          <w:u w:val="single"/>
        </w:rPr>
        <w:t>, de manera ilustre en la última crisis).</w:t>
      </w:r>
    </w:p>
    <w:p w:rsidR="0093279F" w:rsidRPr="006018AE" w:rsidRDefault="0093279F" w:rsidP="0093279F">
      <w:pPr>
        <w:spacing w:line="240" w:lineRule="auto"/>
        <w:jc w:val="both"/>
        <w:rPr>
          <w:rFonts w:ascii="Times New Roman" w:hAnsi="Times New Roman" w:cs="Times New Roman"/>
          <w:sz w:val="24"/>
          <w:szCs w:val="24"/>
        </w:rPr>
      </w:pPr>
      <w:r w:rsidRPr="0080650C">
        <w:rPr>
          <w:rFonts w:ascii="Times New Roman" w:hAnsi="Times New Roman" w:cs="Times New Roman"/>
          <w:sz w:val="24"/>
          <w:szCs w:val="24"/>
          <w:u w:val="single"/>
        </w:rPr>
        <w:t>Es evidente, pues, que la banca contribuye a engendrar una descoordinación agregada entre ahorro e inversión</w:t>
      </w:r>
      <w:r w:rsidRPr="006018AE">
        <w:rPr>
          <w:rFonts w:ascii="Times New Roman" w:hAnsi="Times New Roman" w:cs="Times New Roman"/>
          <w:sz w:val="24"/>
          <w:szCs w:val="24"/>
        </w:rPr>
        <w:t>: nuestras economías sistemáticamente emprenden proyectos productivos a más largo plazo y de más alto riesgo que aquellos que sus financiadores últimos (los ahorradores finales) están dispuestos a impulsar.</w:t>
      </w:r>
    </w:p>
    <w:p w:rsidR="0093279F" w:rsidRPr="0080650C" w:rsidRDefault="002E6C87" w:rsidP="0093279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Todo ello porque la banca -</w:t>
      </w:r>
      <w:r w:rsidR="0093279F" w:rsidRPr="0080650C">
        <w:rPr>
          <w:rFonts w:ascii="Times New Roman" w:hAnsi="Times New Roman" w:cs="Times New Roman"/>
          <w:sz w:val="24"/>
          <w:szCs w:val="24"/>
          <w:u w:val="single"/>
        </w:rPr>
        <w:t>amp</w:t>
      </w:r>
      <w:r>
        <w:rPr>
          <w:rFonts w:ascii="Times New Roman" w:hAnsi="Times New Roman" w:cs="Times New Roman"/>
          <w:sz w:val="24"/>
          <w:szCs w:val="24"/>
          <w:u w:val="single"/>
        </w:rPr>
        <w:t>arada por privilegios estatales-</w:t>
      </w:r>
      <w:r w:rsidR="0093279F" w:rsidRPr="0080650C">
        <w:rPr>
          <w:rFonts w:ascii="Times New Roman" w:hAnsi="Times New Roman" w:cs="Times New Roman"/>
          <w:sz w:val="24"/>
          <w:szCs w:val="24"/>
          <w:u w:val="single"/>
        </w:rPr>
        <w:t xml:space="preserve"> no realiza correctamente su labor de intermediación financiera: se lucra fomentando la sobreinversión de bienes de capital o el sobreconsumo de bienes duraderos (vivienda) a mucho mayor plazo y con mucho más riesgo que el que los ahorradores desean soportar. Tal sobreinversión dispara inicialmente la actividad económica (auge), pero su descoordinación de raíz con el ahorro termina abocándola a una ulterior contracción y reajuste (depresión).</w:t>
      </w:r>
    </w:p>
    <w:p w:rsidR="0093279F" w:rsidRPr="006018AE" w:rsidRDefault="0093279F" w:rsidP="0093279F">
      <w:pPr>
        <w:spacing w:line="240" w:lineRule="auto"/>
        <w:jc w:val="both"/>
        <w:rPr>
          <w:rFonts w:ascii="Times New Roman" w:hAnsi="Times New Roman" w:cs="Times New Roman"/>
          <w:sz w:val="24"/>
          <w:szCs w:val="24"/>
        </w:rPr>
      </w:pPr>
      <w:r w:rsidRPr="006018AE">
        <w:rPr>
          <w:rFonts w:ascii="Times New Roman" w:hAnsi="Times New Roman" w:cs="Times New Roman"/>
          <w:sz w:val="24"/>
          <w:szCs w:val="24"/>
        </w:rPr>
        <w:t>Las fases del ciclo económico</w:t>
      </w:r>
    </w:p>
    <w:p w:rsidR="0093279F" w:rsidRPr="006018AE" w:rsidRDefault="0093279F" w:rsidP="0093279F">
      <w:pPr>
        <w:spacing w:line="240" w:lineRule="auto"/>
        <w:jc w:val="both"/>
        <w:rPr>
          <w:rFonts w:ascii="Times New Roman" w:hAnsi="Times New Roman" w:cs="Times New Roman"/>
          <w:sz w:val="24"/>
          <w:szCs w:val="24"/>
        </w:rPr>
      </w:pPr>
      <w:r w:rsidRPr="006018AE">
        <w:rPr>
          <w:rFonts w:ascii="Times New Roman" w:hAnsi="Times New Roman" w:cs="Times New Roman"/>
          <w:sz w:val="24"/>
          <w:szCs w:val="24"/>
        </w:rPr>
        <w:t xml:space="preserve">Por desgracia, los privilegios estatales que fomentan tal comportamiento maniaco depresivo siguen ahí. Es verdad que las nuevas regulaciones de Basilea III tratan de corregir en algo </w:t>
      </w:r>
      <w:r w:rsidRPr="006018AE">
        <w:rPr>
          <w:rFonts w:ascii="Times New Roman" w:hAnsi="Times New Roman" w:cs="Times New Roman"/>
          <w:sz w:val="24"/>
          <w:szCs w:val="24"/>
        </w:rPr>
        <w:lastRenderedPageBreak/>
        <w:t>esta fuerte inclinación de los bancos a deteriorar su liquidez descalzando los plazos de su activo y de su pasivo: por un lado, la ratio de cobertura de liquidez de Basilea III obliga a las entidades financieras a que dispongan de activos líquidos suficientes como para soportar un mes de suspensión de su refinanciación; por otro, la ratio de financiación estable neta exige que parte de las inversiones a largo plazo de la banca se hallen financiadas con pasivos también de largo plazo.</w:t>
      </w:r>
    </w:p>
    <w:p w:rsidR="0093279F" w:rsidRPr="006018AE" w:rsidRDefault="0093279F" w:rsidP="0093279F">
      <w:pPr>
        <w:spacing w:line="240" w:lineRule="auto"/>
        <w:jc w:val="both"/>
        <w:rPr>
          <w:rFonts w:ascii="Times New Roman" w:hAnsi="Times New Roman" w:cs="Times New Roman"/>
          <w:sz w:val="24"/>
          <w:szCs w:val="24"/>
        </w:rPr>
      </w:pPr>
      <w:r w:rsidRPr="006018AE">
        <w:rPr>
          <w:rFonts w:ascii="Times New Roman" w:hAnsi="Times New Roman" w:cs="Times New Roman"/>
          <w:sz w:val="24"/>
          <w:szCs w:val="24"/>
        </w:rPr>
        <w:t>Sin embargo, y pese a que el espíritu de la regulación está bien orientado, su desarrollo es harto deficiente (por ejemplo, se sigue permitiendo que los depósitos de la clientela se utilicen para sufragar créditos a largo plazo), sobre todo en un contexto en el que institucionalmente se continúa recompensando la imprudencia desestabilizadora de la banca.</w:t>
      </w:r>
    </w:p>
    <w:p w:rsidR="0093279F" w:rsidRDefault="0093279F" w:rsidP="0093279F">
      <w:pPr>
        <w:spacing w:line="240" w:lineRule="auto"/>
        <w:jc w:val="both"/>
        <w:rPr>
          <w:rFonts w:ascii="Times New Roman" w:hAnsi="Times New Roman" w:cs="Times New Roman"/>
          <w:color w:val="FF0000"/>
          <w:sz w:val="24"/>
          <w:szCs w:val="24"/>
          <w:u w:val="single"/>
        </w:rPr>
      </w:pPr>
      <w:r w:rsidRPr="00CC0023">
        <w:rPr>
          <w:rFonts w:ascii="Times New Roman" w:hAnsi="Times New Roman" w:cs="Times New Roman"/>
          <w:color w:val="FF0000"/>
          <w:sz w:val="24"/>
          <w:szCs w:val="24"/>
          <w:u w:val="single"/>
        </w:rPr>
        <w:t xml:space="preserve">En definitiva, 10 años después de la crisis no hemos corregido los defectos más palmarios y devastadores de nuestra arquitectura financiera. La banca sigue siendo la misma industria mimada, privilegiada y protegida por el Estado que lo era hace una década y, en consecuencia, las mismas tempestades que desató entonces pueden volver a ser desencadenadas en cualquier otro momento </w:t>
      </w:r>
      <w:r w:rsidR="002E6C87">
        <w:rPr>
          <w:rFonts w:ascii="Times New Roman" w:hAnsi="Times New Roman" w:cs="Times New Roman"/>
          <w:color w:val="FF0000"/>
          <w:sz w:val="24"/>
          <w:szCs w:val="24"/>
          <w:u w:val="single"/>
        </w:rPr>
        <w:t>futuro. La lección fundamental -</w:t>
      </w:r>
      <w:r w:rsidRPr="00CC0023">
        <w:rPr>
          <w:rFonts w:ascii="Times New Roman" w:hAnsi="Times New Roman" w:cs="Times New Roman"/>
          <w:color w:val="FF0000"/>
          <w:sz w:val="24"/>
          <w:szCs w:val="24"/>
          <w:u w:val="single"/>
        </w:rPr>
        <w:t xml:space="preserve">que hemos de eliminar los múltiples </w:t>
      </w:r>
      <w:r w:rsidR="002E6C87">
        <w:rPr>
          <w:rFonts w:ascii="Times New Roman" w:hAnsi="Times New Roman" w:cs="Times New Roman"/>
          <w:color w:val="FF0000"/>
          <w:sz w:val="24"/>
          <w:szCs w:val="24"/>
          <w:u w:val="single"/>
        </w:rPr>
        <w:t>privilegios legales de la banca-</w:t>
      </w:r>
      <w:r w:rsidRPr="00CC0023">
        <w:rPr>
          <w:rFonts w:ascii="Times New Roman" w:hAnsi="Times New Roman" w:cs="Times New Roman"/>
          <w:color w:val="FF0000"/>
          <w:sz w:val="24"/>
          <w:szCs w:val="24"/>
          <w:u w:val="single"/>
        </w:rPr>
        <w:t xml:space="preserve"> ni la hemos aprendido ni la hemos ejecutado.</w:t>
      </w:r>
    </w:p>
    <w:p w:rsidR="00A0289A" w:rsidRPr="00322F22" w:rsidRDefault="00A0289A" w:rsidP="00A0289A">
      <w:pPr>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322F22">
        <w:rPr>
          <w:rFonts w:ascii="Times New Roman" w:hAnsi="Times New Roman" w:cs="Times New Roman"/>
          <w:color w:val="1A1A1A"/>
          <w:sz w:val="24"/>
          <w:szCs w:val="24"/>
          <w:u w:val="single"/>
        </w:rPr>
        <w:t>La lección perdida de la crisis financiera</w:t>
      </w:r>
      <w:r>
        <w:rPr>
          <w:rFonts w:ascii="Times New Roman" w:hAnsi="Times New Roman" w:cs="Times New Roman"/>
          <w:color w:val="1A1A1A"/>
          <w:sz w:val="24"/>
          <w:szCs w:val="24"/>
        </w:rPr>
        <w:t xml:space="preserve"> (Project Syndicate - </w:t>
      </w:r>
      <w:r w:rsidRPr="00322F22">
        <w:rPr>
          <w:rFonts w:ascii="Times New Roman" w:hAnsi="Times New Roman" w:cs="Times New Roman"/>
          <w:b/>
          <w:color w:val="1A1A1A"/>
          <w:sz w:val="24"/>
          <w:szCs w:val="24"/>
        </w:rPr>
        <w:t>17/8/17</w:t>
      </w:r>
      <w:r>
        <w:rPr>
          <w:rFonts w:ascii="Times New Roman" w:hAnsi="Times New Roman" w:cs="Times New Roman"/>
          <w:color w:val="1A1A1A"/>
          <w:sz w:val="24"/>
          <w:szCs w:val="24"/>
        </w:rPr>
        <w:t>)</w:t>
      </w:r>
    </w:p>
    <w:p w:rsidR="00A0289A" w:rsidRPr="008925B0" w:rsidRDefault="00A0289A" w:rsidP="00A0289A">
      <w:pPr>
        <w:spacing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color w:val="1A1A1A"/>
          <w:sz w:val="24"/>
          <w:szCs w:val="24"/>
        </w:rPr>
        <w:t>Londres.-</w:t>
      </w:r>
      <w:r w:rsidRPr="00322F22">
        <w:rPr>
          <w:rFonts w:ascii="Times New Roman" w:hAnsi="Times New Roman" w:cs="Times New Roman"/>
          <w:color w:val="1A1A1A"/>
          <w:sz w:val="24"/>
          <w:szCs w:val="24"/>
        </w:rPr>
        <w:t xml:space="preserve"> </w:t>
      </w:r>
      <w:r w:rsidRPr="008925B0">
        <w:rPr>
          <w:rFonts w:ascii="Times New Roman" w:hAnsi="Times New Roman" w:cs="Times New Roman"/>
          <w:color w:val="FF0000"/>
          <w:sz w:val="24"/>
          <w:szCs w:val="24"/>
          <w:u w:val="single"/>
        </w:rPr>
        <w:t>En agosto de hace diez años, el banco francés BNP Paribas decidió limitar el acceso de los inversores al dinero que habían depositado en tres fondos. Fue la primera señal clara del estrés financiero que, un año más tarde, enviaría a la economía global en picada. Sin embargo, las enormes distorsiones económicas y financieras que alcanzarían un punto crítico a fines de 2008 y se perpetuarían hasta comienzos de 2009 -y que llevaron al mundo al borde de una depresión devastadora que duró varios años- tomaron totalmente por sorpresa a los responsables de las políticas en las economías avanzadas. Claramente no habían prestado la suficiente atención a las lecciones de las crisis en el mundo emergente.</w:t>
      </w:r>
    </w:p>
    <w:p w:rsidR="00A0289A" w:rsidRPr="008925B0" w:rsidRDefault="00A0289A" w:rsidP="00A0289A">
      <w:pPr>
        <w:spacing w:line="240" w:lineRule="auto"/>
        <w:jc w:val="both"/>
        <w:textAlignment w:val="baseline"/>
        <w:rPr>
          <w:rFonts w:ascii="Times New Roman" w:hAnsi="Times New Roman" w:cs="Times New Roman"/>
          <w:color w:val="1A1A1A"/>
          <w:sz w:val="24"/>
          <w:szCs w:val="24"/>
          <w:u w:val="single"/>
        </w:rPr>
      </w:pPr>
      <w:r w:rsidRPr="00322F22">
        <w:rPr>
          <w:rFonts w:ascii="Times New Roman" w:hAnsi="Times New Roman" w:cs="Times New Roman"/>
          <w:color w:val="1A1A1A"/>
          <w:sz w:val="24"/>
          <w:szCs w:val="24"/>
        </w:rPr>
        <w:t xml:space="preserve">Cualquiera que haya experimentado o estudiado las crisis financieras de los países en desarrollo será penosamente consciente de las características que las definen. Por empezar, </w:t>
      </w:r>
      <w:r w:rsidRPr="008925B0">
        <w:rPr>
          <w:rFonts w:ascii="Times New Roman" w:hAnsi="Times New Roman" w:cs="Times New Roman"/>
          <w:color w:val="1A1A1A"/>
          <w:sz w:val="24"/>
          <w:szCs w:val="24"/>
          <w:u w:val="single"/>
        </w:rPr>
        <w:t>como sostuvo el difunto Rüdiger Dornbusch, las crisis financieras pueden tardar mucho tiempo en desarrollarse, pero una vez que estallan, tienden a propagarse de manera rápida, salvaje, violenta y (aparentemente) indiscriminada.</w:t>
      </w:r>
    </w:p>
    <w:p w:rsidR="00A0289A" w:rsidRPr="008925B0" w:rsidRDefault="00A0289A" w:rsidP="00A0289A">
      <w:pPr>
        <w:spacing w:line="240" w:lineRule="auto"/>
        <w:jc w:val="both"/>
        <w:textAlignment w:val="baseline"/>
        <w:rPr>
          <w:rFonts w:ascii="Times New Roman" w:hAnsi="Times New Roman" w:cs="Times New Roman"/>
          <w:color w:val="FF0000"/>
          <w:sz w:val="24"/>
          <w:szCs w:val="24"/>
          <w:u w:val="single"/>
        </w:rPr>
      </w:pPr>
      <w:r w:rsidRPr="008925B0">
        <w:rPr>
          <w:rFonts w:ascii="Times New Roman" w:hAnsi="Times New Roman" w:cs="Times New Roman"/>
          <w:color w:val="FF0000"/>
          <w:sz w:val="24"/>
          <w:szCs w:val="24"/>
          <w:u w:val="single"/>
        </w:rPr>
        <w:t xml:space="preserve">En este proceso de quiebras en cascada, las condiciones financieras generales rápidamente pasan del festín a la penuria. Las fábricas de crédito privadas que parecían indestructibles caen de rodillas, y los bancos centrales y los gobiernos se enfrentan a opciones de políticas difíciles e inherentemente inciertas. Es más, los responsables de las políticas también tienen </w:t>
      </w:r>
      <w:r>
        <w:rPr>
          <w:rFonts w:ascii="Times New Roman" w:hAnsi="Times New Roman" w:cs="Times New Roman"/>
          <w:color w:val="FF0000"/>
          <w:sz w:val="24"/>
          <w:szCs w:val="24"/>
          <w:u w:val="single"/>
        </w:rPr>
        <w:t>que considerar el riesgo de un “freno repentino”</w:t>
      </w:r>
      <w:r w:rsidRPr="008925B0">
        <w:rPr>
          <w:rFonts w:ascii="Times New Roman" w:hAnsi="Times New Roman" w:cs="Times New Roman"/>
          <w:color w:val="FF0000"/>
          <w:sz w:val="24"/>
          <w:szCs w:val="24"/>
          <w:u w:val="single"/>
        </w:rPr>
        <w:t xml:space="preserve"> de la actividad económica, que puede devastar el empleo, el comercio y la inversión.</w:t>
      </w:r>
    </w:p>
    <w:p w:rsidR="00A0289A" w:rsidRPr="008925B0" w:rsidRDefault="00A0289A" w:rsidP="00A0289A">
      <w:pPr>
        <w:spacing w:line="240" w:lineRule="auto"/>
        <w:jc w:val="both"/>
        <w:textAlignment w:val="baseline"/>
        <w:rPr>
          <w:rFonts w:ascii="Times New Roman" w:hAnsi="Times New Roman" w:cs="Times New Roman"/>
          <w:b/>
          <w:color w:val="FF0000"/>
          <w:sz w:val="24"/>
          <w:szCs w:val="24"/>
          <w:u w:val="single"/>
        </w:rPr>
      </w:pPr>
      <w:r w:rsidRPr="008925B0">
        <w:rPr>
          <w:rFonts w:ascii="Times New Roman" w:hAnsi="Times New Roman" w:cs="Times New Roman"/>
          <w:color w:val="FF0000"/>
          <w:sz w:val="24"/>
          <w:szCs w:val="24"/>
          <w:u w:val="single"/>
        </w:rPr>
        <w:t xml:space="preserve">Diseñar una respuesta lo suficientemente integral para el estrés financiero extremo se vuelve aún más difícil, si no se hizo lo suficiente durante los momentos de bonanza para garantizar un crecimiento sustentable e inclusivo. Se torna más difícil aun cuando los políticos juegan activamente a echarse las culpas unos a otros. </w:t>
      </w:r>
      <w:r w:rsidRPr="008925B0">
        <w:rPr>
          <w:rFonts w:ascii="Times New Roman" w:hAnsi="Times New Roman" w:cs="Times New Roman"/>
          <w:b/>
          <w:color w:val="FF0000"/>
          <w:sz w:val="24"/>
          <w:szCs w:val="24"/>
          <w:u w:val="single"/>
        </w:rPr>
        <w:t>Al final, los efectos sociopolíticos e institucionales de una crisis pueden durar mucho más que los efectos económicos y financieros.</w:t>
      </w:r>
    </w:p>
    <w:p w:rsidR="00A0289A" w:rsidRPr="00322F22" w:rsidRDefault="00A0289A" w:rsidP="00A0289A">
      <w:pPr>
        <w:spacing w:line="240" w:lineRule="auto"/>
        <w:jc w:val="both"/>
        <w:textAlignment w:val="baseline"/>
        <w:rPr>
          <w:rFonts w:ascii="Times New Roman" w:hAnsi="Times New Roman" w:cs="Times New Roman"/>
          <w:color w:val="1A1A1A"/>
          <w:sz w:val="24"/>
          <w:szCs w:val="24"/>
        </w:rPr>
      </w:pPr>
      <w:r w:rsidRPr="00322F22">
        <w:rPr>
          <w:rFonts w:ascii="Times New Roman" w:hAnsi="Times New Roman" w:cs="Times New Roman"/>
          <w:color w:val="1A1A1A"/>
          <w:sz w:val="24"/>
          <w:szCs w:val="24"/>
        </w:rPr>
        <w:lastRenderedPageBreak/>
        <w:t>Todas estas lecciones habrían sido útiles para los formuladores de las políticas en las economías avanzadas hace diez años. Cuando el BNP Paribas congeló fondos por un valor de 2.200 millones de dólares el 9 de agosto de 2007, debería haber resultado obvio que más estrés financiero estaba en camino. Pero los responsables de las políticas llegaron a las conclusiones erróneas, principalmente por dos razones.</w:t>
      </w:r>
    </w:p>
    <w:p w:rsidR="00A0289A" w:rsidRPr="00322F22" w:rsidRDefault="00A0289A" w:rsidP="00A0289A">
      <w:pPr>
        <w:spacing w:line="240" w:lineRule="auto"/>
        <w:jc w:val="both"/>
        <w:textAlignment w:val="baseline"/>
        <w:rPr>
          <w:rFonts w:ascii="Times New Roman" w:hAnsi="Times New Roman" w:cs="Times New Roman"/>
          <w:color w:val="1A1A1A"/>
          <w:sz w:val="24"/>
          <w:szCs w:val="24"/>
        </w:rPr>
      </w:pPr>
      <w:r w:rsidRPr="00322F22">
        <w:rPr>
          <w:rFonts w:ascii="Times New Roman" w:hAnsi="Times New Roman" w:cs="Times New Roman"/>
          <w:color w:val="1A1A1A"/>
          <w:sz w:val="24"/>
          <w:szCs w:val="24"/>
        </w:rPr>
        <w:t>Primero, les llevó un tiempo entender la magnitud de la inestabilidad latente del sistema financiero, que se había acumulado bajo su mirada. Segundo, la mayoría de los formuladores de las políticas en el mundo avanzado tenían una actitud desdeñosa ante la idea de que había algo que podían aprender de las experiencias de los países emergentes.</w:t>
      </w:r>
    </w:p>
    <w:p w:rsidR="00A0289A" w:rsidRPr="008925B0" w:rsidRDefault="00A0289A" w:rsidP="00A0289A">
      <w:pPr>
        <w:spacing w:line="240" w:lineRule="auto"/>
        <w:jc w:val="both"/>
        <w:textAlignment w:val="baseline"/>
        <w:rPr>
          <w:rFonts w:ascii="Times New Roman" w:hAnsi="Times New Roman" w:cs="Times New Roman"/>
          <w:color w:val="1A1A1A"/>
          <w:sz w:val="24"/>
          <w:szCs w:val="24"/>
          <w:u w:val="single"/>
        </w:rPr>
      </w:pPr>
      <w:r w:rsidRPr="008925B0">
        <w:rPr>
          <w:rFonts w:ascii="Times New Roman" w:hAnsi="Times New Roman" w:cs="Times New Roman"/>
          <w:color w:val="1A1A1A"/>
          <w:sz w:val="24"/>
          <w:szCs w:val="24"/>
          <w:u w:val="single"/>
        </w:rPr>
        <w:t>Desafortunadamente, esos problemas todavía no han sido resueltos del todo. En verdad, existe un creciente riesgo de que los políticos -muchos de los cuales están distraídos e ignoran sus responsabilidades en materia de gobernancia económica- puedan no estar viendo la lección histórica más importante de todas: la importancia del modelo de crecimiento subyacente de una economía.</w:t>
      </w:r>
    </w:p>
    <w:p w:rsidR="00A0289A" w:rsidRPr="00322F22" w:rsidRDefault="00A0289A" w:rsidP="00A0289A">
      <w:pPr>
        <w:spacing w:line="240" w:lineRule="auto"/>
        <w:jc w:val="both"/>
        <w:textAlignment w:val="baseline"/>
        <w:rPr>
          <w:rFonts w:ascii="Times New Roman" w:hAnsi="Times New Roman" w:cs="Times New Roman"/>
          <w:color w:val="1A1A1A"/>
          <w:sz w:val="24"/>
          <w:szCs w:val="24"/>
        </w:rPr>
      </w:pPr>
      <w:r w:rsidRPr="008925B0">
        <w:rPr>
          <w:rFonts w:ascii="Times New Roman" w:hAnsi="Times New Roman" w:cs="Times New Roman"/>
          <w:b/>
          <w:color w:val="FF0000"/>
          <w:sz w:val="24"/>
          <w:szCs w:val="24"/>
          <w:u w:val="single"/>
        </w:rPr>
        <w:t>Por cierto, los políticos de los países avanzados hoy parecen seguir ignorando las limitaciones de un modelo económico que depende excesivamente de las finanzas para crear un crecimiento sustentable e inclusivo</w:t>
      </w:r>
      <w:r w:rsidRPr="00322F22">
        <w:rPr>
          <w:rFonts w:ascii="Times New Roman" w:hAnsi="Times New Roman" w:cs="Times New Roman"/>
          <w:color w:val="1A1A1A"/>
          <w:sz w:val="24"/>
          <w:szCs w:val="24"/>
        </w:rPr>
        <w:t>. Si bien estas limitaciones han quedado al descubierto en los últimos diez años, los responsables de las políticas no fortalecieron adecuadamente el modelo de crecimiento del que dependen sus economías. Más bien, por lo general actuaron como si la crisis fuera meramente una sacudida cíclica -aunque dramática- y dieron por sentado que la economía se recuperaría con un patrón en V, como normalmente había sucedido antes después de una recesión.</w:t>
      </w:r>
    </w:p>
    <w:p w:rsidR="00A0289A" w:rsidRPr="008925B0" w:rsidRDefault="00A0289A" w:rsidP="00A0289A">
      <w:pPr>
        <w:spacing w:line="240" w:lineRule="auto"/>
        <w:jc w:val="both"/>
        <w:textAlignment w:val="baseline"/>
        <w:rPr>
          <w:rFonts w:ascii="Times New Roman" w:hAnsi="Times New Roman" w:cs="Times New Roman"/>
          <w:color w:val="FF0000"/>
          <w:sz w:val="24"/>
          <w:szCs w:val="24"/>
          <w:u w:val="single"/>
        </w:rPr>
      </w:pPr>
      <w:r w:rsidRPr="008925B0">
        <w:rPr>
          <w:rFonts w:ascii="Times New Roman" w:hAnsi="Times New Roman" w:cs="Times New Roman"/>
          <w:color w:val="FF0000"/>
          <w:sz w:val="24"/>
          <w:szCs w:val="24"/>
          <w:u w:val="single"/>
        </w:rPr>
        <w:t>Como los responsables de las políticas, en un principio, se sintieron cautivados por un pensamiento cíclico, no consideraron la crisis financiera como un episodio secular o de época. El resultado fue que intencionalmente diseñaron sus respuestas polític</w:t>
      </w:r>
      <w:r>
        <w:rPr>
          <w:rFonts w:ascii="Times New Roman" w:hAnsi="Times New Roman" w:cs="Times New Roman"/>
          <w:color w:val="FF0000"/>
          <w:sz w:val="24"/>
          <w:szCs w:val="24"/>
          <w:u w:val="single"/>
        </w:rPr>
        <w:t>as para que fueran “</w:t>
      </w:r>
      <w:r w:rsidRPr="008925B0">
        <w:rPr>
          <w:rFonts w:ascii="Times New Roman" w:hAnsi="Times New Roman" w:cs="Times New Roman"/>
          <w:color w:val="FF0000"/>
          <w:sz w:val="24"/>
          <w:szCs w:val="24"/>
          <w:u w:val="single"/>
        </w:rPr>
        <w:t>oport</w:t>
      </w:r>
      <w:r>
        <w:rPr>
          <w:rFonts w:ascii="Times New Roman" w:hAnsi="Times New Roman" w:cs="Times New Roman"/>
          <w:color w:val="FF0000"/>
          <w:sz w:val="24"/>
          <w:szCs w:val="24"/>
          <w:u w:val="single"/>
        </w:rPr>
        <w:t>unas, focalizadas y temporarias”</w:t>
      </w:r>
      <w:r w:rsidRPr="008925B0">
        <w:rPr>
          <w:rFonts w:ascii="Times New Roman" w:hAnsi="Times New Roman" w:cs="Times New Roman"/>
          <w:color w:val="FF0000"/>
          <w:sz w:val="24"/>
          <w:szCs w:val="24"/>
          <w:u w:val="single"/>
        </w:rPr>
        <w:t>. Llegado el caso se tornó evidente que el problema requería una solución estructural mucho más amplia y de más largo plazo. Pero, en ese momento, la ventana política de oportunidad para acciones audaces esencialmente se había cerrado.</w:t>
      </w:r>
    </w:p>
    <w:p w:rsidR="00A0289A" w:rsidRPr="008925B0" w:rsidRDefault="00A0289A" w:rsidP="00A0289A">
      <w:pPr>
        <w:spacing w:line="240" w:lineRule="auto"/>
        <w:jc w:val="both"/>
        <w:textAlignment w:val="baseline"/>
        <w:rPr>
          <w:rFonts w:ascii="Times New Roman" w:hAnsi="Times New Roman" w:cs="Times New Roman"/>
          <w:color w:val="FF0000"/>
          <w:sz w:val="24"/>
          <w:szCs w:val="24"/>
          <w:u w:val="single"/>
        </w:rPr>
      </w:pPr>
      <w:r w:rsidRPr="00322F22">
        <w:rPr>
          <w:rFonts w:ascii="Times New Roman" w:hAnsi="Times New Roman" w:cs="Times New Roman"/>
          <w:color w:val="1A1A1A"/>
          <w:sz w:val="24"/>
          <w:szCs w:val="24"/>
        </w:rPr>
        <w:t xml:space="preserve">En consecuencia, a las economías avanzadas les llevó demasiado tiempo regresar a los niveles de PIB previos a la crisis, y no pudieron destrabar su gran potencial de crecimiento. </w:t>
      </w:r>
      <w:r w:rsidRPr="008925B0">
        <w:rPr>
          <w:rFonts w:ascii="Times New Roman" w:hAnsi="Times New Roman" w:cs="Times New Roman"/>
          <w:color w:val="FF0000"/>
          <w:sz w:val="24"/>
          <w:szCs w:val="24"/>
          <w:u w:val="single"/>
        </w:rPr>
        <w:t>Peor aún, el crecimiento que efectivamente alcanzaron en los años posteriores a la crisis no fue inclusivo; por el contrario, las brechas de ingresos, riqueza y oportunidad excesivamente amplias en muchas economías avanzadas persistieron.</w:t>
      </w:r>
    </w:p>
    <w:p w:rsidR="00A0289A" w:rsidRPr="00322F22" w:rsidRDefault="00A0289A" w:rsidP="00A0289A">
      <w:pPr>
        <w:spacing w:line="240" w:lineRule="auto"/>
        <w:jc w:val="both"/>
        <w:textAlignment w:val="baseline"/>
        <w:rPr>
          <w:rFonts w:ascii="Times New Roman" w:hAnsi="Times New Roman" w:cs="Times New Roman"/>
          <w:color w:val="1A1A1A"/>
          <w:sz w:val="24"/>
          <w:szCs w:val="24"/>
        </w:rPr>
      </w:pPr>
      <w:r w:rsidRPr="00322F22">
        <w:rPr>
          <w:rFonts w:ascii="Times New Roman" w:hAnsi="Times New Roman" w:cs="Times New Roman"/>
          <w:color w:val="1A1A1A"/>
          <w:sz w:val="24"/>
          <w:szCs w:val="24"/>
        </w:rPr>
        <w:t>Cuanto más tiempo se mantuvo en pie este patrón, más perjudicadas se vieron las perspectivas de crecimiento futuro de las economías avanzadas. Y lo que anteriormente era impensable -tanto financiera como políticamente- empezó a vislumbrarse como posible, hasta probable.</w:t>
      </w:r>
    </w:p>
    <w:p w:rsidR="00A0289A" w:rsidRPr="008925B0" w:rsidRDefault="00A0289A" w:rsidP="00A0289A">
      <w:pPr>
        <w:spacing w:line="240" w:lineRule="auto"/>
        <w:jc w:val="both"/>
        <w:textAlignment w:val="baseline"/>
        <w:rPr>
          <w:rFonts w:ascii="Times New Roman" w:hAnsi="Times New Roman" w:cs="Times New Roman"/>
          <w:color w:val="FF0000"/>
          <w:sz w:val="24"/>
          <w:szCs w:val="24"/>
          <w:u w:val="single"/>
        </w:rPr>
      </w:pPr>
      <w:r w:rsidRPr="008925B0">
        <w:rPr>
          <w:rFonts w:ascii="Times New Roman" w:hAnsi="Times New Roman" w:cs="Times New Roman"/>
          <w:color w:val="FF0000"/>
          <w:sz w:val="24"/>
          <w:szCs w:val="24"/>
          <w:u w:val="single"/>
        </w:rPr>
        <w:t xml:space="preserve">Una década después del inicio de la crisis, las economías avanzadas todavía no se han alejado de manera decisiva de un modelo de crecimiento que depende excesivamente de la liquidez y el apalancamiento -primero de instituciones financieras privadas y luego de los bancos centrales-. Todavía tienen que hacer suficientes inversiones en infraestructura, educación y capital humano en términos más generales. No se han ocupado de las distorsiones anti-crecimiento que minan la eficacia de los sistemas tributarios, la intermediación financiera y el comercio. Y no han sabido mantenerse al día en materia de tecnología, sacando provecho de </w:t>
      </w:r>
      <w:r w:rsidRPr="008925B0">
        <w:rPr>
          <w:rFonts w:ascii="Times New Roman" w:hAnsi="Times New Roman" w:cs="Times New Roman"/>
          <w:color w:val="FF0000"/>
          <w:sz w:val="24"/>
          <w:szCs w:val="24"/>
          <w:u w:val="single"/>
        </w:rPr>
        <w:lastRenderedPageBreak/>
        <w:t>los beneficios potenciales de las bases de datos, del aprendizaje automático, de la inteligencia artificial y de nuevas formas de movilidad y, al mismo tiempo, ocupándose de manera efectiva de los riesgos relacionados.</w:t>
      </w:r>
    </w:p>
    <w:p w:rsidR="00A0289A" w:rsidRDefault="00A0289A" w:rsidP="00A0289A">
      <w:pPr>
        <w:spacing w:line="240" w:lineRule="auto"/>
        <w:jc w:val="both"/>
        <w:textAlignment w:val="baseline"/>
        <w:rPr>
          <w:rFonts w:ascii="Times New Roman" w:hAnsi="Times New Roman" w:cs="Times New Roman"/>
          <w:color w:val="1A1A1A"/>
          <w:sz w:val="24"/>
          <w:szCs w:val="24"/>
        </w:rPr>
      </w:pPr>
      <w:r w:rsidRPr="00322F22">
        <w:rPr>
          <w:rFonts w:ascii="Times New Roman" w:hAnsi="Times New Roman" w:cs="Times New Roman"/>
          <w:color w:val="1A1A1A"/>
          <w:sz w:val="24"/>
          <w:szCs w:val="24"/>
        </w:rPr>
        <w:t>Los responsables de las políticas en el mundo avanzado están rezagados a la hora de internalizar las lecciones relevantes que aportan las economías emergentes. Pero ahora tienen la evidencia y la capacidad analítica para hacerlo. Está en ellos evitar más decepciones, explotar fuentes de crecimiento sustentable y ocuparse de los alarmantes niveles de desigualdad de hoy. La bola está en el campo de la clase política.</w:t>
      </w:r>
    </w:p>
    <w:p w:rsidR="00A0289A" w:rsidRDefault="00A0289A" w:rsidP="00A0289A">
      <w:pPr>
        <w:spacing w:line="240" w:lineRule="auto"/>
        <w:jc w:val="both"/>
        <w:textAlignment w:val="baseline"/>
        <w:rPr>
          <w:rFonts w:ascii="Times New Roman" w:hAnsi="Times New Roman" w:cs="Times New Roman"/>
          <w:color w:val="1A1A1A"/>
          <w:sz w:val="24"/>
          <w:szCs w:val="24"/>
          <w:lang w:val="en-GB"/>
        </w:rPr>
      </w:pPr>
      <w:r>
        <w:rPr>
          <w:rFonts w:ascii="Times New Roman" w:hAnsi="Times New Roman" w:cs="Times New Roman"/>
          <w:color w:val="1A1A1A"/>
          <w:sz w:val="24"/>
          <w:szCs w:val="24"/>
          <w:lang w:val="en-GB"/>
        </w:rPr>
        <w:t>(</w:t>
      </w:r>
      <w:r w:rsidRPr="00322F22">
        <w:rPr>
          <w:rFonts w:ascii="Times New Roman" w:hAnsi="Times New Roman" w:cs="Times New Roman"/>
          <w:color w:val="1A1A1A"/>
          <w:sz w:val="24"/>
          <w:szCs w:val="24"/>
          <w:lang w:val="en-GB"/>
        </w:rPr>
        <w:t>Mohamed A. El-Erian, Chief Economic Adviser at Allianz, the corporate parent of PIMCO where he served as CEO and co-Chief Investment Officer, was Chairman of US President Barack Obama’s Global Development Council. He previously served as CEO of the Harvard Management Company and Deputy Director at t…</w:t>
      </w:r>
      <w:r>
        <w:rPr>
          <w:rFonts w:ascii="Times New Roman" w:hAnsi="Times New Roman" w:cs="Times New Roman"/>
          <w:color w:val="1A1A1A"/>
          <w:sz w:val="24"/>
          <w:szCs w:val="24"/>
          <w:lang w:val="en-GB"/>
        </w:rPr>
        <w:t>)</w:t>
      </w:r>
    </w:p>
    <w:p w:rsidR="00A0289A" w:rsidRPr="00F13BA5" w:rsidRDefault="00A0289A" w:rsidP="00A0289A">
      <w:pPr>
        <w:spacing w:line="240" w:lineRule="auto"/>
        <w:jc w:val="both"/>
        <w:textAlignment w:val="baseline"/>
        <w:rPr>
          <w:rFonts w:ascii="Times New Roman" w:hAnsi="Times New Roman" w:cs="Times New Roman"/>
          <w:color w:val="1A1A1A"/>
          <w:sz w:val="24"/>
          <w:szCs w:val="24"/>
        </w:rPr>
      </w:pPr>
      <w:r>
        <w:rPr>
          <w:rFonts w:ascii="Times New Roman" w:hAnsi="Times New Roman" w:cs="Times New Roman"/>
          <w:color w:val="1A1A1A"/>
          <w:sz w:val="24"/>
          <w:szCs w:val="24"/>
        </w:rPr>
        <w:t xml:space="preserve">- </w:t>
      </w:r>
      <w:r w:rsidRPr="00F13BA5">
        <w:rPr>
          <w:rFonts w:ascii="Times New Roman" w:hAnsi="Times New Roman" w:cs="Times New Roman"/>
          <w:color w:val="1A1A1A"/>
          <w:sz w:val="24"/>
          <w:szCs w:val="24"/>
        </w:rPr>
        <w:t>¿</w:t>
      </w:r>
      <w:r w:rsidRPr="00F13BA5">
        <w:rPr>
          <w:rFonts w:ascii="Times New Roman" w:hAnsi="Times New Roman" w:cs="Times New Roman"/>
          <w:color w:val="1A1A1A"/>
          <w:sz w:val="24"/>
          <w:szCs w:val="24"/>
          <w:u w:val="single"/>
        </w:rPr>
        <w:t>Quién quiere desregular el sistema financiero</w:t>
      </w:r>
      <w:r w:rsidRPr="00F13BA5">
        <w:rPr>
          <w:rFonts w:ascii="Times New Roman" w:hAnsi="Times New Roman" w:cs="Times New Roman"/>
          <w:color w:val="1A1A1A"/>
          <w:sz w:val="24"/>
          <w:szCs w:val="24"/>
        </w:rPr>
        <w:t>?</w:t>
      </w:r>
      <w:r>
        <w:rPr>
          <w:rFonts w:ascii="Times New Roman" w:hAnsi="Times New Roman" w:cs="Times New Roman"/>
          <w:color w:val="1A1A1A"/>
          <w:sz w:val="24"/>
          <w:szCs w:val="24"/>
        </w:rPr>
        <w:t xml:space="preserve"> (Project Syndicate - </w:t>
      </w:r>
      <w:r w:rsidRPr="00F13BA5">
        <w:rPr>
          <w:rFonts w:ascii="Times New Roman" w:hAnsi="Times New Roman" w:cs="Times New Roman"/>
          <w:b/>
          <w:color w:val="1A1A1A"/>
          <w:sz w:val="24"/>
          <w:szCs w:val="24"/>
        </w:rPr>
        <w:t>24/8/17</w:t>
      </w:r>
      <w:r>
        <w:rPr>
          <w:rFonts w:ascii="Times New Roman" w:hAnsi="Times New Roman" w:cs="Times New Roman"/>
          <w:color w:val="1A1A1A"/>
          <w:sz w:val="24"/>
          <w:szCs w:val="24"/>
        </w:rPr>
        <w:t>)</w:t>
      </w:r>
    </w:p>
    <w:p w:rsidR="00A0289A" w:rsidRPr="00442368" w:rsidRDefault="00A0289A" w:rsidP="00A0289A">
      <w:pPr>
        <w:spacing w:line="240" w:lineRule="auto"/>
        <w:jc w:val="both"/>
        <w:textAlignment w:val="baseline"/>
        <w:rPr>
          <w:rFonts w:ascii="Times New Roman" w:hAnsi="Times New Roman" w:cs="Times New Roman"/>
          <w:color w:val="1A1A1A"/>
          <w:sz w:val="24"/>
          <w:szCs w:val="24"/>
          <w:u w:val="single"/>
        </w:rPr>
      </w:pPr>
      <w:r>
        <w:rPr>
          <w:rFonts w:ascii="Times New Roman" w:hAnsi="Times New Roman" w:cs="Times New Roman"/>
          <w:color w:val="1A1A1A"/>
          <w:sz w:val="24"/>
          <w:szCs w:val="24"/>
        </w:rPr>
        <w:t>Londres.-</w:t>
      </w:r>
      <w:r w:rsidRPr="00F13BA5">
        <w:rPr>
          <w:rFonts w:ascii="Times New Roman" w:hAnsi="Times New Roman" w:cs="Times New Roman"/>
          <w:color w:val="1A1A1A"/>
          <w:sz w:val="24"/>
          <w:szCs w:val="24"/>
        </w:rPr>
        <w:t xml:space="preserve"> </w:t>
      </w:r>
      <w:r w:rsidRPr="00442368">
        <w:rPr>
          <w:rFonts w:ascii="Times New Roman" w:hAnsi="Times New Roman" w:cs="Times New Roman"/>
          <w:color w:val="1A1A1A"/>
          <w:sz w:val="24"/>
          <w:szCs w:val="24"/>
          <w:u w:val="single"/>
        </w:rPr>
        <w:t>Desde que en la entrada del ala oeste de la Casa Blanca instalaron una puerta giratoria, se ha vuelto difícil seguir las idas y venidas en los pasillos del poder en Estados Unidos. Cualquier cosa que se escriba sobre el personal y las políticas del gobierno de Trump puede quedar invalidada antes de que se publique.</w:t>
      </w:r>
    </w:p>
    <w:p w:rsidR="00A0289A" w:rsidRPr="00442368" w:rsidRDefault="00A0289A" w:rsidP="00A0289A">
      <w:pPr>
        <w:spacing w:line="240" w:lineRule="auto"/>
        <w:jc w:val="both"/>
        <w:textAlignment w:val="baseline"/>
        <w:rPr>
          <w:rFonts w:ascii="Times New Roman" w:hAnsi="Times New Roman" w:cs="Times New Roman"/>
          <w:color w:val="1A1A1A"/>
          <w:sz w:val="24"/>
          <w:szCs w:val="24"/>
          <w:u w:val="single"/>
        </w:rPr>
      </w:pPr>
      <w:r w:rsidRPr="00442368">
        <w:rPr>
          <w:rFonts w:ascii="Times New Roman" w:hAnsi="Times New Roman" w:cs="Times New Roman"/>
          <w:color w:val="1A1A1A"/>
          <w:sz w:val="24"/>
          <w:szCs w:val="24"/>
          <w:u w:val="single"/>
        </w:rPr>
        <w:t xml:space="preserve">Pero al menos por ahora, los actores principales de la política económica siguen siendo los mismos. Steve Mnuchin todavía es el secretario del Tesoro, y su nombre no fue objeto de mención especial en las recientes luchas de poder. Gary Cohn sigue presidiendo el Consejo Económico Nacional, aunque se dice que algunas declaraciones del presidente sobre temas no económicos le provocaron malestar. Y por supuesto, Janet Yellen sigue al mando de la Reserva Federal, al menos hasta febrero del año entrante. </w:t>
      </w:r>
    </w:p>
    <w:p w:rsidR="00A0289A" w:rsidRPr="00157FDF" w:rsidRDefault="00A0289A" w:rsidP="00A0289A">
      <w:pPr>
        <w:spacing w:line="240" w:lineRule="auto"/>
        <w:jc w:val="both"/>
        <w:textAlignment w:val="baseline"/>
        <w:rPr>
          <w:rFonts w:ascii="Times New Roman" w:hAnsi="Times New Roman" w:cs="Times New Roman"/>
          <w:color w:val="1A1A1A"/>
          <w:sz w:val="24"/>
          <w:szCs w:val="24"/>
          <w:u w:val="single"/>
        </w:rPr>
      </w:pPr>
      <w:r w:rsidRPr="00157FDF">
        <w:rPr>
          <w:rFonts w:ascii="Times New Roman" w:hAnsi="Times New Roman" w:cs="Times New Roman"/>
          <w:color w:val="1A1A1A"/>
          <w:sz w:val="24"/>
          <w:szCs w:val="24"/>
          <w:u w:val="single"/>
        </w:rPr>
        <w:t>Sin embargo, esta estabilidad no es prueba de que haya una única visión establecida en materia de política financiera y económica, sobre todo en relación con el futuro marco de regulación financiera. En una llamativa entrevista que el vicepresidente de la Reserva Federal, Stanley Fischer, dio hace poco al Financial Times, quedaron al descubierto algunos desacuerdos importantes.</w:t>
      </w:r>
    </w:p>
    <w:p w:rsidR="00A0289A" w:rsidRPr="00157FDF" w:rsidRDefault="00A0289A" w:rsidP="00A0289A">
      <w:pPr>
        <w:spacing w:line="240" w:lineRule="auto"/>
        <w:jc w:val="both"/>
        <w:textAlignment w:val="baseline"/>
        <w:rPr>
          <w:rFonts w:ascii="Times New Roman" w:hAnsi="Times New Roman" w:cs="Times New Roman"/>
          <w:color w:val="1A1A1A"/>
          <w:sz w:val="24"/>
          <w:szCs w:val="24"/>
          <w:u w:val="single"/>
        </w:rPr>
      </w:pPr>
      <w:r w:rsidRPr="00F13BA5">
        <w:rPr>
          <w:rFonts w:ascii="Times New Roman" w:hAnsi="Times New Roman" w:cs="Times New Roman"/>
          <w:color w:val="1A1A1A"/>
          <w:sz w:val="24"/>
          <w:szCs w:val="24"/>
        </w:rPr>
        <w:t xml:space="preserve">Las autoridades monetarias suelen destacarse por la parsimonia y ambigüedad de sus declaraciones. Los observadores de la Reserva Federal analizan minúsculas diferencias en el tono y la elección de las palabras, en busca de señales de cambios de orientación. Como dijo cierta vez Alan Greenspan ante una comisión del Congreso: “si lo que digo les resulta particularmente claro, es probable que lo hayan malinterpretado”. Así que </w:t>
      </w:r>
      <w:r w:rsidRPr="00157FDF">
        <w:rPr>
          <w:rFonts w:ascii="Times New Roman" w:hAnsi="Times New Roman" w:cs="Times New Roman"/>
          <w:color w:val="1A1A1A"/>
          <w:sz w:val="24"/>
          <w:szCs w:val="24"/>
          <w:u w:val="single"/>
        </w:rPr>
        <w:t>las palabras que usó en esta ocasión Fischer, alguien que por lo habitual es modelo de moderación y cortesía, deberían bastar para llamarnos la atención.</w:t>
      </w:r>
    </w:p>
    <w:p w:rsidR="00A0289A" w:rsidRPr="00157FDF" w:rsidRDefault="00A0289A" w:rsidP="00A0289A">
      <w:pPr>
        <w:spacing w:line="240" w:lineRule="auto"/>
        <w:jc w:val="both"/>
        <w:textAlignment w:val="baseline"/>
        <w:rPr>
          <w:rFonts w:ascii="Times New Roman" w:hAnsi="Times New Roman" w:cs="Times New Roman"/>
          <w:color w:val="FF0000"/>
          <w:sz w:val="24"/>
          <w:szCs w:val="24"/>
          <w:u w:val="single"/>
        </w:rPr>
      </w:pPr>
      <w:r w:rsidRPr="00157FDF">
        <w:rPr>
          <w:rFonts w:ascii="Times New Roman" w:hAnsi="Times New Roman" w:cs="Times New Roman"/>
          <w:color w:val="FF0000"/>
          <w:sz w:val="24"/>
          <w:szCs w:val="24"/>
          <w:u w:val="single"/>
        </w:rPr>
        <w:t>Fischer sostuvo que el sistema político estadounidense “puede estar llevándonos en una dirección muy peligrosa”. En referencia a propuestas de revertir elementos del nuevo orden regulatorio establecido en respuesta a las debacles de 2008‑2009, lamentó el hecho de que “todos quieren volver al statu quo anterior a la gran crisis financiera”. Y declaró que “no se entiende cómo gente adulta e inteligente llega a la conclusión de que hay que echar por la borda todo lo que se construyó en los últimos diez años”.</w:t>
      </w:r>
    </w:p>
    <w:p w:rsidR="00A0289A" w:rsidRPr="00F13BA5" w:rsidRDefault="00A0289A" w:rsidP="00A0289A">
      <w:pPr>
        <w:spacing w:line="240" w:lineRule="auto"/>
        <w:jc w:val="both"/>
        <w:textAlignment w:val="baseline"/>
        <w:rPr>
          <w:rFonts w:ascii="Times New Roman" w:hAnsi="Times New Roman" w:cs="Times New Roman"/>
          <w:color w:val="1A1A1A"/>
          <w:sz w:val="24"/>
          <w:szCs w:val="24"/>
        </w:rPr>
      </w:pPr>
      <w:r w:rsidRPr="00F13BA5">
        <w:rPr>
          <w:rFonts w:ascii="Times New Roman" w:hAnsi="Times New Roman" w:cs="Times New Roman"/>
          <w:color w:val="1A1A1A"/>
          <w:sz w:val="24"/>
          <w:szCs w:val="24"/>
        </w:rPr>
        <w:t xml:space="preserve">Son palabras destacables, que ameritan una deconstrucción. </w:t>
      </w:r>
      <w:r w:rsidRPr="00157FDF">
        <w:rPr>
          <w:rFonts w:ascii="Times New Roman" w:hAnsi="Times New Roman" w:cs="Times New Roman"/>
          <w:color w:val="1A1A1A"/>
          <w:sz w:val="24"/>
          <w:szCs w:val="24"/>
          <w:u w:val="single"/>
        </w:rPr>
        <w:t>Cuando Fischer dice que “todos”</w:t>
      </w:r>
      <w:r w:rsidRPr="00F13BA5">
        <w:rPr>
          <w:rFonts w:ascii="Times New Roman" w:hAnsi="Times New Roman" w:cs="Times New Roman"/>
          <w:color w:val="1A1A1A"/>
          <w:sz w:val="24"/>
          <w:szCs w:val="24"/>
        </w:rPr>
        <w:t xml:space="preserve"> quieren volver al statu quo anterior, seguramente no lo dice literalmente. La comunidad académica, en general, es partidaria de que haya más regulación bancaria y se incrementen </w:t>
      </w:r>
      <w:r w:rsidRPr="00F13BA5">
        <w:rPr>
          <w:rFonts w:ascii="Times New Roman" w:hAnsi="Times New Roman" w:cs="Times New Roman"/>
          <w:color w:val="1A1A1A"/>
          <w:sz w:val="24"/>
          <w:szCs w:val="24"/>
        </w:rPr>
        <w:lastRenderedPageBreak/>
        <w:t>las reservas de capital; y con pocas excepciones, la prensa se muestra incluso más exigente. Además, no conozco un solo banquero para el que tenga sentido regresar a ratios de apalancamiento superiores a 40 y un 2% de capitalización primaria.</w:t>
      </w:r>
    </w:p>
    <w:p w:rsidR="00A0289A" w:rsidRPr="00157FDF" w:rsidRDefault="00A0289A" w:rsidP="00A0289A">
      <w:pPr>
        <w:spacing w:line="240" w:lineRule="auto"/>
        <w:jc w:val="both"/>
        <w:textAlignment w:val="baseline"/>
        <w:rPr>
          <w:rFonts w:ascii="Times New Roman" w:hAnsi="Times New Roman" w:cs="Times New Roman"/>
          <w:color w:val="1A1A1A"/>
          <w:sz w:val="24"/>
          <w:szCs w:val="24"/>
          <w:u w:val="single"/>
        </w:rPr>
      </w:pPr>
      <w:r w:rsidRPr="00157FDF">
        <w:rPr>
          <w:rFonts w:ascii="Times New Roman" w:hAnsi="Times New Roman" w:cs="Times New Roman"/>
          <w:color w:val="1A1A1A"/>
          <w:sz w:val="24"/>
          <w:szCs w:val="24"/>
          <w:u w:val="single"/>
        </w:rPr>
        <w:t>Así que ¿quiénes son “todos” en esta formulación</w:t>
      </w:r>
      <w:r w:rsidRPr="00F13BA5">
        <w:rPr>
          <w:rFonts w:ascii="Times New Roman" w:hAnsi="Times New Roman" w:cs="Times New Roman"/>
          <w:color w:val="1A1A1A"/>
          <w:sz w:val="24"/>
          <w:szCs w:val="24"/>
        </w:rPr>
        <w:t xml:space="preserve">? La frase me recuerda cuando mi madre decía que “alguien”, no identificado, no había ordenado su cuarto (yo era hijo único). Pero aquí el sospechoso no es tan obvio. </w:t>
      </w:r>
      <w:r w:rsidRPr="00157FDF">
        <w:rPr>
          <w:rFonts w:ascii="Times New Roman" w:hAnsi="Times New Roman" w:cs="Times New Roman"/>
          <w:color w:val="1A1A1A"/>
          <w:sz w:val="24"/>
          <w:szCs w:val="24"/>
          <w:u w:val="single"/>
        </w:rPr>
        <w:t>Las únicas propuestas oficiales concretas que hubo hasta ahora aparecen en un concienzudo artículo publicado en junio por el Tesoro de los Estados Unidos. Es verdad que el título, “Un sistema financiero que cree oportunidades económicas”, tiene un tufillo político; pero las ideas específicas que propone no son exactamente las que uno encontraría en las lejanas costas donde vagan los defensores de la “banca libre”.</w:t>
      </w:r>
    </w:p>
    <w:p w:rsidR="00A0289A" w:rsidRPr="00157FDF" w:rsidRDefault="00A0289A" w:rsidP="00A0289A">
      <w:pPr>
        <w:spacing w:line="240" w:lineRule="auto"/>
        <w:jc w:val="both"/>
        <w:textAlignment w:val="baseline"/>
        <w:rPr>
          <w:rFonts w:ascii="Times New Roman" w:hAnsi="Times New Roman" w:cs="Times New Roman"/>
          <w:color w:val="1A1A1A"/>
          <w:sz w:val="24"/>
          <w:szCs w:val="24"/>
          <w:u w:val="single"/>
        </w:rPr>
      </w:pPr>
      <w:r w:rsidRPr="00157FDF">
        <w:rPr>
          <w:rFonts w:ascii="Times New Roman" w:hAnsi="Times New Roman" w:cs="Times New Roman"/>
          <w:color w:val="1A1A1A"/>
          <w:sz w:val="24"/>
          <w:szCs w:val="24"/>
          <w:u w:val="single"/>
        </w:rPr>
        <w:t>Los autores del artículo (que lleva la firma de Mnuchin) quieren reformar el complejo, incoherente y redundante entramado de organismos regulatorios que quedó después de la crisis</w:t>
      </w:r>
      <w:r w:rsidRPr="00F13BA5">
        <w:rPr>
          <w:rFonts w:ascii="Times New Roman" w:hAnsi="Times New Roman" w:cs="Times New Roman"/>
          <w:color w:val="1A1A1A"/>
          <w:sz w:val="24"/>
          <w:szCs w:val="24"/>
        </w:rPr>
        <w:t xml:space="preserve">. </w:t>
      </w:r>
      <w:r w:rsidRPr="00157FDF">
        <w:rPr>
          <w:rFonts w:ascii="Times New Roman" w:hAnsi="Times New Roman" w:cs="Times New Roman"/>
          <w:color w:val="1A1A1A"/>
          <w:sz w:val="24"/>
          <w:szCs w:val="24"/>
          <w:u w:val="single"/>
        </w:rPr>
        <w:t>El expresidente de la Reserva Federal, Paul Volcker (a quien mal se puede acusar de hacer lobby para los bancos de inversión), lleva algún tiempo sosteniendo lo mismo.</w:t>
      </w:r>
    </w:p>
    <w:p w:rsidR="00A0289A" w:rsidRPr="00F13BA5" w:rsidRDefault="00A0289A" w:rsidP="00A0289A">
      <w:pPr>
        <w:spacing w:line="240" w:lineRule="auto"/>
        <w:jc w:val="both"/>
        <w:textAlignment w:val="baseline"/>
        <w:rPr>
          <w:rFonts w:ascii="Times New Roman" w:hAnsi="Times New Roman" w:cs="Times New Roman"/>
          <w:color w:val="1A1A1A"/>
          <w:sz w:val="24"/>
          <w:szCs w:val="24"/>
        </w:rPr>
      </w:pPr>
      <w:r w:rsidRPr="00F13BA5">
        <w:rPr>
          <w:rFonts w:ascii="Times New Roman" w:hAnsi="Times New Roman" w:cs="Times New Roman"/>
          <w:color w:val="1A1A1A"/>
          <w:sz w:val="24"/>
          <w:szCs w:val="24"/>
        </w:rPr>
        <w:t>El artículo también recomienda cierta racionalización de los extremadamente complejos manuales de procedimientos, eximir a algunos bancos más simples de cumplir los procesos más gravosos y costosos, y reducir la cantidad de presentaciones de información y pruebas de resistencia obligatorias. Se podrá discutir por los detalles, pero a grandes rasgos, esto no parece un regreso a la libertad irrestricta de antes de la crisis. El artículo no dice nada sobre una reducción significativa de las reservas de capital, aunque sí recomienda una reevaluación de las normas sobre reservas adicionales para bancos con importancia sistémica.</w:t>
      </w:r>
    </w:p>
    <w:p w:rsidR="00A0289A" w:rsidRPr="00F13BA5" w:rsidRDefault="00A0289A" w:rsidP="00A0289A">
      <w:pPr>
        <w:spacing w:line="240" w:lineRule="auto"/>
        <w:jc w:val="both"/>
        <w:textAlignment w:val="baseline"/>
        <w:rPr>
          <w:rFonts w:ascii="Times New Roman" w:hAnsi="Times New Roman" w:cs="Times New Roman"/>
          <w:color w:val="1A1A1A"/>
          <w:sz w:val="24"/>
          <w:szCs w:val="24"/>
        </w:rPr>
      </w:pPr>
      <w:r w:rsidRPr="00F13BA5">
        <w:rPr>
          <w:rFonts w:ascii="Times New Roman" w:hAnsi="Times New Roman" w:cs="Times New Roman"/>
          <w:color w:val="1A1A1A"/>
          <w:sz w:val="24"/>
          <w:szCs w:val="24"/>
        </w:rPr>
        <w:t>El único apartado preocupante, para un lector fuera de Estados Unidos, tiene que ver con las normativas internacionales, cuya aceptación e implementación el artículo supedita a que satisfagan “las necesidades del sistema financiero estadounidense y del pueblo de los Estados Unidos”. No se dice exactamente cómo se consultaría al segundo respecto de la calibración de las ponderaciones de riesgo estipuladas por el acuerdo de Basilea.</w:t>
      </w:r>
    </w:p>
    <w:p w:rsidR="00A0289A" w:rsidRPr="00157FDF" w:rsidRDefault="00A0289A" w:rsidP="00A0289A">
      <w:pPr>
        <w:spacing w:line="240" w:lineRule="auto"/>
        <w:jc w:val="both"/>
        <w:textAlignment w:val="baseline"/>
        <w:rPr>
          <w:rFonts w:ascii="Times New Roman" w:hAnsi="Times New Roman" w:cs="Times New Roman"/>
          <w:color w:val="1A1A1A"/>
          <w:sz w:val="24"/>
          <w:szCs w:val="24"/>
          <w:u w:val="single"/>
        </w:rPr>
      </w:pPr>
      <w:r w:rsidRPr="00157FDF">
        <w:rPr>
          <w:rFonts w:ascii="Times New Roman" w:hAnsi="Times New Roman" w:cs="Times New Roman"/>
          <w:color w:val="1A1A1A"/>
          <w:sz w:val="24"/>
          <w:szCs w:val="24"/>
          <w:u w:val="single"/>
        </w:rPr>
        <w:t>Con todo, es difícil entender por qué este documento alteró tanto la calma habitual de Fischer. Tal vez estuviera dándonos un atisbo de desacuerdos más básicos en materia de regulación financiera en el núcleo del gobierno. O tal vez la Reserva Federal tema que lo de la racionalización regulatoria sea un eufemismo para referirse a algún recorte de sus responsabilidades (que aumentaron notoriamente desde la crisis).</w:t>
      </w:r>
    </w:p>
    <w:p w:rsidR="00A0289A" w:rsidRPr="00F13BA5" w:rsidRDefault="00A0289A" w:rsidP="00A0289A">
      <w:pPr>
        <w:spacing w:line="240" w:lineRule="auto"/>
        <w:jc w:val="both"/>
        <w:textAlignment w:val="baseline"/>
        <w:rPr>
          <w:rFonts w:ascii="Times New Roman" w:hAnsi="Times New Roman" w:cs="Times New Roman"/>
          <w:color w:val="1A1A1A"/>
          <w:sz w:val="24"/>
          <w:szCs w:val="24"/>
        </w:rPr>
      </w:pPr>
      <w:r w:rsidRPr="00F13BA5">
        <w:rPr>
          <w:rFonts w:ascii="Times New Roman" w:hAnsi="Times New Roman" w:cs="Times New Roman"/>
          <w:color w:val="1A1A1A"/>
          <w:sz w:val="24"/>
          <w:szCs w:val="24"/>
        </w:rPr>
        <w:t>Sería una lástima que la oposición de la Reserva Federal al cambio impida un debate acerca de si diez años más tarde, cada una de las medidas que se tomaron entonces, muchas de ellas de apuro, sigue siendo válida (por separado y en conjunto). Después de todo, hay muchos cambios en el entorno competitivo en que se mueven los bancos (nuevos sistemas de pago, préstamos entre iguales, banca informal, etc.) que demandan un análisis y examen cuidadoso.</w:t>
      </w:r>
    </w:p>
    <w:p w:rsidR="00A0289A" w:rsidRPr="00157FDF" w:rsidRDefault="00A0289A" w:rsidP="00A0289A">
      <w:pPr>
        <w:spacing w:line="240" w:lineRule="auto"/>
        <w:jc w:val="both"/>
        <w:textAlignment w:val="baseline"/>
        <w:rPr>
          <w:rFonts w:ascii="Times New Roman" w:hAnsi="Times New Roman" w:cs="Times New Roman"/>
          <w:color w:val="1A1A1A"/>
          <w:sz w:val="24"/>
          <w:szCs w:val="24"/>
          <w:u w:val="single"/>
        </w:rPr>
      </w:pPr>
      <w:r w:rsidRPr="00157FDF">
        <w:rPr>
          <w:rFonts w:ascii="Times New Roman" w:hAnsi="Times New Roman" w:cs="Times New Roman"/>
          <w:color w:val="1A1A1A"/>
          <w:sz w:val="24"/>
          <w:szCs w:val="24"/>
          <w:u w:val="single"/>
        </w:rPr>
        <w:t>Así que está bien que el Tesoro de los Estados Unidos haya abierto el debate. Y lo hizo en forma muy estudiada. Las autoridades monetarias deben abstenerse de insinuar que no hay nada que discutir, que mamá siempre tiene razón y que los chicos no tienen que hacer preguntas incómodas, como “¿Por qué?”. Esa estrategia nunca sirvió para que un adolescente tenga el cuarto ordenado, y tampoco servirá con los legisladores y los bancos.</w:t>
      </w:r>
    </w:p>
    <w:p w:rsidR="00A0289A" w:rsidRDefault="00A0289A" w:rsidP="00A0289A">
      <w:pPr>
        <w:spacing w:line="240" w:lineRule="auto"/>
        <w:jc w:val="both"/>
        <w:textAlignment w:val="baseline"/>
        <w:rPr>
          <w:rFonts w:ascii="Times New Roman" w:hAnsi="Times New Roman" w:cs="Times New Roman"/>
          <w:color w:val="1A1A1A"/>
          <w:sz w:val="24"/>
          <w:szCs w:val="24"/>
          <w:lang w:val="en-GB"/>
        </w:rPr>
      </w:pPr>
      <w:r>
        <w:rPr>
          <w:rFonts w:ascii="Times New Roman" w:hAnsi="Times New Roman" w:cs="Times New Roman"/>
          <w:color w:val="1A1A1A"/>
          <w:sz w:val="24"/>
          <w:szCs w:val="24"/>
          <w:lang w:val="en-GB"/>
        </w:rPr>
        <w:t>(</w:t>
      </w:r>
      <w:r w:rsidRPr="00F13BA5">
        <w:rPr>
          <w:rFonts w:ascii="Times New Roman" w:hAnsi="Times New Roman" w:cs="Times New Roman"/>
          <w:color w:val="1A1A1A"/>
          <w:sz w:val="24"/>
          <w:szCs w:val="24"/>
          <w:lang w:val="en-GB"/>
        </w:rPr>
        <w:t xml:space="preserve">Howard Davies, the first chairman of the United Kingdom’s Financial Services Authority (1997-2003), is Chairman of the Royal Bank of Scotland. He was Director of the London </w:t>
      </w:r>
      <w:r w:rsidRPr="00F13BA5">
        <w:rPr>
          <w:rFonts w:ascii="Times New Roman" w:hAnsi="Times New Roman" w:cs="Times New Roman"/>
          <w:color w:val="1A1A1A"/>
          <w:sz w:val="24"/>
          <w:szCs w:val="24"/>
          <w:lang w:val="en-GB"/>
        </w:rPr>
        <w:lastRenderedPageBreak/>
        <w:t>School of Economics (2003-11) and served as Deputy Governor of the Bank of England and Director-General of the Confederation of…</w:t>
      </w:r>
      <w:r>
        <w:rPr>
          <w:rFonts w:ascii="Times New Roman" w:hAnsi="Times New Roman" w:cs="Times New Roman"/>
          <w:color w:val="1A1A1A"/>
          <w:sz w:val="24"/>
          <w:szCs w:val="24"/>
          <w:lang w:val="en-GB"/>
        </w:rPr>
        <w:t>)</w:t>
      </w:r>
    </w:p>
    <w:p w:rsidR="00D8427C" w:rsidRDefault="00D8427C" w:rsidP="00D8427C">
      <w:pPr>
        <w:pStyle w:val="NormalWeb"/>
        <w:shd w:val="clear" w:color="auto" w:fill="F9F9F9"/>
        <w:spacing w:before="75" w:beforeAutospacing="0" w:after="75" w:afterAutospacing="0"/>
        <w:ind w:right="360"/>
        <w:jc w:val="both"/>
      </w:pPr>
      <w:r>
        <w:t xml:space="preserve">- </w:t>
      </w:r>
      <w:r w:rsidRPr="00A3172C">
        <w:t>¡</w:t>
      </w:r>
      <w:r w:rsidRPr="00A3172C">
        <w:rPr>
          <w:u w:val="single"/>
        </w:rPr>
        <w:t>Cuidado con los activos de riesgo</w:t>
      </w:r>
      <w:r w:rsidRPr="00A3172C">
        <w:t>!</w:t>
      </w:r>
      <w:r>
        <w:t xml:space="preserve"> (Vozpópuli - </w:t>
      </w:r>
      <w:r w:rsidRPr="00A3172C">
        <w:rPr>
          <w:b/>
        </w:rPr>
        <w:t>31/8/17</w:t>
      </w:r>
      <w:r>
        <w:t>)</w:t>
      </w:r>
    </w:p>
    <w:p w:rsidR="00D8427C" w:rsidRDefault="00D8427C" w:rsidP="00D8427C">
      <w:pPr>
        <w:pStyle w:val="NormalWeb"/>
        <w:shd w:val="clear" w:color="auto" w:fill="F9F9F9"/>
        <w:spacing w:before="75" w:beforeAutospacing="0" w:after="75" w:afterAutospacing="0"/>
        <w:ind w:right="360"/>
        <w:jc w:val="both"/>
      </w:pPr>
      <w:r>
        <w:t>(Por Juan Laborda)</w:t>
      </w:r>
    </w:p>
    <w:p w:rsidR="00D8427C" w:rsidRDefault="00D8427C" w:rsidP="00D8427C">
      <w:pPr>
        <w:pStyle w:val="NormalWeb"/>
        <w:shd w:val="clear" w:color="auto" w:fill="F9F9F9"/>
        <w:spacing w:before="75" w:after="75"/>
        <w:ind w:right="360"/>
        <w:jc w:val="both"/>
      </w:pPr>
      <w:r>
        <w:t>Permítanme ustedes volver a advertir sobre la brutal sobrevaloración de los activos financieros de riesgo global. Sí, lo sé, soy excesivamente pesado insistiendo en esta idea. Sin embargo, el efecto derivado del estallido de la última burbuja ideada y generada por los Bancos Centrales iniciará la Segunda Fase de la Gran Recesión. Los efectos serán más devastadores que el estallido de las dos anteriores, la tecnológica y la inmobiliaria, por dos razones.</w:t>
      </w:r>
    </w:p>
    <w:p w:rsidR="00D8427C" w:rsidRDefault="00D8427C" w:rsidP="00D8427C">
      <w:pPr>
        <w:pStyle w:val="NormalWeb"/>
        <w:shd w:val="clear" w:color="auto" w:fill="F9F9F9"/>
        <w:spacing w:before="75" w:after="75"/>
        <w:ind w:right="360"/>
        <w:jc w:val="both"/>
      </w:pPr>
      <w:r>
        <w:t>En primer lugar porque el activo primigenio alrededor de esta burbuja, la deuda soberana, afectará a la sostenibilidad del propio sistema. En segundo lugar, porque nos encontramos en un momento donde la mayoría de los agentes económicos apenas perciben este riesgo.</w:t>
      </w:r>
    </w:p>
    <w:p w:rsidR="00D8427C" w:rsidRPr="00D1334F" w:rsidRDefault="00D8427C" w:rsidP="00D8427C">
      <w:pPr>
        <w:pStyle w:val="NormalWeb"/>
        <w:shd w:val="clear" w:color="auto" w:fill="F9F9F9"/>
        <w:spacing w:before="75" w:after="75"/>
        <w:ind w:right="360"/>
        <w:jc w:val="both"/>
        <w:rPr>
          <w:u w:val="single"/>
        </w:rPr>
      </w:pPr>
      <w:r w:rsidRPr="00D1334F">
        <w:rPr>
          <w:u w:val="single"/>
        </w:rPr>
        <w:t>Para la ortodoxia económica dominante, la economía global solo es capaz de sobrevivir generando inflaciones de activos financieros y/o inmobiliarios. Bajo su marco conceptual de análisis, desde el lado de la demanda, Occidente solo puede hacer frente al estancamiento secular con tipos de interés reales negativos. La implementación de dichas políticas monetarias, como ya sabemos, activa distintas burbujas financieras y/o inmobiliarias. Pero a cada inflación de activos, cuando estalla, le sigue otra todavía más perniciosa, de manera que cuando ésta nueva explota el impacto macroeconómico negativo se acrecienta.</w:t>
      </w:r>
    </w:p>
    <w:p w:rsidR="00D8427C" w:rsidRDefault="00D8427C" w:rsidP="00D8427C">
      <w:pPr>
        <w:pStyle w:val="NormalWeb"/>
        <w:shd w:val="clear" w:color="auto" w:fill="F9F9F9"/>
        <w:spacing w:before="75" w:after="75"/>
        <w:ind w:right="360"/>
        <w:jc w:val="both"/>
      </w:pPr>
      <w:r>
        <w:t>Incompetencia e intereses de clase</w:t>
      </w:r>
    </w:p>
    <w:p w:rsidR="00D8427C" w:rsidRPr="00D1334F" w:rsidRDefault="00D8427C" w:rsidP="00D8427C">
      <w:pPr>
        <w:pStyle w:val="NormalWeb"/>
        <w:shd w:val="clear" w:color="auto" w:fill="F9F9F9"/>
        <w:spacing w:before="75" w:after="75"/>
        <w:ind w:right="360"/>
        <w:jc w:val="both"/>
        <w:rPr>
          <w:u w:val="single"/>
        </w:rPr>
      </w:pPr>
      <w:r w:rsidRPr="00D1334F">
        <w:rPr>
          <w:u w:val="single"/>
        </w:rPr>
        <w:t>Detrás de todo, el rotundo fracaso de la teoría neoclásica. Sabemos que existe un paradigma alternativo, pero que no se aplicará debido no tanto a cierta incompetencia intelectual, que también, sino por la defensa de los intereses de la superclase. En ausencia de subidas salariales la única manera de sostener el sistema era haciéndolo frágil y vulnerable, activando el mayor ciclo de deuda de la historia alrededor de distintas burbujas financieras y/o inmobiliarias. Era un sistema perfectamente diseñado para sostener una expansión artificial de la demanda que garantizará la acumulación de capital en pocas manos, la superclase.</w:t>
      </w:r>
    </w:p>
    <w:p w:rsidR="00D8427C" w:rsidRPr="00D1334F" w:rsidRDefault="00D8427C" w:rsidP="00D8427C">
      <w:pPr>
        <w:pStyle w:val="NormalWeb"/>
        <w:shd w:val="clear" w:color="auto" w:fill="F9F9F9"/>
        <w:spacing w:before="75" w:after="75"/>
        <w:ind w:right="360"/>
        <w:jc w:val="both"/>
        <w:rPr>
          <w:u w:val="single"/>
        </w:rPr>
      </w:pPr>
      <w:r w:rsidRPr="00D1334F">
        <w:rPr>
          <w:u w:val="single"/>
        </w:rPr>
        <w:t>A las autoridades políticas, económicas y monetarias no les entusiasma admitir que han sido ellas quienes con sus instrumentos de política económica han contribuido a generar las distintas burbujas que se han ido desarrollando en las últimas décadas. El estallido de la actual burbuja supondrá básicamente finiquitar con una forma de crecimiento perversa. Observaremos el punto final del gran superciclo deuda iniciado allá en los años 80, y que ha estado sazonado con políticas profundamente conservadoras, enormemente injustas, tremendamente ineficaces.</w:t>
      </w:r>
    </w:p>
    <w:p w:rsidR="00D8427C" w:rsidRDefault="00D8427C" w:rsidP="00D8427C">
      <w:pPr>
        <w:pStyle w:val="NormalWeb"/>
        <w:shd w:val="clear" w:color="auto" w:fill="F9F9F9"/>
        <w:spacing w:before="75" w:after="75"/>
        <w:ind w:right="360"/>
        <w:jc w:val="both"/>
      </w:pPr>
      <w:r w:rsidRPr="00D1334F">
        <w:rPr>
          <w:u w:val="single"/>
        </w:rPr>
        <w:t>Durante este superciclo, los buscadores de rentas han actuado a sus anchas, con el consentimiento o aquiescencia del poder político. Durante esta fase, los salarios de los trabajadores han perdido poder adquisitivo, mientras se cerraban empresas bajo el pretexto de buscar mayores ganancias a través de la explotación de mano de obra barata en el extranjero.</w:t>
      </w:r>
      <w:r>
        <w:t xml:space="preserve"> Durante este período, los grandes evasores de impuestos se frotaban las </w:t>
      </w:r>
      <w:r>
        <w:lastRenderedPageBreak/>
        <w:t xml:space="preserve">manos observando cómo no se hacía nada contra los paraísos fiscales -Luxemburgo, Suiza, Singapur… </w:t>
      </w:r>
      <w:r w:rsidRPr="00D1334F">
        <w:rPr>
          <w:u w:val="single"/>
        </w:rPr>
        <w:t>Durante ese tiempo, excluyendo la tierra y la vivienda, el capital se mantuvo constante. Durante esos años, el principal motor de la actividad económica fueron actividades especulativas financiadas con deuda.</w:t>
      </w:r>
    </w:p>
    <w:p w:rsidR="00D8427C" w:rsidRDefault="00D8427C" w:rsidP="00D8427C">
      <w:pPr>
        <w:pStyle w:val="NormalWeb"/>
        <w:shd w:val="clear" w:color="auto" w:fill="F9F9F9"/>
        <w:spacing w:before="75" w:after="75"/>
        <w:ind w:right="360"/>
        <w:jc w:val="both"/>
      </w:pPr>
      <w:r>
        <w:t>Más evidencia de la actual burbuja</w:t>
      </w:r>
    </w:p>
    <w:p w:rsidR="00D8427C" w:rsidRPr="00251D38" w:rsidRDefault="00D8427C" w:rsidP="00D8427C">
      <w:pPr>
        <w:pStyle w:val="NormalWeb"/>
        <w:shd w:val="clear" w:color="auto" w:fill="F9F9F9"/>
        <w:spacing w:before="75" w:after="75"/>
        <w:ind w:right="360"/>
        <w:jc w:val="both"/>
        <w:rPr>
          <w:u w:val="single"/>
        </w:rPr>
      </w:pPr>
      <w:r w:rsidRPr="00251D38">
        <w:rPr>
          <w:u w:val="single"/>
        </w:rPr>
        <w:t>Nos encontramos en un escenario de sobrevaloración extrema justo en un momento donde curiosamente ha aumentado las inversiones pasivas ligadas a la evolución de los distintos índices bursátiles o de bonos. Y este dinero debería empezar a preocuparse sino aterrarse.</w:t>
      </w:r>
    </w:p>
    <w:p w:rsidR="00D8427C" w:rsidRPr="00251D38" w:rsidRDefault="00D8427C" w:rsidP="00D8427C">
      <w:pPr>
        <w:pStyle w:val="NormalWeb"/>
        <w:shd w:val="clear" w:color="auto" w:fill="F9F9F9"/>
        <w:spacing w:before="75" w:after="75"/>
        <w:ind w:right="360"/>
        <w:jc w:val="both"/>
        <w:rPr>
          <w:color w:val="FF0000"/>
          <w:u w:val="single"/>
        </w:rPr>
      </w:pPr>
      <w:r>
        <w:t xml:space="preserve">Como afirman James Montier y Matt Kadnar, de la gestora de fondos Grantham, Mayo, Van Oterloo (GMO), en un nuevo documento titulado The S&amp;P 500: Just Say No, </w:t>
      </w:r>
      <w:r w:rsidRPr="00251D38">
        <w:rPr>
          <w:color w:val="FF0000"/>
          <w:u w:val="single"/>
        </w:rPr>
        <w:t>“cualquier dinero que siga el índice de referencia del mercado de valores de Estados Unidos en el momento actual es más especulación que inversión, y está ignorando lo que creemos es el determinante más importante de los retornos a largo plazo: la valoración. Cuando nos enfrentamos al tercer mercado de valores más caros de todos los tiempos, mantener un peso normal en un índice pasivo es decisión que probablemente será muy costosa”.</w:t>
      </w:r>
    </w:p>
    <w:p w:rsidR="00D8427C" w:rsidRPr="00251D38" w:rsidRDefault="00D8427C" w:rsidP="00D8427C">
      <w:pPr>
        <w:pStyle w:val="NormalWeb"/>
        <w:shd w:val="clear" w:color="auto" w:fill="F9F9F9"/>
        <w:spacing w:before="75" w:after="75"/>
        <w:ind w:right="360"/>
        <w:jc w:val="both"/>
        <w:rPr>
          <w:u w:val="single"/>
        </w:rPr>
      </w:pPr>
      <w:r>
        <w:t xml:space="preserve">Montier y Kadnar dividen la evolución de los precios de las acciones estadounidenses en cuatro componentes: dividendos, crecimiento de beneficios, márgenes de beneficios y los cambios en los múltiplos de valoración (en este caso el ratio PER). </w:t>
      </w:r>
      <w:r w:rsidRPr="00251D38">
        <w:rPr>
          <w:u w:val="single"/>
        </w:rPr>
        <w:t>Desde 1970 estos componentes han contribuido a la rentabilidad anualizada del 6,3% de S&amp;P 500, después de inflación, con un 3,4%, 2,3%, 0,50% y 0,10%, respectivamente. Por contra, estos mismos componentes han contribuido con un 2,8%, 3,1%, 3,2% y 3,8%, respectivamente, a los impresionantes rendimientos reales anualizados del S&amp;P 500 de un 13,6% durante los últimos siete años. En otras palabras, el rally actual se debe a unos márgenes de beneficios inusualmente altos y persistentes, y a la expansión excesiva de los múltiplos, es decir, de la cantidad que los inversores están dispuestos a pagar por sus ganancias.</w:t>
      </w:r>
    </w:p>
    <w:p w:rsidR="00D8427C" w:rsidRDefault="00D8427C" w:rsidP="00D8427C">
      <w:pPr>
        <w:pStyle w:val="NormalWeb"/>
        <w:shd w:val="clear" w:color="auto" w:fill="F9F9F9"/>
        <w:spacing w:before="75" w:after="75"/>
        <w:ind w:right="360"/>
        <w:jc w:val="both"/>
      </w:pPr>
      <w:r w:rsidRPr="00251D38">
        <w:rPr>
          <w:u w:val="single"/>
        </w:rPr>
        <w:t>Para que los rendimientos bursátiles recientes persistan, por lo tanto, los márgenes de beneficio y los múltiplos de valoración deben continuar expandiéndose. Pero ello es improbable, ya que ambos componentes están cerca de los máximos históricos</w:t>
      </w:r>
      <w:r>
        <w:t xml:space="preserve">. GMO utiliza estos cuatro componentes para intentar mirar hacia el futuro, analizando el ciclo histórico de ganancias. </w:t>
      </w:r>
      <w:r w:rsidRPr="00251D38">
        <w:rPr>
          <w:color w:val="FF0000"/>
          <w:u w:val="single"/>
        </w:rPr>
        <w:t>Básicamente, los autores piensan que las acciones de los Estados Unidos en los próximos siete años perderán un promedio anualizado del 6% debido a la contracción de múltiplos (PER más bajos), y otro 2,8% adicional por la contracción del margen. Por el contrario, el rendimiento de los dividendos y las ganancias de los beneficios contribuirán un 5% a los rendimientos de las acciones. La suma de todos los componentes nos da un rendimiento total real de -3,8% anualizado para todo el período.</w:t>
      </w:r>
      <w:r w:rsidRPr="00251D38">
        <w:rPr>
          <w:color w:val="FF0000"/>
        </w:rPr>
        <w:t xml:space="preserve"> </w:t>
      </w:r>
      <w:r>
        <w:t>La valoración actual del mercado estadounidense supone el tercer momento más caro de la historia. Las únicas veces donde los precios de las acciones han sido más altos y las rentabilidades potenciales más bajas fueron en 1929 y 2000.</w:t>
      </w:r>
    </w:p>
    <w:p w:rsidR="00D8427C" w:rsidRPr="00251D38" w:rsidRDefault="00D8427C" w:rsidP="00D8427C">
      <w:pPr>
        <w:pStyle w:val="NormalWeb"/>
        <w:shd w:val="clear" w:color="auto" w:fill="F9F9F9"/>
        <w:spacing w:before="75" w:beforeAutospacing="0" w:after="75" w:afterAutospacing="0"/>
        <w:ind w:right="360"/>
        <w:jc w:val="both"/>
        <w:rPr>
          <w:color w:val="FF0000"/>
          <w:u w:val="single"/>
        </w:rPr>
      </w:pPr>
      <w:r w:rsidRPr="00251D38">
        <w:rPr>
          <w:u w:val="single"/>
        </w:rPr>
        <w:t>Pero todos sabemos que si acaba colapsando Wall Street se producirá un efecto dominó.</w:t>
      </w:r>
      <w:r>
        <w:t xml:space="preserve"> </w:t>
      </w:r>
      <w:r w:rsidRPr="00251D38">
        <w:rPr>
          <w:u w:val="single"/>
        </w:rPr>
        <w:t xml:space="preserve">Y en el caso de que aumente la aversión al riesgo global se desataría, desde un punto de vista estrictamente económico, la tormenta perfecta, con una combinación de crisis de deuda soberana y crisis bancaria. </w:t>
      </w:r>
      <w:r w:rsidRPr="00251D38">
        <w:rPr>
          <w:color w:val="FF0000"/>
          <w:u w:val="single"/>
        </w:rPr>
        <w:t>En definitiva, La Segunda Fase de la Gran Recesión a las puertas.</w:t>
      </w:r>
    </w:p>
    <w:p w:rsidR="00D8427C" w:rsidRDefault="00D8427C" w:rsidP="00D8427C">
      <w:pPr>
        <w:pStyle w:val="NormalWeb"/>
        <w:shd w:val="clear" w:color="auto" w:fill="F9F9F9"/>
        <w:spacing w:before="75" w:after="75"/>
        <w:ind w:right="360"/>
        <w:jc w:val="both"/>
      </w:pPr>
      <w:r>
        <w:lastRenderedPageBreak/>
        <w:t xml:space="preserve">- </w:t>
      </w:r>
      <w:r w:rsidRPr="00A61762">
        <w:rPr>
          <w:u w:val="single"/>
        </w:rPr>
        <w:t>El prometedor dinero fiscal</w:t>
      </w:r>
      <w:r>
        <w:t xml:space="preserve"> (Project Syndicate - </w:t>
      </w:r>
      <w:r>
        <w:rPr>
          <w:b/>
        </w:rPr>
        <w:t>29</w:t>
      </w:r>
      <w:r w:rsidRPr="00A61762">
        <w:rPr>
          <w:b/>
        </w:rPr>
        <w:t>/8/17</w:t>
      </w:r>
      <w:r>
        <w:t>)</w:t>
      </w:r>
    </w:p>
    <w:p w:rsidR="00D8427C" w:rsidRPr="00251D38" w:rsidRDefault="00D8427C" w:rsidP="00D8427C">
      <w:pPr>
        <w:pStyle w:val="NormalWeb"/>
        <w:shd w:val="clear" w:color="auto" w:fill="F9F9F9"/>
        <w:spacing w:before="75" w:after="75"/>
        <w:ind w:right="360"/>
        <w:jc w:val="both"/>
        <w:rPr>
          <w:u w:val="single"/>
        </w:rPr>
      </w:pPr>
      <w:r>
        <w:t xml:space="preserve">Atenas.- </w:t>
      </w:r>
      <w:r w:rsidRPr="00251D38">
        <w:rPr>
          <w:u w:val="single"/>
        </w:rPr>
        <w:t>Al capitalismo occidental le quedan pocas vacas sagradas. Es hora de cuestionar una de ellas: la independencia de los bancos centrales de los gobiernos elegidos.</w:t>
      </w:r>
    </w:p>
    <w:p w:rsidR="00D8427C" w:rsidRDefault="00D8427C" w:rsidP="00D8427C">
      <w:pPr>
        <w:pStyle w:val="NormalWeb"/>
        <w:shd w:val="clear" w:color="auto" w:fill="F9F9F9"/>
        <w:spacing w:before="75" w:after="75"/>
        <w:ind w:right="360"/>
        <w:jc w:val="both"/>
      </w:pPr>
      <w:r>
        <w:t>Se entiende bien cuál es el fundamento para encomendar en su totalidad la política monetaria a los bancos centrales: los políticos, al verse demasiado tentados durante el ciclo electoral con la creación de más dinero, representan una amenaza para la estabilidad económica. Si bien los progresistas siempre han protestado sobre que los bancos centrales nunca pueden ser verdaderamente independientes, debido a que su autonomía de los funcionarios elegidos aumenta su dependencia de los financiadores a quienes estos bancos centrales se supone deben mantener a raya, el argumento a favor de retirar la política monetaria de las manos de política democrática ha prevalecido desde la década de 1970.</w:t>
      </w:r>
    </w:p>
    <w:p w:rsidR="00D8427C" w:rsidRDefault="00D8427C" w:rsidP="00D8427C">
      <w:pPr>
        <w:pStyle w:val="NormalWeb"/>
        <w:shd w:val="clear" w:color="auto" w:fill="F9F9F9"/>
        <w:spacing w:before="75" w:after="75"/>
        <w:ind w:right="360"/>
        <w:jc w:val="both"/>
      </w:pPr>
      <w:r>
        <w:t>Dejando a un lado la controversia política, la independencia de los bancos centrales se basa en un axioma económico: el hecho que el dinero y la deuda (o el crédito) son estrictamente separables. La deuda -por ejemplo, un bono gubernamental o corporativo que es comprado y vendido por un precio determinado en función de la inflación y el riesgo de incumplimiento- puede ser negociado dentro de un país. El dinero, por otra parte, no puede entrar en mora, y en cambio, es un medio y no así un objeto de intercambio (con excepción de lo que ocurre en el mercado de divisas).</w:t>
      </w:r>
    </w:p>
    <w:p w:rsidR="00D8427C" w:rsidRPr="00251D38" w:rsidRDefault="00D8427C" w:rsidP="00D8427C">
      <w:pPr>
        <w:pStyle w:val="NormalWeb"/>
        <w:shd w:val="clear" w:color="auto" w:fill="F9F9F9"/>
        <w:spacing w:before="75" w:after="75"/>
        <w:ind w:right="360"/>
        <w:jc w:val="both"/>
        <w:rPr>
          <w:u w:val="single"/>
        </w:rPr>
      </w:pPr>
      <w:r>
        <w:t xml:space="preserve">Pero este axioma ya no es válido. </w:t>
      </w:r>
      <w:r w:rsidRPr="00251D38">
        <w:rPr>
          <w:u w:val="single"/>
        </w:rPr>
        <w:t>Con el aumento de la financiarización, los bancos comerciales se han tornado cada vez más dependientes unos de otros de los préstamos a corto plazo, en su mayoría respaldados por bonos del gobierno, para financiar sus operaciones diarias. Esta liquidez adquiere características familiares: al ser utilizada como medio de intercambio y como una forma de almacenar valor, se convierte en una forma de dinero.</w:t>
      </w:r>
    </w:p>
    <w:p w:rsidR="00D8427C" w:rsidRPr="00251D38" w:rsidRDefault="00D8427C" w:rsidP="00D8427C">
      <w:pPr>
        <w:pStyle w:val="NormalWeb"/>
        <w:shd w:val="clear" w:color="auto" w:fill="F9F9F9"/>
        <w:spacing w:before="75" w:after="75"/>
        <w:ind w:right="360"/>
        <w:jc w:val="both"/>
        <w:rPr>
          <w:u w:val="single"/>
        </w:rPr>
      </w:pPr>
      <w:r w:rsidRPr="00251D38">
        <w:rPr>
          <w:u w:val="single"/>
        </w:rPr>
        <w:t>Y, este es el meollo del problema: a medida que los bancos emiten más dinero interbancario, el sistema financiero requiere más bonos del gobierno para respaldar dicho aumento. La creciente oferta de dinero interbancario alimenta la demanda de deuda pública, en un ciclo sin fin que genera mareas de liquidez sobre las cuales los bancos centrales tienen poco control.</w:t>
      </w:r>
    </w:p>
    <w:p w:rsidR="00D8427C" w:rsidRPr="00251D38" w:rsidRDefault="00D8427C" w:rsidP="00D8427C">
      <w:pPr>
        <w:pStyle w:val="NormalWeb"/>
        <w:shd w:val="clear" w:color="auto" w:fill="F9F9F9"/>
        <w:spacing w:before="75" w:after="75"/>
        <w:ind w:right="360"/>
        <w:jc w:val="both"/>
        <w:rPr>
          <w:color w:val="FF0000"/>
          <w:u w:val="single"/>
        </w:rPr>
      </w:pPr>
      <w:r w:rsidRPr="00251D38">
        <w:rPr>
          <w:color w:val="FF0000"/>
          <w:u w:val="single"/>
        </w:rPr>
        <w:t>En este nuevo y valiente mundo financiero, la independencia de los bancos centrales está perdiendo su sentido, porque el dinero que dichos bancos crean representa una proporción cada vez menor de la oferta monetaria total. Debido al aumento del dinero interbancario, respaldado principalmente por deuda pública, la política fiscal se ha convertido en un factor esencial para determinar la cantidad de dinero real que lubrica el capitalismo moderno.</w:t>
      </w:r>
    </w:p>
    <w:p w:rsidR="00D8427C" w:rsidRPr="00251D38" w:rsidRDefault="00D8427C" w:rsidP="00D8427C">
      <w:pPr>
        <w:pStyle w:val="NormalWeb"/>
        <w:shd w:val="clear" w:color="auto" w:fill="F9F9F9"/>
        <w:spacing w:before="75" w:after="75"/>
        <w:ind w:right="360"/>
        <w:jc w:val="both"/>
        <w:rPr>
          <w:color w:val="FF0000"/>
          <w:u w:val="single"/>
        </w:rPr>
      </w:pPr>
      <w:r>
        <w:t xml:space="preserve">De hecho, cuanto más independiente es un banco central, mayor es el papel de la política fiscal en la determinación de la cantidad de dinero en una economía. Por ejemplo, en la eurozona, la política fiscal restrictiva de Alemania está creando una escasez de bonos (bonos del gobierno alemán), lo que limita tanto la capacidad del Banco Central Europeo para implementar su política de flexibilización cuantitativa como la capacidad de los bancos comerciales para producir más dinero interbancario. </w:t>
      </w:r>
      <w:r w:rsidRPr="00251D38">
        <w:rPr>
          <w:color w:val="FF0000"/>
          <w:u w:val="single"/>
        </w:rPr>
        <w:t xml:space="preserve">El dinero y la deuda pública </w:t>
      </w:r>
      <w:r w:rsidRPr="00251D38">
        <w:rPr>
          <w:color w:val="FF0000"/>
          <w:u w:val="single"/>
        </w:rPr>
        <w:lastRenderedPageBreak/>
        <w:t>están ahora tan entrelazados que la base analítica de la autonomía del banco central ha desaparecido.</w:t>
      </w:r>
    </w:p>
    <w:p w:rsidR="00D8427C" w:rsidRPr="00251D38" w:rsidRDefault="00D8427C" w:rsidP="00D8427C">
      <w:pPr>
        <w:pStyle w:val="NormalWeb"/>
        <w:shd w:val="clear" w:color="auto" w:fill="F9F9F9"/>
        <w:spacing w:before="75" w:after="75"/>
        <w:ind w:right="360"/>
        <w:jc w:val="both"/>
        <w:rPr>
          <w:u w:val="single"/>
        </w:rPr>
      </w:pPr>
      <w:r>
        <w:t xml:space="preserve">Por supuesto, cualquier intento de volver a juntar a las haciendas públicas de los países y a sus bancos centrales bajo un mismo techo expondría a los políticos a acusaciones de tratar de poner sus sucias manos en las palancas de la política monetaria. </w:t>
      </w:r>
      <w:r w:rsidRPr="00251D38">
        <w:rPr>
          <w:u w:val="single"/>
        </w:rPr>
        <w:t>Sin embargo, existe otra respuesta a la nueva realidad: dejar a los bancos centrales solos, pero otorgar a los gobiernos una mayor influencia sobre la creaci</w:t>
      </w:r>
      <w:r>
        <w:rPr>
          <w:u w:val="single"/>
        </w:rPr>
        <w:t>ón de dinero a nivel nacional -</w:t>
      </w:r>
      <w:r w:rsidRPr="00251D38">
        <w:rPr>
          <w:u w:val="single"/>
        </w:rPr>
        <w:t>y, de hecho, una mayor indep</w:t>
      </w:r>
      <w:r>
        <w:rPr>
          <w:u w:val="single"/>
        </w:rPr>
        <w:t>endencia para el banco central-</w:t>
      </w:r>
      <w:r w:rsidRPr="00251D38">
        <w:rPr>
          <w:u w:val="single"/>
        </w:rPr>
        <w:t xml:space="preserve"> mediante el establecimiento de un sistema de pagos paralelos basado en dinero fiscal o más precisamente, en dinero respaldado por impuestos a ser recolectados en el futuro.</w:t>
      </w:r>
    </w:p>
    <w:p w:rsidR="00D8427C" w:rsidRPr="00251D38" w:rsidRDefault="00D8427C" w:rsidP="00D8427C">
      <w:pPr>
        <w:pStyle w:val="NormalWeb"/>
        <w:shd w:val="clear" w:color="auto" w:fill="F9F9F9"/>
        <w:spacing w:before="75" w:after="75"/>
        <w:ind w:right="360"/>
        <w:jc w:val="both"/>
        <w:rPr>
          <w:color w:val="FF0000"/>
          <w:u w:val="single"/>
        </w:rPr>
      </w:pPr>
      <w:r w:rsidRPr="00251D38">
        <w:rPr>
          <w:color w:val="FF0000"/>
          <w:u w:val="single"/>
        </w:rPr>
        <w:t>¿Cómo funcionaría el dinero fiscal? Para empezar, “viviría” en la plataforma digital de la autoridad tributaria, usando los números de identificación tributaria que ya han sido asignados a personas individuales y compañías. Cualquiera con un número de identificación tributaria (NIT) en un país determinado recibiría una cuenta gratuita vinculada a su NIT. Una vez que las personas individuales y las firmas la tengan, ellos podrán depositar dinero en dicha cuenta  vinculada a su NIT, mediante la transferencia de dinero de su cuenta bancaria normal, de igual manera a cómo proceden en la actualidad para pagar sus impuestos. Y, harán esta transferencia con bastante anticipación a las fechas de pagos de impuestos porque el Estado garantiza extinguir de aquí a un año, por dar un ejemplo digamos, 1.080</w:t>
      </w:r>
      <w:r>
        <w:rPr>
          <w:color w:val="FF0000"/>
          <w:u w:val="single"/>
        </w:rPr>
        <w:t xml:space="preserve"> </w:t>
      </w:r>
      <w:r w:rsidRPr="00251D38">
        <w:rPr>
          <w:color w:val="FF0000"/>
          <w:u w:val="single"/>
        </w:rPr>
        <w:t>€ (1.290 dólares estadounidenses) del impuestos adeudados por cada</w:t>
      </w:r>
      <w:r>
        <w:rPr>
          <w:color w:val="FF0000"/>
          <w:u w:val="single"/>
        </w:rPr>
        <w:t xml:space="preserve"> 1.000 € que se transfieran hoy -</w:t>
      </w:r>
      <w:r w:rsidRPr="00251D38">
        <w:rPr>
          <w:color w:val="FF0000"/>
          <w:u w:val="single"/>
        </w:rPr>
        <w:t xml:space="preserve"> es decir, se pagará una tasa de interés anual efectiva del 8% a aquellos que estén dispuestos a pagar sus impuestos con un año de anticipación.</w:t>
      </w:r>
    </w:p>
    <w:p w:rsidR="00D8427C" w:rsidRDefault="00D8427C" w:rsidP="00D8427C">
      <w:pPr>
        <w:pStyle w:val="NormalWeb"/>
        <w:shd w:val="clear" w:color="auto" w:fill="F9F9F9"/>
        <w:spacing w:before="75" w:after="75"/>
        <w:ind w:right="360"/>
        <w:jc w:val="both"/>
      </w:pPr>
      <w:r>
        <w:t>En la práctica, por ejemplo, cuando  1.000 € han sido transferidos a su cuenta vinculada a su NIT, se emite un número de identificación personal (o, un número PIN, cuyo uso es ampliamente familiar), que puede ser utilizado para transferir el crédito de 1.000 € a la cuenta vinculada al NIT de otra persona o firma, o para pagar impuestos en el futuro. Estos euros de impuestos futuros, o euros fiscales, podrán ser mantenidos durante un año hasta su vencimiento o podrán utilizarse para hacer pagos a otros contribuyentes. Las aplicaciones de teléfonos inteligentes e incluso tarjetas emitidas por el gobierno (que podrían tener un uso dual, por ejemplo, pueden también ser usados como identificación de seguridad social) harían que realizar dichas transacciones sea fácil, rápido y virtualmente indistinguible de otras transacciones que involucren dinero del banco central.</w:t>
      </w:r>
    </w:p>
    <w:p w:rsidR="00D8427C" w:rsidRPr="00251D38" w:rsidRDefault="00D8427C" w:rsidP="00D8427C">
      <w:pPr>
        <w:pStyle w:val="NormalWeb"/>
        <w:shd w:val="clear" w:color="auto" w:fill="F9F9F9"/>
        <w:spacing w:before="75" w:after="75"/>
        <w:ind w:right="360"/>
        <w:jc w:val="both"/>
        <w:rPr>
          <w:color w:val="FF0000"/>
          <w:u w:val="single"/>
        </w:rPr>
      </w:pPr>
      <w:r w:rsidRPr="00251D38">
        <w:rPr>
          <w:color w:val="FF0000"/>
          <w:u w:val="single"/>
        </w:rPr>
        <w:t>En este sistema de pagos cerrados, a medida que el dinero fiscal se aproxima a su vencimiento, los contribuyentes que no poseen ese dinero guardado demandarán de manera creciente poseer dicho dinero. Para garantizar la viabilidad del sistema, la Hacienda Pública controlaría la oferta total de dinero fiscal, utilizando el tipo de interés efectivo para garantizar que el valor nominal de la oferta total nunca exceda un porcentaje del ingreso nacional, o de los impuestos agregados, acordados por el poder legislativo. Para garantizar la plena transparencia y, por tanto, la confianza, un algoritmo de cadena de bloques, diseñado y supervisado por una autoridad nacional independiente, podría usarse para compensar las transacciones en dinero fiscal.</w:t>
      </w:r>
    </w:p>
    <w:p w:rsidR="00D8427C" w:rsidRDefault="00D8427C" w:rsidP="00D8427C">
      <w:pPr>
        <w:pStyle w:val="NormalWeb"/>
        <w:shd w:val="clear" w:color="auto" w:fill="F9F9F9"/>
        <w:spacing w:before="75" w:after="75"/>
        <w:ind w:right="360"/>
        <w:jc w:val="both"/>
      </w:pPr>
      <w:r>
        <w:t xml:space="preserve">Las ventajas del dinero fiscal son innumerables. Proporcionaría una fuente de liquidez para los gobiernos, superando los mercados de bonos. Limitaría la medida en la que los </w:t>
      </w:r>
      <w:r>
        <w:lastRenderedPageBreak/>
        <w:t>préstamos del gobierno alimentan la creación de dinero interbancario, o mínimamente obligaría a los financiadores a atar parte de su dinero interbancario en el sistema monetario fiscal cerrado, minimizando así los shocks causados por fuga repentina de capitales. Y, al competir con el sistema de pagos de los bancos, reduciría el costo de los cobros que los clientes pagan actualmente.</w:t>
      </w:r>
    </w:p>
    <w:p w:rsidR="00D8427C" w:rsidRPr="005F6990" w:rsidRDefault="00D8427C" w:rsidP="00D8427C">
      <w:pPr>
        <w:pStyle w:val="NormalWeb"/>
        <w:shd w:val="clear" w:color="auto" w:fill="F9F9F9"/>
        <w:spacing w:before="75" w:after="75"/>
        <w:ind w:right="360"/>
        <w:jc w:val="both"/>
        <w:rPr>
          <w:color w:val="FF0000"/>
          <w:u w:val="single"/>
        </w:rPr>
      </w:pPr>
      <w:r w:rsidRPr="005F6990">
        <w:rPr>
          <w:color w:val="FF0000"/>
          <w:u w:val="single"/>
        </w:rPr>
        <w:t>De hecho, debido a la tecnología de cadenas de bloque, el dinero fiscal constituye un sistema de pago público totalmente transparente y libre de costos de transacciones y es un es un sistema supervisado conjuntamente por todos los ciudadanos (y no ciudadanos) que participan en él.</w:t>
      </w:r>
    </w:p>
    <w:p w:rsidR="00D8427C" w:rsidRDefault="00D8427C" w:rsidP="00D8427C">
      <w:pPr>
        <w:pStyle w:val="NormalWeb"/>
        <w:shd w:val="clear" w:color="auto" w:fill="F9F9F9"/>
        <w:spacing w:before="75" w:after="75"/>
        <w:ind w:right="360"/>
        <w:jc w:val="both"/>
      </w:pPr>
      <w:r>
        <w:t xml:space="preserve">El dinero fiscal también es políticamente atractivo. Los gobiernos podrían utilizar cualquier holgura en la oferta de dinero para complementar las cuentas vinculadas al NIT de las familias necesitadas, o podrían utilizar ese dinero para pagar por obras públicas, lo que lo haría atractivo para los progresistas. Y, en el caso de los conservadores, ellos se verán alentados por un sistema que promete un alivio tributario significativo para aquellos que ayudan al gobierno a crear dinero fiscal, y que a su vez es un sistema que no vulnera el rol que desempeña el banco central en el establecimiento de tasas de interés. </w:t>
      </w:r>
    </w:p>
    <w:p w:rsidR="00D8427C" w:rsidRDefault="00D8427C" w:rsidP="00D8427C">
      <w:pPr>
        <w:pStyle w:val="NormalWeb"/>
        <w:shd w:val="clear" w:color="auto" w:fill="F9F9F9"/>
        <w:spacing w:before="75" w:beforeAutospacing="0" w:after="75" w:afterAutospacing="0"/>
        <w:ind w:right="360"/>
        <w:jc w:val="both"/>
      </w:pPr>
      <w:r>
        <w:t>Las ventajas transnacionales potenciales del dinero fiscal también son significativas. Por ejemplo, el dinero fiscal habría ayudado a Grecia a resistir los abusos de sus acreedores en el año 2015, y esta propuesta se encontraba en el núcleo de mi plan para hacer frente a la festividad bancaria depredadora que fue impuesta por el BCE al final del mes de junio de ese año. Hoy en día, proporcionaría a Italia, Francia y a otros miembros de la eurozona un espacio fiscal muy necesario y posiblemente suministraría una base para una eurozona renovada con unos euros fiscales domésticos entrelazados, en lugar de monedas paralelas, es decir una base que desempeñe un papel macroeconómico estabilizador. Y, luego quizás podría convertirse en la base de un Nuevo Bretton Woods, que funcione como una unión de cámara de compensación a nivel mundial para muchos sistemas distintos de dineros fiscales.</w:t>
      </w:r>
    </w:p>
    <w:p w:rsidR="00A13C97" w:rsidRDefault="00D8427C" w:rsidP="00D8427C">
      <w:pPr>
        <w:pStyle w:val="NormalWeb"/>
        <w:shd w:val="clear" w:color="auto" w:fill="F9F9F9"/>
        <w:spacing w:before="75" w:beforeAutospacing="0" w:after="75" w:afterAutospacing="0"/>
        <w:rPr>
          <w:lang w:val="en-GB"/>
        </w:rPr>
      </w:pPr>
      <w:r w:rsidRPr="000A49E9">
        <w:rPr>
          <w:rFonts w:ascii="Helvetica" w:hAnsi="Helvetica"/>
          <w:sz w:val="18"/>
          <w:szCs w:val="18"/>
          <w:lang w:val="en-GB"/>
        </w:rPr>
        <w:t>(</w:t>
      </w:r>
      <w:r w:rsidRPr="000A49E9">
        <w:rPr>
          <w:lang w:val="en-GB"/>
        </w:rPr>
        <w:t>Yanis Varoufakis, a former finance minister of Greece, is Professor of Economics at the University of Athens)</w:t>
      </w:r>
    </w:p>
    <w:p w:rsidR="0066457B" w:rsidRDefault="0066457B" w:rsidP="00D8427C">
      <w:pPr>
        <w:pStyle w:val="NormalWeb"/>
        <w:shd w:val="clear" w:color="auto" w:fill="F9F9F9"/>
        <w:spacing w:before="75" w:beforeAutospacing="0" w:after="75" w:afterAutospacing="0"/>
        <w:rPr>
          <w:lang w:val="en-GB"/>
        </w:rPr>
      </w:pPr>
    </w:p>
    <w:p w:rsidR="00A13C97" w:rsidRPr="00EE5704" w:rsidRDefault="00A13C97" w:rsidP="00A13C97">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EE5704">
        <w:rPr>
          <w:rFonts w:ascii="Times New Roman" w:hAnsi="Times New Roman" w:cs="Times New Roman"/>
          <w:sz w:val="24"/>
          <w:szCs w:val="24"/>
          <w:u w:val="single"/>
          <w:lang w:val="en-GB"/>
        </w:rPr>
        <w:t>The Persistence of Global Imbalances</w:t>
      </w:r>
      <w:r>
        <w:rPr>
          <w:rFonts w:ascii="Times New Roman" w:hAnsi="Times New Roman" w:cs="Times New Roman"/>
          <w:sz w:val="24"/>
          <w:szCs w:val="24"/>
          <w:lang w:val="en-GB"/>
        </w:rPr>
        <w:t xml:space="preserve"> (Project syndicate - </w:t>
      </w:r>
      <w:r w:rsidRPr="00EE5704">
        <w:rPr>
          <w:rFonts w:ascii="Times New Roman" w:hAnsi="Times New Roman" w:cs="Times New Roman"/>
          <w:b/>
          <w:sz w:val="24"/>
          <w:szCs w:val="24"/>
          <w:lang w:val="en-GB"/>
        </w:rPr>
        <w:t>30/8/17</w:t>
      </w:r>
      <w:r>
        <w:rPr>
          <w:rFonts w:ascii="Times New Roman" w:hAnsi="Times New Roman" w:cs="Times New Roman"/>
          <w:sz w:val="24"/>
          <w:szCs w:val="24"/>
          <w:lang w:val="en-GB"/>
        </w:rPr>
        <w:t>)</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J</w:t>
      </w:r>
      <w:r>
        <w:rPr>
          <w:rFonts w:ascii="Times New Roman" w:hAnsi="Times New Roman" w:cs="Times New Roman"/>
          <w:sz w:val="24"/>
          <w:szCs w:val="24"/>
          <w:lang w:val="en-GB"/>
        </w:rPr>
        <w:t>ackson Hole, Wyoming.-</w:t>
      </w:r>
      <w:r w:rsidRPr="00EE5704">
        <w:rPr>
          <w:rFonts w:ascii="Times New Roman" w:hAnsi="Times New Roman" w:cs="Times New Roman"/>
          <w:sz w:val="24"/>
          <w:szCs w:val="24"/>
          <w:lang w:val="en-GB"/>
        </w:rPr>
        <w:t xml:space="preserve"> The primary focus of this year’s Federal Reserve Bank of Kansas City symposium in Jackson Hole, Wyoming, which convenes the world’s leading central bankers, was not explicitly monetary policy. Fed Chair Janet Yellen’s opening remarks emphasized the changes in regulatory policy that followed the 2008 global financial crisis, while European Central Bank President Mario Draghi’s luncheon address dwelled on the need for continued reforms in Europe to sustain the eurozone’s recent economic recovery.</w:t>
      </w:r>
    </w:p>
    <w:p w:rsidR="003071B3"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But it</w:t>
      </w:r>
      <w:r>
        <w:rPr>
          <w:rFonts w:ascii="Times New Roman" w:hAnsi="Times New Roman" w:cs="Times New Roman"/>
          <w:sz w:val="24"/>
          <w:szCs w:val="24"/>
          <w:lang w:val="en-GB"/>
        </w:rPr>
        <w:t xml:space="preserve"> was global trade and finance -</w:t>
      </w:r>
      <w:r w:rsidRPr="00EE5704">
        <w:rPr>
          <w:rFonts w:ascii="Times New Roman" w:hAnsi="Times New Roman" w:cs="Times New Roman"/>
          <w:sz w:val="24"/>
          <w:szCs w:val="24"/>
          <w:lang w:val="en-GB"/>
        </w:rPr>
        <w:t>the key forces shaping the economic outlook and financial market conditions with</w:t>
      </w:r>
      <w:r>
        <w:rPr>
          <w:rFonts w:ascii="Times New Roman" w:hAnsi="Times New Roman" w:cs="Times New Roman"/>
          <w:sz w:val="24"/>
          <w:szCs w:val="24"/>
          <w:lang w:val="en-GB"/>
        </w:rPr>
        <w:t xml:space="preserve"> which central bankers grapple-</w:t>
      </w:r>
      <w:r w:rsidRPr="00EE5704">
        <w:rPr>
          <w:rFonts w:ascii="Times New Roman" w:hAnsi="Times New Roman" w:cs="Times New Roman"/>
          <w:sz w:val="24"/>
          <w:szCs w:val="24"/>
          <w:lang w:val="en-GB"/>
        </w:rPr>
        <w:t xml:space="preserve"> that took center stage. On the effects of the globalization of trade in goods and services, the discussion emphasized the costs to domestic employment, wages, and inequality. On the finance side, international capital flows and global imbalances were the primary focus.</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lastRenderedPageBreak/>
        <w:t>And here, the old adage applies: the more things change, the more they stay the same. For most of the last four decades, the United States has been a net importer of capital from the rest of the world.</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From the start of the previous century until the early 1980s, the US seldom recorded a deficit on its external current account (see chart). The current account reflects an economy’s saving-investment balance. When saving exceeds investment, the result is a current-account surplus, and the economy becomes a lender to the rest of the world. After it emerged as a world power at the end of World War I, the US became a net supplier of capital to the rest of the world.</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Current Account Balances, Actual and Forecast (201</w:t>
      </w:r>
      <w:r>
        <w:rPr>
          <w:rFonts w:ascii="Times New Roman" w:hAnsi="Times New Roman" w:cs="Times New Roman"/>
          <w:sz w:val="24"/>
          <w:szCs w:val="24"/>
          <w:lang w:val="en-GB"/>
        </w:rPr>
        <w:t xml:space="preserve">7-2022): US, China, and Germany </w:t>
      </w:r>
      <w:r w:rsidRPr="00EE5704">
        <w:rPr>
          <w:rFonts w:ascii="Times New Roman" w:hAnsi="Times New Roman" w:cs="Times New Roman"/>
          <w:sz w:val="24"/>
          <w:szCs w:val="24"/>
          <w:lang w:val="en-GB"/>
        </w:rPr>
        <w:t>(% of GDP)</w:t>
      </w:r>
    </w:p>
    <w:p w:rsidR="00A13C97" w:rsidRPr="00EE5704" w:rsidRDefault="003071B3" w:rsidP="00A13C97">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A13C97">
        <w:rPr>
          <w:noProof/>
          <w:lang w:eastAsia="es-ES"/>
        </w:rPr>
        <w:drawing>
          <wp:inline distT="0" distB="0" distL="0" distR="0" wp14:anchorId="4DD7AE7B" wp14:editId="664D7155">
            <wp:extent cx="5441950" cy="2139950"/>
            <wp:effectExtent l="0" t="0" r="6350" b="0"/>
            <wp:docPr id="2" name="Imagen 2" descr="Current account 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rrent account bala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45571" cy="2141374"/>
                    </a:xfrm>
                    <a:prstGeom prst="rect">
                      <a:avLst/>
                    </a:prstGeom>
                    <a:noFill/>
                    <a:ln>
                      <a:noFill/>
                    </a:ln>
                  </pic:spPr>
                </pic:pic>
              </a:graphicData>
            </a:graphic>
          </wp:inline>
        </w:drawing>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Sources: Historical Statistics of the United States, Economic Report of the President, IMF World Economic Outlook.</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 xml:space="preserve">In 1987, the economist C. Fred Bergsten was among the first to point out that global imbalances had begun to climb toward uncharted territory. “The United States, the creator of the </w:t>
      </w:r>
      <w:r w:rsidR="00DC73AB" w:rsidRPr="00EE5704">
        <w:rPr>
          <w:rFonts w:ascii="Times New Roman" w:hAnsi="Times New Roman" w:cs="Times New Roman"/>
          <w:sz w:val="24"/>
          <w:szCs w:val="24"/>
          <w:lang w:val="en-GB"/>
        </w:rPr>
        <w:t>post-war</w:t>
      </w:r>
      <w:r w:rsidRPr="00EE5704">
        <w:rPr>
          <w:rFonts w:ascii="Times New Roman" w:hAnsi="Times New Roman" w:cs="Times New Roman"/>
          <w:sz w:val="24"/>
          <w:szCs w:val="24"/>
          <w:lang w:val="en-GB"/>
        </w:rPr>
        <w:t xml:space="preserve"> economic system and home of the world’s key currency</w:t>
      </w:r>
      <w:r>
        <w:rPr>
          <w:rFonts w:ascii="Times New Roman" w:hAnsi="Times New Roman" w:cs="Times New Roman"/>
          <w:sz w:val="24"/>
          <w:szCs w:val="24"/>
          <w:lang w:val="en-GB"/>
        </w:rPr>
        <w:t>”,</w:t>
      </w:r>
      <w:r w:rsidRPr="00EE5704">
        <w:rPr>
          <w:rFonts w:ascii="Times New Roman" w:hAnsi="Times New Roman" w:cs="Times New Roman"/>
          <w:sz w:val="24"/>
          <w:szCs w:val="24"/>
          <w:lang w:val="en-GB"/>
        </w:rPr>
        <w:t xml:space="preserve"> he wrote, “has become the largest debtor</w:t>
      </w:r>
      <w:r>
        <w:rPr>
          <w:rFonts w:ascii="Times New Roman" w:hAnsi="Times New Roman" w:cs="Times New Roman"/>
          <w:sz w:val="24"/>
          <w:szCs w:val="24"/>
          <w:lang w:val="en-GB"/>
        </w:rPr>
        <w:t xml:space="preserve"> nation ever known to mankind -</w:t>
      </w:r>
      <w:r w:rsidRPr="00EE5704">
        <w:rPr>
          <w:rFonts w:ascii="Times New Roman" w:hAnsi="Times New Roman" w:cs="Times New Roman"/>
          <w:sz w:val="24"/>
          <w:szCs w:val="24"/>
          <w:lang w:val="en-GB"/>
        </w:rPr>
        <w:t>and its red ink will continue to flow at least into the 1990s. Japan, widely viewed as a developing country only a generation ago, has beco</w:t>
      </w:r>
      <w:r>
        <w:rPr>
          <w:rFonts w:ascii="Times New Roman" w:hAnsi="Times New Roman" w:cs="Times New Roman"/>
          <w:sz w:val="24"/>
          <w:szCs w:val="24"/>
          <w:lang w:val="en-GB"/>
        </w:rPr>
        <w:t>me by far the largest creditor-</w:t>
      </w:r>
      <w:r w:rsidRPr="00EE5704">
        <w:rPr>
          <w:rFonts w:ascii="Times New Roman" w:hAnsi="Times New Roman" w:cs="Times New Roman"/>
          <w:sz w:val="24"/>
          <w:szCs w:val="24"/>
          <w:lang w:val="en-GB"/>
        </w:rPr>
        <w:t xml:space="preserve"> and its massive </w:t>
      </w:r>
      <w:r w:rsidR="00DC73AB" w:rsidRPr="00EE5704">
        <w:rPr>
          <w:rFonts w:ascii="Times New Roman" w:hAnsi="Times New Roman" w:cs="Times New Roman"/>
          <w:sz w:val="24"/>
          <w:szCs w:val="24"/>
          <w:lang w:val="en-GB"/>
        </w:rPr>
        <w:t>build-up</w:t>
      </w:r>
      <w:r w:rsidRPr="00EE5704">
        <w:rPr>
          <w:rFonts w:ascii="Times New Roman" w:hAnsi="Times New Roman" w:cs="Times New Roman"/>
          <w:sz w:val="24"/>
          <w:szCs w:val="24"/>
          <w:lang w:val="en-GB"/>
        </w:rPr>
        <w:t xml:space="preserve"> of foreign assets will continue expanding rapidly as far ahead as one can predict</w:t>
      </w:r>
      <w:r>
        <w:rPr>
          <w:rFonts w:ascii="Times New Roman" w:hAnsi="Times New Roman" w:cs="Times New Roman"/>
          <w:sz w:val="24"/>
          <w:szCs w:val="24"/>
          <w:lang w:val="en-GB"/>
        </w:rPr>
        <w:t>”.</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Japan was singled out as a particular culprit of the soaring global imbalances, because its current-account surplus topped 4% of its GDP in 1986, while the Bank of Japan amassed record levels of US Treasury securities. Japan adopted “voluntary” caps on some exports to the US and, under the Plaza Accord of late 1985, helped orchestrate yen revaluation relative to the dollar.</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At the end of the 1980s, however, the yen strengthened, Japanese asset bubbles in real estate and equities burst, and Japan’s growth rate plummeted. At around the same time, South Korea temporarily emerged as a key culprit behind the US trade deficit. In 1987-1988, South Korea’s current-account surplus climbed above 6% of GDP, with currency manipulation often cited for the rise in external saving.</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 xml:space="preserve">The same charge has dogged China, which, with its spectacular export-led growth, record official purchases of US assets, and fixed (or semi-fixed) exchange rate, today continues to dominate discussion of global imbalances. And, indeed, there is some evidence to support </w:t>
      </w:r>
      <w:r w:rsidRPr="00EE5704">
        <w:rPr>
          <w:rFonts w:ascii="Times New Roman" w:hAnsi="Times New Roman" w:cs="Times New Roman"/>
          <w:sz w:val="24"/>
          <w:szCs w:val="24"/>
          <w:lang w:val="en-GB"/>
        </w:rPr>
        <w:lastRenderedPageBreak/>
        <w:t>claims that currency manipulation and unfair trading practices have been key drivers, at least over some sub-periods.</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But China’s current-account surplus has been shrinking faster than the International Monetary Fund and many forecasters had anticipated. After climbing to almost 10% of GDP during 2006-2008, the external surplus currently is oscillating in the 1-2% range. Furthermore, despite some moderation in the first quarter of this year, private capital flight from China continues.</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 xml:space="preserve">Enter Germany. As China’s current-account surplus shrinks, Germany’s is climbing to record levels (see chart). US President Donald Trump’s suggestion that these surpluses are a </w:t>
      </w:r>
      <w:r w:rsidR="00DC73AB" w:rsidRPr="00EE5704">
        <w:rPr>
          <w:rFonts w:ascii="Times New Roman" w:hAnsi="Times New Roman" w:cs="Times New Roman"/>
          <w:sz w:val="24"/>
          <w:szCs w:val="24"/>
          <w:lang w:val="en-GB"/>
        </w:rPr>
        <w:t>by</w:t>
      </w:r>
      <w:r w:rsidR="00DC73AB">
        <w:rPr>
          <w:rFonts w:ascii="Times New Roman" w:hAnsi="Times New Roman" w:cs="Times New Roman"/>
          <w:sz w:val="24"/>
          <w:szCs w:val="24"/>
          <w:lang w:val="en-GB"/>
        </w:rPr>
        <w:t>-</w:t>
      </w:r>
      <w:r w:rsidR="00DC73AB" w:rsidRPr="00EE5704">
        <w:rPr>
          <w:rFonts w:ascii="Times New Roman" w:hAnsi="Times New Roman" w:cs="Times New Roman"/>
          <w:sz w:val="24"/>
          <w:szCs w:val="24"/>
          <w:lang w:val="en-GB"/>
        </w:rPr>
        <w:t>product</w:t>
      </w:r>
      <w:r w:rsidRPr="00EE5704">
        <w:rPr>
          <w:rFonts w:ascii="Times New Roman" w:hAnsi="Times New Roman" w:cs="Times New Roman"/>
          <w:sz w:val="24"/>
          <w:szCs w:val="24"/>
          <w:lang w:val="en-GB"/>
        </w:rPr>
        <w:t xml:space="preserve"> of unfair trade practices rings stridently hollow. As Germany does not have its own currency, it is also a stretch to suggest that it benefits from currency manipulation (though the ECB’s quantitative easing policies have been cited in that context).</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While Germany is singled out on account of its size, it is by no means unique among the advanced economies in maintaining a sizable external surplus. As of 2017, Austria, Denmark, Ireland, Japan, Luxembourg, Netherlands, Norway, Sweden, and Switzerland have substantial current-account surpluses, relative to their respective GDP. So do other Asian economies.</w:t>
      </w:r>
    </w:p>
    <w:p w:rsidR="00A13C97" w:rsidRPr="00EE5704"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The US has run chronic current-account deficits for almost two generations. Pointing the finger at surplus countries is getting old. In the discussion at Jackson Hole, someone asked whether international pressure could be exerted on the surplus countries to spend more and save less. When the same question was put to the US in its era of surpluses at the end of World War II, when the concern was a global shortage of dollars, it was dismissed unequivocally.</w:t>
      </w:r>
    </w:p>
    <w:p w:rsidR="00A13C97" w:rsidRDefault="00A13C97" w:rsidP="00A13C97">
      <w:pPr>
        <w:spacing w:line="240" w:lineRule="auto"/>
        <w:jc w:val="both"/>
        <w:rPr>
          <w:rFonts w:ascii="Times New Roman" w:hAnsi="Times New Roman" w:cs="Times New Roman"/>
          <w:sz w:val="24"/>
          <w:szCs w:val="24"/>
          <w:lang w:val="en-GB"/>
        </w:rPr>
      </w:pPr>
      <w:r w:rsidRPr="00EE5704">
        <w:rPr>
          <w:rFonts w:ascii="Times New Roman" w:hAnsi="Times New Roman" w:cs="Times New Roman"/>
          <w:sz w:val="24"/>
          <w:szCs w:val="24"/>
          <w:lang w:val="en-GB"/>
        </w:rPr>
        <w:t>The US has recorded external surpluses in only three of the 38 years since 1980. Tax policy has favored debt accumulation by households at the expense of saving, and a significant productivity slowdown is affecting US international competitiveness. As Ethan Ilzetzky, Kenneth Rogoff, and I document, because of the absence of alternatives, the dollar’s status as the world’s major reserve currency remains unchallenged, making it easy for the US to continue to finance current-account deficits. But the fact that it is easy does not make it a good idea.</w:t>
      </w:r>
    </w:p>
    <w:p w:rsidR="00A13C97" w:rsidRDefault="00A13C97" w:rsidP="00A13C97">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Pr="00EE5704">
        <w:rPr>
          <w:rFonts w:ascii="Times New Roman" w:hAnsi="Times New Roman" w:cs="Times New Roman"/>
          <w:sz w:val="24"/>
          <w:szCs w:val="24"/>
          <w:lang w:val="en-GB"/>
        </w:rPr>
        <w:t>Carmen Reinhart is Professor of the International Financial System at Harvard University</w:t>
      </w:r>
      <w:r>
        <w:rPr>
          <w:rFonts w:ascii="Times New Roman" w:hAnsi="Times New Roman" w:cs="Times New Roman"/>
          <w:sz w:val="24"/>
          <w:szCs w:val="24"/>
          <w:lang w:val="en-GB"/>
        </w:rPr>
        <w:t>'s Kennedy School of Government)</w:t>
      </w:r>
    </w:p>
    <w:p w:rsidR="004C136B" w:rsidRDefault="004C136B" w:rsidP="004C136B">
      <w:pPr>
        <w:spacing w:after="0" w:line="240" w:lineRule="auto"/>
        <w:jc w:val="both"/>
        <w:textAlignment w:val="baseline"/>
        <w:outlineLvl w:val="0"/>
        <w:rPr>
          <w:rFonts w:ascii="Times New Roman" w:eastAsia="Times New Roman" w:hAnsi="Times New Roman" w:cs="Times New Roman"/>
          <w:bCs/>
          <w:kern w:val="36"/>
          <w:sz w:val="24"/>
          <w:szCs w:val="24"/>
          <w:lang w:eastAsia="es-ES"/>
        </w:rPr>
      </w:pPr>
      <w:r>
        <w:rPr>
          <w:rFonts w:ascii="Times New Roman" w:eastAsia="Times New Roman" w:hAnsi="Times New Roman" w:cs="Times New Roman"/>
          <w:bCs/>
          <w:kern w:val="36"/>
          <w:sz w:val="24"/>
          <w:szCs w:val="24"/>
          <w:lang w:eastAsia="es-ES"/>
        </w:rPr>
        <w:t xml:space="preserve">- </w:t>
      </w:r>
      <w:hyperlink r:id="rId49" w:history="1">
        <w:r w:rsidRPr="004A49A1">
          <w:rPr>
            <w:rFonts w:ascii="Times New Roman" w:eastAsia="Times New Roman" w:hAnsi="Times New Roman" w:cs="Times New Roman"/>
            <w:bCs/>
            <w:kern w:val="36"/>
            <w:sz w:val="24"/>
            <w:szCs w:val="24"/>
            <w:u w:val="single"/>
            <w:bdr w:val="none" w:sz="0" w:space="0" w:color="auto" w:frame="1"/>
            <w:lang w:eastAsia="es-ES"/>
          </w:rPr>
          <w:t>Sobre brechas (y no son las de género)</w:t>
        </w:r>
      </w:hyperlink>
      <w:r>
        <w:rPr>
          <w:rFonts w:ascii="Times New Roman" w:eastAsia="Times New Roman" w:hAnsi="Times New Roman" w:cs="Times New Roman"/>
          <w:bCs/>
          <w:kern w:val="36"/>
          <w:sz w:val="24"/>
          <w:szCs w:val="24"/>
          <w:lang w:eastAsia="es-ES"/>
        </w:rPr>
        <w:t xml:space="preserve"> (Fedea - </w:t>
      </w:r>
      <w:r w:rsidRPr="004A49A1">
        <w:rPr>
          <w:rFonts w:ascii="Times New Roman" w:eastAsia="Times New Roman" w:hAnsi="Times New Roman" w:cs="Times New Roman"/>
          <w:b/>
          <w:bCs/>
          <w:kern w:val="36"/>
          <w:sz w:val="24"/>
          <w:szCs w:val="24"/>
          <w:lang w:eastAsia="es-ES"/>
        </w:rPr>
        <w:t>1/9/17</w:t>
      </w:r>
      <w:r>
        <w:rPr>
          <w:rFonts w:ascii="Times New Roman" w:eastAsia="Times New Roman" w:hAnsi="Times New Roman" w:cs="Times New Roman"/>
          <w:bCs/>
          <w:kern w:val="36"/>
          <w:sz w:val="24"/>
          <w:szCs w:val="24"/>
          <w:lang w:eastAsia="es-ES"/>
        </w:rPr>
        <w:t>)</w:t>
      </w:r>
    </w:p>
    <w:p w:rsidR="004C136B" w:rsidRPr="004A49A1" w:rsidRDefault="004C136B" w:rsidP="004C136B">
      <w:pPr>
        <w:spacing w:after="0" w:line="240" w:lineRule="auto"/>
        <w:jc w:val="both"/>
        <w:textAlignment w:val="baseline"/>
        <w:outlineLvl w:val="0"/>
        <w:rPr>
          <w:rFonts w:ascii="Times New Roman" w:eastAsia="Times New Roman" w:hAnsi="Times New Roman" w:cs="Times New Roman"/>
          <w:bCs/>
          <w:kern w:val="36"/>
          <w:sz w:val="24"/>
          <w:szCs w:val="24"/>
          <w:lang w:eastAsia="es-ES"/>
        </w:rPr>
      </w:pPr>
    </w:p>
    <w:p w:rsidR="004C136B" w:rsidRPr="004A49A1" w:rsidRDefault="004C136B" w:rsidP="004C136B">
      <w:pPr>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bdr w:val="none" w:sz="0" w:space="0" w:color="auto" w:frame="1"/>
          <w:lang w:eastAsia="es-ES"/>
        </w:rPr>
        <w:t xml:space="preserve">(Por </w:t>
      </w:r>
      <w:hyperlink r:id="rId50" w:history="1">
        <w:r w:rsidRPr="004A49A1">
          <w:rPr>
            <w:rFonts w:ascii="Times New Roman" w:eastAsia="Times New Roman" w:hAnsi="Times New Roman" w:cs="Times New Roman"/>
            <w:sz w:val="24"/>
            <w:szCs w:val="24"/>
            <w:bdr w:val="none" w:sz="0" w:space="0" w:color="auto" w:frame="1"/>
            <w:lang w:eastAsia="es-ES"/>
          </w:rPr>
          <w:t>Juan Francisco Jimeno</w:t>
        </w:r>
      </w:hyperlink>
      <w:r>
        <w:rPr>
          <w:rFonts w:ascii="Times New Roman" w:eastAsia="Times New Roman" w:hAnsi="Times New Roman" w:cs="Times New Roman"/>
          <w:sz w:val="24"/>
          <w:szCs w:val="24"/>
          <w:lang w:eastAsia="es-ES"/>
        </w:rPr>
        <w:t>)</w:t>
      </w:r>
      <w:r w:rsidRPr="004A49A1">
        <w:rPr>
          <w:rFonts w:ascii="Times New Roman" w:eastAsia="Times New Roman" w:hAnsi="Times New Roman" w:cs="Times New Roman"/>
          <w:sz w:val="24"/>
          <w:szCs w:val="24"/>
          <w:lang w:eastAsia="es-ES"/>
        </w:rPr>
        <w:t xml:space="preserve"> </w:t>
      </w:r>
    </w:p>
    <w:p w:rsidR="004C136B" w:rsidRDefault="004C136B" w:rsidP="004C136B">
      <w:pPr>
        <w:spacing w:after="0" w:line="240" w:lineRule="auto"/>
        <w:jc w:val="both"/>
        <w:textAlignment w:val="baseline"/>
        <w:rPr>
          <w:rFonts w:ascii="Times New Roman" w:eastAsia="Times New Roman" w:hAnsi="Times New Roman" w:cs="Times New Roman"/>
          <w:sz w:val="24"/>
          <w:szCs w:val="24"/>
          <w:u w:val="single"/>
          <w:lang w:eastAsia="es-ES"/>
        </w:rPr>
      </w:pPr>
      <w:r w:rsidRPr="004A49A1">
        <w:rPr>
          <w:rFonts w:ascii="Times New Roman" w:eastAsia="Times New Roman" w:hAnsi="Times New Roman" w:cs="Times New Roman"/>
          <w:sz w:val="24"/>
          <w:szCs w:val="24"/>
          <w:lang w:eastAsia="es-ES"/>
        </w:rPr>
        <w:t xml:space="preserve">Las diferencias de la situación laboral y de los salarios entre varones y mujeres han recibido </w:t>
      </w:r>
      <w:r w:rsidRPr="004C136B">
        <w:rPr>
          <w:rFonts w:ascii="Times New Roman" w:eastAsia="Times New Roman" w:hAnsi="Times New Roman" w:cs="Times New Roman"/>
          <w:sz w:val="24"/>
          <w:szCs w:val="24"/>
          <w:lang w:eastAsia="es-ES"/>
        </w:rPr>
        <w:t>una </w:t>
      </w:r>
      <w:hyperlink r:id="rId51" w:history="1">
        <w:r w:rsidRPr="004C136B">
          <w:rPr>
            <w:rFonts w:ascii="Times New Roman" w:eastAsia="Times New Roman" w:hAnsi="Times New Roman" w:cs="Times New Roman"/>
            <w:sz w:val="24"/>
            <w:szCs w:val="24"/>
            <w:bdr w:val="none" w:sz="0" w:space="0" w:color="auto" w:frame="1"/>
            <w:lang w:eastAsia="es-ES"/>
          </w:rPr>
          <w:t>atención prioritaria</w:t>
        </w:r>
      </w:hyperlink>
      <w:r w:rsidRPr="004C136B">
        <w:rPr>
          <w:rFonts w:ascii="Times New Roman" w:eastAsia="Times New Roman" w:hAnsi="Times New Roman" w:cs="Times New Roman"/>
          <w:sz w:val="24"/>
          <w:szCs w:val="24"/>
          <w:lang w:eastAsia="es-ES"/>
        </w:rPr>
        <w:t> en este blog. Y, aunque todavía son significativas, </w:t>
      </w:r>
      <w:hyperlink r:id="rId52" w:history="1">
        <w:r w:rsidRPr="004C136B">
          <w:rPr>
            <w:rFonts w:ascii="Times New Roman" w:eastAsia="Times New Roman" w:hAnsi="Times New Roman" w:cs="Times New Roman"/>
            <w:sz w:val="24"/>
            <w:szCs w:val="24"/>
            <w:bdr w:val="none" w:sz="0" w:space="0" w:color="auto" w:frame="1"/>
            <w:lang w:eastAsia="es-ES"/>
          </w:rPr>
          <w:t>se han reducido considerablemente</w:t>
        </w:r>
      </w:hyperlink>
      <w:hyperlink r:id="rId53" w:history="1">
        <w:r w:rsidRPr="004A49A1">
          <w:rPr>
            <w:rFonts w:ascii="Times New Roman" w:eastAsia="Times New Roman" w:hAnsi="Times New Roman" w:cs="Times New Roman"/>
            <w:color w:val="0BB2FF"/>
            <w:sz w:val="24"/>
            <w:szCs w:val="24"/>
            <w:u w:val="single"/>
            <w:bdr w:val="none" w:sz="0" w:space="0" w:color="auto" w:frame="1"/>
            <w:lang w:eastAsia="es-ES"/>
          </w:rPr>
          <w:t>;</w:t>
        </w:r>
      </w:hyperlink>
      <w:r w:rsidRPr="004A49A1">
        <w:rPr>
          <w:rFonts w:ascii="Times New Roman" w:eastAsia="Times New Roman" w:hAnsi="Times New Roman" w:cs="Times New Roman"/>
          <w:sz w:val="24"/>
          <w:szCs w:val="24"/>
          <w:lang w:eastAsia="es-ES"/>
        </w:rPr>
        <w:t xml:space="preserve"> en mayor medida, durante la crisis. Por el contrario, </w:t>
      </w:r>
      <w:r w:rsidRPr="003B7E0B">
        <w:rPr>
          <w:rFonts w:ascii="Times New Roman" w:eastAsia="Times New Roman" w:hAnsi="Times New Roman" w:cs="Times New Roman"/>
          <w:color w:val="FF0000"/>
          <w:sz w:val="24"/>
          <w:szCs w:val="24"/>
          <w:u w:val="single"/>
          <w:lang w:eastAsia="es-ES"/>
        </w:rPr>
        <w:t>hay otra brecha que no ha hecho más que agrandarse y que no recibe tanta atención en ámbitos académicos, ni parece preocupar mucho en los debates sobre políticas económicas y sociales. Se trata de la brecha intergeneracional que se origina, fundamentalmente, en el elevado paro juvenil, la caída de los salarios relativos de los trabajadores con menor edad y en la concentración de transferencias sociales en grupos de edad más avanzados.</w:t>
      </w:r>
      <w:r w:rsidRPr="004A49A1">
        <w:rPr>
          <w:rFonts w:ascii="Times New Roman" w:eastAsia="Times New Roman" w:hAnsi="Times New Roman" w:cs="Times New Roman"/>
          <w:sz w:val="24"/>
          <w:szCs w:val="24"/>
          <w:lang w:eastAsia="es-ES"/>
        </w:rPr>
        <w:t xml:space="preserve"> Y aunque se trata de un fenómeno que afecta a m</w:t>
      </w:r>
      <w:r>
        <w:rPr>
          <w:rFonts w:ascii="Times New Roman" w:eastAsia="Times New Roman" w:hAnsi="Times New Roman" w:cs="Times New Roman"/>
          <w:sz w:val="24"/>
          <w:szCs w:val="24"/>
          <w:lang w:eastAsia="es-ES"/>
        </w:rPr>
        <w:t xml:space="preserve">uchos países </w:t>
      </w:r>
      <w:r w:rsidRPr="004A49A1">
        <w:rPr>
          <w:rFonts w:ascii="Times New Roman" w:eastAsia="Times New Roman" w:hAnsi="Times New Roman" w:cs="Times New Roman"/>
          <w:sz w:val="24"/>
          <w:szCs w:val="24"/>
          <w:lang w:eastAsia="es-ES"/>
        </w:rPr>
        <w:t>en España es </w:t>
      </w:r>
      <w:hyperlink r:id="rId54" w:history="1">
        <w:r w:rsidRPr="004C136B">
          <w:rPr>
            <w:rFonts w:ascii="Times New Roman" w:eastAsia="Times New Roman" w:hAnsi="Times New Roman" w:cs="Times New Roman"/>
            <w:sz w:val="24"/>
            <w:szCs w:val="24"/>
            <w:u w:val="single"/>
            <w:bdr w:val="none" w:sz="0" w:space="0" w:color="auto" w:frame="1"/>
            <w:lang w:eastAsia="es-ES"/>
          </w:rPr>
          <w:t>especialmente grave</w:t>
        </w:r>
      </w:hyperlink>
      <w:r w:rsidRPr="004C136B">
        <w:rPr>
          <w:rFonts w:ascii="Times New Roman" w:eastAsia="Times New Roman" w:hAnsi="Times New Roman" w:cs="Times New Roman"/>
          <w:sz w:val="24"/>
          <w:szCs w:val="24"/>
          <w:u w:val="single"/>
          <w:lang w:eastAsia="es-ES"/>
        </w:rPr>
        <w:t>.</w:t>
      </w:r>
    </w:p>
    <w:p w:rsidR="00B94AB8" w:rsidRDefault="00B94AB8" w:rsidP="004C136B">
      <w:pPr>
        <w:spacing w:after="0" w:line="240" w:lineRule="auto"/>
        <w:jc w:val="both"/>
        <w:textAlignment w:val="baseline"/>
        <w:rPr>
          <w:rFonts w:ascii="Times New Roman" w:eastAsia="Times New Roman" w:hAnsi="Times New Roman" w:cs="Times New Roman"/>
          <w:sz w:val="24"/>
          <w:szCs w:val="24"/>
          <w:u w:val="single"/>
          <w:lang w:eastAsia="es-ES"/>
        </w:rPr>
      </w:pPr>
    </w:p>
    <w:p w:rsidR="00B94AB8" w:rsidRDefault="00B94AB8" w:rsidP="004C136B">
      <w:pPr>
        <w:spacing w:after="0" w:line="240" w:lineRule="auto"/>
        <w:jc w:val="both"/>
        <w:textAlignment w:val="baseline"/>
        <w:rPr>
          <w:rFonts w:ascii="Times New Roman" w:eastAsia="Times New Roman" w:hAnsi="Times New Roman" w:cs="Times New Roman"/>
          <w:sz w:val="24"/>
          <w:szCs w:val="24"/>
          <w:u w:val="single"/>
          <w:lang w:eastAsia="es-ES"/>
        </w:rPr>
      </w:pPr>
    </w:p>
    <w:p w:rsidR="00B94AB8" w:rsidRDefault="00B94AB8" w:rsidP="004C136B">
      <w:pPr>
        <w:spacing w:after="0" w:line="240" w:lineRule="auto"/>
        <w:jc w:val="both"/>
        <w:textAlignment w:val="baseline"/>
        <w:rPr>
          <w:rFonts w:ascii="Times New Roman" w:eastAsia="Times New Roman" w:hAnsi="Times New Roman" w:cs="Times New Roman"/>
          <w:sz w:val="24"/>
          <w:szCs w:val="24"/>
          <w:lang w:eastAsia="es-ES"/>
        </w:rPr>
      </w:pPr>
    </w:p>
    <w:p w:rsidR="004C136B" w:rsidRPr="004C136B" w:rsidRDefault="004C136B" w:rsidP="004C136B">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4C136B">
        <w:rPr>
          <w:rFonts w:ascii="Times New Roman" w:eastAsia="Times New Roman" w:hAnsi="Times New Roman" w:cs="Times New Roman"/>
          <w:bCs/>
          <w:sz w:val="24"/>
          <w:szCs w:val="24"/>
          <w:bdr w:val="none" w:sz="0" w:space="0" w:color="auto" w:frame="1"/>
          <w:lang w:eastAsia="es-ES"/>
        </w:rPr>
        <w:t>La s</w:t>
      </w:r>
      <w:r w:rsidR="00B94AB8">
        <w:rPr>
          <w:rFonts w:ascii="Times New Roman" w:eastAsia="Times New Roman" w:hAnsi="Times New Roman" w:cs="Times New Roman"/>
          <w:bCs/>
          <w:sz w:val="24"/>
          <w:szCs w:val="24"/>
          <w:bdr w:val="none" w:sz="0" w:space="0" w:color="auto" w:frame="1"/>
          <w:lang w:eastAsia="es-ES"/>
        </w:rPr>
        <w:t>ituación laboral de los jóvenes…</w:t>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p>
    <w:p w:rsidR="004C136B"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sidRPr="003B7E0B">
        <w:rPr>
          <w:rFonts w:ascii="Times New Roman" w:eastAsia="Times New Roman" w:hAnsi="Times New Roman" w:cs="Times New Roman"/>
          <w:sz w:val="24"/>
          <w:szCs w:val="24"/>
          <w:u w:val="single"/>
          <w:lang w:eastAsia="es-ES"/>
        </w:rPr>
        <w:t>Hay dos tipos de razones por las que la tasa de paro juvenil es más alta que la de los trabajadores de mayor edad. Unas (fisiológicas”) se deben a que los jóvenes sufren un </w:t>
      </w:r>
      <w:hyperlink r:id="rId55" w:history="1">
        <w:r w:rsidRPr="004C136B">
          <w:rPr>
            <w:rFonts w:ascii="Times New Roman" w:eastAsia="Times New Roman" w:hAnsi="Times New Roman" w:cs="Times New Roman"/>
            <w:sz w:val="24"/>
            <w:szCs w:val="24"/>
            <w:u w:val="single"/>
            <w:bdr w:val="none" w:sz="0" w:space="0" w:color="auto" w:frame="1"/>
            <w:lang w:eastAsia="es-ES"/>
          </w:rPr>
          <w:t>desempleo friccional</w:t>
        </w:r>
      </w:hyperlink>
      <w:r w:rsidRPr="004C136B">
        <w:rPr>
          <w:rFonts w:ascii="Times New Roman" w:eastAsia="Times New Roman" w:hAnsi="Times New Roman" w:cs="Times New Roman"/>
          <w:sz w:val="24"/>
          <w:szCs w:val="24"/>
          <w:u w:val="single"/>
          <w:lang w:eastAsia="es-ES"/>
        </w:rPr>
        <w:t> </w:t>
      </w:r>
      <w:r w:rsidRPr="003B7E0B">
        <w:rPr>
          <w:rFonts w:ascii="Times New Roman" w:eastAsia="Times New Roman" w:hAnsi="Times New Roman" w:cs="Times New Roman"/>
          <w:sz w:val="24"/>
          <w:szCs w:val="24"/>
          <w:u w:val="single"/>
          <w:lang w:eastAsia="es-ES"/>
        </w:rPr>
        <w:t>más elevado porque la transición entre el sistema educativo y el mercado de trabajo requiere tiempo hasta que se encuentra un primer empleo significativo y porque los primeros empleos suelen tener una duración más corta</w:t>
      </w:r>
      <w:r w:rsidRPr="004A49A1">
        <w:rPr>
          <w:rFonts w:ascii="Times New Roman" w:eastAsia="Times New Roman" w:hAnsi="Times New Roman" w:cs="Times New Roman"/>
          <w:sz w:val="24"/>
          <w:szCs w:val="24"/>
          <w:lang w:eastAsia="es-ES"/>
        </w:rPr>
        <w:t>. Por ello, como se observa en el siguiente cuadro, el paro juvenil es siempre mayor y aumenta más durante las recesiones.</w:t>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noProof/>
          <w:lang w:eastAsia="es-ES"/>
        </w:rPr>
        <w:drawing>
          <wp:inline distT="0" distB="0" distL="0" distR="0" wp14:anchorId="4401C31D" wp14:editId="12A70555">
            <wp:extent cx="3917950" cy="2146300"/>
            <wp:effectExtent l="0" t="0" r="6350" b="6350"/>
            <wp:docPr id="661" name="Imagen 661" descr="u_g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_gap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17950" cy="2146300"/>
                    </a:xfrm>
                    <a:prstGeom prst="rect">
                      <a:avLst/>
                    </a:prstGeom>
                    <a:noFill/>
                    <a:ln>
                      <a:noFill/>
                    </a:ln>
                  </pic:spPr>
                </pic:pic>
              </a:graphicData>
            </a:graphic>
          </wp:inline>
        </w:drawing>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p>
    <w:p w:rsidR="004C136B" w:rsidRDefault="00B11D70" w:rsidP="004C136B">
      <w:pPr>
        <w:spacing w:after="0" w:line="240" w:lineRule="auto"/>
        <w:jc w:val="both"/>
        <w:textAlignment w:val="baseline"/>
        <w:rPr>
          <w:rFonts w:ascii="Times New Roman" w:eastAsia="Times New Roman" w:hAnsi="Times New Roman" w:cs="Times New Roman"/>
          <w:color w:val="FF0000"/>
          <w:sz w:val="24"/>
          <w:szCs w:val="24"/>
          <w:u w:val="single"/>
          <w:lang w:eastAsia="es-ES"/>
        </w:rPr>
      </w:pPr>
      <w:hyperlink r:id="rId57" w:history="1">
        <w:r w:rsidR="00AE4A30">
          <w:rPr>
            <w:rFonts w:ascii="Times New Roman" w:eastAsia="Times New Roman" w:hAnsi="Times New Roman" w:cs="Times New Roman"/>
            <w:noProof/>
            <w:color w:val="0BB2FF"/>
            <w:sz w:val="24"/>
            <w:szCs w:val="24"/>
            <w:u w:val="single"/>
            <w:bdr w:val="none" w:sz="0" w:space="0" w:color="auto" w:frame="1"/>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62" o:spid="_x0000_i1025" type="#_x0000_t75" alt="u_gaps" href="http://nadaesgratis.es/wp-content/uploads/u_gaps.tiff" style="width:.5pt;height:.5pt;visibility:visible;mso-wrap-style:square" o:button="t">
              <v:fill o:detectmouseclick="t"/>
              <v:imagedata r:id="rId58" o:title="u_gaps"/>
            </v:shape>
          </w:pict>
        </w:r>
      </w:hyperlink>
      <w:r w:rsidR="004C136B" w:rsidRPr="003B7E0B">
        <w:rPr>
          <w:rFonts w:ascii="Times New Roman" w:eastAsia="Times New Roman" w:hAnsi="Times New Roman" w:cs="Times New Roman"/>
          <w:noProof/>
          <w:color w:val="0BB2FF"/>
          <w:sz w:val="24"/>
          <w:szCs w:val="24"/>
          <w:u w:val="single"/>
          <w:bdr w:val="none" w:sz="0" w:space="0" w:color="auto" w:frame="1"/>
          <w:lang w:eastAsia="es-ES"/>
        </w:rPr>
        <w:drawing>
          <wp:inline distT="0" distB="0" distL="0" distR="0" wp14:anchorId="2C844088" wp14:editId="68AC7327">
            <wp:extent cx="6350" cy="6350"/>
            <wp:effectExtent l="0" t="0" r="0" b="0"/>
            <wp:docPr id="663" name="Imagen 663" descr="u_gaps">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_gaps">
                      <a:hlinkClick r:id="rId57"/>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r w:rsidR="004C136B" w:rsidRPr="003B7E0B">
        <w:rPr>
          <w:rFonts w:ascii="Times New Roman" w:eastAsia="Times New Roman" w:hAnsi="Times New Roman" w:cs="Times New Roman"/>
          <w:sz w:val="24"/>
          <w:szCs w:val="24"/>
          <w:u w:val="single"/>
          <w:lang w:eastAsia="es-ES"/>
        </w:rPr>
        <w:t>El segundo tipo de razones (“patológicas”) son el resultado de instituciones laborales que afectan de forma diferente a trabajadores de distintas características. Dada la mayor rotación laboral de los jóvenes, son las instituciones laborales que afectan a la contratación y al despido las que adquieren mayor relevancia a la hora de explicar la brecha intergeneracional de desempleo</w:t>
      </w:r>
      <w:r w:rsidR="004C136B" w:rsidRPr="004A49A1">
        <w:rPr>
          <w:rFonts w:ascii="Times New Roman" w:eastAsia="Times New Roman" w:hAnsi="Times New Roman" w:cs="Times New Roman"/>
          <w:sz w:val="24"/>
          <w:szCs w:val="24"/>
          <w:lang w:eastAsia="es-ES"/>
        </w:rPr>
        <w:t xml:space="preserve">. </w:t>
      </w:r>
      <w:r w:rsidR="004C136B" w:rsidRPr="003B7E0B">
        <w:rPr>
          <w:rFonts w:ascii="Times New Roman" w:eastAsia="Times New Roman" w:hAnsi="Times New Roman" w:cs="Times New Roman"/>
          <w:sz w:val="24"/>
          <w:szCs w:val="24"/>
          <w:u w:val="single"/>
          <w:lang w:eastAsia="es-ES"/>
        </w:rPr>
        <w:t>No resulta extraño, pues, que sean los países con una legislación sobre protección al empleo más dual/discriminatoria, por la mayor incidencia de la contratación temporal, o donde existen barreras a la entrada en el primer empleo (por ejemplo, salarios mínimos sin distinción por edad), los que registren tasas de paro juvenil más altas (ver, por ejemplo, la situación de España, Italia y Grecia en los gráficos siguientes)</w:t>
      </w:r>
      <w:r w:rsidR="004C136B" w:rsidRPr="004A49A1">
        <w:rPr>
          <w:rFonts w:ascii="Times New Roman" w:eastAsia="Times New Roman" w:hAnsi="Times New Roman" w:cs="Times New Roman"/>
          <w:sz w:val="24"/>
          <w:szCs w:val="24"/>
          <w:lang w:eastAsia="es-ES"/>
        </w:rPr>
        <w:t xml:space="preserve">. </w:t>
      </w:r>
      <w:r w:rsidR="004C136B" w:rsidRPr="003B7E0B">
        <w:rPr>
          <w:rFonts w:ascii="Times New Roman" w:eastAsia="Times New Roman" w:hAnsi="Times New Roman" w:cs="Times New Roman"/>
          <w:sz w:val="24"/>
          <w:szCs w:val="24"/>
          <w:u w:val="single"/>
          <w:lang w:eastAsia="es-ES"/>
        </w:rPr>
        <w:t>Que el aumento de esta brecha haya sido también mayor durante la crisis en estos p</w:t>
      </w:r>
      <w:r w:rsidR="004C136B">
        <w:rPr>
          <w:rFonts w:ascii="Times New Roman" w:eastAsia="Times New Roman" w:hAnsi="Times New Roman" w:cs="Times New Roman"/>
          <w:sz w:val="24"/>
          <w:szCs w:val="24"/>
          <w:u w:val="single"/>
          <w:lang w:eastAsia="es-ES"/>
        </w:rPr>
        <w:t xml:space="preserve">aíses confirma </w:t>
      </w:r>
      <w:r w:rsidR="004C136B" w:rsidRPr="003B7E0B">
        <w:rPr>
          <w:rFonts w:ascii="Times New Roman" w:eastAsia="Times New Roman" w:hAnsi="Times New Roman" w:cs="Times New Roman"/>
          <w:sz w:val="24"/>
          <w:szCs w:val="24"/>
          <w:u w:val="single"/>
          <w:lang w:eastAsia="es-ES"/>
        </w:rPr>
        <w:t>que el problema del paro juvenil es ahora algo más que el resultado de fricciones “fisiológicas” asociadas a las fluctuaciones cíclicas.</w:t>
      </w:r>
      <w:r w:rsidR="004C136B" w:rsidRPr="004A49A1">
        <w:rPr>
          <w:rFonts w:ascii="Times New Roman" w:eastAsia="Times New Roman" w:hAnsi="Times New Roman" w:cs="Times New Roman"/>
          <w:sz w:val="24"/>
          <w:szCs w:val="24"/>
          <w:lang w:eastAsia="es-ES"/>
        </w:rPr>
        <w:t xml:space="preserve"> </w:t>
      </w:r>
      <w:r w:rsidR="004C136B" w:rsidRPr="003B7E0B">
        <w:rPr>
          <w:rFonts w:ascii="Times New Roman" w:eastAsia="Times New Roman" w:hAnsi="Times New Roman" w:cs="Times New Roman"/>
          <w:color w:val="FF0000"/>
          <w:sz w:val="24"/>
          <w:szCs w:val="24"/>
          <w:u w:val="single"/>
          <w:lang w:eastAsia="es-ES"/>
        </w:rPr>
        <w:t>Y es especialmente grave porque si hay algo que deja </w:t>
      </w:r>
      <w:hyperlink r:id="rId60" w:history="1">
        <w:r w:rsidR="004C136B" w:rsidRPr="003B7E0B">
          <w:rPr>
            <w:rFonts w:ascii="Times New Roman" w:eastAsia="Times New Roman" w:hAnsi="Times New Roman" w:cs="Times New Roman"/>
            <w:color w:val="FF0000"/>
            <w:sz w:val="24"/>
            <w:szCs w:val="24"/>
            <w:u w:val="single"/>
            <w:bdr w:val="none" w:sz="0" w:space="0" w:color="auto" w:frame="1"/>
            <w:lang w:eastAsia="es-ES"/>
          </w:rPr>
          <w:t>cicatrices permanentes</w:t>
        </w:r>
      </w:hyperlink>
      <w:r w:rsidR="004C136B" w:rsidRPr="003B7E0B">
        <w:rPr>
          <w:rFonts w:ascii="Times New Roman" w:eastAsia="Times New Roman" w:hAnsi="Times New Roman" w:cs="Times New Roman"/>
          <w:color w:val="FF0000"/>
          <w:sz w:val="24"/>
          <w:szCs w:val="24"/>
          <w:u w:val="single"/>
          <w:lang w:eastAsia="es-ES"/>
        </w:rPr>
        <w:t> en la carrera profesional de una persona es la sucesión de periodos de desempleo y empleo precario al inicio de su vida laboral.</w:t>
      </w:r>
    </w:p>
    <w:p w:rsidR="00A13C97" w:rsidRDefault="00A13C97" w:rsidP="004C136B">
      <w:pPr>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A13C97" w:rsidRPr="004C136B" w:rsidRDefault="00A13C97" w:rsidP="00A13C97">
      <w:pPr>
        <w:spacing w:after="0" w:line="240" w:lineRule="auto"/>
        <w:jc w:val="both"/>
        <w:textAlignment w:val="baseline"/>
        <w:rPr>
          <w:rFonts w:ascii="Times New Roman" w:eastAsia="Times New Roman" w:hAnsi="Times New Roman" w:cs="Times New Roman"/>
          <w:sz w:val="24"/>
          <w:szCs w:val="24"/>
          <w:lang w:eastAsia="es-ES"/>
        </w:rPr>
      </w:pPr>
      <w:r w:rsidRPr="004A49A1">
        <w:rPr>
          <w:rFonts w:ascii="Times New Roman" w:eastAsia="Times New Roman" w:hAnsi="Times New Roman" w:cs="Times New Roman"/>
          <w:sz w:val="24"/>
          <w:szCs w:val="24"/>
          <w:lang w:eastAsia="es-ES"/>
        </w:rPr>
        <w:t>Existen políticas de empleo diseñadas específicamente para combatir el paro juvenil. Suelen centrarse en programas de formación y de inserción laboral, pero no atacan la raíz del problema (instituciones laborales discriminatorias). No es pues extraño que su grado de eficacia haya sido, si acaso, </w:t>
      </w:r>
      <w:hyperlink r:id="rId61" w:history="1">
        <w:r w:rsidRPr="004C136B">
          <w:rPr>
            <w:rFonts w:ascii="Times New Roman" w:eastAsia="Times New Roman" w:hAnsi="Times New Roman" w:cs="Times New Roman"/>
            <w:sz w:val="24"/>
            <w:szCs w:val="24"/>
            <w:bdr w:val="none" w:sz="0" w:space="0" w:color="auto" w:frame="1"/>
            <w:lang w:eastAsia="es-ES"/>
          </w:rPr>
          <w:t>limitado</w:t>
        </w:r>
      </w:hyperlink>
      <w:r w:rsidRPr="004C136B">
        <w:rPr>
          <w:rFonts w:ascii="Times New Roman" w:eastAsia="Times New Roman" w:hAnsi="Times New Roman" w:cs="Times New Roman"/>
          <w:sz w:val="24"/>
          <w:szCs w:val="24"/>
          <w:lang w:eastAsia="es-ES"/>
        </w:rPr>
        <w:t>.</w:t>
      </w:r>
    </w:p>
    <w:p w:rsidR="00A13C97" w:rsidRDefault="00A13C97" w:rsidP="004C136B">
      <w:pPr>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4C136B" w:rsidRDefault="004C136B" w:rsidP="004C136B">
      <w:pPr>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4C136B" w:rsidRPr="003B7E0B" w:rsidRDefault="004C136B" w:rsidP="004C136B">
      <w:pPr>
        <w:spacing w:after="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lastRenderedPageBreak/>
        <w:t xml:space="preserve">                      </w:t>
      </w:r>
      <w:r w:rsidRPr="004A49A1">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3ACA7F87" wp14:editId="058B2827">
            <wp:extent cx="3810000" cy="2838450"/>
            <wp:effectExtent l="0" t="0" r="0" b="0"/>
            <wp:docPr id="13" name="Imagen 13" descr="Figure4_1">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4_1">
                      <a:hlinkClick r:id="rId62"/>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10000" cy="2838450"/>
                    </a:xfrm>
                    <a:prstGeom prst="rect">
                      <a:avLst/>
                    </a:prstGeom>
                    <a:noFill/>
                    <a:ln>
                      <a:noFill/>
                    </a:ln>
                  </pic:spPr>
                </pic:pic>
              </a:graphicData>
            </a:graphic>
          </wp:inline>
        </w:drawing>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noProof/>
          <w:color w:val="0BB2FF"/>
          <w:sz w:val="24"/>
          <w:szCs w:val="24"/>
          <w:bdr w:val="none" w:sz="0" w:space="0" w:color="auto" w:frame="1"/>
          <w:lang w:eastAsia="es-ES"/>
        </w:rPr>
        <w:t xml:space="preserve">                      </w:t>
      </w:r>
      <w:r w:rsidRPr="004A49A1">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469005EF" wp14:editId="1E406A48">
            <wp:extent cx="3810000" cy="2857500"/>
            <wp:effectExtent l="0" t="0" r="0" b="0"/>
            <wp:docPr id="665" name="Imagen 665" descr="Figure4_2">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4_2">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4C136B" w:rsidRDefault="004C136B" w:rsidP="004C136B">
      <w:pPr>
        <w:spacing w:after="0" w:line="240" w:lineRule="auto"/>
        <w:jc w:val="both"/>
        <w:textAlignment w:val="baseline"/>
        <w:rPr>
          <w:rFonts w:ascii="Times New Roman" w:eastAsia="Times New Roman" w:hAnsi="Times New Roman" w:cs="Times New Roman"/>
          <w:b/>
          <w:bCs/>
          <w:sz w:val="24"/>
          <w:szCs w:val="24"/>
          <w:bdr w:val="none" w:sz="0" w:space="0" w:color="auto" w:frame="1"/>
          <w:lang w:eastAsia="es-ES"/>
        </w:rPr>
      </w:pPr>
    </w:p>
    <w:p w:rsidR="004C136B" w:rsidRPr="004C136B" w:rsidRDefault="004C136B" w:rsidP="004C136B">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4C136B">
        <w:rPr>
          <w:rFonts w:ascii="Times New Roman" w:eastAsia="Times New Roman" w:hAnsi="Times New Roman" w:cs="Times New Roman"/>
          <w:bCs/>
          <w:sz w:val="24"/>
          <w:szCs w:val="24"/>
          <w:bdr w:val="none" w:sz="0" w:space="0" w:color="auto" w:frame="1"/>
          <w:lang w:eastAsia="es-ES"/>
        </w:rPr>
        <w:t>sus ganancias salariales y rentas…</w:t>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p>
    <w:p w:rsidR="004C136B"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sidRPr="00204FB2">
        <w:rPr>
          <w:rFonts w:ascii="Times New Roman" w:eastAsia="Times New Roman" w:hAnsi="Times New Roman" w:cs="Times New Roman"/>
          <w:sz w:val="24"/>
          <w:szCs w:val="24"/>
          <w:u w:val="single"/>
          <w:lang w:eastAsia="es-ES"/>
        </w:rPr>
        <w:t>También es hasta cierto punto natural que las ganancias salariales de los jóvenes sean menores que los de la población de mayor edad. En primer lugar, por su mayor rotación laboral y porque muchos de ellos entran en el mercado de trabajo mientras siguen realizando actividades formativas, suelen trabajar menos horas. En segundo lugar, por su menor experiencia laboral, sus salarios por hora trabajada también son más bajos</w:t>
      </w:r>
      <w:r w:rsidRPr="004A49A1">
        <w:rPr>
          <w:rFonts w:ascii="Times New Roman" w:eastAsia="Times New Roman" w:hAnsi="Times New Roman" w:cs="Times New Roman"/>
          <w:sz w:val="24"/>
          <w:szCs w:val="24"/>
          <w:lang w:eastAsia="es-ES"/>
        </w:rPr>
        <w:t xml:space="preserve">. </w:t>
      </w:r>
      <w:r w:rsidRPr="00204FB2">
        <w:rPr>
          <w:rFonts w:ascii="Times New Roman" w:eastAsia="Times New Roman" w:hAnsi="Times New Roman" w:cs="Times New Roman"/>
          <w:color w:val="FF0000"/>
          <w:sz w:val="24"/>
          <w:szCs w:val="24"/>
          <w:u w:val="single"/>
          <w:lang w:eastAsia="es-ES"/>
        </w:rPr>
        <w:t>Lo que resulta especialmente chocante es el </w:t>
      </w:r>
      <w:hyperlink r:id="rId66" w:history="1">
        <w:r w:rsidRPr="00204FB2">
          <w:rPr>
            <w:rFonts w:ascii="Times New Roman" w:eastAsia="Times New Roman" w:hAnsi="Times New Roman" w:cs="Times New Roman"/>
            <w:color w:val="FF0000"/>
            <w:sz w:val="24"/>
            <w:szCs w:val="24"/>
            <w:u w:val="single"/>
            <w:bdr w:val="none" w:sz="0" w:space="0" w:color="auto" w:frame="1"/>
            <w:lang w:eastAsia="es-ES"/>
          </w:rPr>
          <w:t>derrumbe notable</w:t>
        </w:r>
      </w:hyperlink>
      <w:r w:rsidRPr="00204FB2">
        <w:rPr>
          <w:rFonts w:ascii="Times New Roman" w:eastAsia="Times New Roman" w:hAnsi="Times New Roman" w:cs="Times New Roman"/>
          <w:color w:val="FF0000"/>
          <w:sz w:val="24"/>
          <w:szCs w:val="24"/>
          <w:u w:val="single"/>
          <w:lang w:eastAsia="es-ES"/>
        </w:rPr>
        <w:t> que han sufrido los salarios de los jóvenes durante los últimos años.</w:t>
      </w:r>
      <w:r w:rsidRPr="00204FB2">
        <w:rPr>
          <w:rFonts w:ascii="Times New Roman" w:eastAsia="Times New Roman" w:hAnsi="Times New Roman" w:cs="Times New Roman"/>
          <w:color w:val="FF0000"/>
          <w:sz w:val="24"/>
          <w:szCs w:val="24"/>
          <w:lang w:eastAsia="es-ES"/>
        </w:rPr>
        <w:t xml:space="preserve"> </w:t>
      </w:r>
      <w:r w:rsidRPr="00204FB2">
        <w:rPr>
          <w:rFonts w:ascii="Times New Roman" w:eastAsia="Times New Roman" w:hAnsi="Times New Roman" w:cs="Times New Roman"/>
          <w:color w:val="FF0000"/>
          <w:sz w:val="24"/>
          <w:szCs w:val="24"/>
          <w:u w:val="single"/>
          <w:lang w:eastAsia="es-ES"/>
        </w:rPr>
        <w:t>En cuanto a </w:t>
      </w:r>
      <w:hyperlink r:id="rId67" w:history="1">
        <w:r w:rsidRPr="00204FB2">
          <w:rPr>
            <w:rFonts w:ascii="Times New Roman" w:eastAsia="Times New Roman" w:hAnsi="Times New Roman" w:cs="Times New Roman"/>
            <w:color w:val="FF0000"/>
            <w:sz w:val="24"/>
            <w:szCs w:val="24"/>
            <w:u w:val="single"/>
            <w:bdr w:val="none" w:sz="0" w:space="0" w:color="auto" w:frame="1"/>
            <w:lang w:eastAsia="es-ES"/>
          </w:rPr>
          <w:t>las retribuciones salariales anuales por asalariado registradas por la Agencia Tributaria</w:t>
        </w:r>
      </w:hyperlink>
      <w:r w:rsidRPr="00204FB2">
        <w:rPr>
          <w:rFonts w:ascii="Times New Roman" w:eastAsia="Times New Roman" w:hAnsi="Times New Roman" w:cs="Times New Roman"/>
          <w:color w:val="FF0000"/>
          <w:sz w:val="24"/>
          <w:szCs w:val="24"/>
          <w:u w:val="single"/>
          <w:lang w:eastAsia="es-ES"/>
        </w:rPr>
        <w:t>, en conjunto disminuyeron un 1,85% entre 2008 y 2015. Pero la caída superó el 25% en el caso de los trabajadores más jóvenes y de casi el 15% en el de los de edades comprendidas entre 26 y 35 años (ver cuadro siguiente).</w:t>
      </w:r>
      <w:r w:rsidRPr="00204FB2">
        <w:rPr>
          <w:rFonts w:ascii="Times New Roman" w:eastAsia="Times New Roman" w:hAnsi="Times New Roman" w:cs="Times New Roman"/>
          <w:color w:val="FF0000"/>
          <w:sz w:val="24"/>
          <w:szCs w:val="24"/>
          <w:lang w:eastAsia="es-ES"/>
        </w:rPr>
        <w:t xml:space="preserve"> </w:t>
      </w:r>
      <w:r w:rsidRPr="004A49A1">
        <w:rPr>
          <w:rFonts w:ascii="Times New Roman" w:eastAsia="Times New Roman" w:hAnsi="Times New Roman" w:cs="Times New Roman"/>
          <w:sz w:val="24"/>
          <w:szCs w:val="24"/>
          <w:lang w:eastAsia="es-ES"/>
        </w:rPr>
        <w:t xml:space="preserve">Este fenómeno tampoco es ajeno a la peculiar configuración institucional del mercado de trabajo español que ha favorecido que el ajuste salarial se hiciera fundamentalmente </w:t>
      </w:r>
      <w:r w:rsidRPr="004C136B">
        <w:rPr>
          <w:rFonts w:ascii="Times New Roman" w:eastAsia="Times New Roman" w:hAnsi="Times New Roman" w:cs="Times New Roman"/>
          <w:sz w:val="24"/>
          <w:szCs w:val="24"/>
          <w:lang w:eastAsia="es-ES"/>
        </w:rPr>
        <w:t>mediante </w:t>
      </w:r>
      <w:hyperlink r:id="rId68" w:history="1">
        <w:r w:rsidRPr="004C136B">
          <w:rPr>
            <w:rFonts w:ascii="Times New Roman" w:eastAsia="Times New Roman" w:hAnsi="Times New Roman" w:cs="Times New Roman"/>
            <w:sz w:val="24"/>
            <w:szCs w:val="24"/>
            <w:bdr w:val="none" w:sz="0" w:space="0" w:color="auto" w:frame="1"/>
            <w:lang w:eastAsia="es-ES"/>
          </w:rPr>
          <w:t>la caída de los salarios de los nuevos empleos</w:t>
        </w:r>
      </w:hyperlink>
      <w:r w:rsidRPr="004C136B">
        <w:rPr>
          <w:rFonts w:ascii="Times New Roman" w:eastAsia="Times New Roman" w:hAnsi="Times New Roman" w:cs="Times New Roman"/>
          <w:sz w:val="24"/>
          <w:szCs w:val="24"/>
          <w:lang w:eastAsia="es-ES"/>
        </w:rPr>
        <w:t> </w:t>
      </w:r>
      <w:r w:rsidRPr="004A49A1">
        <w:rPr>
          <w:rFonts w:ascii="Times New Roman" w:eastAsia="Times New Roman" w:hAnsi="Times New Roman" w:cs="Times New Roman"/>
          <w:sz w:val="24"/>
          <w:szCs w:val="24"/>
          <w:lang w:eastAsia="es-ES"/>
        </w:rPr>
        <w:t>y, en mucha menor medida, por la de las retribuciones de los trabajadores que han permanecido en su puesto de trabajo.</w:t>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p>
    <w:p w:rsidR="004C136B"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4A49A1">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283A186F" wp14:editId="57C830B7">
            <wp:extent cx="3568700" cy="1568450"/>
            <wp:effectExtent l="0" t="0" r="0" b="0"/>
            <wp:docPr id="666" name="Imagen 666" descr="table2">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ble2">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68700" cy="1568450"/>
                    </a:xfrm>
                    <a:prstGeom prst="rect">
                      <a:avLst/>
                    </a:prstGeom>
                    <a:noFill/>
                    <a:ln>
                      <a:noFill/>
                    </a:ln>
                  </pic:spPr>
                </pic:pic>
              </a:graphicData>
            </a:graphic>
          </wp:inline>
        </w:drawing>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p>
    <w:p w:rsidR="004C136B" w:rsidRPr="00204FB2" w:rsidRDefault="004C136B" w:rsidP="004C136B">
      <w:pPr>
        <w:spacing w:after="0" w:line="240" w:lineRule="auto"/>
        <w:jc w:val="both"/>
        <w:textAlignment w:val="baseline"/>
        <w:rPr>
          <w:rFonts w:ascii="Times New Roman" w:eastAsia="Times New Roman" w:hAnsi="Times New Roman" w:cs="Times New Roman"/>
          <w:sz w:val="24"/>
          <w:szCs w:val="24"/>
          <w:u w:val="single"/>
          <w:lang w:eastAsia="es-ES"/>
        </w:rPr>
      </w:pPr>
      <w:r w:rsidRPr="004A49A1">
        <w:rPr>
          <w:rFonts w:ascii="Times New Roman" w:eastAsia="Times New Roman" w:hAnsi="Times New Roman" w:cs="Times New Roman"/>
          <w:sz w:val="24"/>
          <w:szCs w:val="24"/>
          <w:lang w:eastAsia="es-ES"/>
        </w:rPr>
        <w:t>Una historia parecida cuentan los datos sobre rentas de familias que proporciona </w:t>
      </w:r>
      <w:hyperlink r:id="rId71" w:history="1">
        <w:r w:rsidRPr="004C136B">
          <w:rPr>
            <w:rFonts w:ascii="Times New Roman" w:eastAsia="Times New Roman" w:hAnsi="Times New Roman" w:cs="Times New Roman"/>
            <w:sz w:val="24"/>
            <w:szCs w:val="24"/>
            <w:bdr w:val="none" w:sz="0" w:space="0" w:color="auto" w:frame="1"/>
            <w:lang w:eastAsia="es-ES"/>
          </w:rPr>
          <w:t>la Encuesta de Condiciones de Vida y Trabajo</w:t>
        </w:r>
      </w:hyperlink>
      <w:r w:rsidRPr="004C136B">
        <w:rPr>
          <w:rFonts w:ascii="Times New Roman" w:eastAsia="Times New Roman" w:hAnsi="Times New Roman" w:cs="Times New Roman"/>
          <w:sz w:val="24"/>
          <w:szCs w:val="24"/>
          <w:lang w:eastAsia="es-ES"/>
        </w:rPr>
        <w:t> </w:t>
      </w:r>
      <w:r w:rsidRPr="004A49A1">
        <w:rPr>
          <w:rFonts w:ascii="Times New Roman" w:eastAsia="Times New Roman" w:hAnsi="Times New Roman" w:cs="Times New Roman"/>
          <w:sz w:val="24"/>
          <w:szCs w:val="24"/>
          <w:lang w:eastAsia="es-ES"/>
        </w:rPr>
        <w:t xml:space="preserve">del INE. </w:t>
      </w:r>
      <w:r w:rsidRPr="00204FB2">
        <w:rPr>
          <w:rFonts w:ascii="Times New Roman" w:eastAsia="Times New Roman" w:hAnsi="Times New Roman" w:cs="Times New Roman"/>
          <w:sz w:val="24"/>
          <w:szCs w:val="24"/>
          <w:u w:val="single"/>
          <w:lang w:eastAsia="es-ES"/>
        </w:rPr>
        <w:t>Como se observa en el cuadro siguiente, entre 2008 y 2016 la pérdida de renta ha sido especialmente acusada entre la población joven mientras que para los mayores de 65 años se ha registrado un aumento del 14%.</w:t>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p>
    <w:p w:rsidR="004C136B"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A49A1">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3601C6E1" wp14:editId="7D377CE0">
            <wp:extent cx="3543300" cy="1568450"/>
            <wp:effectExtent l="0" t="0" r="0" b="0"/>
            <wp:docPr id="667" name="Imagen 667" descr="Tabke3">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abke3">
                      <a:hlinkClick r:id="rId72"/>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43300" cy="1568450"/>
                    </a:xfrm>
                    <a:prstGeom prst="rect">
                      <a:avLst/>
                    </a:prstGeom>
                    <a:noFill/>
                    <a:ln>
                      <a:noFill/>
                    </a:ln>
                  </pic:spPr>
                </pic:pic>
              </a:graphicData>
            </a:graphic>
          </wp:inline>
        </w:drawing>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p>
    <w:p w:rsidR="004C136B" w:rsidRPr="004C136B" w:rsidRDefault="004C136B" w:rsidP="004C136B">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4C136B">
        <w:rPr>
          <w:rFonts w:ascii="Times New Roman" w:eastAsia="Times New Roman" w:hAnsi="Times New Roman" w:cs="Times New Roman"/>
          <w:bCs/>
          <w:sz w:val="24"/>
          <w:szCs w:val="24"/>
          <w:bdr w:val="none" w:sz="0" w:space="0" w:color="auto" w:frame="1"/>
          <w:lang w:eastAsia="es-ES"/>
        </w:rPr>
        <w:t>y sus transferencias sociales (en particular, sus pensiones futuras)</w:t>
      </w: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p>
    <w:p w:rsidR="004C136B"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r w:rsidRPr="00204FB2">
        <w:rPr>
          <w:rFonts w:ascii="Times New Roman" w:eastAsia="Times New Roman" w:hAnsi="Times New Roman" w:cs="Times New Roman"/>
          <w:sz w:val="24"/>
          <w:szCs w:val="24"/>
          <w:u w:val="single"/>
          <w:lang w:eastAsia="es-ES"/>
        </w:rPr>
        <w:t>Las políticas sociales de sustitución de rentas (prestaciones por desempleo, incapacidad laboral y pensiones de jubilación, entre otras), al estar basadas fundamentalmente en un criterio contributivo (esto es, por requerir un periodo previo de empleo con alta y contribución a la Seguridad Social), generan transferencias sociales que van fundamentalmente dirigidas a las personas de mayor edad</w:t>
      </w:r>
      <w:r w:rsidRPr="004A49A1">
        <w:rPr>
          <w:rFonts w:ascii="Times New Roman" w:eastAsia="Times New Roman" w:hAnsi="Times New Roman" w:cs="Times New Roman"/>
          <w:sz w:val="24"/>
          <w:szCs w:val="24"/>
          <w:lang w:eastAsia="es-ES"/>
        </w:rPr>
        <w:t xml:space="preserve">. </w:t>
      </w:r>
      <w:r w:rsidRPr="00204FB2">
        <w:rPr>
          <w:rFonts w:ascii="Times New Roman" w:eastAsia="Times New Roman" w:hAnsi="Times New Roman" w:cs="Times New Roman"/>
          <w:sz w:val="24"/>
          <w:szCs w:val="24"/>
          <w:u w:val="single"/>
          <w:lang w:eastAsia="es-ES"/>
        </w:rPr>
        <w:t>Como se puede ver en los gráficos siguientes, en España, según </w:t>
      </w:r>
      <w:hyperlink r:id="rId74" w:history="1">
        <w:r w:rsidRPr="004C136B">
          <w:rPr>
            <w:rFonts w:ascii="Times New Roman" w:eastAsia="Times New Roman" w:hAnsi="Times New Roman" w:cs="Times New Roman"/>
            <w:sz w:val="24"/>
            <w:szCs w:val="24"/>
            <w:u w:val="single"/>
            <w:bdr w:val="none" w:sz="0" w:space="0" w:color="auto" w:frame="1"/>
            <w:lang w:eastAsia="es-ES"/>
          </w:rPr>
          <w:t>datos de Eurostat</w:t>
        </w:r>
      </w:hyperlink>
      <w:r w:rsidRPr="00204FB2">
        <w:rPr>
          <w:rFonts w:ascii="Times New Roman" w:eastAsia="Times New Roman" w:hAnsi="Times New Roman" w:cs="Times New Roman"/>
          <w:sz w:val="24"/>
          <w:szCs w:val="24"/>
          <w:u w:val="single"/>
          <w:lang w:eastAsia="es-ES"/>
        </w:rPr>
        <w:t>, el porcentaje de población con rentas inferiores al 60% de la mediana de la distribución de rentas después de transferencias sociales (que Eurostat identifica con la población en riesgo de pobreza monetaria) es notablemente superior entre los jóvenes.</w:t>
      </w:r>
      <w:r w:rsidRPr="004A49A1">
        <w:rPr>
          <w:rFonts w:ascii="Times New Roman" w:eastAsia="Times New Roman" w:hAnsi="Times New Roman" w:cs="Times New Roman"/>
          <w:sz w:val="24"/>
          <w:szCs w:val="24"/>
          <w:lang w:eastAsia="es-ES"/>
        </w:rPr>
        <w:t xml:space="preserve"> Además, el impacto de dichas transferencias (excluidas las pensiones) en la reducción del riesgo de pobreza es mucho mayor entre los mayores (55-64 años). La comparación con la EU28 también sugiere que en España las transferencias sociales se dirigen a la población de mayor edad en mayor medida que en otros países.</w:t>
      </w:r>
      <w:r>
        <w:rPr>
          <w:rFonts w:ascii="Times New Roman" w:eastAsia="Times New Roman" w:hAnsi="Times New Roman" w:cs="Times New Roman"/>
          <w:sz w:val="24"/>
          <w:szCs w:val="24"/>
          <w:lang w:eastAsia="es-ES"/>
        </w:rPr>
        <w:t xml:space="preserve"> </w:t>
      </w:r>
    </w:p>
    <w:p w:rsidR="004C136B"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p>
    <w:p w:rsidR="004C136B" w:rsidRPr="004A49A1" w:rsidRDefault="004C136B" w:rsidP="004C136B">
      <w:pPr>
        <w:spacing w:after="0" w:line="240" w:lineRule="auto"/>
        <w:jc w:val="both"/>
        <w:textAlignment w:val="baseline"/>
        <w:rPr>
          <w:rFonts w:ascii="Times New Roman" w:eastAsia="Times New Roman" w:hAnsi="Times New Roman" w:cs="Times New Roman"/>
          <w:sz w:val="24"/>
          <w:szCs w:val="24"/>
          <w:lang w:eastAsia="es-ES"/>
        </w:rPr>
      </w:pPr>
    </w:p>
    <w:p w:rsidR="004C136B" w:rsidRDefault="004C136B" w:rsidP="004C136B">
      <w:pPr>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A49A1">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54BEA718" wp14:editId="311D182A">
            <wp:extent cx="4502150" cy="1631950"/>
            <wp:effectExtent l="0" t="0" r="0" b="6350"/>
            <wp:docPr id="668" name="Imagen 668" descr="2graphs">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graphs">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02150" cy="1631950"/>
                    </a:xfrm>
                    <a:prstGeom prst="rect">
                      <a:avLst/>
                    </a:prstGeom>
                    <a:noFill/>
                    <a:ln>
                      <a:noFill/>
                    </a:ln>
                  </pic:spPr>
                </pic:pic>
              </a:graphicData>
            </a:graphic>
          </wp:inline>
        </w:drawing>
      </w:r>
    </w:p>
    <w:p w:rsidR="004C136B" w:rsidRDefault="004C136B" w:rsidP="004C136B">
      <w:pPr>
        <w:spacing w:line="240" w:lineRule="auto"/>
        <w:jc w:val="both"/>
        <w:textAlignment w:val="baseline"/>
        <w:rPr>
          <w:rFonts w:ascii="Times New Roman" w:eastAsia="Times New Roman" w:hAnsi="Times New Roman" w:cs="Times New Roman"/>
          <w:color w:val="FF0000"/>
          <w:sz w:val="24"/>
          <w:szCs w:val="24"/>
          <w:u w:val="single"/>
          <w:lang w:eastAsia="es-ES"/>
        </w:rPr>
      </w:pPr>
      <w:r w:rsidRPr="00204FB2">
        <w:rPr>
          <w:rFonts w:ascii="Times New Roman" w:eastAsia="Times New Roman" w:hAnsi="Times New Roman" w:cs="Times New Roman"/>
          <w:sz w:val="24"/>
          <w:szCs w:val="24"/>
          <w:u w:val="single"/>
          <w:lang w:eastAsia="es-ES"/>
        </w:rPr>
        <w:lastRenderedPageBreak/>
        <w:t>Con todo, la principal razón por la cual la brecha intergeneracional seguirá ampliándose hay que buscarla en las pensiones futuras</w:t>
      </w:r>
      <w:r w:rsidR="00801352">
        <w:rPr>
          <w:rFonts w:ascii="Times New Roman" w:eastAsia="Times New Roman" w:hAnsi="Times New Roman" w:cs="Times New Roman"/>
          <w:sz w:val="24"/>
          <w:szCs w:val="24"/>
          <w:u w:val="single"/>
          <w:lang w:eastAsia="es-ES"/>
        </w:rPr>
        <w:t>. Por razones demográficas</w:t>
      </w:r>
      <w:r w:rsidRPr="00204FB2">
        <w:rPr>
          <w:rFonts w:ascii="Times New Roman" w:eastAsia="Times New Roman" w:hAnsi="Times New Roman" w:cs="Times New Roman"/>
          <w:sz w:val="24"/>
          <w:szCs w:val="24"/>
          <w:u w:val="single"/>
          <w:lang w:eastAsia="es-ES"/>
        </w:rPr>
        <w:t>, resulta incontestable que la tasa de sustitución de las pensiones públicas tendrá que reducirse</w:t>
      </w:r>
      <w:r w:rsidRPr="004A49A1">
        <w:rPr>
          <w:rFonts w:ascii="Times New Roman" w:eastAsia="Times New Roman" w:hAnsi="Times New Roman" w:cs="Times New Roman"/>
          <w:sz w:val="24"/>
          <w:szCs w:val="24"/>
          <w:lang w:eastAsia="es-ES"/>
        </w:rPr>
        <w:t>. De hecho, incluso los que (falazmente) niegan tal necesidad proponen medidas (por ejemplo, </w:t>
      </w:r>
      <w:hyperlink r:id="rId77" w:history="1">
        <w:r w:rsidRPr="00801352">
          <w:rPr>
            <w:rFonts w:ascii="Times New Roman" w:eastAsia="Times New Roman" w:hAnsi="Times New Roman" w:cs="Times New Roman"/>
            <w:sz w:val="24"/>
            <w:szCs w:val="24"/>
            <w:u w:val="single"/>
            <w:bdr w:val="none" w:sz="0" w:space="0" w:color="auto" w:frame="1"/>
            <w:lang w:eastAsia="es-ES"/>
          </w:rPr>
          <w:t>la limitación en el crecimiento de la pensión máxima</w:t>
        </w:r>
      </w:hyperlink>
      <w:r w:rsidRPr="00801352">
        <w:rPr>
          <w:rFonts w:ascii="Times New Roman" w:eastAsia="Times New Roman" w:hAnsi="Times New Roman" w:cs="Times New Roman"/>
          <w:sz w:val="24"/>
          <w:szCs w:val="24"/>
          <w:lang w:eastAsia="es-ES"/>
        </w:rPr>
        <w:t>)</w:t>
      </w:r>
      <w:r w:rsidRPr="004A49A1">
        <w:rPr>
          <w:rFonts w:ascii="Times New Roman" w:eastAsia="Times New Roman" w:hAnsi="Times New Roman" w:cs="Times New Roman"/>
          <w:sz w:val="24"/>
          <w:szCs w:val="24"/>
          <w:lang w:eastAsia="es-ES"/>
        </w:rPr>
        <w:t xml:space="preserve"> que tienen tal resultado. </w:t>
      </w:r>
      <w:r w:rsidRPr="00204FB2">
        <w:rPr>
          <w:rFonts w:ascii="Times New Roman" w:eastAsia="Times New Roman" w:hAnsi="Times New Roman" w:cs="Times New Roman"/>
          <w:color w:val="FF0000"/>
          <w:sz w:val="24"/>
          <w:szCs w:val="24"/>
          <w:u w:val="single"/>
          <w:lang w:eastAsia="es-ES"/>
        </w:rPr>
        <w:t>Así pues, la única discusión pertinente es sobre cómo ha de distribuirse la reducción de la tasa de sustitución de las pensiones públicas dentro de cada generación y entre generaciones. Por ahora, en esta discusión los jóvenes siguen perdiendo por goleada. Y si ellos pierden, todos perderemos.</w:t>
      </w:r>
    </w:p>
    <w:p w:rsidR="00A13C97" w:rsidRPr="00D96584" w:rsidRDefault="00A13C97" w:rsidP="00A13C9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96584">
        <w:rPr>
          <w:rFonts w:ascii="Times New Roman" w:hAnsi="Times New Roman" w:cs="Times New Roman"/>
          <w:sz w:val="24"/>
          <w:szCs w:val="24"/>
          <w:u w:val="single"/>
        </w:rPr>
        <w:t>La quimera de la normalización</w:t>
      </w:r>
      <w:r>
        <w:rPr>
          <w:rFonts w:ascii="Times New Roman" w:hAnsi="Times New Roman" w:cs="Times New Roman"/>
          <w:sz w:val="24"/>
          <w:szCs w:val="24"/>
        </w:rPr>
        <w:t xml:space="preserve"> (Project Syndicate - </w:t>
      </w:r>
      <w:r w:rsidRPr="00D96584">
        <w:rPr>
          <w:rFonts w:ascii="Times New Roman" w:hAnsi="Times New Roman" w:cs="Times New Roman"/>
          <w:b/>
          <w:sz w:val="24"/>
          <w:szCs w:val="24"/>
        </w:rPr>
        <w:t>4/9/17</w:t>
      </w:r>
      <w:r>
        <w:rPr>
          <w:rFonts w:ascii="Times New Roman" w:hAnsi="Times New Roman" w:cs="Times New Roman"/>
          <w:sz w:val="24"/>
          <w:szCs w:val="24"/>
        </w:rPr>
        <w:t xml:space="preserve">) </w:t>
      </w:r>
    </w:p>
    <w:p w:rsidR="00A13C97" w:rsidRPr="009041E5" w:rsidRDefault="003071B3" w:rsidP="00A13C97">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Londres.-</w:t>
      </w:r>
      <w:r w:rsidR="00A13C97" w:rsidRPr="00D96584">
        <w:rPr>
          <w:rFonts w:ascii="Times New Roman" w:hAnsi="Times New Roman" w:cs="Times New Roman"/>
          <w:sz w:val="24"/>
          <w:szCs w:val="24"/>
        </w:rPr>
        <w:t xml:space="preserve"> </w:t>
      </w:r>
      <w:r w:rsidR="00A13C97" w:rsidRPr="009041E5">
        <w:rPr>
          <w:rFonts w:ascii="Times New Roman" w:hAnsi="Times New Roman" w:cs="Times New Roman"/>
          <w:color w:val="FF0000"/>
          <w:sz w:val="24"/>
          <w:szCs w:val="24"/>
          <w:u w:val="single"/>
        </w:rPr>
        <w:t>Existe un sesgo psicológico que nos lleva a creer que después de hechos excepcionales, tarde o temprano vuelve la “normalidad”. Ahora mismo, muchos analistas económicos hablan de la posibilidad de una “salida” de casi un decenio de política monetaria ultraflexible, lo que supondría una reducción de los balances de los bancos centrales a niveles “normales” y una suba gradual de tipos de interés. Pero estamos muy lejos de un regreso a la normalidad precrisis.</w:t>
      </w:r>
    </w:p>
    <w:p w:rsidR="00A13C97" w:rsidRPr="009041E5" w:rsidRDefault="00A13C97" w:rsidP="00A13C97">
      <w:pPr>
        <w:spacing w:line="240" w:lineRule="auto"/>
        <w:jc w:val="both"/>
        <w:rPr>
          <w:rFonts w:ascii="Times New Roman" w:hAnsi="Times New Roman" w:cs="Times New Roman"/>
          <w:sz w:val="24"/>
          <w:szCs w:val="24"/>
          <w:u w:val="single"/>
        </w:rPr>
      </w:pPr>
      <w:r w:rsidRPr="009041E5">
        <w:rPr>
          <w:rFonts w:ascii="Times New Roman" w:hAnsi="Times New Roman" w:cs="Times New Roman"/>
          <w:sz w:val="24"/>
          <w:szCs w:val="24"/>
          <w:u w:val="single"/>
        </w:rPr>
        <w:t>Tras años de pronósticos de crecimiento global en caída, 2017 trajo consigo un rebote apreciable, y hay buenos motivos para aumentar ligeramente los tipos de interés. Pero las economías avanzadas todavía enfrentan una inflación demasiado baja y niveles de crecimiento muy moderados, con lo que la recuperación seguirá dependiendo del estímulo fiscal, sostenido de ser necesario por la monetización de deudas.</w:t>
      </w:r>
    </w:p>
    <w:p w:rsidR="00A13C97" w:rsidRPr="009041E5" w:rsidRDefault="00A13C97" w:rsidP="00A13C97">
      <w:pPr>
        <w:spacing w:line="240" w:lineRule="auto"/>
        <w:jc w:val="both"/>
        <w:rPr>
          <w:rFonts w:ascii="Times New Roman" w:hAnsi="Times New Roman" w:cs="Times New Roman"/>
          <w:color w:val="FF0000"/>
          <w:sz w:val="24"/>
          <w:szCs w:val="24"/>
          <w:u w:val="single"/>
        </w:rPr>
      </w:pPr>
      <w:r w:rsidRPr="009041E5">
        <w:rPr>
          <w:rFonts w:ascii="Times New Roman" w:hAnsi="Times New Roman" w:cs="Times New Roman"/>
          <w:color w:val="FF0000"/>
          <w:sz w:val="24"/>
          <w:szCs w:val="24"/>
          <w:u w:val="single"/>
        </w:rPr>
        <w:t>Hoy el PIB per cápita en la eurozona, Japón y Estados Unidos sólo es 0,3%, 4,4% y 5%, respectivamente, superior al de 2007. Parte de la desaceleración respecto de la pauta precrisis de 1,5 a 2% de crecimiento anual puede deberse a factores relacionados con la oferta; es posible que haya dificultades estructurales que frenan el crecimiento de la productividad.</w:t>
      </w:r>
    </w:p>
    <w:p w:rsidR="00A13C97" w:rsidRPr="009041E5" w:rsidRDefault="00A13C97" w:rsidP="00A13C97">
      <w:pPr>
        <w:spacing w:line="240" w:lineRule="auto"/>
        <w:jc w:val="both"/>
        <w:rPr>
          <w:rFonts w:ascii="Times New Roman" w:hAnsi="Times New Roman" w:cs="Times New Roman"/>
          <w:color w:val="FF0000"/>
          <w:sz w:val="24"/>
          <w:szCs w:val="24"/>
          <w:u w:val="single"/>
        </w:rPr>
      </w:pPr>
      <w:r w:rsidRPr="009041E5">
        <w:rPr>
          <w:rFonts w:ascii="Times New Roman" w:hAnsi="Times New Roman" w:cs="Times New Roman"/>
          <w:color w:val="FF0000"/>
          <w:sz w:val="24"/>
          <w:szCs w:val="24"/>
          <w:u w:val="single"/>
        </w:rPr>
        <w:t>Pero el problema se debe también en parte a escasez de demanda nominal. Pese a los enormes programas de estímulo de los bancos centrales, entre 2007 y 2016 el PIB nominal creció a un 2,8% anual en Estados Unidos, 1,5% en la eurozona y apenas 0,2% en Japón, lo que hizo imposible alcanzar las metas de crecimiento moderado y tasa de inflación anual cercana al 2%. En Estados Unidos la inflación volvió a ser inferior a la meta de la Reserva Federal por quinto año consecutivo, y la tendencia en los últimos cinco meses ha sido a la baja.</w:t>
      </w:r>
    </w:p>
    <w:p w:rsidR="00A13C97" w:rsidRPr="009041E5" w:rsidRDefault="00A13C97" w:rsidP="00A13C97">
      <w:pPr>
        <w:spacing w:line="240" w:lineRule="auto"/>
        <w:jc w:val="both"/>
        <w:rPr>
          <w:rFonts w:ascii="Times New Roman" w:hAnsi="Times New Roman" w:cs="Times New Roman"/>
          <w:sz w:val="24"/>
          <w:szCs w:val="24"/>
          <w:u w:val="single"/>
        </w:rPr>
      </w:pPr>
      <w:r w:rsidRPr="00D96584">
        <w:rPr>
          <w:rFonts w:ascii="Times New Roman" w:hAnsi="Times New Roman" w:cs="Times New Roman"/>
          <w:sz w:val="24"/>
          <w:szCs w:val="24"/>
        </w:rPr>
        <w:t xml:space="preserve">Ante esta anormalidad, algunos economistas tratan de atribuir la baja inflación medida en Estados Unidos a factores transitorios, por ejemplo, los minutos “gratuitos” de las empresas de telefonía móvil estadounidenses. Pero los precios que ofrecen estas empresas no pueden explicar por qué en Japón </w:t>
      </w:r>
      <w:r w:rsidRPr="009041E5">
        <w:rPr>
          <w:rFonts w:ascii="Times New Roman" w:hAnsi="Times New Roman" w:cs="Times New Roman"/>
          <w:sz w:val="24"/>
          <w:szCs w:val="24"/>
          <w:u w:val="single"/>
        </w:rPr>
        <w:t>la inflación núcleo no se aleja de cero. Es un fenómeno global para cuya explicación se necesitan factores globales persistentes.</w:t>
      </w:r>
    </w:p>
    <w:p w:rsidR="00A13C97" w:rsidRPr="00D96584" w:rsidRDefault="00A13C97" w:rsidP="00A13C97">
      <w:pPr>
        <w:spacing w:line="240" w:lineRule="auto"/>
        <w:jc w:val="both"/>
        <w:rPr>
          <w:rFonts w:ascii="Times New Roman" w:hAnsi="Times New Roman" w:cs="Times New Roman"/>
          <w:sz w:val="24"/>
          <w:szCs w:val="24"/>
        </w:rPr>
      </w:pPr>
      <w:r w:rsidRPr="009041E5">
        <w:rPr>
          <w:rFonts w:ascii="Times New Roman" w:hAnsi="Times New Roman" w:cs="Times New Roman"/>
          <w:color w:val="FF0000"/>
          <w:sz w:val="24"/>
          <w:szCs w:val="24"/>
          <w:u w:val="single"/>
        </w:rPr>
        <w:t>Un aspecto crucial es lo que sucede en el mercado laboral, donde el crecimiento salarial se ha mantenido obstinadamente bajo a pesar de la reducción del desempleo a niveles “normales” precrisis.</w:t>
      </w:r>
      <w:r w:rsidRPr="009041E5">
        <w:rPr>
          <w:rFonts w:ascii="Times New Roman" w:hAnsi="Times New Roman" w:cs="Times New Roman"/>
          <w:color w:val="FF0000"/>
          <w:sz w:val="24"/>
          <w:szCs w:val="24"/>
        </w:rPr>
        <w:t xml:space="preserve"> </w:t>
      </w:r>
      <w:r w:rsidRPr="00D96584">
        <w:rPr>
          <w:rFonts w:ascii="Times New Roman" w:hAnsi="Times New Roman" w:cs="Times New Roman"/>
          <w:sz w:val="24"/>
          <w:szCs w:val="24"/>
        </w:rPr>
        <w:t>Japón es el caso más extremo: su fuerza laboral está en contracción, la inmigración es mínima y la tasa de desempleo está en 2,8%; en estas condiciones, cualquier modelo estándar predice aceleración del crecimiento salarial. Pero por más que el primer ministro Shinzo Abe exhorte a los empleadores a dar aumentos de sueldo a los trabajadores japoneses, las remuneraciones crecen a ritmo lento: el salario agregado se incrementó apenas 0,4% en junio. También en Estados Unidos, cada nueva ronda de datos mensuales indica un crecimiento sostenido del empleo, pero sorprendentemente bajo del salario.</w:t>
      </w:r>
    </w:p>
    <w:p w:rsidR="00A13C97" w:rsidRPr="00EB2344" w:rsidRDefault="00A13C97" w:rsidP="00A13C97">
      <w:pPr>
        <w:spacing w:line="240" w:lineRule="auto"/>
        <w:jc w:val="both"/>
        <w:rPr>
          <w:rFonts w:ascii="Times New Roman" w:hAnsi="Times New Roman" w:cs="Times New Roman"/>
          <w:color w:val="FF0000"/>
          <w:sz w:val="24"/>
          <w:szCs w:val="24"/>
          <w:u w:val="single"/>
        </w:rPr>
      </w:pPr>
      <w:r w:rsidRPr="00EB2344">
        <w:rPr>
          <w:rFonts w:ascii="Times New Roman" w:hAnsi="Times New Roman" w:cs="Times New Roman"/>
          <w:color w:val="FF0000"/>
          <w:sz w:val="24"/>
          <w:szCs w:val="24"/>
          <w:u w:val="single"/>
        </w:rPr>
        <w:lastRenderedPageBreak/>
        <w:t>Hay tres factores que pueden explicar esta tendencia. En los últimos 30 años, los mercados laborales se han vuelto más flexibles, y el poder de los sindicatos se redujo enormemente. Al mismo tiempo, la globalización expuso a los trabajadores del sector transable a la competencia internacional en salarios. Pero sobre todo, las tecnologías de la información ofrecen cada vez más oportunidades de automatización en todas las actividades económicas. En un mercado laboral totalmente flexible, con lo que podríamos denominar un ejército de reserva de robots, el potencial de automatización a gran escala puede deprimir el crecimiento del salario real incluso en condiciones de pleno empleo.</w:t>
      </w:r>
    </w:p>
    <w:p w:rsidR="00A13C97" w:rsidRPr="00EB2344" w:rsidRDefault="00A13C97" w:rsidP="00A13C97">
      <w:pPr>
        <w:spacing w:line="240" w:lineRule="auto"/>
        <w:jc w:val="both"/>
        <w:rPr>
          <w:rFonts w:ascii="Times New Roman" w:hAnsi="Times New Roman" w:cs="Times New Roman"/>
          <w:color w:val="FF0000"/>
          <w:sz w:val="24"/>
          <w:szCs w:val="24"/>
          <w:u w:val="single"/>
        </w:rPr>
      </w:pPr>
      <w:r w:rsidRPr="00EB2344">
        <w:rPr>
          <w:rFonts w:ascii="Times New Roman" w:hAnsi="Times New Roman" w:cs="Times New Roman"/>
          <w:color w:val="FF0000"/>
          <w:sz w:val="24"/>
          <w:szCs w:val="24"/>
          <w:u w:val="single"/>
        </w:rPr>
        <w:t>En tanto, la deuda acumulada impide una recuperación de la demanda nominal. Entre 1950 y 2007, el endeudamiento privado de las economías avanzadas creció de 50% a 170% del PIB. Luego a partir de 2008 la deuda se trasladó del sector privado al público, y el mantenimiento de un cuantioso déficit fiscal se convirtió a la vez en consecuencia inevitable de la recesión poscrisis y en instrumento esencial para mantener un nivel de demanda adecuado</w:t>
      </w:r>
      <w:r w:rsidRPr="00D96584">
        <w:rPr>
          <w:rFonts w:ascii="Times New Roman" w:hAnsi="Times New Roman" w:cs="Times New Roman"/>
          <w:sz w:val="24"/>
          <w:szCs w:val="24"/>
        </w:rPr>
        <w:t xml:space="preserve">. Además, la economía global siguió andando gracias al enorme aumento del apalancamiento de China, cuyo ratio de deuda a PIB pasó de más o menos 140% en 2008 a 250% en la actualidad. </w:t>
      </w:r>
      <w:r w:rsidRPr="00EB2344">
        <w:rPr>
          <w:rFonts w:ascii="Times New Roman" w:hAnsi="Times New Roman" w:cs="Times New Roman"/>
          <w:color w:val="FF0000"/>
          <w:sz w:val="24"/>
          <w:szCs w:val="24"/>
          <w:u w:val="single"/>
        </w:rPr>
        <w:t>La deuda total pública y privada en todo el mundo alcanzó un récord de 220% del PIB global en marzo de 2017 (contra 180% en 2007). Esto lleva a que no sea posible regresar a tipos de interés precrisis sin riesgo de una nueva recesión.</w:t>
      </w:r>
    </w:p>
    <w:p w:rsidR="00A13C97" w:rsidRPr="00EB2344" w:rsidRDefault="00A13C97" w:rsidP="00A13C97">
      <w:pPr>
        <w:spacing w:line="240" w:lineRule="auto"/>
        <w:jc w:val="both"/>
        <w:rPr>
          <w:rFonts w:ascii="Times New Roman" w:hAnsi="Times New Roman" w:cs="Times New Roman"/>
          <w:color w:val="FF0000"/>
          <w:sz w:val="24"/>
          <w:szCs w:val="24"/>
          <w:u w:val="single"/>
        </w:rPr>
      </w:pPr>
      <w:r w:rsidRPr="00EB2344">
        <w:rPr>
          <w:rFonts w:ascii="Times New Roman" w:hAnsi="Times New Roman" w:cs="Times New Roman"/>
          <w:color w:val="FF0000"/>
          <w:sz w:val="24"/>
          <w:szCs w:val="24"/>
          <w:u w:val="single"/>
        </w:rPr>
        <w:t>Con tanta deuda acumulada, una política monetaria flexible por sí sola no podía ser eficaz, y más allá de cierto punto se torna dañina y contraproducente: en un contexto de endeudamiento, seguir bajando los tipos de interés no incide suficientemente sobre la inversión y el consumo. Al mismo tiempo, tipos de interés tan bajos generan apreciación de activos, algo que beneficia a los que ya son ricos y reduce los ingresos de los depositantes bancarios menos ricos, quienes en algunos casos reducirán su consumo más de lo que pueda compensarlo el aumento de consumo a crédito de las personas muy endeudadas.</w:t>
      </w:r>
    </w:p>
    <w:p w:rsidR="00A13C97" w:rsidRPr="00EB2344" w:rsidRDefault="00A13C97" w:rsidP="00A13C97">
      <w:pPr>
        <w:spacing w:line="240" w:lineRule="auto"/>
        <w:jc w:val="both"/>
        <w:rPr>
          <w:rFonts w:ascii="Times New Roman" w:hAnsi="Times New Roman" w:cs="Times New Roman"/>
          <w:sz w:val="24"/>
          <w:szCs w:val="24"/>
          <w:u w:val="single"/>
        </w:rPr>
      </w:pPr>
      <w:r w:rsidRPr="00EB2344">
        <w:rPr>
          <w:rFonts w:ascii="Times New Roman" w:hAnsi="Times New Roman" w:cs="Times New Roman"/>
          <w:color w:val="FF0000"/>
          <w:sz w:val="24"/>
          <w:szCs w:val="24"/>
          <w:u w:val="single"/>
        </w:rPr>
        <w:t>En este contexto, como sostuvo en 2016 el economista de la Universidad de Princeton Christopher Sims, una política de flexibilidad monetaria no puede operar por los canales de transmisión normales, y será eficaz si y sólo si facilita la expansión fiscal al mantener bajo el costo de endeudamiento del sector público. El PIB nominal en Estados Unidos creció más rápido que el de la eurozona desde 2007 porque Estados Unidos mantuvo un déficit promedio del 7,2% del PIB, contra 3,5% en la eurozona.</w:t>
      </w:r>
      <w:r w:rsidRPr="00D96584">
        <w:rPr>
          <w:rFonts w:ascii="Times New Roman" w:hAnsi="Times New Roman" w:cs="Times New Roman"/>
          <w:sz w:val="24"/>
          <w:szCs w:val="24"/>
        </w:rPr>
        <w:t xml:space="preserve"> </w:t>
      </w:r>
      <w:r w:rsidRPr="00EB2344">
        <w:rPr>
          <w:rFonts w:ascii="Times New Roman" w:hAnsi="Times New Roman" w:cs="Times New Roman"/>
          <w:sz w:val="24"/>
          <w:szCs w:val="24"/>
          <w:u w:val="single"/>
        </w:rPr>
        <w:t>Hoy el crecimiento global recibe un impulso crucial del déficit fiscal chino del 3,7% del PIB (que en 2014 era 0,9%). En el caso de Japón, lo único que asegura que siga creciendo es la extensión de un cuantioso déficit fiscal hasta mucho después de la década de 2020: el Banco de Japón tiene en cartera títulos públicos por un valor equivalente a cerca del 75% del PIB, y conservará algunos para siempre, con lo que monetizará en forma permanente la deuda fiscal acumulada.</w:t>
      </w:r>
    </w:p>
    <w:p w:rsidR="00A13C97" w:rsidRPr="00EB2344" w:rsidRDefault="00A13C97" w:rsidP="00A13C97">
      <w:pPr>
        <w:spacing w:line="240" w:lineRule="auto"/>
        <w:jc w:val="both"/>
        <w:rPr>
          <w:rFonts w:ascii="Times New Roman" w:hAnsi="Times New Roman" w:cs="Times New Roman"/>
          <w:sz w:val="24"/>
          <w:szCs w:val="24"/>
          <w:u w:val="single"/>
        </w:rPr>
      </w:pPr>
      <w:r w:rsidRPr="00EB2344">
        <w:rPr>
          <w:rFonts w:ascii="Times New Roman" w:hAnsi="Times New Roman" w:cs="Times New Roman"/>
          <w:sz w:val="24"/>
          <w:szCs w:val="24"/>
          <w:u w:val="single"/>
        </w:rPr>
        <w:t>De modo que la recuperación parcial de este año no indica ni un regreso a la normalidad precrisis ni el éxito de la política monetaria por sí sola.</w:t>
      </w:r>
      <w:r w:rsidRPr="00D96584">
        <w:rPr>
          <w:rFonts w:ascii="Times New Roman" w:hAnsi="Times New Roman" w:cs="Times New Roman"/>
          <w:sz w:val="24"/>
          <w:szCs w:val="24"/>
        </w:rPr>
        <w:t xml:space="preserve"> Pero incluso si la inflación se mantiene por debajo de la meta, hay todavía buenas razones para cierto aumento de tipos de interés. </w:t>
      </w:r>
      <w:r w:rsidRPr="00EB2344">
        <w:rPr>
          <w:rFonts w:ascii="Times New Roman" w:hAnsi="Times New Roman" w:cs="Times New Roman"/>
          <w:sz w:val="24"/>
          <w:szCs w:val="24"/>
          <w:u w:val="single"/>
        </w:rPr>
        <w:t>Como una política monetaria cada vez más flexible por sí sola empieza a perder eficacia pasado cierto punto, es posible su anulación parcial con poco riesgo para la demanda nominal; y unos tipos de interés ligeramente superiores moderarían (aunque sólo sea un poco) el efecto inequitativo de la combinación actual de políticas.</w:t>
      </w:r>
    </w:p>
    <w:p w:rsidR="00A13C97" w:rsidRPr="00EB2344" w:rsidRDefault="00A13C97" w:rsidP="00A13C97">
      <w:pPr>
        <w:spacing w:line="240" w:lineRule="auto"/>
        <w:jc w:val="both"/>
        <w:rPr>
          <w:rFonts w:ascii="Times New Roman" w:hAnsi="Times New Roman" w:cs="Times New Roman"/>
          <w:sz w:val="24"/>
          <w:szCs w:val="24"/>
          <w:u w:val="single"/>
        </w:rPr>
      </w:pPr>
      <w:r w:rsidRPr="00EB2344">
        <w:rPr>
          <w:rFonts w:ascii="Times New Roman" w:hAnsi="Times New Roman" w:cs="Times New Roman"/>
          <w:sz w:val="24"/>
          <w:szCs w:val="24"/>
          <w:u w:val="single"/>
        </w:rPr>
        <w:t xml:space="preserve">Pero el aumento no será ni puede ser muy grande. Dudo de que el tipo de interés de referencia de la Reserva Federal de los Estados Unidos supere 2,5% en 2020, y en Japón y la eurozona apenas aumentará y es probable que se mantenga muy por debajo del 1%. En </w:t>
      </w:r>
      <w:r w:rsidRPr="00EB2344">
        <w:rPr>
          <w:rFonts w:ascii="Times New Roman" w:hAnsi="Times New Roman" w:cs="Times New Roman"/>
          <w:sz w:val="24"/>
          <w:szCs w:val="24"/>
          <w:u w:val="single"/>
        </w:rPr>
        <w:lastRenderedPageBreak/>
        <w:t>cuanto a la inflación, es más probable que no alcance la meta del 2% a que la supere. Un crecimiento que en el mejor de los casos será moderado no bastará para compensar el efecto del decenio perdido entre 2007 y 2017.</w:t>
      </w:r>
    </w:p>
    <w:p w:rsidR="00A13C97" w:rsidRPr="00EB2344" w:rsidRDefault="00A13C97" w:rsidP="00A13C97">
      <w:pPr>
        <w:spacing w:line="240" w:lineRule="auto"/>
        <w:jc w:val="both"/>
        <w:rPr>
          <w:rFonts w:ascii="Times New Roman" w:hAnsi="Times New Roman" w:cs="Times New Roman"/>
          <w:color w:val="FF0000"/>
          <w:sz w:val="24"/>
          <w:szCs w:val="24"/>
          <w:u w:val="single"/>
        </w:rPr>
      </w:pPr>
      <w:r w:rsidRPr="00EB2344">
        <w:rPr>
          <w:rFonts w:ascii="Times New Roman" w:hAnsi="Times New Roman" w:cs="Times New Roman"/>
          <w:color w:val="FF0000"/>
          <w:sz w:val="24"/>
          <w:szCs w:val="24"/>
          <w:u w:val="single"/>
        </w:rPr>
        <w:t>El sesgo psicológico a esperar un regreso a la “normalidad” seguirá siendo fuerte. Pero los factores del desempeño económico poscrisis están tan profundamente arraigados que difícilmente se vuelva a la normalidad en un tiempo cercano.</w:t>
      </w:r>
    </w:p>
    <w:p w:rsidR="00A13C97" w:rsidRDefault="00A13C97" w:rsidP="00A13C97">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Pr="00D96584">
        <w:rPr>
          <w:rFonts w:ascii="Times New Roman" w:hAnsi="Times New Roman" w:cs="Times New Roman"/>
          <w:sz w:val="24"/>
          <w:szCs w:val="24"/>
          <w:lang w:val="en-GB"/>
        </w:rPr>
        <w:t>Adair Turner, a former chairman of the United Kingdom's Financial Services Authority and former member of the UK's Financial Policy Committee, is Chairman of the Institute for New Economic Thinking. The paperback edition of his book Between Debt and the Devil has now been published, with a new After…</w:t>
      </w:r>
      <w:r>
        <w:rPr>
          <w:rFonts w:ascii="Times New Roman" w:hAnsi="Times New Roman" w:cs="Times New Roman"/>
          <w:sz w:val="24"/>
          <w:szCs w:val="24"/>
          <w:lang w:val="en-GB"/>
        </w:rPr>
        <w:t>)</w:t>
      </w:r>
    </w:p>
    <w:p w:rsidR="003071B3" w:rsidRPr="00FB0539" w:rsidRDefault="003071B3" w:rsidP="003071B3">
      <w:pPr>
        <w:pStyle w:val="NormalWeb"/>
        <w:shd w:val="clear" w:color="auto" w:fill="FFFFFF"/>
        <w:spacing w:after="0"/>
        <w:jc w:val="both"/>
        <w:textAlignment w:val="baseline"/>
        <w:rPr>
          <w:color w:val="1A1A1A"/>
        </w:rPr>
      </w:pPr>
      <w:r>
        <w:rPr>
          <w:color w:val="1A1A1A"/>
        </w:rPr>
        <w:t xml:space="preserve">- </w:t>
      </w:r>
      <w:r w:rsidRPr="00E5254B">
        <w:rPr>
          <w:color w:val="1A1A1A"/>
          <w:u w:val="single"/>
        </w:rPr>
        <w:t>Los bancos centrales, con objetivos cambiados</w:t>
      </w:r>
      <w:r>
        <w:rPr>
          <w:color w:val="1A1A1A"/>
        </w:rPr>
        <w:t xml:space="preserve"> (Project Syndicate - </w:t>
      </w:r>
      <w:r w:rsidRPr="00E5254B">
        <w:rPr>
          <w:b/>
          <w:color w:val="1A1A1A"/>
        </w:rPr>
        <w:t>6/9/17</w:t>
      </w:r>
      <w:r>
        <w:rPr>
          <w:color w:val="1A1A1A"/>
        </w:rPr>
        <w:t>)</w:t>
      </w:r>
    </w:p>
    <w:p w:rsidR="003071B3" w:rsidRPr="00FB0539" w:rsidRDefault="003071B3" w:rsidP="003071B3">
      <w:pPr>
        <w:pStyle w:val="NormalWeb"/>
        <w:shd w:val="clear" w:color="auto" w:fill="FFFFFF"/>
        <w:spacing w:after="0"/>
        <w:jc w:val="both"/>
        <w:textAlignment w:val="baseline"/>
        <w:rPr>
          <w:color w:val="1A1A1A"/>
        </w:rPr>
      </w:pPr>
      <w:r>
        <w:rPr>
          <w:color w:val="1A1A1A"/>
        </w:rPr>
        <w:t>Bruselas.-</w:t>
      </w:r>
      <w:r w:rsidRPr="00FB0539">
        <w:rPr>
          <w:color w:val="1A1A1A"/>
        </w:rPr>
        <w:t xml:space="preserve"> </w:t>
      </w:r>
      <w:r w:rsidRPr="003071B3">
        <w:rPr>
          <w:color w:val="1A1A1A"/>
          <w:u w:val="single"/>
        </w:rPr>
        <w:t>El tema de la reunión de este año de directores de bancos centrales de todo el mundo en Jackson Hole (EEUU) tuvo poco que ver con la política monetaria</w:t>
      </w:r>
      <w:r w:rsidRPr="00FB0539">
        <w:rPr>
          <w:color w:val="1A1A1A"/>
        </w:rPr>
        <w:t>. No es que “Fomentar una economía global dinámica” no sea importante. Pero es llamativo que también el Banco Central Europeo haya elegido, para su propia reunión anual, un tema igualmente “no monetario”: “Inversión y crecimiento en los países avanzados”.</w:t>
      </w:r>
    </w:p>
    <w:p w:rsidR="003071B3" w:rsidRPr="003071B3" w:rsidRDefault="003071B3" w:rsidP="003071B3">
      <w:pPr>
        <w:pStyle w:val="NormalWeb"/>
        <w:shd w:val="clear" w:color="auto" w:fill="FFFFFF"/>
        <w:spacing w:after="0"/>
        <w:jc w:val="both"/>
        <w:textAlignment w:val="baseline"/>
        <w:rPr>
          <w:color w:val="FF0000"/>
          <w:u w:val="single"/>
        </w:rPr>
      </w:pPr>
      <w:r w:rsidRPr="003071B3">
        <w:rPr>
          <w:color w:val="FF0000"/>
          <w:u w:val="single"/>
        </w:rPr>
        <w:t>No está mal que los bancos centrales analicen problemas en áreas como el crecimiento, el comercio internacional y la inversión. Pero a los bancos centrales se los hizo independientes, precisamente, para que pudieran hacerse cargo del objetivo propio de mantener la estabilidad de precios, cualquiera fuera la tasa de crecimiento subyacente de la economía. Así que, ¿por qué habrían de preocuparse por cuestiones externas en vez de concentrarse</w:t>
      </w:r>
      <w:r>
        <w:rPr>
          <w:color w:val="FF0000"/>
          <w:u w:val="single"/>
        </w:rPr>
        <w:t xml:space="preserve"> en su área de responsabilidad? </w:t>
      </w:r>
      <w:r w:rsidRPr="003071B3">
        <w:rPr>
          <w:color w:val="FF0000"/>
          <w:u w:val="single"/>
        </w:rPr>
        <w:t>La respuesta parece ser que no pueden explicar muy bien lo que están haciendo ahora.</w:t>
      </w:r>
    </w:p>
    <w:p w:rsidR="003071B3" w:rsidRPr="00FB0539" w:rsidRDefault="003071B3" w:rsidP="003071B3">
      <w:pPr>
        <w:pStyle w:val="NormalWeb"/>
        <w:shd w:val="clear" w:color="auto" w:fill="FFFFFF"/>
        <w:spacing w:after="0"/>
        <w:jc w:val="both"/>
        <w:textAlignment w:val="baseline"/>
        <w:rPr>
          <w:color w:val="1A1A1A"/>
        </w:rPr>
      </w:pPr>
      <w:r w:rsidRPr="00FB0539">
        <w:rPr>
          <w:color w:val="1A1A1A"/>
        </w:rPr>
        <w:t>Las condiciones para la política monetaria hoy son muy favorables, particularmente para el BCE: basta echar un vistazo a la historia. Desde la creación de la Unión Económica y Monetaria (UEM) en enero de 1999, el BCE tuvo la responsabilidad exclusiva de determinar la política monetaria de aquella entidad. (Las monedas nacionales siguieron circulando hasta 2002, pero los tipos de cambio se fijaron en forma “irrevocable” a partir de 1999.)</w:t>
      </w:r>
    </w:p>
    <w:p w:rsidR="003071B3" w:rsidRPr="00FB0539" w:rsidRDefault="003071B3" w:rsidP="003071B3">
      <w:pPr>
        <w:pStyle w:val="NormalWeb"/>
        <w:shd w:val="clear" w:color="auto" w:fill="FFFFFF"/>
        <w:spacing w:after="0"/>
        <w:jc w:val="both"/>
        <w:textAlignment w:val="baseline"/>
        <w:rPr>
          <w:color w:val="1A1A1A"/>
        </w:rPr>
      </w:pPr>
      <w:r w:rsidRPr="00FB0539">
        <w:rPr>
          <w:color w:val="1A1A1A"/>
        </w:rPr>
        <w:t>La tarea del BCE fue difícil desde el inicio. Al momento de la creación del euro, los mercados financieros globales estaban alterados por la crisis asiática de 1997 y la cesación de pagos de Rusia en 1998. El índice de volatilidad bursátil VIX llegó a 44% en agosto de 1998, y durante los primeros años de vida del euro, osciló entre 25% y 30% (la cifra actual es cercana al 12%). Si bien el desempleo en la eurozona estaba en disminución, todavía andaba cerca del 10%, y se mantuvo por encima del nivel actual (9,3%) durante todo 1999.</w:t>
      </w:r>
    </w:p>
    <w:p w:rsidR="003071B3" w:rsidRPr="00FB0539" w:rsidRDefault="003071B3" w:rsidP="003071B3">
      <w:pPr>
        <w:pStyle w:val="NormalWeb"/>
        <w:shd w:val="clear" w:color="auto" w:fill="FFFFFF"/>
        <w:spacing w:after="0"/>
        <w:jc w:val="both"/>
        <w:textAlignment w:val="baseline"/>
        <w:rPr>
          <w:color w:val="1A1A1A"/>
        </w:rPr>
      </w:pPr>
      <w:r w:rsidRPr="00FB0539">
        <w:rPr>
          <w:color w:val="1A1A1A"/>
        </w:rPr>
        <w:t>La política monetaria también tenía que hacer frente a la herencia deflacionaria de la crisis financiera. Cuando se creó la eurozona, los precios venían creciendo a menos de 2%, y la inflación general no se movía de 1%. Esos dos importantes indicadores de la política monetaria son casi iguales ahora, pero los mercados financieros están mucho más estables.</w:t>
      </w:r>
    </w:p>
    <w:p w:rsidR="003071B3" w:rsidRPr="00FB0539" w:rsidRDefault="003071B3" w:rsidP="003071B3">
      <w:pPr>
        <w:pStyle w:val="NormalWeb"/>
        <w:shd w:val="clear" w:color="auto" w:fill="FFFFFF"/>
        <w:spacing w:after="0"/>
        <w:jc w:val="both"/>
        <w:textAlignment w:val="baseline"/>
        <w:rPr>
          <w:color w:val="1A1A1A"/>
        </w:rPr>
      </w:pPr>
      <w:r w:rsidRPr="00FB0539">
        <w:rPr>
          <w:color w:val="1A1A1A"/>
        </w:rPr>
        <w:t>En 1999, con inflación ligeramente inferior a la meta, alto desempleo y volatilidad financiera, el Consejo de Gobierno del BCE ni siquiera se planteó aplicar tipos de interés nulos</w:t>
      </w:r>
      <w:r>
        <w:rPr>
          <w:color w:val="1A1A1A"/>
        </w:rPr>
        <w:t>,</w:t>
      </w:r>
      <w:r w:rsidRPr="00FB0539">
        <w:rPr>
          <w:color w:val="1A1A1A"/>
        </w:rPr>
        <w:t xml:space="preserve"> o negativos, mucho menos políticas no convencionales. En cambio, su primera medida fue fijar la tasa de referencia principal en 2%.</w:t>
      </w:r>
    </w:p>
    <w:p w:rsidR="003071B3" w:rsidRPr="00FB0539" w:rsidRDefault="003071B3" w:rsidP="003071B3">
      <w:pPr>
        <w:pStyle w:val="NormalWeb"/>
        <w:shd w:val="clear" w:color="auto" w:fill="FFFFFF"/>
        <w:spacing w:after="0"/>
        <w:jc w:val="both"/>
        <w:textAlignment w:val="baseline"/>
        <w:rPr>
          <w:color w:val="1A1A1A"/>
        </w:rPr>
      </w:pPr>
      <w:r w:rsidRPr="00FB0539">
        <w:rPr>
          <w:color w:val="1A1A1A"/>
        </w:rPr>
        <w:lastRenderedPageBreak/>
        <w:t>Más tarde ese mismo año, el BCE recortó 50 puntos básicos la tasa de referencia, hasta un inédito (para entonces) 1,5%. Pero lo hizo sólo para dar a la economía una oportunidad de recuperarse. Pocos meses después invirtió el rumbo: a fin de año volvió a llevar la tasa de referencia a 2%. Al año siguiente la subió a 3,75%, pese a que la inflación apenas había crecido unos pocos puntos básicos.</w:t>
      </w:r>
    </w:p>
    <w:p w:rsidR="003071B3" w:rsidRPr="003071B3" w:rsidRDefault="003071B3" w:rsidP="003071B3">
      <w:pPr>
        <w:pStyle w:val="NormalWeb"/>
        <w:shd w:val="clear" w:color="auto" w:fill="FFFFFF"/>
        <w:spacing w:after="0"/>
        <w:jc w:val="both"/>
        <w:textAlignment w:val="baseline"/>
        <w:rPr>
          <w:color w:val="1A1A1A"/>
          <w:u w:val="single"/>
        </w:rPr>
      </w:pPr>
      <w:r w:rsidRPr="003071B3">
        <w:rPr>
          <w:color w:val="1A1A1A"/>
          <w:u w:val="single"/>
        </w:rPr>
        <w:t>Hoy, el BCE tiene ante sí una situación mucho más cómoda. Si bien a la inflación le falta un trecho similar para llegar a la meta de 2%, el mercado laboral parece estar en mejor estado.</w:t>
      </w:r>
    </w:p>
    <w:p w:rsidR="003071B3" w:rsidRPr="003071B3" w:rsidRDefault="003071B3" w:rsidP="003071B3">
      <w:pPr>
        <w:pStyle w:val="NormalWeb"/>
        <w:shd w:val="clear" w:color="auto" w:fill="FFFFFF"/>
        <w:spacing w:after="0"/>
        <w:jc w:val="both"/>
        <w:textAlignment w:val="baseline"/>
        <w:rPr>
          <w:color w:val="1A1A1A"/>
          <w:u w:val="single"/>
        </w:rPr>
      </w:pPr>
      <w:r w:rsidRPr="003071B3">
        <w:rPr>
          <w:color w:val="1A1A1A"/>
          <w:u w:val="single"/>
        </w:rPr>
        <w:t>¿Pero es así? Suele darse por sentado que una recesión profunda induce a muchos de los desempleados a perder las esperanzas de encontrar empleo. Si muchas personas abandonaron el mercado laboral, que la tasa de desempleo vuelva a niveles anteriores a la recesión puede ser engañoso. Por eso este indicador se debe analizar en combinación con la tasa de participación en la fuerza laboral.</w:t>
      </w:r>
    </w:p>
    <w:p w:rsidR="003071B3" w:rsidRPr="003071B3" w:rsidRDefault="003071B3" w:rsidP="003071B3">
      <w:pPr>
        <w:pStyle w:val="NormalWeb"/>
        <w:shd w:val="clear" w:color="auto" w:fill="FFFFFF"/>
        <w:spacing w:after="0"/>
        <w:jc w:val="both"/>
        <w:textAlignment w:val="baseline"/>
        <w:rPr>
          <w:color w:val="1A1A1A"/>
          <w:u w:val="single"/>
        </w:rPr>
      </w:pPr>
      <w:r w:rsidRPr="003071B3">
        <w:rPr>
          <w:color w:val="1A1A1A"/>
          <w:u w:val="single"/>
        </w:rPr>
        <w:t>Según este criterio, la eurozona realmente está mucho mejor que en 1999. La tasa de participación es cinco puntos porcentuales más que entonces, así que parece evidente que hay menos trabajadores sin esperanzas de encontrar empleo que cuando recién se había creado la UEM, de modo que no hay tanto potencial subutilizado en la economía.</w:t>
      </w:r>
    </w:p>
    <w:p w:rsidR="003071B3" w:rsidRPr="003071B3" w:rsidRDefault="003071B3" w:rsidP="003071B3">
      <w:pPr>
        <w:pStyle w:val="NormalWeb"/>
        <w:shd w:val="clear" w:color="auto" w:fill="FFFFFF"/>
        <w:spacing w:after="0"/>
        <w:jc w:val="both"/>
        <w:textAlignment w:val="baseline"/>
        <w:rPr>
          <w:color w:val="FF0000"/>
          <w:u w:val="single"/>
        </w:rPr>
      </w:pPr>
      <w:r w:rsidRPr="003071B3">
        <w:rPr>
          <w:color w:val="FF0000"/>
          <w:u w:val="single"/>
        </w:rPr>
        <w:t>En este contexto, no se entiende que el BCE siga insistiendo en que se necesitan políticas monetarias no convencionales (por ejemplo, tipos de interés negativos y mantener los programas de compra de bonos). Aunque hoy los pronósticos de inflación a largo plazo tal vez sean un poco más inciertos, ¿son algunos puntos básicos en unas (imprecisas) expectativas de inflación a largo plazo motivo valedero para una flexibilización cuantitativa a gran escala y una tasa de referencia 250 puntos inferior que la aplicada en un momento de mayor debilidad fundamental del mercado?</w:t>
      </w:r>
    </w:p>
    <w:p w:rsidR="003071B3" w:rsidRPr="003071B3" w:rsidRDefault="003071B3" w:rsidP="003071B3">
      <w:pPr>
        <w:pStyle w:val="NormalWeb"/>
        <w:shd w:val="clear" w:color="auto" w:fill="FFFFFF"/>
        <w:spacing w:after="0"/>
        <w:jc w:val="both"/>
        <w:textAlignment w:val="baseline"/>
        <w:rPr>
          <w:color w:val="FF0000"/>
          <w:u w:val="single"/>
        </w:rPr>
      </w:pPr>
      <w:r w:rsidRPr="003071B3">
        <w:rPr>
          <w:color w:val="FF0000"/>
          <w:u w:val="single"/>
        </w:rPr>
        <w:t>Esta incongruencia no sólo existe en Europa. También en Estados Unidos hallamos una combinación similar de cifras de inflación y desempleo hoy y hace veinte años. En 1999, con una tasa de inflación núcleo cercana al 2% y desempleo inferior al 5%, la Reserva Federal consideró apropiada una tasa de referencia del 5% (y un balance “normal”). Hoy, la Reserva Federal mantiene la tasa de referencia por debajo de 1,5% (350 puntos básicos menos que en 1999) y postergó la reducción de su inflado balance.</w:t>
      </w:r>
    </w:p>
    <w:p w:rsidR="003071B3" w:rsidRPr="003071B3" w:rsidRDefault="003071B3" w:rsidP="003071B3">
      <w:pPr>
        <w:pStyle w:val="NormalWeb"/>
        <w:shd w:val="clear" w:color="auto" w:fill="FFFFFF"/>
        <w:spacing w:after="0"/>
        <w:jc w:val="both"/>
        <w:textAlignment w:val="baseline"/>
        <w:rPr>
          <w:color w:val="FF0000"/>
          <w:u w:val="single"/>
        </w:rPr>
      </w:pPr>
      <w:r w:rsidRPr="003071B3">
        <w:rPr>
          <w:color w:val="FF0000"/>
          <w:u w:val="single"/>
        </w:rPr>
        <w:t xml:space="preserve">En Japón, la inflación actual es mayor que después de la crisis financiera asiática; el nivel de desempleo es el más bajo de los últimos 50 años; y la tasa de participación en la fuerza laboral sigue alcanzando récords. Pero Japón, como Estados Unidos y Europa, insiste en una quijotesca tendencia a luchar contra molinos de viento deflacionarios, con tipos de interés ínfimos y compras masivas de títulos públicos. </w:t>
      </w:r>
    </w:p>
    <w:p w:rsidR="003071B3" w:rsidRDefault="003071B3" w:rsidP="003071B3">
      <w:pPr>
        <w:pStyle w:val="NormalWeb"/>
        <w:shd w:val="clear" w:color="auto" w:fill="FFFFFF"/>
        <w:spacing w:before="0" w:beforeAutospacing="0" w:after="0" w:afterAutospacing="0"/>
        <w:jc w:val="both"/>
        <w:textAlignment w:val="baseline"/>
        <w:rPr>
          <w:color w:val="FF0000"/>
          <w:u w:val="single"/>
        </w:rPr>
      </w:pPr>
      <w:r w:rsidRPr="003071B3">
        <w:rPr>
          <w:color w:val="FF0000"/>
          <w:u w:val="single"/>
        </w:rPr>
        <w:t>Nadie discute que las autoridades de los bancos centrales quieran una economía global dinámica. Pero no es algo en lo que puedan influir mucho. En vez de debatir cuestiones que no tienen relación con ellos, deberían concentrarse en explicar por qué cambiaron tanto sus objetivos, y si no será hora de que vuelvan a ser los que eran.</w:t>
      </w:r>
    </w:p>
    <w:p w:rsidR="003071B3" w:rsidRPr="003071B3" w:rsidRDefault="003071B3" w:rsidP="003071B3">
      <w:pPr>
        <w:pStyle w:val="NormalWeb"/>
        <w:shd w:val="clear" w:color="auto" w:fill="FFFFFF"/>
        <w:spacing w:before="0" w:beforeAutospacing="0" w:after="0" w:afterAutospacing="0"/>
        <w:jc w:val="both"/>
        <w:textAlignment w:val="baseline"/>
        <w:rPr>
          <w:color w:val="FF0000"/>
          <w:u w:val="single"/>
        </w:rPr>
      </w:pPr>
    </w:p>
    <w:p w:rsidR="002531E2" w:rsidRDefault="003071B3" w:rsidP="002531E2">
      <w:pPr>
        <w:pStyle w:val="NormalWeb"/>
        <w:shd w:val="clear" w:color="auto" w:fill="FFFFFF"/>
        <w:spacing w:before="0" w:beforeAutospacing="0" w:after="0" w:afterAutospacing="0"/>
        <w:jc w:val="both"/>
        <w:textAlignment w:val="baseline"/>
        <w:rPr>
          <w:color w:val="1A1A1A"/>
          <w:lang w:val="en-GB"/>
        </w:rPr>
      </w:pPr>
      <w:r>
        <w:rPr>
          <w:color w:val="1A1A1A"/>
          <w:lang w:val="en-GB"/>
        </w:rPr>
        <w:t>(</w:t>
      </w:r>
      <w:r w:rsidRPr="00E5254B">
        <w:rPr>
          <w:color w:val="1A1A1A"/>
          <w:lang w:val="en-GB"/>
        </w:rPr>
        <w:t>Daniel Gros is Director of the Brussels-based Center for European Policy Studies. He has worked for the International Monetary Fund, and served as an economic adviser to the European Commission, the European Parliament, and the French prime</w:t>
      </w:r>
      <w:r w:rsidR="002531E2">
        <w:rPr>
          <w:color w:val="1A1A1A"/>
          <w:lang w:val="en-GB"/>
        </w:rPr>
        <w:t xml:space="preserve"> minister and finance minister</w:t>
      </w:r>
      <w:r w:rsidRPr="002531E2">
        <w:rPr>
          <w:color w:val="1A1A1A"/>
          <w:lang w:val="en-GB"/>
        </w:rPr>
        <w:t>…)</w:t>
      </w:r>
    </w:p>
    <w:p w:rsidR="00691E08" w:rsidRPr="00197BCF" w:rsidRDefault="00564905" w:rsidP="002531E2">
      <w:pPr>
        <w:pStyle w:val="NormalWeb"/>
        <w:shd w:val="clear" w:color="auto" w:fill="FFFFFF"/>
        <w:spacing w:before="0" w:beforeAutospacing="0" w:after="0" w:afterAutospacing="0"/>
        <w:jc w:val="both"/>
        <w:textAlignment w:val="baseline"/>
        <w:rPr>
          <w:color w:val="1A1A1A"/>
        </w:rPr>
      </w:pPr>
      <w:r>
        <w:rPr>
          <w:b/>
        </w:rPr>
        <w:lastRenderedPageBreak/>
        <w:t>- ¿E</w:t>
      </w:r>
      <w:r w:rsidR="001F190E">
        <w:rPr>
          <w:b/>
        </w:rPr>
        <w:t>s la “nueva normalidad” una “fábrica de lágrimas”?</w:t>
      </w:r>
      <w:r w:rsidR="00F201EB">
        <w:rPr>
          <w:b/>
        </w:rPr>
        <w:t xml:space="preserve"> ¿Alcanza</w:t>
      </w:r>
      <w:r w:rsidR="00197BCF">
        <w:rPr>
          <w:b/>
        </w:rPr>
        <w:t>rá</w:t>
      </w:r>
      <w:r w:rsidR="00F201EB">
        <w:rPr>
          <w:b/>
        </w:rPr>
        <w:t xml:space="preserve"> para </w:t>
      </w:r>
      <w:r w:rsidR="00A13C97">
        <w:rPr>
          <w:b/>
        </w:rPr>
        <w:t>“</w:t>
      </w:r>
      <w:r w:rsidR="00F201EB">
        <w:rPr>
          <w:b/>
        </w:rPr>
        <w:t>todos</w:t>
      </w:r>
      <w:r w:rsidR="00A13C97">
        <w:rPr>
          <w:b/>
        </w:rPr>
        <w:t>”</w:t>
      </w:r>
      <w:r w:rsidR="00F201EB">
        <w:rPr>
          <w:b/>
        </w:rPr>
        <w:t xml:space="preserve"> </w:t>
      </w:r>
      <w:r w:rsidR="00197BCF">
        <w:rPr>
          <w:b/>
        </w:rPr>
        <w:t>l</w:t>
      </w:r>
      <w:r>
        <w:rPr>
          <w:b/>
        </w:rPr>
        <w:t>a “economía de fantasías”?</w:t>
      </w:r>
      <w:r w:rsidR="001F190E">
        <w:rPr>
          <w:b/>
        </w:rPr>
        <w:t xml:space="preserve"> </w:t>
      </w:r>
    </w:p>
    <w:p w:rsidR="0093279F" w:rsidRPr="0093279F" w:rsidRDefault="0093279F" w:rsidP="00691E08">
      <w:pPr>
        <w:pStyle w:val="NormalWeb"/>
        <w:shd w:val="clear" w:color="auto" w:fill="FFFFFF"/>
        <w:spacing w:after="0"/>
        <w:jc w:val="both"/>
        <w:textAlignment w:val="baseline"/>
      </w:pPr>
      <w:r>
        <w:rPr>
          <w:noProof/>
        </w:rPr>
        <w:drawing>
          <wp:inline distT="0" distB="0" distL="0" distR="0" wp14:anchorId="4434D1EF" wp14:editId="39668D06">
            <wp:extent cx="5727699" cy="3327400"/>
            <wp:effectExtent l="0" t="0" r="6985" b="6350"/>
            <wp:docPr id="656" name="Imagen 656" descr="bernanke-draghi-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ernanke-draghi-grande.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3329614"/>
                    </a:xfrm>
                    <a:prstGeom prst="rect">
                      <a:avLst/>
                    </a:prstGeom>
                    <a:noFill/>
                    <a:ln>
                      <a:noFill/>
                    </a:ln>
                  </pic:spPr>
                </pic:pic>
              </a:graphicData>
            </a:graphic>
          </wp:inline>
        </w:drawing>
      </w:r>
    </w:p>
    <w:p w:rsidR="00564905" w:rsidRDefault="00564905" w:rsidP="00564905">
      <w:pPr>
        <w:pStyle w:val="NormalWeb"/>
        <w:shd w:val="clear" w:color="auto" w:fill="FFFFFF"/>
        <w:spacing w:after="0"/>
        <w:jc w:val="both"/>
        <w:textAlignment w:val="baseline"/>
        <w:rPr>
          <w:b/>
        </w:rPr>
      </w:pPr>
      <w:r>
        <w:rPr>
          <w:b/>
        </w:rPr>
        <w:t>Libertad no implica carencia de debate</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Hay</w:t>
      </w:r>
      <w:r w:rsidR="0066457B">
        <w:rPr>
          <w:rFonts w:ascii="Times New Roman" w:eastAsia="Times New Roman" w:hAnsi="Times New Roman" w:cs="Times New Roman"/>
          <w:sz w:val="24"/>
          <w:szCs w:val="24"/>
          <w:lang w:eastAsia="es-ES"/>
        </w:rPr>
        <w:t xml:space="preserve"> “eufemismos”, </w:t>
      </w:r>
      <w:r>
        <w:rPr>
          <w:rFonts w:ascii="Times New Roman" w:eastAsia="Times New Roman" w:hAnsi="Times New Roman" w:cs="Times New Roman"/>
          <w:sz w:val="24"/>
          <w:szCs w:val="24"/>
          <w:lang w:eastAsia="es-ES"/>
        </w:rPr>
        <w:t xml:space="preserve"> “mentiras”… y “estadísticas”</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eastAsia="es-ES"/>
        </w:rPr>
      </w:pPr>
      <w:r w:rsidRPr="00EC4742">
        <w:rPr>
          <w:rFonts w:ascii="Times New Roman" w:eastAsia="Times New Roman" w:hAnsi="Times New Roman" w:cs="Times New Roman"/>
          <w:sz w:val="24"/>
          <w:szCs w:val="24"/>
          <w:lang w:eastAsia="es-ES"/>
        </w:rPr>
        <w:t>Entre los miembros del conocido como el “Club de los países desarrollados” los niveles de deuda llegaron en 2015 a un máximo del 221,8 % del PIB en Japón, del 181,6 % en Grecia, del 157,5 % en Italia y del 149,2 % en Portugal.</w:t>
      </w:r>
    </w:p>
    <w:p w:rsidR="00BF5291" w:rsidRPr="00EC4742"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sidRPr="00EC4742">
        <w:rPr>
          <w:rFonts w:ascii="Times New Roman" w:eastAsia="Times New Roman" w:hAnsi="Times New Roman" w:cs="Times New Roman"/>
          <w:sz w:val="24"/>
          <w:szCs w:val="24"/>
          <w:lang w:val="en-GB" w:eastAsia="es-ES"/>
        </w:rPr>
        <w:t xml:space="preserve">Central government marketable (GBR) in the OECD </w:t>
      </w:r>
      <w:r>
        <w:rPr>
          <w:rFonts w:ascii="Times New Roman" w:eastAsia="Times New Roman" w:hAnsi="Times New Roman" w:cs="Times New Roman"/>
          <w:sz w:val="24"/>
          <w:szCs w:val="24"/>
          <w:lang w:val="en-GB" w:eastAsia="es-ES"/>
        </w:rPr>
        <w:t>a</w:t>
      </w:r>
      <w:r w:rsidRPr="00EC4742">
        <w:rPr>
          <w:rFonts w:ascii="Times New Roman" w:eastAsia="Times New Roman" w:hAnsi="Times New Roman" w:cs="Times New Roman"/>
          <w:sz w:val="24"/>
          <w:szCs w:val="24"/>
          <w:lang w:val="en-GB" w:eastAsia="es-ES"/>
        </w:rPr>
        <w:t xml:space="preserve">rea 2007 </w:t>
      </w:r>
      <w:r>
        <w:rPr>
          <w:rFonts w:ascii="Times New Roman" w:eastAsia="Times New Roman" w:hAnsi="Times New Roman" w:cs="Times New Roman"/>
          <w:sz w:val="24"/>
          <w:szCs w:val="24"/>
          <w:lang w:val="en-GB" w:eastAsia="es-ES"/>
        </w:rPr>
        <w:t>-</w:t>
      </w:r>
      <w:r w:rsidRPr="00EC4742">
        <w:rPr>
          <w:rFonts w:ascii="Times New Roman" w:eastAsia="Times New Roman" w:hAnsi="Times New Roman" w:cs="Times New Roman"/>
          <w:sz w:val="24"/>
          <w:szCs w:val="24"/>
          <w:lang w:val="en-GB" w:eastAsia="es-ES"/>
        </w:rPr>
        <w:t xml:space="preserve"> 2017</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2007: 6,5 USD trillion</w:t>
      </w:r>
      <w:r>
        <w:rPr>
          <w:rFonts w:ascii="Times New Roman" w:eastAsia="Times New Roman" w:hAnsi="Times New Roman" w:cs="Times New Roman"/>
          <w:sz w:val="24"/>
          <w:szCs w:val="24"/>
          <w:lang w:val="en-GB" w:eastAsia="es-ES"/>
        </w:rPr>
        <w:tab/>
      </w:r>
      <w:r>
        <w:rPr>
          <w:rFonts w:ascii="Times New Roman" w:eastAsia="Times New Roman" w:hAnsi="Times New Roman" w:cs="Times New Roman"/>
          <w:sz w:val="24"/>
          <w:szCs w:val="24"/>
          <w:lang w:val="en-GB" w:eastAsia="es-ES"/>
        </w:rPr>
        <w:tab/>
        <w:t>2017: 9,5 USD trillion</w:t>
      </w:r>
    </w:p>
    <w:p w:rsidR="00BF5291" w:rsidRPr="00EC4742"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sidRPr="00EC4742">
        <w:rPr>
          <w:rFonts w:ascii="Times New Roman" w:eastAsia="Times New Roman" w:hAnsi="Times New Roman" w:cs="Times New Roman"/>
          <w:sz w:val="24"/>
          <w:szCs w:val="24"/>
          <w:lang w:val="en-GB" w:eastAsia="es-ES"/>
        </w:rPr>
        <w:t>Cen</w:t>
      </w:r>
      <w:r>
        <w:rPr>
          <w:rFonts w:ascii="Times New Roman" w:eastAsia="Times New Roman" w:hAnsi="Times New Roman" w:cs="Times New Roman"/>
          <w:sz w:val="24"/>
          <w:szCs w:val="24"/>
          <w:lang w:val="en-GB" w:eastAsia="es-ES"/>
        </w:rPr>
        <w:t>tral government marketable debt</w:t>
      </w:r>
      <w:r w:rsidRPr="00EC4742">
        <w:rPr>
          <w:rFonts w:ascii="Times New Roman" w:eastAsia="Times New Roman" w:hAnsi="Times New Roman" w:cs="Times New Roman"/>
          <w:sz w:val="24"/>
          <w:szCs w:val="24"/>
          <w:lang w:val="en-GB" w:eastAsia="es-ES"/>
        </w:rPr>
        <w:t xml:space="preserve"> in the OECD </w:t>
      </w:r>
      <w:r>
        <w:rPr>
          <w:rFonts w:ascii="Times New Roman" w:eastAsia="Times New Roman" w:hAnsi="Times New Roman" w:cs="Times New Roman"/>
          <w:sz w:val="24"/>
          <w:szCs w:val="24"/>
          <w:lang w:val="en-GB" w:eastAsia="es-ES"/>
        </w:rPr>
        <w:t>a</w:t>
      </w:r>
      <w:r w:rsidRPr="00EC4742">
        <w:rPr>
          <w:rFonts w:ascii="Times New Roman" w:eastAsia="Times New Roman" w:hAnsi="Times New Roman" w:cs="Times New Roman"/>
          <w:sz w:val="24"/>
          <w:szCs w:val="24"/>
          <w:lang w:val="en-GB" w:eastAsia="es-ES"/>
        </w:rPr>
        <w:t xml:space="preserve">rea 2007 </w:t>
      </w:r>
      <w:r>
        <w:rPr>
          <w:rFonts w:ascii="Times New Roman" w:eastAsia="Times New Roman" w:hAnsi="Times New Roman" w:cs="Times New Roman"/>
          <w:sz w:val="24"/>
          <w:szCs w:val="24"/>
          <w:lang w:val="en-GB" w:eastAsia="es-ES"/>
        </w:rPr>
        <w:t>-</w:t>
      </w:r>
      <w:r w:rsidRPr="00EC4742">
        <w:rPr>
          <w:rFonts w:ascii="Times New Roman" w:eastAsia="Times New Roman" w:hAnsi="Times New Roman" w:cs="Times New Roman"/>
          <w:sz w:val="24"/>
          <w:szCs w:val="24"/>
          <w:lang w:val="en-GB" w:eastAsia="es-ES"/>
        </w:rPr>
        <w:t xml:space="preserve"> 2017</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2007: 22,5</w:t>
      </w:r>
      <w:r>
        <w:rPr>
          <w:rFonts w:ascii="Times New Roman" w:eastAsia="Times New Roman" w:hAnsi="Times New Roman" w:cs="Times New Roman"/>
          <w:sz w:val="24"/>
          <w:szCs w:val="24"/>
          <w:lang w:val="en-GB" w:eastAsia="es-ES"/>
        </w:rPr>
        <w:tab/>
      </w:r>
      <w:r>
        <w:rPr>
          <w:rFonts w:ascii="Times New Roman" w:eastAsia="Times New Roman" w:hAnsi="Times New Roman" w:cs="Times New Roman"/>
          <w:sz w:val="24"/>
          <w:szCs w:val="24"/>
          <w:lang w:val="en-GB" w:eastAsia="es-ES"/>
        </w:rPr>
        <w:tab/>
        <w:t xml:space="preserve">                        2017: 42,2</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 xml:space="preserve">Central government marketable (NBR) </w:t>
      </w:r>
      <w:r w:rsidRPr="00EC4742">
        <w:rPr>
          <w:rFonts w:ascii="Times New Roman" w:eastAsia="Times New Roman" w:hAnsi="Times New Roman" w:cs="Times New Roman"/>
          <w:sz w:val="24"/>
          <w:szCs w:val="24"/>
          <w:lang w:val="en-GB" w:eastAsia="es-ES"/>
        </w:rPr>
        <w:t xml:space="preserve">in the OECD </w:t>
      </w:r>
      <w:r>
        <w:rPr>
          <w:rFonts w:ascii="Times New Roman" w:eastAsia="Times New Roman" w:hAnsi="Times New Roman" w:cs="Times New Roman"/>
          <w:sz w:val="24"/>
          <w:szCs w:val="24"/>
          <w:lang w:val="en-GB" w:eastAsia="es-ES"/>
        </w:rPr>
        <w:t>a</w:t>
      </w:r>
      <w:r w:rsidRPr="00EC4742">
        <w:rPr>
          <w:rFonts w:ascii="Times New Roman" w:eastAsia="Times New Roman" w:hAnsi="Times New Roman" w:cs="Times New Roman"/>
          <w:sz w:val="24"/>
          <w:szCs w:val="24"/>
          <w:lang w:val="en-GB" w:eastAsia="es-ES"/>
        </w:rPr>
        <w:t xml:space="preserve">rea 2007 </w:t>
      </w:r>
      <w:r>
        <w:rPr>
          <w:rFonts w:ascii="Times New Roman" w:eastAsia="Times New Roman" w:hAnsi="Times New Roman" w:cs="Times New Roman"/>
          <w:sz w:val="24"/>
          <w:szCs w:val="24"/>
          <w:lang w:val="en-GB" w:eastAsia="es-ES"/>
        </w:rPr>
        <w:t>-</w:t>
      </w:r>
      <w:r w:rsidRPr="00EC4742">
        <w:rPr>
          <w:rFonts w:ascii="Times New Roman" w:eastAsia="Times New Roman" w:hAnsi="Times New Roman" w:cs="Times New Roman"/>
          <w:sz w:val="24"/>
          <w:szCs w:val="24"/>
          <w:lang w:val="en-GB" w:eastAsia="es-ES"/>
        </w:rPr>
        <w:t xml:space="preserve"> 2017</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2007: 0,4</w:t>
      </w:r>
      <w:r>
        <w:rPr>
          <w:rFonts w:ascii="Times New Roman" w:eastAsia="Times New Roman" w:hAnsi="Times New Roman" w:cs="Times New Roman"/>
          <w:sz w:val="24"/>
          <w:szCs w:val="24"/>
          <w:lang w:val="en-GB" w:eastAsia="es-ES"/>
        </w:rPr>
        <w:tab/>
      </w:r>
      <w:r>
        <w:rPr>
          <w:rFonts w:ascii="Times New Roman" w:eastAsia="Times New Roman" w:hAnsi="Times New Roman" w:cs="Times New Roman"/>
          <w:sz w:val="24"/>
          <w:szCs w:val="24"/>
          <w:lang w:val="en-GB" w:eastAsia="es-ES"/>
        </w:rPr>
        <w:tab/>
        <w:t xml:space="preserve">                        2017: 0,8</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 xml:space="preserve">General government deficit </w:t>
      </w:r>
      <w:r w:rsidRPr="00EC4742">
        <w:rPr>
          <w:rFonts w:ascii="Times New Roman" w:eastAsia="Times New Roman" w:hAnsi="Times New Roman" w:cs="Times New Roman"/>
          <w:sz w:val="24"/>
          <w:szCs w:val="24"/>
          <w:lang w:val="en-GB" w:eastAsia="es-ES"/>
        </w:rPr>
        <w:t xml:space="preserve">in the OECD </w:t>
      </w:r>
      <w:r>
        <w:rPr>
          <w:rFonts w:ascii="Times New Roman" w:eastAsia="Times New Roman" w:hAnsi="Times New Roman" w:cs="Times New Roman"/>
          <w:sz w:val="24"/>
          <w:szCs w:val="24"/>
          <w:lang w:val="en-GB" w:eastAsia="es-ES"/>
        </w:rPr>
        <w:t>a</w:t>
      </w:r>
      <w:r w:rsidRPr="00EC4742">
        <w:rPr>
          <w:rFonts w:ascii="Times New Roman" w:eastAsia="Times New Roman" w:hAnsi="Times New Roman" w:cs="Times New Roman"/>
          <w:sz w:val="24"/>
          <w:szCs w:val="24"/>
          <w:lang w:val="en-GB" w:eastAsia="es-ES"/>
        </w:rPr>
        <w:t xml:space="preserve">rea 2007 </w:t>
      </w:r>
      <w:r>
        <w:rPr>
          <w:rFonts w:ascii="Times New Roman" w:eastAsia="Times New Roman" w:hAnsi="Times New Roman" w:cs="Times New Roman"/>
          <w:sz w:val="24"/>
          <w:szCs w:val="24"/>
          <w:lang w:val="en-GB" w:eastAsia="es-ES"/>
        </w:rPr>
        <w:t>-</w:t>
      </w:r>
      <w:r w:rsidRPr="00EC4742">
        <w:rPr>
          <w:rFonts w:ascii="Times New Roman" w:eastAsia="Times New Roman" w:hAnsi="Times New Roman" w:cs="Times New Roman"/>
          <w:sz w:val="24"/>
          <w:szCs w:val="24"/>
          <w:lang w:val="en-GB" w:eastAsia="es-ES"/>
        </w:rPr>
        <w:t xml:space="preserve"> 2017</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2007: 0,6</w:t>
      </w:r>
      <w:r>
        <w:rPr>
          <w:rFonts w:ascii="Times New Roman" w:eastAsia="Times New Roman" w:hAnsi="Times New Roman" w:cs="Times New Roman"/>
          <w:sz w:val="24"/>
          <w:szCs w:val="24"/>
          <w:lang w:val="en-GB" w:eastAsia="es-ES"/>
        </w:rPr>
        <w:tab/>
      </w:r>
      <w:r>
        <w:rPr>
          <w:rFonts w:ascii="Times New Roman" w:eastAsia="Times New Roman" w:hAnsi="Times New Roman" w:cs="Times New Roman"/>
          <w:sz w:val="24"/>
          <w:szCs w:val="24"/>
          <w:lang w:val="en-GB" w:eastAsia="es-ES"/>
        </w:rPr>
        <w:tab/>
        <w:t xml:space="preserve">                        2017: 1,7</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General government gross debt in EU-28 countries - Eurostat</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 of GDP</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2007: 57,6                                           2016: 83,5</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Million EUR</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2007: 7.413,108,2                               2016: 12.392.802,6</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lastRenderedPageBreak/>
        <w:t>General government deficit/surplus in EU-28 countries - Eurostat</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 of GDP</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2007: -0,9                                            2016: -1,7</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Million EUR</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2007: -113.298,8                                 2016: -251.140,6</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val="en-GB" w:eastAsia="es-ES"/>
        </w:rPr>
      </w:pPr>
      <w:r>
        <w:rPr>
          <w:rFonts w:ascii="Times New Roman" w:eastAsia="Times New Roman" w:hAnsi="Times New Roman" w:cs="Times New Roman"/>
          <w:sz w:val="24"/>
          <w:szCs w:val="24"/>
          <w:lang w:val="en-GB" w:eastAsia="es-ES"/>
        </w:rPr>
        <w:t>General government fixed investment in EU-28 countries - Eurostat</w:t>
      </w:r>
    </w:p>
    <w:p w:rsidR="00BF5291" w:rsidRPr="00BF5291" w:rsidRDefault="00BF5291" w:rsidP="00BF5291">
      <w:pPr>
        <w:shd w:val="clear" w:color="auto" w:fill="FFFFFF"/>
        <w:spacing w:after="150" w:line="240" w:lineRule="auto"/>
        <w:jc w:val="both"/>
        <w:rPr>
          <w:rFonts w:ascii="Times New Roman" w:eastAsia="Times New Roman" w:hAnsi="Times New Roman" w:cs="Times New Roman"/>
          <w:sz w:val="24"/>
          <w:szCs w:val="24"/>
          <w:lang w:eastAsia="es-ES"/>
        </w:rPr>
      </w:pPr>
      <w:r w:rsidRPr="00BF5291">
        <w:rPr>
          <w:rFonts w:ascii="Times New Roman" w:eastAsia="Times New Roman" w:hAnsi="Times New Roman" w:cs="Times New Roman"/>
          <w:sz w:val="24"/>
          <w:szCs w:val="24"/>
          <w:lang w:eastAsia="es-ES"/>
        </w:rPr>
        <w:t>% of GDP</w:t>
      </w:r>
    </w:p>
    <w:p w:rsidR="00BF5291" w:rsidRPr="00687B2D" w:rsidRDefault="00BF5291" w:rsidP="00BF5291">
      <w:pPr>
        <w:shd w:val="clear" w:color="auto" w:fill="FFFFFF"/>
        <w:spacing w:after="150" w:line="240" w:lineRule="auto"/>
        <w:jc w:val="both"/>
        <w:rPr>
          <w:rFonts w:ascii="Times New Roman" w:eastAsia="Times New Roman" w:hAnsi="Times New Roman" w:cs="Times New Roman"/>
          <w:sz w:val="24"/>
          <w:szCs w:val="24"/>
          <w:lang w:eastAsia="es-ES"/>
        </w:rPr>
      </w:pPr>
      <w:r w:rsidRPr="00687B2D">
        <w:rPr>
          <w:rFonts w:ascii="Times New Roman" w:eastAsia="Times New Roman" w:hAnsi="Times New Roman" w:cs="Times New Roman"/>
          <w:sz w:val="24"/>
          <w:szCs w:val="24"/>
          <w:lang w:eastAsia="es-ES"/>
        </w:rPr>
        <w:t>2007: 3,2                                              2016: 2,6</w:t>
      </w:r>
    </w:p>
    <w:p w:rsidR="00BF5291" w:rsidRPr="00687B2D" w:rsidRDefault="00BF5291" w:rsidP="00BF5291">
      <w:pPr>
        <w:shd w:val="clear" w:color="auto" w:fill="FFFFFF"/>
        <w:spacing w:after="150" w:line="240" w:lineRule="auto"/>
        <w:jc w:val="both"/>
        <w:rPr>
          <w:rFonts w:ascii="Times New Roman" w:eastAsia="Times New Roman" w:hAnsi="Times New Roman" w:cs="Times New Roman"/>
          <w:sz w:val="24"/>
          <w:szCs w:val="24"/>
          <w:lang w:eastAsia="es-ES"/>
        </w:rPr>
      </w:pPr>
      <w:r w:rsidRPr="00687B2D">
        <w:rPr>
          <w:rFonts w:ascii="Times New Roman" w:eastAsia="Times New Roman" w:hAnsi="Times New Roman" w:cs="Times New Roman"/>
          <w:sz w:val="24"/>
          <w:szCs w:val="24"/>
          <w:lang w:eastAsia="es-ES"/>
        </w:rPr>
        <w:t>Million EUR</w:t>
      </w:r>
    </w:p>
    <w:p w:rsidR="00BF5291" w:rsidRDefault="00BF5291" w:rsidP="00BF5291">
      <w:pPr>
        <w:shd w:val="clear" w:color="auto" w:fill="FFFFFF"/>
        <w:spacing w:after="150" w:line="240" w:lineRule="auto"/>
        <w:jc w:val="both"/>
        <w:rPr>
          <w:rFonts w:ascii="Times New Roman" w:eastAsia="Times New Roman" w:hAnsi="Times New Roman" w:cs="Times New Roman"/>
          <w:sz w:val="24"/>
          <w:szCs w:val="24"/>
          <w:lang w:eastAsia="es-ES"/>
        </w:rPr>
      </w:pPr>
      <w:r w:rsidRPr="00687B2D">
        <w:rPr>
          <w:rFonts w:ascii="Times New Roman" w:eastAsia="Times New Roman" w:hAnsi="Times New Roman" w:cs="Times New Roman"/>
          <w:sz w:val="24"/>
          <w:szCs w:val="24"/>
          <w:lang w:eastAsia="es-ES"/>
        </w:rPr>
        <w:t>2007: 303.394,3                                   2016: 274.631,2</w:t>
      </w:r>
    </w:p>
    <w:p w:rsidR="00197BCF" w:rsidRDefault="00197BCF" w:rsidP="002531E2">
      <w:pPr>
        <w:pStyle w:val="selectionshareable"/>
        <w:shd w:val="clear" w:color="auto" w:fill="FFFFFF"/>
        <w:spacing w:before="0" w:beforeAutospacing="0" w:after="300" w:afterAutospacing="0"/>
        <w:jc w:val="both"/>
        <w:textAlignment w:val="baseline"/>
      </w:pPr>
    </w:p>
    <w:p w:rsidR="002531E2" w:rsidRPr="001156ED" w:rsidRDefault="002531E2" w:rsidP="002531E2">
      <w:pPr>
        <w:pStyle w:val="selectionshareable"/>
        <w:shd w:val="clear" w:color="auto" w:fill="FFFFFF"/>
        <w:spacing w:before="0" w:beforeAutospacing="0" w:after="300" w:afterAutospacing="0"/>
        <w:jc w:val="both"/>
        <w:textAlignment w:val="baseline"/>
      </w:pPr>
      <w:r w:rsidRPr="001156ED">
        <w:t>S</w:t>
      </w:r>
      <w:r w:rsidR="001156ED" w:rsidRPr="001156ED">
        <w:t>ólo cabe concluir</w:t>
      </w:r>
      <w:r w:rsidRPr="001156ED">
        <w:t xml:space="preserve"> que la política monetaria ha estado dirigida única y exclusivamente para sostener a los bancos y mantener la contención de las primas de riesgo soberanas.</w:t>
      </w:r>
    </w:p>
    <w:p w:rsidR="002531E2" w:rsidRPr="001156ED" w:rsidRDefault="001156ED" w:rsidP="001156ED">
      <w:pPr>
        <w:pStyle w:val="selectionshareable"/>
        <w:shd w:val="clear" w:color="auto" w:fill="FFFFFF"/>
        <w:spacing w:before="0" w:beforeAutospacing="0" w:after="300" w:afterAutospacing="0"/>
        <w:jc w:val="both"/>
        <w:textAlignment w:val="baseline"/>
      </w:pPr>
      <w:r w:rsidRPr="001156ED">
        <w:t xml:space="preserve">Se han estado </w:t>
      </w:r>
      <w:r w:rsidR="002531E2" w:rsidRPr="001156ED">
        <w:t>sacrificando una cantidad ingente de recursos futuros que se podrían haber aprovechado de una forma extraordinaria haciendo muchas y más fructíferas reformas estructurales. No es buena idea quitar bienestar de las genera</w:t>
      </w:r>
      <w:r w:rsidRPr="001156ED">
        <w:t>ciones futuras manteniendo un sistema financiero insostenible</w:t>
      </w:r>
      <w:r w:rsidR="002531E2" w:rsidRPr="001156ED">
        <w:t>, porque este es el germen de la próxima crisis.</w:t>
      </w:r>
    </w:p>
    <w:p w:rsidR="00BF5291" w:rsidRDefault="009C2E92" w:rsidP="00BF5291">
      <w:pPr>
        <w:autoSpaceDE w:val="0"/>
        <w:autoSpaceDN w:val="0"/>
        <w:adjustRightInd w:val="0"/>
        <w:spacing w:after="0" w:line="240" w:lineRule="auto"/>
        <w:jc w:val="both"/>
        <w:rPr>
          <w:rFonts w:ascii="Times New Roman" w:eastAsia="ZapfDingbatsStd" w:hAnsi="Times New Roman" w:cs="Times New Roman"/>
          <w:sz w:val="24"/>
          <w:szCs w:val="24"/>
        </w:rPr>
      </w:pPr>
      <w:r>
        <w:rPr>
          <w:rFonts w:ascii="Times New Roman" w:eastAsia="ZapfDingbatsStd" w:hAnsi="Times New Roman" w:cs="Times New Roman"/>
          <w:sz w:val="24"/>
          <w:szCs w:val="24"/>
        </w:rPr>
        <w:t xml:space="preserve">- </w:t>
      </w:r>
      <w:r w:rsidR="00197BCF">
        <w:rPr>
          <w:rFonts w:ascii="Times New Roman" w:eastAsia="ZapfDingbatsStd" w:hAnsi="Times New Roman" w:cs="Times New Roman"/>
          <w:sz w:val="24"/>
          <w:szCs w:val="24"/>
        </w:rPr>
        <w:t>¿Para qué ha servido</w:t>
      </w:r>
      <w:r w:rsidR="00BF5291">
        <w:rPr>
          <w:rFonts w:ascii="Times New Roman" w:eastAsia="ZapfDingbatsStd" w:hAnsi="Times New Roman" w:cs="Times New Roman"/>
          <w:sz w:val="24"/>
          <w:szCs w:val="24"/>
        </w:rPr>
        <w:t xml:space="preserve"> todo este enorme esfuerzo financiero? </w:t>
      </w:r>
    </w:p>
    <w:p w:rsidR="00BF5291" w:rsidRDefault="00BF5291" w:rsidP="00BF5291">
      <w:pPr>
        <w:autoSpaceDE w:val="0"/>
        <w:autoSpaceDN w:val="0"/>
        <w:adjustRightInd w:val="0"/>
        <w:spacing w:after="0" w:line="240" w:lineRule="auto"/>
        <w:jc w:val="both"/>
        <w:rPr>
          <w:rFonts w:ascii="Times New Roman" w:eastAsia="ZapfDingbatsStd" w:hAnsi="Times New Roman" w:cs="Times New Roman"/>
          <w:sz w:val="24"/>
          <w:szCs w:val="24"/>
        </w:rPr>
      </w:pPr>
    </w:p>
    <w:p w:rsidR="00BF5291" w:rsidRDefault="00BF5291" w:rsidP="00BF5291">
      <w:pPr>
        <w:autoSpaceDE w:val="0"/>
        <w:autoSpaceDN w:val="0"/>
        <w:adjustRightInd w:val="0"/>
        <w:spacing w:after="0" w:line="240" w:lineRule="auto"/>
        <w:jc w:val="both"/>
        <w:rPr>
          <w:rFonts w:ascii="Times New Roman" w:eastAsia="ZapfDingbatsStd" w:hAnsi="Times New Roman" w:cs="Times New Roman"/>
          <w:sz w:val="24"/>
          <w:szCs w:val="24"/>
        </w:rPr>
      </w:pPr>
      <w:r>
        <w:rPr>
          <w:rFonts w:ascii="Times New Roman" w:eastAsia="ZapfDingbatsStd" w:hAnsi="Times New Roman" w:cs="Times New Roman"/>
          <w:sz w:val="24"/>
          <w:szCs w:val="24"/>
        </w:rPr>
        <w:t>Para ayudar a los “causantes” de la crisis (bancos) y no a los “perjudicados” por la crisis (trabajadores) -cuando no se puede negar la evidencia (la única verdad, es la realidad)-:</w:t>
      </w:r>
    </w:p>
    <w:p w:rsidR="00BF5291" w:rsidRPr="00BF5291" w:rsidRDefault="00BF5291" w:rsidP="00BF5291">
      <w:pPr>
        <w:autoSpaceDE w:val="0"/>
        <w:autoSpaceDN w:val="0"/>
        <w:adjustRightInd w:val="0"/>
        <w:spacing w:after="0" w:line="240" w:lineRule="auto"/>
        <w:jc w:val="both"/>
        <w:rPr>
          <w:rFonts w:ascii="Times New Roman" w:eastAsia="ZapfDingbatsStd" w:hAnsi="Times New Roman" w:cs="Times New Roman"/>
          <w:sz w:val="24"/>
          <w:szCs w:val="24"/>
        </w:rPr>
      </w:pP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sidRPr="007E7E1D">
        <w:rPr>
          <w:rFonts w:ascii="Times New Roman" w:hAnsi="Times New Roman" w:cs="Times New Roman"/>
          <w:bCs/>
          <w:color w:val="000000"/>
          <w:sz w:val="24"/>
          <w:szCs w:val="24"/>
        </w:rPr>
        <w:t xml:space="preserve">Según la OIT </w:t>
      </w:r>
      <w:r>
        <w:rPr>
          <w:rFonts w:ascii="Times New Roman" w:hAnsi="Times New Roman" w:cs="Times New Roman"/>
          <w:bCs/>
          <w:color w:val="000000"/>
          <w:sz w:val="24"/>
          <w:szCs w:val="24"/>
        </w:rPr>
        <w:t>(</w:t>
      </w:r>
      <w:r w:rsidRPr="007E7E1D">
        <w:rPr>
          <w:rFonts w:ascii="Times New Roman" w:hAnsi="Times New Roman" w:cs="Times New Roman"/>
        </w:rPr>
        <w:t>Informe sobre perspectivas sociales y del empleo en el mundo 2016</w:t>
      </w:r>
      <w:r>
        <w:rPr>
          <w:rFonts w:ascii="Times New Roman" w:hAnsi="Times New Roman" w:cs="Times New Roman"/>
        </w:rPr>
        <w:t>),</w:t>
      </w:r>
      <w:r w:rsidRPr="007E7E1D">
        <w:rPr>
          <w:rFonts w:ascii="Times New Roman" w:hAnsi="Times New Roman" w:cs="Times New Roman"/>
        </w:rPr>
        <w:t xml:space="preserve"> </w:t>
      </w:r>
      <w:r>
        <w:rPr>
          <w:rFonts w:ascii="Times New Roman" w:hAnsi="Times New Roman" w:cs="Times New Roman"/>
          <w:bCs/>
          <w:color w:val="000000"/>
          <w:sz w:val="24"/>
          <w:szCs w:val="24"/>
        </w:rPr>
        <w:t>e</w:t>
      </w:r>
      <w:r w:rsidRPr="007E7E1D">
        <w:rPr>
          <w:rFonts w:ascii="Times New Roman" w:hAnsi="Times New Roman" w:cs="Times New Roman"/>
          <w:bCs/>
          <w:color w:val="000000"/>
          <w:sz w:val="24"/>
          <w:szCs w:val="24"/>
        </w:rPr>
        <w:t>n las dos últimas décadas, la pobreza se ha reducido en la mayoría de los países… pero se ha observado un desequilibrio y una fragilidad en las ganancias, sobre todo, en los países desarrollados, donde se ha incrementado la pobreza</w:t>
      </w:r>
      <w:r>
        <w:rPr>
          <w:rFonts w:ascii="Times New Roman" w:hAnsi="Times New Roman" w:cs="Times New Roman"/>
          <w:bCs/>
          <w:color w:val="000000"/>
          <w:sz w:val="24"/>
          <w:szCs w:val="24"/>
        </w:rPr>
        <w:t xml:space="preserve"> (sobre todo en Europa). </w:t>
      </w:r>
      <w:r w:rsidRPr="00CF1334">
        <w:rPr>
          <w:rFonts w:ascii="Times New Roman" w:hAnsi="Times New Roman" w:cs="Times New Roman"/>
          <w:color w:val="000000"/>
          <w:sz w:val="24"/>
          <w:szCs w:val="24"/>
        </w:rPr>
        <w:t>Se estima que en 2012 más de 300 millones de personas en los países desarrollados vivían en situación de pobreza (es decir, sus ingresos eran inferiores al 60 por ciento del ingreso medio)</w:t>
      </w:r>
      <w:r>
        <w:rPr>
          <w:rFonts w:ascii="Times New Roman" w:hAnsi="Times New Roman" w:cs="Times New Roman"/>
          <w:color w:val="000000"/>
          <w:sz w:val="24"/>
          <w:szCs w:val="24"/>
        </w:rPr>
        <w:t>…</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p>
    <w:p w:rsidR="00BF5291" w:rsidRPr="00E543E4"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Además, en los países desarrollados donde escasean los empleos de calidad, las familias de clase media están cada vez más preocupadas por su capacidad para conservar su actual posición económica</w:t>
      </w:r>
      <w:r>
        <w:rPr>
          <w:rFonts w:ascii="Times New Roman" w:hAnsi="Times New Roman" w:cs="Times New Roman"/>
          <w:color w:val="000000"/>
          <w:sz w:val="24"/>
          <w:szCs w:val="24"/>
        </w:rPr>
        <w:t>…</w:t>
      </w:r>
    </w:p>
    <w:p w:rsidR="00BF5291" w:rsidRDefault="00BF5291" w:rsidP="00BF5291">
      <w:pPr>
        <w:autoSpaceDE w:val="0"/>
        <w:autoSpaceDN w:val="0"/>
        <w:adjustRightInd w:val="0"/>
        <w:spacing w:after="0" w:line="240" w:lineRule="auto"/>
        <w:jc w:val="both"/>
        <w:rPr>
          <w:rFonts w:ascii="Times New Roman" w:hAnsi="Times New Roman" w:cs="Times New Roman"/>
          <w:bCs/>
          <w:color w:val="000000"/>
          <w:sz w:val="24"/>
          <w:szCs w:val="24"/>
        </w:rPr>
      </w:pP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En los países desarrollados, si bien la proporción de trabajadores asalariados y a sueldo es más alta, no están exentos del riesgo de caer en una situación de pobreza. De hecho, más del 80 por ciento de los trabajadores pobres de los países desarrollados tienen un empleo asalariado y a sueldo. Sin una oferta adecuada de oportunidades de empleo decente, los trabajadores pobres tendrán dificultades para mejorar sus condiciones de trabajo, tener una carrera profesional y, de este modo, salir de la pobreza</w:t>
      </w:r>
      <w:r>
        <w:rPr>
          <w:rFonts w:ascii="Times New Roman" w:hAnsi="Times New Roman" w:cs="Times New Roman"/>
          <w:color w:val="000000"/>
          <w:sz w:val="24"/>
          <w:szCs w:val="24"/>
        </w:rPr>
        <w:t>…</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lastRenderedPageBreak/>
        <w:t>Por otro lado, el continuo aumento en la desigualdad de ingresos (resultado de diversos factores, además de los ya mencionados) ha socavado con frecuencia el creci</w:t>
      </w:r>
      <w:r w:rsidRPr="00E543E4">
        <w:rPr>
          <w:rFonts w:ascii="Times New Roman" w:hAnsi="Times New Roman" w:cs="Times New Roman"/>
          <w:color w:val="000000"/>
          <w:sz w:val="24"/>
          <w:szCs w:val="24"/>
        </w:rPr>
        <w:t>miento y su impacto en la reduc</w:t>
      </w:r>
      <w:r w:rsidRPr="00CF1334">
        <w:rPr>
          <w:rFonts w:ascii="Times New Roman" w:hAnsi="Times New Roman" w:cs="Times New Roman"/>
          <w:color w:val="000000"/>
          <w:sz w:val="24"/>
          <w:szCs w:val="24"/>
        </w:rPr>
        <w:t>ción de la pobreza. Más concretamente, considerando que los recursos son limitados, a medida que los ricos reciben más ganancias gracias al crecimiento, se limita la posibilidad de reducir la pobreza. Esta conclusión pone de relieve el hecho de que los ricos deben asumir cierta responsabilidad en la perpetuación de la pobreza</w:t>
      </w:r>
      <w:r>
        <w:rPr>
          <w:rFonts w:ascii="Times New Roman" w:hAnsi="Times New Roman" w:cs="Times New Roman"/>
          <w:color w:val="000000"/>
          <w:sz w:val="24"/>
          <w:szCs w:val="24"/>
        </w:rPr>
        <w:t>…</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Umbral de pobreza relativa fijado en el 60 por ciento de la mediana de los ingresos - OIT</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(en porcentaje)</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Países desarrollados                   2005: 20,0</w:t>
      </w:r>
      <w:r>
        <w:rPr>
          <w:rFonts w:ascii="Times New Roman" w:hAnsi="Times New Roman" w:cs="Times New Roman"/>
          <w:color w:val="000000"/>
          <w:sz w:val="24"/>
          <w:szCs w:val="24"/>
        </w:rPr>
        <w:tab/>
      </w:r>
      <w:r>
        <w:rPr>
          <w:rFonts w:ascii="Times New Roman" w:hAnsi="Times New Roman" w:cs="Times New Roman"/>
          <w:color w:val="000000"/>
          <w:sz w:val="24"/>
          <w:szCs w:val="24"/>
        </w:rPr>
        <w:tab/>
        <w:t>2012: 20,1</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Unión Europea                           2005: 16,5              2012: 16,8</w:t>
      </w:r>
      <w:r>
        <w:rPr>
          <w:rFonts w:ascii="Times New Roman" w:hAnsi="Times New Roman" w:cs="Times New Roman"/>
          <w:color w:val="000000"/>
          <w:sz w:val="24"/>
          <w:szCs w:val="24"/>
        </w:rPr>
        <w:tab/>
        <w:t xml:space="preserve">       2014: 17,2</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EEUU                                         2005: 23,8              2012: 24,6</w:t>
      </w:r>
      <w:r>
        <w:rPr>
          <w:rFonts w:ascii="Times New Roman" w:hAnsi="Times New Roman" w:cs="Times New Roman"/>
          <w:color w:val="000000"/>
          <w:sz w:val="24"/>
          <w:szCs w:val="24"/>
        </w:rPr>
        <w:tab/>
        <w:t xml:space="preserve">       2014: 24,6</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Japón                                          2005: 21,7              2012: 22,1</w:t>
      </w:r>
      <w:r>
        <w:rPr>
          <w:rFonts w:ascii="Times New Roman" w:hAnsi="Times New Roman" w:cs="Times New Roman"/>
          <w:color w:val="000000"/>
          <w:sz w:val="24"/>
          <w:szCs w:val="24"/>
        </w:rPr>
        <w:tab/>
        <w:t xml:space="preserve">       </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Otros países desarrollados         2005: 20,7              2012: 20,3</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p>
    <w:p w:rsidR="00BF5291" w:rsidRPr="00E66F6B" w:rsidRDefault="00BF5291" w:rsidP="00BF5291">
      <w:pPr>
        <w:pStyle w:val="Default"/>
        <w:jc w:val="both"/>
        <w:rPr>
          <w:rFonts w:ascii="Times New Roman" w:hAnsi="Times New Roman" w:cs="Times New Roman"/>
          <w:color w:val="auto"/>
        </w:rPr>
      </w:pPr>
      <w:r>
        <w:rPr>
          <w:rFonts w:ascii="Times New Roman" w:hAnsi="Times New Roman" w:cs="Times New Roman"/>
          <w:color w:val="auto"/>
        </w:rPr>
        <w:t>Señala la OIT (</w:t>
      </w:r>
      <w:r w:rsidRPr="00AA56E3">
        <w:rPr>
          <w:rFonts w:ascii="Times New Roman" w:hAnsi="Times New Roman" w:cs="Times New Roman"/>
          <w:color w:val="auto"/>
        </w:rPr>
        <w:t>Informe sobre perspectivas sociales y del empleo en el mundo 2016 - Jóvenes - OIT  2016</w:t>
      </w:r>
      <w:r>
        <w:rPr>
          <w:rFonts w:ascii="Times New Roman" w:hAnsi="Times New Roman" w:cs="Times New Roman"/>
          <w:color w:val="auto"/>
        </w:rPr>
        <w:t xml:space="preserve">) que, </w:t>
      </w:r>
      <w:r w:rsidRPr="00E66F6B">
        <w:rPr>
          <w:rFonts w:ascii="Times New Roman" w:hAnsi="Times New Roman" w:cs="Times New Roman"/>
          <w:bCs/>
        </w:rPr>
        <w:t>al mismo tiempo que se reavivan las preocupaciones sobre el crecimiento económico mundial, el desempleo entre los jóvenes aumenta después de varios años de mejoras…</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sidRPr="00E66F6B">
        <w:rPr>
          <w:rFonts w:ascii="Times New Roman" w:hAnsi="Times New Roman" w:cs="Times New Roman"/>
          <w:color w:val="000000"/>
          <w:sz w:val="24"/>
          <w:szCs w:val="24"/>
        </w:rPr>
        <w:tab/>
        <w:t xml:space="preserve">       </w:t>
      </w:r>
    </w:p>
    <w:p w:rsidR="00BF5291" w:rsidRDefault="00BF5291" w:rsidP="00BF5291">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En los países desarrollados con información disponible, el riesgo de estar en pobreza relativa (a saber, de vivir con menos del 60 por ciento del ingreso medio) es mayor entre los jóvenes, aunque tengan un empleo. Por ejemplo, en 2014 se consideraba que el 12,7 por ciento de los jóvenes de la UE-28 corría el riesgo de entrar en situación de pobreza, mientras que entre los adultos la proporción era del 9,6 por ciento. Además de recibir salarios bajos, muchas veces los jóvenes trabajan de manera involuntaria en empleos in</w:t>
      </w:r>
      <w:r>
        <w:rPr>
          <w:rFonts w:ascii="Times New Roman" w:hAnsi="Times New Roman" w:cs="Times New Roman"/>
          <w:sz w:val="24"/>
          <w:szCs w:val="24"/>
        </w:rPr>
        <w:t xml:space="preserve">formales, temporales, o a tiempo </w:t>
      </w:r>
      <w:r w:rsidRPr="00AA56E3">
        <w:rPr>
          <w:rFonts w:ascii="Times New Roman" w:hAnsi="Times New Roman" w:cs="Times New Roman"/>
          <w:sz w:val="24"/>
          <w:szCs w:val="24"/>
        </w:rPr>
        <w:t>parcial. En 2014, aproximadamente el 29 por ciento de los jóvenes que trabajaban a tiempo parcial y el 37 por ciento de aquellos que tenían empleos temporales en la UE-28 trabajaban de manera involuntaria</w:t>
      </w:r>
      <w:r>
        <w:rPr>
          <w:rFonts w:ascii="Times New Roman" w:hAnsi="Times New Roman" w:cs="Times New Roman"/>
          <w:sz w:val="24"/>
          <w:szCs w:val="24"/>
        </w:rPr>
        <w:t>…</w:t>
      </w:r>
    </w:p>
    <w:p w:rsidR="00BF5291" w:rsidRDefault="00BF5291" w:rsidP="00BF5291">
      <w:pPr>
        <w:autoSpaceDE w:val="0"/>
        <w:autoSpaceDN w:val="0"/>
        <w:adjustRightInd w:val="0"/>
        <w:spacing w:after="0" w:line="240" w:lineRule="auto"/>
        <w:jc w:val="both"/>
        <w:rPr>
          <w:rFonts w:ascii="Times New Roman" w:hAnsi="Times New Roman" w:cs="Times New Roman"/>
          <w:sz w:val="24"/>
          <w:szCs w:val="24"/>
        </w:rPr>
      </w:pPr>
    </w:p>
    <w:p w:rsidR="00BF5291" w:rsidRDefault="00BF5291" w:rsidP="00BF5291">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Entre los jóvenes de entre 20 y 29 años de edad, la principal causa de disuasión de participar en el mercado de trabajo es la falta de oportunidades de empleo viables. Habida cuenta de que las tasas de desempleo se mantienen elevadas y de que la complejidad de la transición de los estudios al empleo sigue en aumento, cada vez más jóvenes se encuentran en una situación en la que ni trabajan ni cursan estudios o capacitaciones (Ni-Ni). Esta condición puede acarrear un deterioro de las competencias, subempleo y disuasión. Los datos de una encuesta aplicada en 28 países de todo el mundo muestran que casi el 25 por ciento de los jóvenes de entre 15 y 29 años de edad entra en la categoría de los Ni-Ni. Además, los resultados indican que la proporción de Ni-Ni crece radicalmente a medida que la edad de los jóvenes aumenta. Se trata de un problema particularmente agudo en los países desarrollados, donde, pese al acceso generalizado a oportunidades de educación superior, se observan proporciones de Ni-Ni sistemáticamente más elevadas entre los jóvenes de más de 20 años de edad, que superan por un amplio margen a las de los jóvenes de entre 15 y 19 años de edad</w:t>
      </w:r>
      <w:r>
        <w:rPr>
          <w:rFonts w:ascii="Times New Roman" w:hAnsi="Times New Roman" w:cs="Times New Roman"/>
          <w:sz w:val="24"/>
          <w:szCs w:val="24"/>
        </w:rPr>
        <w:t>…</w:t>
      </w:r>
    </w:p>
    <w:p w:rsidR="00BF5291" w:rsidRDefault="00BF5291" w:rsidP="00BF5291">
      <w:pPr>
        <w:autoSpaceDE w:val="0"/>
        <w:autoSpaceDN w:val="0"/>
        <w:adjustRightInd w:val="0"/>
        <w:spacing w:after="0" w:line="240" w:lineRule="auto"/>
        <w:jc w:val="both"/>
        <w:rPr>
          <w:rFonts w:ascii="Times New Roman" w:hAnsi="Times New Roman" w:cs="Times New Roman"/>
          <w:sz w:val="24"/>
          <w:szCs w:val="24"/>
        </w:rPr>
      </w:pPr>
    </w:p>
    <w:p w:rsidR="00BF5291" w:rsidRP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sidRPr="00BF5291">
        <w:rPr>
          <w:rFonts w:ascii="Times New Roman" w:hAnsi="Times New Roman" w:cs="Times New Roman"/>
          <w:color w:val="000000"/>
          <w:sz w:val="24"/>
          <w:szCs w:val="24"/>
        </w:rPr>
        <w:t>Los siguientes datos fueron extraídos del Informe: Employment and Social Developments in Europe Annual Review 2017 - European Comission - June 2017</w:t>
      </w:r>
    </w:p>
    <w:p w:rsidR="00BF5291" w:rsidRP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p>
    <w:p w:rsidR="00BF5291" w:rsidRP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rPr>
      </w:pPr>
      <w:r w:rsidRPr="00BF5291">
        <w:rPr>
          <w:rFonts w:ascii="Times New Roman" w:hAnsi="Times New Roman" w:cs="Times New Roman"/>
          <w:color w:val="000000"/>
          <w:sz w:val="24"/>
          <w:szCs w:val="24"/>
        </w:rPr>
        <w:t xml:space="preserve">Employment rate (total 20-64)                            </w:t>
      </w:r>
      <w:r w:rsidRPr="00BF5291">
        <w:rPr>
          <w:rFonts w:ascii="Times New Roman" w:hAnsi="Times New Roman" w:cs="Times New Roman"/>
          <w:color w:val="000000"/>
          <w:sz w:val="24"/>
          <w:szCs w:val="24"/>
        </w:rPr>
        <w:tab/>
      </w:r>
      <w:r w:rsidRPr="00BF5291">
        <w:rPr>
          <w:rFonts w:ascii="Times New Roman" w:hAnsi="Times New Roman" w:cs="Times New Roman"/>
          <w:color w:val="000000"/>
          <w:sz w:val="24"/>
          <w:szCs w:val="24"/>
        </w:rPr>
        <w:tab/>
        <w:t>2007: 69,8         2016: 71,1</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Unemployment rate (total 15-74)                        </w:t>
      </w:r>
      <w:r>
        <w:rPr>
          <w:rFonts w:ascii="Times New Roman" w:hAnsi="Times New Roman" w:cs="Times New Roman"/>
          <w:color w:val="000000"/>
          <w:sz w:val="24"/>
          <w:szCs w:val="24"/>
          <w:lang w:val="en-GB"/>
        </w:rPr>
        <w:tab/>
      </w:r>
      <w:r>
        <w:rPr>
          <w:rFonts w:ascii="Times New Roman" w:hAnsi="Times New Roman" w:cs="Times New Roman"/>
          <w:color w:val="000000"/>
          <w:sz w:val="24"/>
          <w:szCs w:val="24"/>
          <w:lang w:val="en-GB"/>
        </w:rPr>
        <w:tab/>
        <w:t>2007: 7,2           2016: 8,5</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lastRenderedPageBreak/>
        <w:t xml:space="preserve">Unemployment rate youth (total 15-24)              </w:t>
      </w:r>
      <w:r>
        <w:rPr>
          <w:rFonts w:ascii="Times New Roman" w:hAnsi="Times New Roman" w:cs="Times New Roman"/>
          <w:color w:val="000000"/>
          <w:sz w:val="24"/>
          <w:szCs w:val="24"/>
          <w:lang w:val="en-GB"/>
        </w:rPr>
        <w:tab/>
      </w:r>
      <w:r>
        <w:rPr>
          <w:rFonts w:ascii="Times New Roman" w:hAnsi="Times New Roman" w:cs="Times New Roman"/>
          <w:color w:val="000000"/>
          <w:sz w:val="24"/>
          <w:szCs w:val="24"/>
          <w:lang w:val="en-GB"/>
        </w:rPr>
        <w:tab/>
        <w:t>2007: 15,9         2016: 18,7</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Very long-term unemployment rate                     </w:t>
      </w:r>
      <w:r>
        <w:rPr>
          <w:rFonts w:ascii="Times New Roman" w:hAnsi="Times New Roman" w:cs="Times New Roman"/>
          <w:color w:val="000000"/>
          <w:sz w:val="24"/>
          <w:szCs w:val="24"/>
          <w:lang w:val="en-GB"/>
        </w:rPr>
        <w:tab/>
      </w:r>
      <w:r>
        <w:rPr>
          <w:rFonts w:ascii="Times New Roman" w:hAnsi="Times New Roman" w:cs="Times New Roman"/>
          <w:color w:val="000000"/>
          <w:sz w:val="24"/>
          <w:szCs w:val="24"/>
          <w:lang w:val="en-GB"/>
        </w:rPr>
        <w:tab/>
        <w:t>2007: 1,8           2016: 2,5</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At risk of poverty or exclusion rate                    </w:t>
      </w:r>
      <w:r>
        <w:rPr>
          <w:rFonts w:ascii="Times New Roman" w:hAnsi="Times New Roman" w:cs="Times New Roman"/>
          <w:color w:val="000000"/>
          <w:sz w:val="24"/>
          <w:szCs w:val="24"/>
          <w:lang w:val="en-GB"/>
        </w:rPr>
        <w:tab/>
      </w:r>
      <w:r>
        <w:rPr>
          <w:rFonts w:ascii="Times New Roman" w:hAnsi="Times New Roman" w:cs="Times New Roman"/>
          <w:color w:val="000000"/>
          <w:sz w:val="24"/>
          <w:szCs w:val="24"/>
          <w:lang w:val="en-GB"/>
        </w:rPr>
        <w:tab/>
        <w:t>2007: 24,5         2015: 23,7</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Inequality: Gini coefficient of disposable income   </w:t>
      </w:r>
      <w:r>
        <w:rPr>
          <w:rFonts w:ascii="Times New Roman" w:hAnsi="Times New Roman" w:cs="Times New Roman"/>
          <w:color w:val="000000"/>
          <w:sz w:val="24"/>
          <w:szCs w:val="24"/>
          <w:lang w:val="en-GB"/>
        </w:rPr>
        <w:tab/>
      </w:r>
      <w:r>
        <w:rPr>
          <w:rFonts w:ascii="Times New Roman" w:hAnsi="Times New Roman" w:cs="Times New Roman"/>
          <w:color w:val="000000"/>
          <w:sz w:val="24"/>
          <w:szCs w:val="24"/>
          <w:lang w:val="en-GB"/>
        </w:rPr>
        <w:tab/>
        <w:t>2007: 30,6         2015: 31,0</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Part-time employment (% total employment)          </w:t>
      </w:r>
      <w:r>
        <w:rPr>
          <w:rFonts w:ascii="Times New Roman" w:hAnsi="Times New Roman" w:cs="Times New Roman"/>
          <w:color w:val="000000"/>
          <w:sz w:val="24"/>
          <w:szCs w:val="24"/>
          <w:lang w:val="en-GB"/>
        </w:rPr>
        <w:tab/>
      </w:r>
      <w:r>
        <w:rPr>
          <w:rFonts w:ascii="Times New Roman" w:hAnsi="Times New Roman" w:cs="Times New Roman"/>
          <w:color w:val="000000"/>
          <w:sz w:val="24"/>
          <w:szCs w:val="24"/>
          <w:lang w:val="en-GB"/>
        </w:rPr>
        <w:tab/>
        <w:t>2007: 17,5         2016: 19,5</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Share of people living in work intensity households</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 of people aged 0-59)                                                        </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EU-28                                                                                    2010: 10,3         2015: 10,6</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EU-19                                                                                    2007: 9,7           2015: 11,2</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Income quintile share ratio S80/S20</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EU-28                                                                                    2010: 4,9           2015: 5,2</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EU-19                                                                                    2007: 4,8           2015: 5,2</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Young people not in employment, education or training</w:t>
      </w:r>
    </w:p>
    <w:p w:rsidR="00BF5291" w:rsidRPr="003071B3"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sidRPr="003071B3">
        <w:rPr>
          <w:rFonts w:ascii="Times New Roman" w:hAnsi="Times New Roman" w:cs="Times New Roman"/>
          <w:color w:val="000000"/>
          <w:sz w:val="24"/>
          <w:szCs w:val="24"/>
          <w:lang w:val="en-GB"/>
        </w:rPr>
        <w:t>(% of total population aged 15-24)</w:t>
      </w:r>
    </w:p>
    <w:p w:rsidR="00BF5291" w:rsidRPr="003071B3"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sidRPr="003071B3">
        <w:rPr>
          <w:rFonts w:ascii="Times New Roman" w:hAnsi="Times New Roman" w:cs="Times New Roman"/>
          <w:color w:val="000000"/>
          <w:sz w:val="24"/>
          <w:szCs w:val="24"/>
          <w:lang w:val="en-GB"/>
        </w:rPr>
        <w:t>EU-28                                                                                    2007: 11,0         2015: 11,5</w:t>
      </w:r>
    </w:p>
    <w:p w:rsidR="00BF5291" w:rsidRDefault="00BF5291"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sidRPr="003071B3">
        <w:rPr>
          <w:rFonts w:ascii="Times New Roman" w:hAnsi="Times New Roman" w:cs="Times New Roman"/>
          <w:color w:val="000000"/>
          <w:sz w:val="24"/>
          <w:szCs w:val="24"/>
          <w:lang w:val="en-GB"/>
        </w:rPr>
        <w:t>EU-19                                                                                    2007: 10,8         2015: 11,7</w:t>
      </w:r>
    </w:p>
    <w:p w:rsidR="009C2E92" w:rsidRPr="003071B3" w:rsidRDefault="009C2E92" w:rsidP="00BF5291">
      <w:pPr>
        <w:autoSpaceDE w:val="0"/>
        <w:autoSpaceDN w:val="0"/>
        <w:adjustRightInd w:val="0"/>
        <w:spacing w:after="0" w:line="240" w:lineRule="auto"/>
        <w:jc w:val="both"/>
        <w:rPr>
          <w:rFonts w:ascii="Times New Roman" w:hAnsi="Times New Roman" w:cs="Times New Roman"/>
          <w:color w:val="000000"/>
          <w:sz w:val="24"/>
          <w:szCs w:val="24"/>
          <w:lang w:val="en-GB"/>
        </w:rPr>
      </w:pPr>
    </w:p>
    <w:p w:rsidR="009C2E92" w:rsidRPr="009C2E92" w:rsidRDefault="009C2E92" w:rsidP="00BF5291">
      <w:pPr>
        <w:autoSpaceDE w:val="0"/>
        <w:autoSpaceDN w:val="0"/>
        <w:adjustRightInd w:val="0"/>
        <w:spacing w:after="0" w:line="240" w:lineRule="auto"/>
        <w:jc w:val="both"/>
        <w:rPr>
          <w:rFonts w:ascii="Times New Roman" w:hAnsi="Times New Roman" w:cs="Times New Roman"/>
          <w:color w:val="000000"/>
          <w:sz w:val="24"/>
          <w:szCs w:val="24"/>
          <w:lang w:val="en-GB"/>
        </w:rPr>
      </w:pPr>
      <w:r w:rsidRPr="009C2E92">
        <w:rPr>
          <w:rFonts w:ascii="Times New Roman" w:hAnsi="Times New Roman" w:cs="Times New Roman"/>
          <w:color w:val="000000"/>
          <w:sz w:val="24"/>
          <w:szCs w:val="24"/>
          <w:lang w:val="en-GB"/>
        </w:rPr>
        <w:t xml:space="preserve">- The </w:t>
      </w:r>
      <w:r w:rsidR="00A13C97">
        <w:rPr>
          <w:rFonts w:ascii="Times New Roman" w:hAnsi="Times New Roman" w:cs="Times New Roman"/>
          <w:color w:val="000000"/>
          <w:sz w:val="24"/>
          <w:szCs w:val="24"/>
          <w:lang w:val="en-GB"/>
        </w:rPr>
        <w:t>“</w:t>
      </w:r>
      <w:r w:rsidRPr="009C2E92">
        <w:rPr>
          <w:rFonts w:ascii="Times New Roman" w:hAnsi="Times New Roman" w:cs="Times New Roman"/>
          <w:color w:val="000000"/>
          <w:sz w:val="24"/>
          <w:szCs w:val="24"/>
          <w:lang w:val="en-GB"/>
        </w:rPr>
        <w:t>Hall of Fame</w:t>
      </w:r>
      <w:r w:rsidR="00A13C97">
        <w:rPr>
          <w:rFonts w:ascii="Times New Roman" w:hAnsi="Times New Roman" w:cs="Times New Roman"/>
          <w:color w:val="000000"/>
          <w:sz w:val="24"/>
          <w:szCs w:val="24"/>
          <w:lang w:val="en-GB"/>
        </w:rPr>
        <w:t>”</w:t>
      </w:r>
      <w:r w:rsidRPr="009C2E92">
        <w:rPr>
          <w:rFonts w:ascii="Times New Roman" w:hAnsi="Times New Roman" w:cs="Times New Roman"/>
          <w:color w:val="000000"/>
          <w:sz w:val="24"/>
          <w:szCs w:val="24"/>
          <w:lang w:val="en-GB"/>
        </w:rPr>
        <w:t xml:space="preserve"> in</w:t>
      </w:r>
      <w:r w:rsidR="00197BCF">
        <w:rPr>
          <w:rFonts w:ascii="Times New Roman" w:hAnsi="Times New Roman" w:cs="Times New Roman"/>
          <w:color w:val="000000"/>
          <w:sz w:val="24"/>
          <w:szCs w:val="24"/>
          <w:lang w:val="en-GB"/>
        </w:rPr>
        <w:t>…</w:t>
      </w:r>
      <w:r w:rsidRPr="009C2E92">
        <w:rPr>
          <w:rFonts w:ascii="Times New Roman" w:hAnsi="Times New Roman" w:cs="Times New Roman"/>
          <w:color w:val="000000"/>
          <w:sz w:val="24"/>
          <w:szCs w:val="24"/>
          <w:lang w:val="en-GB"/>
        </w:rPr>
        <w:t xml:space="preserve"> </w:t>
      </w:r>
      <w:r w:rsidR="00197BCF">
        <w:rPr>
          <w:rFonts w:ascii="Times New Roman" w:hAnsi="Times New Roman" w:cs="Times New Roman"/>
          <w:color w:val="000000"/>
          <w:sz w:val="24"/>
          <w:szCs w:val="24"/>
          <w:lang w:val="en-GB"/>
        </w:rPr>
        <w:t>“</w:t>
      </w:r>
      <w:r w:rsidRPr="009C2E92">
        <w:rPr>
          <w:rFonts w:ascii="Times New Roman" w:hAnsi="Times New Roman" w:cs="Times New Roman"/>
          <w:color w:val="000000"/>
          <w:sz w:val="24"/>
          <w:szCs w:val="24"/>
          <w:lang w:val="en-GB"/>
        </w:rPr>
        <w:t>Fantasyland</w:t>
      </w:r>
      <w:r w:rsidR="00197BCF">
        <w:rPr>
          <w:rFonts w:ascii="Times New Roman" w:hAnsi="Times New Roman" w:cs="Times New Roman"/>
          <w:color w:val="000000"/>
          <w:sz w:val="24"/>
          <w:szCs w:val="24"/>
          <w:lang w:val="en-GB"/>
        </w:rPr>
        <w:t>”</w:t>
      </w:r>
      <w:r>
        <w:rPr>
          <w:rFonts w:ascii="Times New Roman" w:hAnsi="Times New Roman" w:cs="Times New Roman"/>
          <w:color w:val="000000"/>
          <w:sz w:val="24"/>
          <w:szCs w:val="24"/>
          <w:lang w:val="en-GB"/>
        </w:rPr>
        <w:t xml:space="preserve"> </w:t>
      </w:r>
    </w:p>
    <w:p w:rsidR="009C2E92" w:rsidRPr="009C2E92" w:rsidRDefault="009C2E92" w:rsidP="00BF5291">
      <w:pPr>
        <w:autoSpaceDE w:val="0"/>
        <w:autoSpaceDN w:val="0"/>
        <w:adjustRightInd w:val="0"/>
        <w:spacing w:after="0" w:line="240" w:lineRule="auto"/>
        <w:jc w:val="both"/>
        <w:rPr>
          <w:rFonts w:ascii="Times New Roman" w:hAnsi="Times New Roman" w:cs="Times New Roman"/>
          <w:color w:val="000000"/>
          <w:sz w:val="24"/>
          <w:szCs w:val="24"/>
          <w:lang w:val="en-GB"/>
        </w:rPr>
      </w:pPr>
    </w:p>
    <w:p w:rsidR="009C2E92" w:rsidRPr="007968DF" w:rsidRDefault="009C2E92" w:rsidP="009C2E92">
      <w:pPr>
        <w:spacing w:line="240" w:lineRule="auto"/>
        <w:jc w:val="both"/>
        <w:rPr>
          <w:rFonts w:ascii="Times New Roman" w:hAnsi="Times New Roman" w:cs="Times New Roman"/>
          <w:sz w:val="24"/>
          <w:szCs w:val="24"/>
        </w:rPr>
      </w:pPr>
      <w:r w:rsidRPr="00B6195F">
        <w:rPr>
          <w:rFonts w:ascii="Times New Roman" w:hAnsi="Times New Roman" w:cs="Times New Roman"/>
          <w:noProof/>
          <w:sz w:val="24"/>
          <w:szCs w:val="24"/>
          <w:lang w:eastAsia="es-ES"/>
        </w:rPr>
        <w:drawing>
          <wp:inline distT="0" distB="0" distL="0" distR="0" wp14:anchorId="2E3CF8CC" wp14:editId="742166E0">
            <wp:extent cx="5729583" cy="4083050"/>
            <wp:effectExtent l="0" t="0" r="508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4084423"/>
                    </a:xfrm>
                    <a:prstGeom prst="rect">
                      <a:avLst/>
                    </a:prstGeom>
                  </pic:spPr>
                </pic:pic>
              </a:graphicData>
            </a:graphic>
          </wp:inline>
        </w:drawing>
      </w:r>
      <w:r w:rsidRPr="000F12A9">
        <w:rPr>
          <w:rFonts w:ascii="Times New Roman" w:hAnsi="Times New Roman" w:cs="Times New Roman"/>
          <w:noProof/>
          <w:sz w:val="24"/>
          <w:szCs w:val="24"/>
          <w:lang w:eastAsia="es-ES"/>
        </w:rPr>
        <w:drawing>
          <wp:inline distT="0" distB="0" distL="0" distR="0" wp14:anchorId="40748521" wp14:editId="5124103D">
            <wp:extent cx="5731510" cy="1090579"/>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1090579"/>
                    </a:xfrm>
                    <a:prstGeom prst="rect">
                      <a:avLst/>
                    </a:prstGeom>
                  </pic:spPr>
                </pic:pic>
              </a:graphicData>
            </a:graphic>
          </wp:inline>
        </w:drawing>
      </w:r>
    </w:p>
    <w:p w:rsidR="009C2E92" w:rsidRPr="00704693" w:rsidRDefault="009C2E92" w:rsidP="009C2E92">
      <w:pPr>
        <w:spacing w:line="240" w:lineRule="auto"/>
        <w:jc w:val="both"/>
        <w:rPr>
          <w:rFonts w:ascii="Times New Roman" w:hAnsi="Times New Roman" w:cs="Times New Roman"/>
          <w:sz w:val="24"/>
          <w:szCs w:val="24"/>
        </w:rPr>
      </w:pPr>
      <w:r w:rsidRPr="00704693">
        <w:rPr>
          <w:rFonts w:ascii="Times New Roman" w:hAnsi="Times New Roman" w:cs="Times New Roman"/>
          <w:sz w:val="24"/>
          <w:szCs w:val="24"/>
        </w:rPr>
        <w:t xml:space="preserve">Fuente: Las empresas más valiosas del mundo (Expansión - </w:t>
      </w:r>
      <w:r w:rsidRPr="00704693">
        <w:rPr>
          <w:rFonts w:ascii="Times New Roman" w:hAnsi="Times New Roman" w:cs="Times New Roman"/>
          <w:b/>
          <w:sz w:val="24"/>
          <w:szCs w:val="24"/>
        </w:rPr>
        <w:t>4/3/17</w:t>
      </w:r>
      <w:r w:rsidR="00704693" w:rsidRPr="00704693">
        <w:rPr>
          <w:rFonts w:ascii="Times New Roman" w:hAnsi="Times New Roman" w:cs="Times New Roman"/>
          <w:sz w:val="24"/>
          <w:szCs w:val="24"/>
        </w:rPr>
        <w:t>)</w:t>
      </w:r>
    </w:p>
    <w:p w:rsidR="009C2E92" w:rsidRPr="00B249A1" w:rsidRDefault="00704693" w:rsidP="009C2E9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podio del ra</w:t>
      </w:r>
      <w:r w:rsidR="009C2E92" w:rsidRPr="00B249A1">
        <w:rPr>
          <w:rFonts w:ascii="Times New Roman" w:hAnsi="Times New Roman" w:cs="Times New Roman"/>
          <w:sz w:val="24"/>
          <w:szCs w:val="24"/>
        </w:rPr>
        <w:t>nking de las 100 mayores empresas del mundo por capitalización bursátil no admite discusión: el rey geográfico es Estados Unidos y la te</w:t>
      </w:r>
      <w:r w:rsidR="009C2E92">
        <w:rPr>
          <w:rFonts w:ascii="Times New Roman" w:hAnsi="Times New Roman" w:cs="Times New Roman"/>
          <w:sz w:val="24"/>
          <w:szCs w:val="24"/>
        </w:rPr>
        <w:t>cnología es su sector soberano.</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En total, 56 empresas del top 100 del planeta tienen bandera norteamericana y 16 (24 si se amplía el abanico a firmas de telecomunicaciones) llevan el sello tecnológico, que por primera vez en 2016 superó al sector financiero en esta medición. La mayoría, y ahondando en el liderato, son de Estados Unidos.</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Los números absolutos son tan abrumadores como su posición en la clasificación: las 12 principales compañías del mundo tienen pasaporte norteamericano. Las tres primeras, en un podio que nadie amenaza desde la salida de la crisis, corresponden a los titanes de Silicon Valley: Apple, con una capitalización de 693.220 millones de euros; Alphabet -la matriz de Google-, con casi 552.000 millones- y M</w:t>
      </w:r>
      <w:r>
        <w:rPr>
          <w:rFonts w:ascii="Times New Roman" w:hAnsi="Times New Roman" w:cs="Times New Roman"/>
          <w:sz w:val="24"/>
          <w:szCs w:val="24"/>
        </w:rPr>
        <w:t>icrosoft, con 470.000 millones.</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 xml:space="preserve">Es lo que desvela el </w:t>
      </w:r>
      <w:r w:rsidR="00704693">
        <w:rPr>
          <w:rFonts w:ascii="Times New Roman" w:hAnsi="Times New Roman" w:cs="Times New Roman"/>
          <w:sz w:val="24"/>
          <w:szCs w:val="24"/>
        </w:rPr>
        <w:t>análisis realizado por Expansión</w:t>
      </w:r>
      <w:r w:rsidRPr="00B249A1">
        <w:rPr>
          <w:rFonts w:ascii="Times New Roman" w:hAnsi="Times New Roman" w:cs="Times New Roman"/>
          <w:sz w:val="24"/>
          <w:szCs w:val="24"/>
        </w:rPr>
        <w:t xml:space="preserve"> de las grandes cotizadas del planeta a partir de datos de Bloomberg. Una investigación que demuestra la hegemonía norteamericana.</w:t>
      </w:r>
      <w:r w:rsidR="00704693">
        <w:rPr>
          <w:rFonts w:ascii="Times New Roman" w:hAnsi="Times New Roman" w:cs="Times New Roman"/>
          <w:sz w:val="24"/>
          <w:szCs w:val="24"/>
        </w:rPr>
        <w:t xml:space="preserve"> </w:t>
      </w:r>
      <w:r w:rsidRPr="00B249A1">
        <w:rPr>
          <w:rFonts w:ascii="Times New Roman" w:hAnsi="Times New Roman" w:cs="Times New Roman"/>
          <w:sz w:val="24"/>
          <w:szCs w:val="24"/>
        </w:rPr>
        <w:t>De un lado, frente a las 56 firmas de EEUU, sólo hay 21 europeas (12 de ellas de la zona del euro) y 17 asiáticas.</w:t>
      </w:r>
      <w:r w:rsidR="00704693">
        <w:rPr>
          <w:rFonts w:ascii="Times New Roman" w:hAnsi="Times New Roman" w:cs="Times New Roman"/>
          <w:sz w:val="24"/>
          <w:szCs w:val="24"/>
        </w:rPr>
        <w:t xml:space="preserve"> </w:t>
      </w:r>
      <w:r w:rsidRPr="00B249A1">
        <w:rPr>
          <w:rFonts w:ascii="Times New Roman" w:hAnsi="Times New Roman" w:cs="Times New Roman"/>
          <w:sz w:val="24"/>
          <w:szCs w:val="24"/>
        </w:rPr>
        <w:t xml:space="preserve">El resto se distribuye entre Australia (con 3 representantes), </w:t>
      </w:r>
      <w:r>
        <w:rPr>
          <w:rFonts w:ascii="Times New Roman" w:hAnsi="Times New Roman" w:cs="Times New Roman"/>
          <w:sz w:val="24"/>
          <w:szCs w:val="24"/>
        </w:rPr>
        <w:t>Canadá (2) y Latinoamérica (1).</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En volumen de capitalización, las estadísticas dictan la misma sentencia: las empresas de Estados Unidos</w:t>
      </w:r>
      <w:r w:rsidR="00704693">
        <w:rPr>
          <w:rFonts w:ascii="Times New Roman" w:hAnsi="Times New Roman" w:cs="Times New Roman"/>
          <w:sz w:val="24"/>
          <w:szCs w:val="24"/>
        </w:rPr>
        <w:t xml:space="preserve"> </w:t>
      </w:r>
      <w:r w:rsidRPr="00B249A1">
        <w:rPr>
          <w:rFonts w:ascii="Times New Roman" w:hAnsi="Times New Roman" w:cs="Times New Roman"/>
          <w:sz w:val="24"/>
          <w:szCs w:val="24"/>
        </w:rPr>
        <w:t>copan el 65% del total de las 100 mayores cotizadas del planeta, que suman 16,5 billones de euros. Frente a ese dato, Asia representa el 16,3% y Europa, el 15,23%. España apenas llega al 0,6%, con Inditex como su única representante. En concreto, con una capitalización de 95.370 millones de euros, la firma de Amancio Ort</w:t>
      </w:r>
      <w:r>
        <w:rPr>
          <w:rFonts w:ascii="Times New Roman" w:hAnsi="Times New Roman" w:cs="Times New Roman"/>
          <w:sz w:val="24"/>
          <w:szCs w:val="24"/>
        </w:rPr>
        <w:t>ega se sitúa en la posición 73.</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En este sentido, y en una visión histórica, esos 16,5 billones de capitalización total de las 100 cotizadas más grandes del planeta duplican los casi 8 billones de 2009, cuando se empezaron a notar los verdaderos efectos</w:t>
      </w:r>
      <w:r w:rsidR="00704693">
        <w:rPr>
          <w:rFonts w:ascii="Times New Roman" w:hAnsi="Times New Roman" w:cs="Times New Roman"/>
          <w:sz w:val="24"/>
          <w:szCs w:val="24"/>
        </w:rPr>
        <w:t xml:space="preserve"> de la recesión. El orden del ra</w:t>
      </w:r>
      <w:r w:rsidRPr="00B249A1">
        <w:rPr>
          <w:rFonts w:ascii="Times New Roman" w:hAnsi="Times New Roman" w:cs="Times New Roman"/>
          <w:sz w:val="24"/>
          <w:szCs w:val="24"/>
        </w:rPr>
        <w:t xml:space="preserve">nking ha cambiado, y mucho, desde entonces. En 2009, el líder era Exxon Mobil, seguido de PetroChina, </w:t>
      </w:r>
      <w:r>
        <w:rPr>
          <w:rFonts w:ascii="Times New Roman" w:hAnsi="Times New Roman" w:cs="Times New Roman"/>
          <w:sz w:val="24"/>
          <w:szCs w:val="24"/>
        </w:rPr>
        <w:t>Wall Mart, ICBC y China Mobile.</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Este quinteto refleja el peso que entonces tenían las petroleras y las compañías chin</w:t>
      </w:r>
      <w:r>
        <w:rPr>
          <w:rFonts w:ascii="Times New Roman" w:hAnsi="Times New Roman" w:cs="Times New Roman"/>
          <w:sz w:val="24"/>
          <w:szCs w:val="24"/>
        </w:rPr>
        <w:t>as entre los líderes mundiales.</w:t>
      </w:r>
    </w:p>
    <w:p w:rsidR="009C2E92" w:rsidRPr="00B249A1" w:rsidRDefault="00704693" w:rsidP="009C2E92">
      <w:pPr>
        <w:spacing w:line="240" w:lineRule="auto"/>
        <w:jc w:val="both"/>
        <w:rPr>
          <w:rFonts w:ascii="Times New Roman" w:hAnsi="Times New Roman" w:cs="Times New Roman"/>
          <w:sz w:val="24"/>
          <w:szCs w:val="24"/>
        </w:rPr>
      </w:pPr>
      <w:r>
        <w:rPr>
          <w:rFonts w:ascii="Times New Roman" w:hAnsi="Times New Roman" w:cs="Times New Roman"/>
          <w:sz w:val="24"/>
          <w:szCs w:val="24"/>
        </w:rPr>
        <w:t>Desde entonces,</w:t>
      </w:r>
      <w:r w:rsidR="009C2E92" w:rsidRPr="00B249A1">
        <w:rPr>
          <w:rFonts w:ascii="Times New Roman" w:hAnsi="Times New Roman" w:cs="Times New Roman"/>
          <w:sz w:val="24"/>
          <w:szCs w:val="24"/>
        </w:rPr>
        <w:t xml:space="preserve"> hay tres grandes cambios. En primer lugar, Estados Unidos ha ganado fuerza, pues ahora las empresas norteamericanas copan los 12 primeros puestos de la lista. Todo ello en un contexto en el que las 57 firmas del país en la lista actual contrastan con las 42 de 2009. De hecho, desde aquel año, el S&amp;P 500, que agrupa a las mayores empresas de EEUU, ha escalado un 170%, frente al 91% del Stoxx Europe 600, que aglutina a las firmas más im</w:t>
      </w:r>
      <w:r w:rsidR="009C2E92">
        <w:rPr>
          <w:rFonts w:ascii="Times New Roman" w:hAnsi="Times New Roman" w:cs="Times New Roman"/>
          <w:sz w:val="24"/>
          <w:szCs w:val="24"/>
        </w:rPr>
        <w:t>portantes del Viejo Continente.</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En segundo lugar, y en relación directa con el punto anterior, los cambios de las cotizadas evidencian que China, pese a su auge, no ha</w:t>
      </w:r>
      <w:r>
        <w:rPr>
          <w:rFonts w:ascii="Times New Roman" w:hAnsi="Times New Roman" w:cs="Times New Roman"/>
          <w:sz w:val="24"/>
          <w:szCs w:val="24"/>
        </w:rPr>
        <w:t xml:space="preserve"> cogido el tren norteamericano.</w:t>
      </w:r>
    </w:p>
    <w:p w:rsidR="009C2E92" w:rsidRPr="00B249A1" w:rsidRDefault="00704693" w:rsidP="009C2E92">
      <w:pPr>
        <w:spacing w:line="240" w:lineRule="auto"/>
        <w:jc w:val="both"/>
        <w:rPr>
          <w:rFonts w:ascii="Times New Roman" w:hAnsi="Times New Roman" w:cs="Times New Roman"/>
          <w:sz w:val="24"/>
          <w:szCs w:val="24"/>
        </w:rPr>
      </w:pPr>
      <w:r>
        <w:rPr>
          <w:rFonts w:ascii="Times New Roman" w:hAnsi="Times New Roman" w:cs="Times New Roman"/>
          <w:sz w:val="24"/>
          <w:szCs w:val="24"/>
        </w:rPr>
        <w:t>De hecho, frente al ra</w:t>
      </w:r>
      <w:r w:rsidR="009C2E92" w:rsidRPr="00B249A1">
        <w:rPr>
          <w:rFonts w:ascii="Times New Roman" w:hAnsi="Times New Roman" w:cs="Times New Roman"/>
          <w:sz w:val="24"/>
          <w:szCs w:val="24"/>
        </w:rPr>
        <w:t>nking de la crisis, hay que descender hasta la decimotercera posición para encontrar en Alibaba a su primer representante (que además cotiza en Estados Unidos). Una muestra más: en 2017, hay 11 firmas chinas en la lista de las 100 grandes mayores com</w:t>
      </w:r>
      <w:r w:rsidR="009C2E92">
        <w:rPr>
          <w:rFonts w:ascii="Times New Roman" w:hAnsi="Times New Roman" w:cs="Times New Roman"/>
          <w:sz w:val="24"/>
          <w:szCs w:val="24"/>
        </w:rPr>
        <w:t>pañías, las mismas que en 2009.</w:t>
      </w:r>
    </w:p>
    <w:p w:rsidR="009C2E92"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 xml:space="preserve">Y en tercer lugar, y en sintonía con esa evolución de los índices en Bolsa, se muestra asimismo el escaso protagonismo de la eurozona, que ha pasado de tener 18 representantes a </w:t>
      </w:r>
      <w:r w:rsidRPr="00B249A1">
        <w:rPr>
          <w:rFonts w:ascii="Times New Roman" w:hAnsi="Times New Roman" w:cs="Times New Roman"/>
          <w:sz w:val="24"/>
          <w:szCs w:val="24"/>
        </w:rPr>
        <w:lastRenderedPageBreak/>
        <w:t>contar tan sólo con 11. Entonces, España contaba con Telefónica (en el puesto 34) y Banco Santander (en el 65) en ese top 100 de cotizadas. Hoy Telefónica está en la posición 196 y Santander, la 111.</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Estados Unidos</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Apple. Nadie duda del reinado de Apple. Menos conocido es que en 2009, cuando se notaban ya los coletazos de la crisis,</w:t>
      </w:r>
      <w:r w:rsidR="00704693">
        <w:rPr>
          <w:rFonts w:ascii="Times New Roman" w:hAnsi="Times New Roman" w:cs="Times New Roman"/>
          <w:sz w:val="24"/>
          <w:szCs w:val="24"/>
        </w:rPr>
        <w:t xml:space="preserve"> ocupaba la posición 33 en el ra</w:t>
      </w:r>
      <w:r w:rsidRPr="00B249A1">
        <w:rPr>
          <w:rFonts w:ascii="Times New Roman" w:hAnsi="Times New Roman" w:cs="Times New Roman"/>
          <w:sz w:val="24"/>
          <w:szCs w:val="24"/>
        </w:rPr>
        <w:t>nking de grandes firmas.</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Alphabet. Su caso es muy similar al de Apple. Hoy ocupa una indiscutible segunda posición, pero en 2009 había que descender hasta el puesto 22 para encontrar al rey de los buscadores.</w:t>
      </w:r>
    </w:p>
    <w:p w:rsidR="009C2E92"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Microsoft. La firma fundada por Bill Gates ha sido más estable. En la crisis, era la sexta mayor cotizada del planeta. Hoy, es la tercera.</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Zona del euro</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Royal Dutch. La firma holandesa es la primera representante de la zona del euro, al situarse en el puesto 22. Fuera del euro, le rebasan dos firmas suizas: Nestlé (en el 19) y Roche (en el 21).</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Total. La francesa se coloca en la posición 53, como avanzadilla de las cuatro fir</w:t>
      </w:r>
      <w:r w:rsidR="00704693">
        <w:rPr>
          <w:rFonts w:ascii="Times New Roman" w:hAnsi="Times New Roman" w:cs="Times New Roman"/>
          <w:sz w:val="24"/>
          <w:szCs w:val="24"/>
        </w:rPr>
        <w:t>mas galas que aparecen en el ra</w:t>
      </w:r>
      <w:r w:rsidRPr="00B249A1">
        <w:rPr>
          <w:rFonts w:ascii="Times New Roman" w:hAnsi="Times New Roman" w:cs="Times New Roman"/>
          <w:sz w:val="24"/>
          <w:szCs w:val="24"/>
        </w:rPr>
        <w:t>nking del centenar de mayores compañías del mundo.</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SAP Alemania es, junto a Francia, el país que tiene más embajadores dentro de la eurozona en la lista de las grandes cotizadas (tienen 4 cada una). SAP está en el puesto 56.</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Reino Unido</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HSBC. Reino Unido tiene el mayor número de representantes en Europa, tanto dentro como fuera de la zona del euro. El primer clasificado e</w:t>
      </w:r>
      <w:r w:rsidR="00704693">
        <w:rPr>
          <w:rFonts w:ascii="Times New Roman" w:hAnsi="Times New Roman" w:cs="Times New Roman"/>
          <w:sz w:val="24"/>
          <w:szCs w:val="24"/>
        </w:rPr>
        <w:t>s HSBC, que se define como una “sopa de letras geográfica”</w:t>
      </w:r>
      <w:r w:rsidRPr="00B249A1">
        <w:rPr>
          <w:rFonts w:ascii="Times New Roman" w:hAnsi="Times New Roman" w:cs="Times New Roman"/>
          <w:sz w:val="24"/>
          <w:szCs w:val="24"/>
        </w:rPr>
        <w:t>, pero tiene su sede en Londres.</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Unilever. El fabricante de consumo de marca y envasados copa el segundo puesto en Reino Unido.</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British American Tobacco. Es uno de las grandes representantes de la industria tabaquera, que copa cuatro puestos de la clasificación de las 100 mayores empresas por capitalización bursátil. Le acompañan Philip Morris, Altria y Reynolds.</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Asia</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 xml:space="preserve">Alibaba. Aunque cotiza en EEUU, la tecnológica es la primera gran embajadora de China: ocupa en decimotercer puesto, lo que le convierte en la primera firma que rompe </w:t>
      </w:r>
      <w:r w:rsidR="00DC73AB">
        <w:rPr>
          <w:rFonts w:ascii="Times New Roman" w:hAnsi="Times New Roman" w:cs="Times New Roman"/>
          <w:sz w:val="24"/>
          <w:szCs w:val="24"/>
        </w:rPr>
        <w:t>el poderío estadounidense del ra</w:t>
      </w:r>
      <w:r w:rsidRPr="00B249A1">
        <w:rPr>
          <w:rFonts w:ascii="Times New Roman" w:hAnsi="Times New Roman" w:cs="Times New Roman"/>
          <w:sz w:val="24"/>
          <w:szCs w:val="24"/>
        </w:rPr>
        <w:t>nking.</w:t>
      </w:r>
    </w:p>
    <w:p w:rsidR="009C2E92" w:rsidRPr="00B249A1" w:rsidRDefault="009C2E92" w:rsidP="009C2E92">
      <w:pPr>
        <w:spacing w:line="240" w:lineRule="auto"/>
        <w:jc w:val="both"/>
        <w:rPr>
          <w:rFonts w:ascii="Times New Roman" w:hAnsi="Times New Roman" w:cs="Times New Roman"/>
          <w:sz w:val="24"/>
          <w:szCs w:val="24"/>
        </w:rPr>
      </w:pPr>
      <w:r w:rsidRPr="00B249A1">
        <w:rPr>
          <w:rFonts w:ascii="Times New Roman" w:hAnsi="Times New Roman" w:cs="Times New Roman"/>
          <w:sz w:val="24"/>
          <w:szCs w:val="24"/>
        </w:rPr>
        <w:t>Tencent. Ha sido desbancada por Alibaba como la primera empresa china de la lista. Provee servicios de Internet y móviles.</w:t>
      </w:r>
    </w:p>
    <w:p w:rsidR="009C2E92" w:rsidRDefault="009C2E92" w:rsidP="009C2E92">
      <w:pPr>
        <w:spacing w:line="240" w:lineRule="auto"/>
        <w:jc w:val="both"/>
        <w:rPr>
          <w:rFonts w:ascii="Times New Roman" w:hAnsi="Times New Roman" w:cs="Times New Roman"/>
          <w:sz w:val="24"/>
          <w:szCs w:val="24"/>
        </w:rPr>
      </w:pPr>
      <w:r w:rsidRPr="009C2E92">
        <w:rPr>
          <w:rFonts w:ascii="Times New Roman" w:hAnsi="Times New Roman" w:cs="Times New Roman"/>
          <w:sz w:val="24"/>
          <w:szCs w:val="24"/>
        </w:rPr>
        <w:t xml:space="preserve">Industrial &amp; Commercial Bank of China. </w:t>
      </w:r>
      <w:r w:rsidRPr="00B249A1">
        <w:rPr>
          <w:rFonts w:ascii="Times New Roman" w:hAnsi="Times New Roman" w:cs="Times New Roman"/>
          <w:sz w:val="24"/>
          <w:szCs w:val="24"/>
        </w:rPr>
        <w:t>Supone otro de los hitos bursátiles, tanto por capitalización como por haber pasado a la historia como una de las grandes salidas a Bolsa.</w:t>
      </w:r>
    </w:p>
    <w:p w:rsidR="009C2E92" w:rsidRPr="00704693" w:rsidRDefault="009C2E92" w:rsidP="009C2E92">
      <w:pPr>
        <w:spacing w:before="100" w:beforeAutospacing="1" w:after="100" w:afterAutospacing="1" w:line="390" w:lineRule="atLeast"/>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Éstas son las 10 marcas más poderosas en 2017, de acuerdo con Brand Finance:</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lastRenderedPageBreak/>
        <w:t>Lego</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Google</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Nike</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Ferrari</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Visa</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Disney</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NBC</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PWC</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Johnson &amp; Johnson</w:t>
      </w:r>
    </w:p>
    <w:p w:rsidR="009C2E92" w:rsidRPr="00704693" w:rsidRDefault="009C2E92" w:rsidP="009C2E92">
      <w:pPr>
        <w:numPr>
          <w:ilvl w:val="0"/>
          <w:numId w:val="4"/>
        </w:numPr>
        <w:spacing w:after="180" w:line="360" w:lineRule="atLeast"/>
        <w:ind w:left="960"/>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McKinsey &amp; Company</w:t>
      </w:r>
    </w:p>
    <w:p w:rsidR="009C2E92" w:rsidRPr="00704693" w:rsidRDefault="009C2E92" w:rsidP="009C2E92">
      <w:pPr>
        <w:spacing w:after="180" w:line="240" w:lineRule="auto"/>
        <w:jc w:val="both"/>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 xml:space="preserve">El ranking de marcas más poderosas de Brand Finance se calcula en base a tres dimensiones. La primera es producto de una encuesta en la que los consumidores responden preguntas como las marcas que prefieren y su intención de comprarlas. Brand Finance pone estas respuestas en una métrica y le asigna el 50% de la puntuación de poder de la marca. La segunda dimensión mide la cantidad de dinero que las marcas gastan en marketing. Cuanto más gastan, más alto es su rango. La última parte analiza los márgenes de ganancia y los precios de una compañía. Una marca con un alto margen que implica un precio premium en su categoría tiene una buena puntuación en esta tercera área. Cada una de estas dos últimas dimensiones </w:t>
      </w:r>
      <w:r w:rsidR="00704693" w:rsidRPr="00704693">
        <w:rPr>
          <w:rFonts w:ascii="Times New Roman" w:eastAsia="Times New Roman" w:hAnsi="Times New Roman" w:cs="Times New Roman"/>
          <w:sz w:val="24"/>
          <w:szCs w:val="24"/>
          <w:lang w:eastAsia="es-ES"/>
        </w:rPr>
        <w:t>representa</w:t>
      </w:r>
      <w:r w:rsidRPr="00704693">
        <w:rPr>
          <w:rFonts w:ascii="Times New Roman" w:eastAsia="Times New Roman" w:hAnsi="Times New Roman" w:cs="Times New Roman"/>
          <w:sz w:val="24"/>
          <w:szCs w:val="24"/>
          <w:lang w:eastAsia="es-ES"/>
        </w:rPr>
        <w:t xml:space="preserve"> 25% de la puntuación final del poder de la marca.</w:t>
      </w:r>
    </w:p>
    <w:p w:rsidR="009C2E92" w:rsidRPr="00704693" w:rsidRDefault="009C2E92" w:rsidP="009C2E92">
      <w:pPr>
        <w:spacing w:after="180" w:line="240" w:lineRule="auto"/>
        <w:jc w:val="both"/>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 xml:space="preserve">Lego ha tenido durante mucho tiempo una marca fuerte. De acuerdo con el informe </w:t>
      </w:r>
      <w:r w:rsidR="00704693">
        <w:rPr>
          <w:rFonts w:ascii="Times New Roman" w:eastAsia="Times New Roman" w:hAnsi="Times New Roman" w:cs="Times New Roman"/>
          <w:sz w:val="24"/>
          <w:szCs w:val="24"/>
          <w:lang w:eastAsia="es-ES"/>
        </w:rPr>
        <w:t>Brand Finance publicado en febrero (2017)</w:t>
      </w:r>
      <w:r w:rsidRPr="00704693">
        <w:rPr>
          <w:rFonts w:ascii="Times New Roman" w:eastAsia="Times New Roman" w:hAnsi="Times New Roman" w:cs="Times New Roman"/>
          <w:sz w:val="24"/>
          <w:szCs w:val="24"/>
          <w:lang w:eastAsia="es-ES"/>
        </w:rPr>
        <w:t>, “El atractivo de Lego abarca generaciones; así como a los niños les da libertad creativa, la marca apela a la nostalgia de los adultos”. Lego también ha evitado el marketing de género, lo que le ha ganado una amplia base de clientes. En 2015, después de que The Lego Movie alcanzara un éxito comercial y crítico, Lego superó la poderosa lista de marcas de Brand Finance. Fue desplazada durante un año por Disney, pero desde entonces ha recuperado el lu</w:t>
      </w:r>
      <w:r w:rsidR="00704693">
        <w:rPr>
          <w:rFonts w:ascii="Times New Roman" w:eastAsia="Times New Roman" w:hAnsi="Times New Roman" w:cs="Times New Roman"/>
          <w:sz w:val="24"/>
          <w:szCs w:val="24"/>
          <w:lang w:eastAsia="es-ES"/>
        </w:rPr>
        <w:t>gar número uno. A principio de febrero</w:t>
      </w:r>
      <w:r w:rsidRPr="00704693">
        <w:rPr>
          <w:rFonts w:ascii="Times New Roman" w:eastAsia="Times New Roman" w:hAnsi="Times New Roman" w:cs="Times New Roman"/>
          <w:sz w:val="24"/>
          <w:szCs w:val="24"/>
          <w:lang w:eastAsia="es-ES"/>
        </w:rPr>
        <w:t>, Lego lanzó una secuela de The Lego Movie, y sus ventas de taquilla superaron a todas las demás películas de Estados Unidos. Brand Finance espera que esta película impulse aún más la marca Lego.</w:t>
      </w:r>
    </w:p>
    <w:p w:rsidR="009C2E92" w:rsidRPr="00704693" w:rsidRDefault="009C2E92" w:rsidP="009C2E92">
      <w:pPr>
        <w:spacing w:after="180" w:line="240" w:lineRule="auto"/>
        <w:jc w:val="both"/>
        <w:rPr>
          <w:rFonts w:ascii="Times New Roman" w:eastAsia="Times New Roman" w:hAnsi="Times New Roman" w:cs="Times New Roman"/>
          <w:sz w:val="24"/>
          <w:szCs w:val="24"/>
          <w:lang w:eastAsia="es-ES"/>
        </w:rPr>
      </w:pPr>
      <w:r w:rsidRPr="00704693">
        <w:rPr>
          <w:rFonts w:ascii="Times New Roman" w:eastAsia="Times New Roman" w:hAnsi="Times New Roman" w:cs="Times New Roman"/>
          <w:sz w:val="24"/>
          <w:szCs w:val="24"/>
          <w:lang w:eastAsia="es-ES"/>
        </w:rPr>
        <w:t>Google fue nombrada la segunda marca más potente. Sigue siendo, por mucho, líder de la categoría en su negocio de búsquedas en internet. Este año Google también se convirtió en la marca más valiosa del mundo, enviando a Apple al segundo lugar. Brand Finance calcula el valor total de l</w:t>
      </w:r>
      <w:r w:rsidR="002531E2">
        <w:rPr>
          <w:rFonts w:ascii="Times New Roman" w:eastAsia="Times New Roman" w:hAnsi="Times New Roman" w:cs="Times New Roman"/>
          <w:sz w:val="24"/>
          <w:szCs w:val="24"/>
          <w:lang w:eastAsia="es-ES"/>
        </w:rPr>
        <w:t>a marca Google en 109.</w:t>
      </w:r>
      <w:r w:rsidRPr="00704693">
        <w:rPr>
          <w:rFonts w:ascii="Times New Roman" w:eastAsia="Times New Roman" w:hAnsi="Times New Roman" w:cs="Times New Roman"/>
          <w:sz w:val="24"/>
          <w:szCs w:val="24"/>
          <w:lang w:eastAsia="es-ES"/>
        </w:rPr>
        <w:t>000 millones de dólares.</w:t>
      </w:r>
    </w:p>
    <w:p w:rsidR="009C2E92" w:rsidRDefault="009C2E92" w:rsidP="009C2E92">
      <w:pPr>
        <w:spacing w:after="180" w:line="240" w:lineRule="auto"/>
        <w:jc w:val="both"/>
        <w:rPr>
          <w:rFonts w:ascii="Times New Roman" w:hAnsi="Times New Roman" w:cs="Times New Roman"/>
          <w:b/>
          <w:sz w:val="24"/>
          <w:szCs w:val="24"/>
        </w:rPr>
      </w:pPr>
      <w:r w:rsidRPr="00704693">
        <w:rPr>
          <w:rFonts w:ascii="Times New Roman" w:eastAsia="Times New Roman" w:hAnsi="Times New Roman" w:cs="Times New Roman"/>
          <w:sz w:val="24"/>
          <w:szCs w:val="24"/>
          <w:lang w:eastAsia="es-ES"/>
        </w:rPr>
        <w:t>Visa ocupó el quinto lugar. Según el portavoz de Brand Finance, David Haigh, el cambio en el mercado de pagos ha sido una bendición para Visa, y la compañía está bien posicionada mientras avanzamos hacia una sociedad sin dinero en efectivo. (</w:t>
      </w:r>
      <w:r w:rsidRPr="00704693">
        <w:rPr>
          <w:rFonts w:ascii="Times New Roman" w:hAnsi="Times New Roman" w:cs="Times New Roman"/>
          <w:sz w:val="24"/>
          <w:szCs w:val="24"/>
        </w:rPr>
        <w:t xml:space="preserve">Fuente: Forbes - </w:t>
      </w:r>
      <w:r w:rsidRPr="00704693">
        <w:rPr>
          <w:rFonts w:ascii="Times New Roman" w:hAnsi="Times New Roman" w:cs="Times New Roman"/>
          <w:b/>
          <w:sz w:val="24"/>
          <w:szCs w:val="24"/>
        </w:rPr>
        <w:t>14/2/17)</w:t>
      </w:r>
    </w:p>
    <w:p w:rsidR="00B978EF" w:rsidRDefault="00B978EF" w:rsidP="009C2E92">
      <w:pPr>
        <w:spacing w:after="180" w:line="240" w:lineRule="auto"/>
        <w:jc w:val="both"/>
        <w:rPr>
          <w:rFonts w:ascii="Times New Roman" w:hAnsi="Times New Roman" w:cs="Times New Roman"/>
          <w:b/>
          <w:sz w:val="24"/>
          <w:szCs w:val="24"/>
        </w:rPr>
      </w:pPr>
    </w:p>
    <w:p w:rsidR="00B978EF" w:rsidRDefault="00B978EF" w:rsidP="009C2E92">
      <w:pPr>
        <w:spacing w:after="180" w:line="240" w:lineRule="auto"/>
        <w:jc w:val="both"/>
        <w:rPr>
          <w:rFonts w:ascii="Times New Roman" w:hAnsi="Times New Roman" w:cs="Times New Roman"/>
          <w:b/>
          <w:sz w:val="24"/>
          <w:szCs w:val="24"/>
        </w:rPr>
      </w:pPr>
    </w:p>
    <w:p w:rsidR="00AF7EFD" w:rsidRDefault="00AF7EFD" w:rsidP="009C2E92">
      <w:pPr>
        <w:spacing w:after="180" w:line="240" w:lineRule="auto"/>
        <w:jc w:val="both"/>
        <w:rPr>
          <w:rFonts w:ascii="Times New Roman" w:hAnsi="Times New Roman" w:cs="Times New Roman"/>
          <w:b/>
          <w:sz w:val="24"/>
          <w:szCs w:val="24"/>
        </w:rPr>
        <w:sectPr w:rsidR="00AF7EFD">
          <w:pgSz w:w="11906" w:h="16838"/>
          <w:pgMar w:top="1440" w:right="1440" w:bottom="1440" w:left="1440" w:header="708" w:footer="708" w:gutter="0"/>
          <w:cols w:space="708"/>
          <w:docGrid w:linePitch="360"/>
        </w:sectPr>
      </w:pPr>
    </w:p>
    <w:p w:rsidR="00AF7EFD" w:rsidRDefault="00AF7EFD" w:rsidP="009C2E92">
      <w:pPr>
        <w:spacing w:after="18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Last minute (12/9/17): El “estado de la deuda”</w:t>
      </w:r>
    </w:p>
    <w:p w:rsidR="00AF7EFD" w:rsidRDefault="00AF7EFD" w:rsidP="009C2E92">
      <w:pPr>
        <w:spacing w:after="180" w:line="240" w:lineRule="auto"/>
        <w:jc w:val="both"/>
        <w:rPr>
          <w:rFonts w:ascii="Times New Roman" w:hAnsi="Times New Roman" w:cs="Times New Roman"/>
          <w:b/>
          <w:sz w:val="24"/>
          <w:szCs w:val="24"/>
        </w:rPr>
      </w:pPr>
    </w:p>
    <w:p w:rsidR="00B978EF" w:rsidRDefault="00B978EF" w:rsidP="009C2E92">
      <w:pPr>
        <w:spacing w:after="180" w:line="240" w:lineRule="auto"/>
        <w:jc w:val="both"/>
        <w:rPr>
          <w:rFonts w:ascii="Times New Roman" w:hAnsi="Times New Roman" w:cs="Times New Roman"/>
          <w:b/>
          <w:sz w:val="24"/>
          <w:szCs w:val="24"/>
        </w:rPr>
      </w:pPr>
      <w:r>
        <w:rPr>
          <w:noProof/>
          <w:lang w:eastAsia="es-ES"/>
        </w:rPr>
        <w:drawing>
          <wp:inline distT="0" distB="0" distL="0" distR="0" wp14:anchorId="1DD367F4" wp14:editId="5247B170">
            <wp:extent cx="7035800" cy="4406900"/>
            <wp:effectExtent l="0" t="0" r="0" b="0"/>
            <wp:docPr id="34" name="Imagen 34" descr="Foto:  Fuente: BBVA Research y BIS. / Fuente: BBVA Research &amp;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Fuente: BBVA Research y BIS. / Fuente: BBVA Research &amp; FMI."/>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040369" cy="4409762"/>
                    </a:xfrm>
                    <a:prstGeom prst="rect">
                      <a:avLst/>
                    </a:prstGeom>
                    <a:noFill/>
                    <a:ln>
                      <a:noFill/>
                    </a:ln>
                  </pic:spPr>
                </pic:pic>
              </a:graphicData>
            </a:graphic>
          </wp:inline>
        </w:drawing>
      </w:r>
    </w:p>
    <w:p w:rsidR="00B978EF" w:rsidRDefault="00B978EF" w:rsidP="009C2E92">
      <w:pPr>
        <w:spacing w:after="180" w:line="240" w:lineRule="auto"/>
        <w:jc w:val="both"/>
        <w:rPr>
          <w:rFonts w:ascii="Times New Roman" w:hAnsi="Times New Roman" w:cs="Times New Roman"/>
          <w:b/>
          <w:sz w:val="24"/>
          <w:szCs w:val="24"/>
        </w:rPr>
      </w:pPr>
    </w:p>
    <w:p w:rsidR="00AF7EFD" w:rsidRPr="00003053" w:rsidRDefault="00AF7EFD" w:rsidP="00AF7EFD">
      <w:pPr>
        <w:spacing w:after="180" w:line="240" w:lineRule="auto"/>
        <w:jc w:val="both"/>
        <w:rPr>
          <w:rFonts w:ascii="Times New Roman" w:hAnsi="Times New Roman" w:cs="Times New Roman"/>
          <w:color w:val="1A1A1A"/>
          <w:sz w:val="24"/>
          <w:szCs w:val="24"/>
          <w:shd w:val="clear" w:color="auto" w:fill="FFFFFF"/>
        </w:rPr>
      </w:pPr>
      <w:r w:rsidRPr="00003053">
        <w:rPr>
          <w:rFonts w:ascii="Times New Roman" w:hAnsi="Times New Roman" w:cs="Times New Roman"/>
          <w:color w:val="1A1A1A"/>
          <w:sz w:val="24"/>
          <w:szCs w:val="24"/>
          <w:shd w:val="clear" w:color="auto" w:fill="FFFFFF"/>
        </w:rPr>
        <w:t>Fuente: BBVA Research y BIS. / Fuente: BBVA Research &amp; FMI.</w:t>
      </w:r>
    </w:p>
    <w:p w:rsidR="00AF7EFD" w:rsidRDefault="00AF7EFD" w:rsidP="009C2E92">
      <w:pPr>
        <w:spacing w:after="180" w:line="240" w:lineRule="auto"/>
        <w:jc w:val="both"/>
        <w:rPr>
          <w:rFonts w:ascii="Times New Roman" w:hAnsi="Times New Roman" w:cs="Times New Roman"/>
          <w:b/>
          <w:sz w:val="24"/>
          <w:szCs w:val="24"/>
        </w:rPr>
        <w:sectPr w:rsidR="00AF7EFD" w:rsidSect="00B978EF">
          <w:pgSz w:w="16838" w:h="11906" w:orient="landscape"/>
          <w:pgMar w:top="1440" w:right="1440" w:bottom="1440" w:left="1440" w:header="709" w:footer="709" w:gutter="0"/>
          <w:cols w:space="708"/>
          <w:docGrid w:linePitch="360"/>
        </w:sectPr>
      </w:pPr>
    </w:p>
    <w:p w:rsidR="00704693" w:rsidRDefault="00704693" w:rsidP="00704693">
      <w:pPr>
        <w:spacing w:after="18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04693">
        <w:rPr>
          <w:rFonts w:ascii="Times New Roman" w:hAnsi="Times New Roman" w:cs="Times New Roman"/>
          <w:sz w:val="24"/>
          <w:szCs w:val="24"/>
        </w:rPr>
        <w:t>Un Uber para casi todo</w:t>
      </w:r>
      <w:r>
        <w:rPr>
          <w:rFonts w:ascii="Times New Roman" w:hAnsi="Times New Roman" w:cs="Times New Roman"/>
          <w:sz w:val="24"/>
          <w:szCs w:val="24"/>
        </w:rPr>
        <w:t xml:space="preserve"> (y las delicias de la “gig economía”</w:t>
      </w:r>
      <w:r w:rsidR="00F201EB">
        <w:rPr>
          <w:rFonts w:ascii="Times New Roman" w:hAnsi="Times New Roman" w:cs="Times New Roman"/>
          <w:sz w:val="24"/>
          <w:szCs w:val="24"/>
        </w:rPr>
        <w:t>)</w:t>
      </w:r>
    </w:p>
    <w:p w:rsidR="00704693" w:rsidRPr="001111E7" w:rsidRDefault="00F201EB" w:rsidP="00704693">
      <w:pPr>
        <w:spacing w:line="240" w:lineRule="auto"/>
        <w:jc w:val="both"/>
        <w:rPr>
          <w:rFonts w:ascii="Times New Roman" w:hAnsi="Times New Roman" w:cs="Times New Roman"/>
          <w:sz w:val="24"/>
          <w:szCs w:val="24"/>
        </w:rPr>
      </w:pPr>
      <w:r>
        <w:rPr>
          <w:rFonts w:ascii="Times New Roman" w:hAnsi="Times New Roman" w:cs="Times New Roman"/>
          <w:sz w:val="24"/>
          <w:szCs w:val="24"/>
        </w:rPr>
        <w:t>Digamos que está</w:t>
      </w:r>
      <w:r w:rsidR="00704693" w:rsidRPr="001111E7">
        <w:rPr>
          <w:rFonts w:ascii="Times New Roman" w:hAnsi="Times New Roman" w:cs="Times New Roman"/>
          <w:sz w:val="24"/>
          <w:szCs w:val="24"/>
        </w:rPr>
        <w:t xml:space="preserve"> sin empleo. Y que ve una oportunidad en trabajar </w:t>
      </w:r>
      <w:r>
        <w:rPr>
          <w:rFonts w:ascii="Times New Roman" w:hAnsi="Times New Roman" w:cs="Times New Roman"/>
          <w:sz w:val="24"/>
          <w:szCs w:val="24"/>
        </w:rPr>
        <w:t>con Uber llevando pasajeros en su automóvil. También puede arrendar s</w:t>
      </w:r>
      <w:r w:rsidR="00704693" w:rsidRPr="001111E7">
        <w:rPr>
          <w:rFonts w:ascii="Times New Roman" w:hAnsi="Times New Roman" w:cs="Times New Roman"/>
          <w:sz w:val="24"/>
          <w:szCs w:val="24"/>
        </w:rPr>
        <w:t>u departamento a través de la plataforma digit</w:t>
      </w:r>
      <w:r>
        <w:rPr>
          <w:rFonts w:ascii="Times New Roman" w:hAnsi="Times New Roman" w:cs="Times New Roman"/>
          <w:sz w:val="24"/>
          <w:szCs w:val="24"/>
        </w:rPr>
        <w:t>al Airbnb. Y vender algunas de s</w:t>
      </w:r>
      <w:r w:rsidR="00704693" w:rsidRPr="001111E7">
        <w:rPr>
          <w:rFonts w:ascii="Times New Roman" w:hAnsi="Times New Roman" w:cs="Times New Roman"/>
          <w:sz w:val="24"/>
          <w:szCs w:val="24"/>
        </w:rPr>
        <w:t>us cosas en Facebook sin in</w:t>
      </w:r>
      <w:r>
        <w:rPr>
          <w:rFonts w:ascii="Times New Roman" w:hAnsi="Times New Roman" w:cs="Times New Roman"/>
          <w:sz w:val="24"/>
          <w:szCs w:val="24"/>
        </w:rPr>
        <w:t>termediarios; y quizás ofrecer s</w:t>
      </w:r>
      <w:r w:rsidR="00704693" w:rsidRPr="001111E7">
        <w:rPr>
          <w:rFonts w:ascii="Times New Roman" w:hAnsi="Times New Roman" w:cs="Times New Roman"/>
          <w:sz w:val="24"/>
          <w:szCs w:val="24"/>
        </w:rPr>
        <w:t>us servicios profesionales por algunas horas.</w:t>
      </w:r>
    </w:p>
    <w:p w:rsidR="00704693" w:rsidRPr="001111E7" w:rsidRDefault="00F201EB" w:rsidP="00704693">
      <w:pPr>
        <w:spacing w:line="240" w:lineRule="auto"/>
        <w:jc w:val="both"/>
        <w:rPr>
          <w:rFonts w:ascii="Times New Roman" w:hAnsi="Times New Roman" w:cs="Times New Roman"/>
          <w:sz w:val="24"/>
          <w:szCs w:val="24"/>
        </w:rPr>
      </w:pPr>
      <w:r>
        <w:rPr>
          <w:rFonts w:ascii="Times New Roman" w:hAnsi="Times New Roman" w:cs="Times New Roman"/>
          <w:sz w:val="24"/>
          <w:szCs w:val="24"/>
        </w:rPr>
        <w:t>Al final del mes se hace</w:t>
      </w:r>
      <w:r w:rsidR="00704693" w:rsidRPr="001111E7">
        <w:rPr>
          <w:rFonts w:ascii="Times New Roman" w:hAnsi="Times New Roman" w:cs="Times New Roman"/>
          <w:sz w:val="24"/>
          <w:szCs w:val="24"/>
        </w:rPr>
        <w:t xml:space="preserve"> un sueldo y entonces la</w:t>
      </w:r>
      <w:r>
        <w:rPr>
          <w:rFonts w:ascii="Times New Roman" w:hAnsi="Times New Roman" w:cs="Times New Roman"/>
          <w:sz w:val="24"/>
          <w:szCs w:val="24"/>
        </w:rPr>
        <w:t xml:space="preserve"> combinación de estas opciones l</w:t>
      </w:r>
      <w:r w:rsidR="00704693" w:rsidRPr="001111E7">
        <w:rPr>
          <w:rFonts w:ascii="Times New Roman" w:hAnsi="Times New Roman" w:cs="Times New Roman"/>
          <w:sz w:val="24"/>
          <w:szCs w:val="24"/>
        </w:rPr>
        <w:t>e permite</w:t>
      </w:r>
      <w:r>
        <w:rPr>
          <w:rFonts w:ascii="Times New Roman" w:hAnsi="Times New Roman" w:cs="Times New Roman"/>
          <w:sz w:val="24"/>
          <w:szCs w:val="24"/>
        </w:rPr>
        <w:t xml:space="preserve"> vivir sin tener un empleador. S</w:t>
      </w:r>
      <w:r w:rsidR="00704693" w:rsidRPr="001111E7">
        <w:rPr>
          <w:rFonts w:ascii="Times New Roman" w:hAnsi="Times New Roman" w:cs="Times New Roman"/>
          <w:sz w:val="24"/>
          <w:szCs w:val="24"/>
        </w:rPr>
        <w:t>e conectas directamente con</w:t>
      </w:r>
      <w:r>
        <w:rPr>
          <w:rFonts w:ascii="Times New Roman" w:hAnsi="Times New Roman" w:cs="Times New Roman"/>
          <w:sz w:val="24"/>
          <w:szCs w:val="24"/>
        </w:rPr>
        <w:t xml:space="preserve"> otros usuarios en Internet. Es libre, es s</w:t>
      </w:r>
      <w:r w:rsidR="00704693" w:rsidRPr="001111E7">
        <w:rPr>
          <w:rFonts w:ascii="Times New Roman" w:hAnsi="Times New Roman" w:cs="Times New Roman"/>
          <w:sz w:val="24"/>
          <w:szCs w:val="24"/>
        </w:rPr>
        <w:t>u propio jefe.</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Suena muy bien, qu</w:t>
      </w:r>
      <w:r w:rsidR="00F201EB">
        <w:rPr>
          <w:rFonts w:ascii="Times New Roman" w:hAnsi="Times New Roman" w:cs="Times New Roman"/>
          <w:sz w:val="24"/>
          <w:szCs w:val="24"/>
        </w:rPr>
        <w:t>izás, pero no tiene protección social ni está ahorrando para su jubilación. S</w:t>
      </w:r>
      <w:r w:rsidRPr="001111E7">
        <w:rPr>
          <w:rFonts w:ascii="Times New Roman" w:hAnsi="Times New Roman" w:cs="Times New Roman"/>
          <w:sz w:val="24"/>
          <w:szCs w:val="24"/>
        </w:rPr>
        <w:t xml:space="preserve">e enfermas y el asunto se complica. </w:t>
      </w:r>
      <w:r w:rsidR="00F201EB">
        <w:rPr>
          <w:rFonts w:ascii="Times New Roman" w:hAnsi="Times New Roman" w:cs="Times New Roman"/>
          <w:sz w:val="24"/>
          <w:szCs w:val="24"/>
        </w:rPr>
        <w:t>Vacaciones pagadas, ni lo sueñe</w:t>
      </w:r>
      <w:r w:rsidRPr="001111E7">
        <w:rPr>
          <w:rFonts w:ascii="Times New Roman" w:hAnsi="Times New Roman" w:cs="Times New Roman"/>
          <w:sz w:val="24"/>
          <w:szCs w:val="24"/>
        </w:rPr>
        <w:t>. Lo que sonaba perfecto, parece que no lo es tanto.</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Esa es una cara de la moneda. La otra, es la de los profesionales altamente calificados que trabajan de manera independiente para varias compañías, organizan su tiempo y desarrollan habilidades que les permiten insertarse en distintos equipos de trabajo.</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Muchos son emprendedores, pueden trabajar desde la casa o el avión y generan ingresos superiores a los que podrían conseguir en un trabajo fijo con un solo empleador. Se mueven en el mundo digital como peces en el agua y nunca dejan de estudiar.</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 xml:space="preserve">Los dos perfiles forman parte de la </w:t>
      </w:r>
      <w:r w:rsidR="00F201EB">
        <w:rPr>
          <w:rFonts w:ascii="Times New Roman" w:hAnsi="Times New Roman" w:cs="Times New Roman"/>
          <w:sz w:val="24"/>
          <w:szCs w:val="24"/>
        </w:rPr>
        <w:t>“</w:t>
      </w:r>
      <w:r w:rsidRPr="001111E7">
        <w:rPr>
          <w:rFonts w:ascii="Times New Roman" w:hAnsi="Times New Roman" w:cs="Times New Roman"/>
          <w:sz w:val="24"/>
          <w:szCs w:val="24"/>
        </w:rPr>
        <w:t>economía gig</w:t>
      </w:r>
      <w:r w:rsidR="00F201EB">
        <w:rPr>
          <w:rFonts w:ascii="Times New Roman" w:hAnsi="Times New Roman" w:cs="Times New Roman"/>
          <w:sz w:val="24"/>
          <w:szCs w:val="24"/>
        </w:rPr>
        <w:t>”</w:t>
      </w:r>
      <w:r w:rsidRPr="001111E7">
        <w:rPr>
          <w:rFonts w:ascii="Times New Roman" w:hAnsi="Times New Roman" w:cs="Times New Roman"/>
          <w:sz w:val="24"/>
          <w:szCs w:val="24"/>
        </w:rPr>
        <w:t xml:space="preserve">, también conocida como </w:t>
      </w:r>
      <w:r w:rsidR="00F201EB">
        <w:rPr>
          <w:rFonts w:ascii="Times New Roman" w:hAnsi="Times New Roman" w:cs="Times New Roman"/>
          <w:sz w:val="24"/>
          <w:szCs w:val="24"/>
        </w:rPr>
        <w:t>“</w:t>
      </w:r>
      <w:r w:rsidRPr="001111E7">
        <w:rPr>
          <w:rFonts w:ascii="Times New Roman" w:hAnsi="Times New Roman" w:cs="Times New Roman"/>
          <w:sz w:val="24"/>
          <w:szCs w:val="24"/>
        </w:rPr>
        <w:t>economía colaborativa</w:t>
      </w:r>
      <w:r w:rsidR="00F201EB">
        <w:rPr>
          <w:rFonts w:ascii="Times New Roman" w:hAnsi="Times New Roman" w:cs="Times New Roman"/>
          <w:sz w:val="24"/>
          <w:szCs w:val="24"/>
        </w:rPr>
        <w:t>”</w:t>
      </w:r>
      <w:r w:rsidRPr="001111E7">
        <w:rPr>
          <w:rFonts w:ascii="Times New Roman" w:hAnsi="Times New Roman" w:cs="Times New Roman"/>
          <w:sz w:val="24"/>
          <w:szCs w:val="24"/>
        </w:rPr>
        <w:t xml:space="preserve">, o economía de los </w:t>
      </w:r>
      <w:r w:rsidR="00F201EB">
        <w:rPr>
          <w:rFonts w:ascii="Times New Roman" w:hAnsi="Times New Roman" w:cs="Times New Roman"/>
          <w:sz w:val="24"/>
          <w:szCs w:val="24"/>
        </w:rPr>
        <w:t>“</w:t>
      </w:r>
      <w:r w:rsidRPr="001111E7">
        <w:rPr>
          <w:rFonts w:ascii="Times New Roman" w:hAnsi="Times New Roman" w:cs="Times New Roman"/>
          <w:sz w:val="24"/>
          <w:szCs w:val="24"/>
        </w:rPr>
        <w:t>freelance</w:t>
      </w:r>
      <w:r w:rsidR="00F201EB">
        <w:rPr>
          <w:rFonts w:ascii="Times New Roman" w:hAnsi="Times New Roman" w:cs="Times New Roman"/>
          <w:sz w:val="24"/>
          <w:szCs w:val="24"/>
        </w:rPr>
        <w:t>”</w:t>
      </w:r>
      <w:r w:rsidRPr="001111E7">
        <w:rPr>
          <w:rFonts w:ascii="Times New Roman" w:hAnsi="Times New Roman" w:cs="Times New Roman"/>
          <w:sz w:val="24"/>
          <w:szCs w:val="24"/>
        </w:rPr>
        <w:t>, que ha generado una gran cantidad de empleos en la última década.</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Crece en la medida que se crean nuevos desarrollos tecnológicos que generan plataformas para que los usuarios intercambien bienes y servicios al margen de las empresas tradicionales.</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¿Independencia o precariedad del empleo?</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El nombre gig proviene, según una de las versiones más difundidas, de la época en que los músicos de jazz se ganaban la vida con el dinero recibido en cada presentación. Algo que persiste hasta el día de hoy en el mundo artístico y que se ha hecho extensivo al resto de los sectores laborales.</w:t>
      </w:r>
      <w:r w:rsidR="00442FA0">
        <w:rPr>
          <w:rFonts w:ascii="Times New Roman" w:hAnsi="Times New Roman" w:cs="Times New Roman"/>
          <w:sz w:val="24"/>
          <w:szCs w:val="24"/>
        </w:rPr>
        <w:t xml:space="preserve"> (</w:t>
      </w:r>
      <w:r w:rsidR="00442FA0" w:rsidRPr="00442FA0">
        <w:rPr>
          <w:rFonts w:ascii="Times New Roman" w:hAnsi="Times New Roman" w:cs="Times New Roman"/>
          <w:sz w:val="24"/>
          <w:szCs w:val="24"/>
        </w:rPr>
        <w:t xml:space="preserve">Qué es la “economía gig”, por qué está creciendo tan rápido y cuáles son sus riesgos </w:t>
      </w:r>
      <w:r w:rsidR="00442FA0">
        <w:rPr>
          <w:rFonts w:ascii="Times New Roman" w:hAnsi="Times New Roman" w:cs="Times New Roman"/>
          <w:sz w:val="24"/>
          <w:szCs w:val="24"/>
        </w:rPr>
        <w:t xml:space="preserve">- BBCMundo - </w:t>
      </w:r>
      <w:r w:rsidR="00442FA0" w:rsidRPr="001111E7">
        <w:rPr>
          <w:rFonts w:ascii="Times New Roman" w:hAnsi="Times New Roman" w:cs="Times New Roman"/>
          <w:b/>
          <w:sz w:val="24"/>
          <w:szCs w:val="24"/>
        </w:rPr>
        <w:t>6/9/17</w:t>
      </w:r>
      <w:r w:rsidR="00442FA0">
        <w:rPr>
          <w:rFonts w:ascii="Times New Roman" w:hAnsi="Times New Roman" w:cs="Times New Roman"/>
          <w:sz w:val="24"/>
          <w:szCs w:val="24"/>
        </w:rPr>
        <w:t>)</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Este modelo de trabajo le ha dado buenos resultados a los innovadores tecnológicos que, con sus start-ups, crean las plataformas necesarias para el intercambio colaborativo, operando con mínimos costos y convirtiéndose en mediadores dominantes de un sector, lo cual les permite quedarse con un porcentaje de cada transacción.</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Un estudio de la consultora McKinsey arrojó que un 27% de los trabajadores en Estados Unidos y Europa forma parte de esta tendencia.</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En el caso de Estados Unidos, una encuesta realizada por el Sindicato de Freelancers y la organización Upwork detectó 55 millones de personas que trabajan por cuenta propia. Pero no sólo eso. Dos tercios de los encuestados dijeron que eran independientes porque no tenían otra opción.</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Una visión distinta del fenómeno tiene Diane Mulcahy, investigadora que recientemente publicó un libro sobre la economía gig en Estados Unidos.</w:t>
      </w:r>
    </w:p>
    <w:p w:rsidR="00704693" w:rsidRPr="001111E7" w:rsidRDefault="00442FA0" w:rsidP="0070469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704693" w:rsidRPr="001111E7">
        <w:rPr>
          <w:rFonts w:ascii="Times New Roman" w:hAnsi="Times New Roman" w:cs="Times New Roman"/>
          <w:sz w:val="24"/>
          <w:szCs w:val="24"/>
        </w:rPr>
        <w:t xml:space="preserve">Muchos trabajadores independientes eligen esta forma de empleo porque valoran su autonomía, el control que tienen sobre su trabajo y </w:t>
      </w:r>
      <w:r>
        <w:rPr>
          <w:rFonts w:ascii="Times New Roman" w:hAnsi="Times New Roman" w:cs="Times New Roman"/>
          <w:sz w:val="24"/>
          <w:szCs w:val="24"/>
        </w:rPr>
        <w:t>la flexibilidad que les entrega”</w:t>
      </w:r>
      <w:r w:rsidR="00704693" w:rsidRPr="001111E7">
        <w:rPr>
          <w:rFonts w:ascii="Times New Roman" w:hAnsi="Times New Roman" w:cs="Times New Roman"/>
          <w:sz w:val="24"/>
          <w:szCs w:val="24"/>
        </w:rPr>
        <w:t>, dijo Mulcahy.</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Sus investigaciones sobre el tema muestran que el fenómeno no se reduce a los conductores de Uber. Su análisis plantea que se trata de un cambio sustancial en el mundo del trabajo.</w:t>
      </w:r>
    </w:p>
    <w:p w:rsidR="00704693" w:rsidRPr="001111E7" w:rsidRDefault="00442FA0" w:rsidP="0070469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04693" w:rsidRPr="001111E7">
        <w:rPr>
          <w:rFonts w:ascii="Times New Roman" w:hAnsi="Times New Roman" w:cs="Times New Roman"/>
          <w:sz w:val="24"/>
          <w:szCs w:val="24"/>
        </w:rPr>
        <w:t xml:space="preserve">Hay plataformas disponibles para el trabajo de codificadores, doctores, abogados, diseñadores gráficos y muchos otros profesionales. La economía gig cruza todas las industrias, </w:t>
      </w:r>
      <w:r>
        <w:rPr>
          <w:rFonts w:ascii="Times New Roman" w:hAnsi="Times New Roman" w:cs="Times New Roman"/>
          <w:sz w:val="24"/>
          <w:szCs w:val="24"/>
        </w:rPr>
        <w:t>salarios y niveles de educación”</w:t>
      </w:r>
      <w:r w:rsidR="00704693" w:rsidRPr="001111E7">
        <w:rPr>
          <w:rFonts w:ascii="Times New Roman" w:hAnsi="Times New Roman" w:cs="Times New Roman"/>
          <w:sz w:val="24"/>
          <w:szCs w:val="24"/>
        </w:rPr>
        <w:t>, dijo Mulcahy.</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El concepto gig pareciera ser tan amplio que en él cabe un desempleado que busca una opción para sobrevivir, un empleado que busca ocasionalmente una segunda fuente de ingresos o un joven profesional de Silicon Valley que desarrolla proyectos creativos.</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Según César Buenadicha, especialista líder del Fondo de Inversiones del Banco Interamericano de Desarrollo (FOMIN), la economía colaborativa a nivel mundial crecerá desde US$</w:t>
      </w:r>
      <w:r w:rsidR="00442FA0">
        <w:rPr>
          <w:rFonts w:ascii="Times New Roman" w:hAnsi="Times New Roman" w:cs="Times New Roman"/>
          <w:sz w:val="24"/>
          <w:szCs w:val="24"/>
        </w:rPr>
        <w:t xml:space="preserve"> </w:t>
      </w:r>
      <w:r w:rsidRPr="001111E7">
        <w:rPr>
          <w:rFonts w:ascii="Times New Roman" w:hAnsi="Times New Roman" w:cs="Times New Roman"/>
          <w:sz w:val="24"/>
          <w:szCs w:val="24"/>
        </w:rPr>
        <w:t>14 mil millones en el 2014 a US$</w:t>
      </w:r>
      <w:r w:rsidR="00442FA0">
        <w:rPr>
          <w:rFonts w:ascii="Times New Roman" w:hAnsi="Times New Roman" w:cs="Times New Roman"/>
          <w:sz w:val="24"/>
          <w:szCs w:val="24"/>
        </w:rPr>
        <w:t xml:space="preserve"> </w:t>
      </w:r>
      <w:r w:rsidRPr="001111E7">
        <w:rPr>
          <w:rFonts w:ascii="Times New Roman" w:hAnsi="Times New Roman" w:cs="Times New Roman"/>
          <w:sz w:val="24"/>
          <w:szCs w:val="24"/>
        </w:rPr>
        <w:t>335 mil millones en 2025.</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Según Buenadicha, la economía gig o colaborativa, entendida como una nueva forma de interrelación entre consumidores y productores a través de plataformas digitales, crece velozmente en la región y plantea enormes oportunidades y retos.</w:t>
      </w:r>
    </w:p>
    <w:p w:rsidR="00704693" w:rsidRPr="001111E7" w:rsidRDefault="00442FA0" w:rsidP="0070469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04693" w:rsidRPr="001111E7">
        <w:rPr>
          <w:rFonts w:ascii="Times New Roman" w:hAnsi="Times New Roman" w:cs="Times New Roman"/>
          <w:sz w:val="24"/>
          <w:szCs w:val="24"/>
        </w:rPr>
        <w:t>Hay que analizar y entender en detalle las implicancias laborales, fiscales, sociales, y en el ámbito de la competenc</w:t>
      </w:r>
      <w:r>
        <w:rPr>
          <w:rFonts w:ascii="Times New Roman" w:hAnsi="Times New Roman" w:cs="Times New Roman"/>
          <w:sz w:val="24"/>
          <w:szCs w:val="24"/>
        </w:rPr>
        <w:t>ia, de la economía colaborativa”</w:t>
      </w:r>
      <w:r w:rsidR="00704693" w:rsidRPr="001111E7">
        <w:rPr>
          <w:rFonts w:ascii="Times New Roman" w:hAnsi="Times New Roman" w:cs="Times New Roman"/>
          <w:sz w:val="24"/>
          <w:szCs w:val="24"/>
        </w:rPr>
        <w:t>, comentó.</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Algunos de los riesgos que puede traer el crecimiento del sector se relacionan con el posible aume</w:t>
      </w:r>
      <w:r w:rsidR="00442FA0">
        <w:rPr>
          <w:rFonts w:ascii="Times New Roman" w:hAnsi="Times New Roman" w:cs="Times New Roman"/>
          <w:sz w:val="24"/>
          <w:szCs w:val="24"/>
        </w:rPr>
        <w:t xml:space="preserve">nto de la informalidad laboral. </w:t>
      </w:r>
      <w:r w:rsidRPr="001111E7">
        <w:rPr>
          <w:rFonts w:ascii="Times New Roman" w:hAnsi="Times New Roman" w:cs="Times New Roman"/>
          <w:sz w:val="24"/>
          <w:szCs w:val="24"/>
        </w:rPr>
        <w:t>En este sentido, Buenadicha cree que debe existir una regulación oportuna para fomentar la inclusión social y, al mismo tiempo, la innovación en los países de la región.</w:t>
      </w:r>
    </w:p>
    <w:p w:rsidR="00704693" w:rsidRPr="001111E7" w:rsidRDefault="00704693" w:rsidP="00704693">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Otros, en cambio, piensan que uno de los aspectos positivos de la economía gig es que no ha sido regulada, creando un espacio más democrático para que los propios usuarios tomen decisiones.</w:t>
      </w:r>
    </w:p>
    <w:p w:rsidR="00442FA0" w:rsidRPr="009A551A" w:rsidRDefault="00FB5A59" w:rsidP="00442FA0">
      <w:pPr>
        <w:spacing w:line="240" w:lineRule="auto"/>
        <w:jc w:val="both"/>
        <w:rPr>
          <w:rFonts w:ascii="Times New Roman" w:hAnsi="Times New Roman" w:cs="Times New Roman"/>
          <w:sz w:val="24"/>
          <w:szCs w:val="24"/>
        </w:rPr>
      </w:pPr>
      <w:r w:rsidRPr="00A0231B">
        <w:rPr>
          <w:rFonts w:ascii="Times New Roman" w:hAnsi="Times New Roman" w:cs="Times New Roman"/>
          <w:sz w:val="24"/>
          <w:szCs w:val="24"/>
        </w:rPr>
        <w:t>En su última ronda de tasación,</w:t>
      </w:r>
      <w:r w:rsidR="00442FA0">
        <w:rPr>
          <w:rFonts w:ascii="Times New Roman" w:hAnsi="Times New Roman" w:cs="Times New Roman"/>
          <w:sz w:val="24"/>
          <w:szCs w:val="24"/>
        </w:rPr>
        <w:t xml:space="preserve"> Uber</w:t>
      </w:r>
      <w:r w:rsidRPr="00A0231B">
        <w:rPr>
          <w:rFonts w:ascii="Times New Roman" w:hAnsi="Times New Roman" w:cs="Times New Roman"/>
          <w:sz w:val="24"/>
          <w:szCs w:val="24"/>
        </w:rPr>
        <w:t xml:space="preserve"> se valoró en 66.000 millones de dólares, tanto como lo que Bayer va a pagar por Monsanto, una de las mayores químicas del mundo. Y más de lo que vale AstraZeneca, uno de los principales fabricantes de fármacos del mundo</w:t>
      </w:r>
      <w:r w:rsidR="00442FA0">
        <w:rPr>
          <w:rFonts w:ascii="Times New Roman" w:hAnsi="Times New Roman" w:cs="Times New Roman"/>
          <w:sz w:val="24"/>
          <w:szCs w:val="24"/>
        </w:rPr>
        <w:t xml:space="preserve"> (El Economista - </w:t>
      </w:r>
      <w:r w:rsidR="00442FA0" w:rsidRPr="009A551A">
        <w:rPr>
          <w:rFonts w:ascii="Times New Roman" w:hAnsi="Times New Roman" w:cs="Times New Roman"/>
          <w:b/>
          <w:sz w:val="24"/>
          <w:szCs w:val="24"/>
        </w:rPr>
        <w:t>3/9/17</w:t>
      </w:r>
      <w:r w:rsidR="00442FA0">
        <w:rPr>
          <w:rFonts w:ascii="Times New Roman" w:hAnsi="Times New Roman" w:cs="Times New Roman"/>
          <w:sz w:val="24"/>
          <w:szCs w:val="24"/>
        </w:rPr>
        <w:t>).</w:t>
      </w:r>
    </w:p>
    <w:p w:rsidR="00FB5A59" w:rsidRPr="00A0231B" w:rsidRDefault="00FB5A59" w:rsidP="00FB5A59">
      <w:pPr>
        <w:spacing w:line="240" w:lineRule="auto"/>
        <w:jc w:val="both"/>
        <w:rPr>
          <w:rFonts w:ascii="Times New Roman" w:hAnsi="Times New Roman" w:cs="Times New Roman"/>
          <w:sz w:val="24"/>
          <w:szCs w:val="24"/>
        </w:rPr>
      </w:pPr>
      <w:r w:rsidRPr="00A0231B">
        <w:rPr>
          <w:rFonts w:ascii="Times New Roman" w:hAnsi="Times New Roman" w:cs="Times New Roman"/>
          <w:sz w:val="24"/>
          <w:szCs w:val="24"/>
        </w:rPr>
        <w:t>Desde luego, es una empresa privada pero con las grandes cantidades de dinero que ha recaudado, lo más probable es que cualquiera que tenga dinero en un fondo de pensiones posea una participación directa o indirecta en el negocio. Los fondos que invierten en Uber han recaudado efectivo en todo el mundo. Tiene miles de conductores y cientos de miles de clientes. Su forma de gestión es importante no sólo para un pu</w:t>
      </w:r>
      <w:r>
        <w:rPr>
          <w:rFonts w:ascii="Times New Roman" w:hAnsi="Times New Roman" w:cs="Times New Roman"/>
          <w:sz w:val="24"/>
          <w:szCs w:val="24"/>
        </w:rPr>
        <w:t>ñado de directivos en su junta.</w:t>
      </w:r>
    </w:p>
    <w:p w:rsidR="00FB5A59" w:rsidRPr="00A0231B" w:rsidRDefault="00FB5A59" w:rsidP="00FB5A59">
      <w:pPr>
        <w:spacing w:line="240" w:lineRule="auto"/>
        <w:jc w:val="both"/>
        <w:rPr>
          <w:rFonts w:ascii="Times New Roman" w:hAnsi="Times New Roman" w:cs="Times New Roman"/>
          <w:sz w:val="24"/>
          <w:szCs w:val="24"/>
        </w:rPr>
      </w:pPr>
      <w:r w:rsidRPr="00A0231B">
        <w:rPr>
          <w:rFonts w:ascii="Times New Roman" w:hAnsi="Times New Roman" w:cs="Times New Roman"/>
          <w:sz w:val="24"/>
          <w:szCs w:val="24"/>
        </w:rPr>
        <w:t xml:space="preserve">Tampoco es que sea la única empresa tecnológica en meterse en problemas. Algo similar ocurrió con la empresa de dispositivos médicos Theranos que fundó Elizabeth Holmes con solo 19 años para comercializar tecnología de análisis de sangre. En su momento más álgido se valoró en 9.000 millones de dólares y convirtió a Holmes en la multimillonaria, hecha a sí misma, más joven del mundo. Desde entonces, su valor se ha hundido. El crecimiento de los unicornios turbo-propulsados implica que de repente hay muchas empresas privadas ahí fuera con valoraciones inmensas y muchos accionistas. Airbnb está valorada en unos 30.000 </w:t>
      </w:r>
      <w:r w:rsidRPr="00A0231B">
        <w:rPr>
          <w:rFonts w:ascii="Times New Roman" w:hAnsi="Times New Roman" w:cs="Times New Roman"/>
          <w:sz w:val="24"/>
          <w:szCs w:val="24"/>
        </w:rPr>
        <w:lastRenderedPageBreak/>
        <w:t>millones de dólares, Pinterest en más de 11.000 millones y a este lado del Atlántico, el valor de Spotify se calcula en 9.000 millones de dólares. Se mire por donde se mi</w:t>
      </w:r>
      <w:r>
        <w:rPr>
          <w:rFonts w:ascii="Times New Roman" w:hAnsi="Times New Roman" w:cs="Times New Roman"/>
          <w:sz w:val="24"/>
          <w:szCs w:val="24"/>
        </w:rPr>
        <w:t>re, son empresas considerables.</w:t>
      </w:r>
    </w:p>
    <w:p w:rsidR="00FB5A59" w:rsidRPr="00A0231B" w:rsidRDefault="00FB5A59" w:rsidP="00FB5A59">
      <w:pPr>
        <w:spacing w:line="240" w:lineRule="auto"/>
        <w:jc w:val="both"/>
        <w:rPr>
          <w:rFonts w:ascii="Times New Roman" w:hAnsi="Times New Roman" w:cs="Times New Roman"/>
          <w:sz w:val="24"/>
          <w:szCs w:val="24"/>
        </w:rPr>
      </w:pPr>
      <w:r w:rsidRPr="00A0231B">
        <w:rPr>
          <w:rFonts w:ascii="Times New Roman" w:hAnsi="Times New Roman" w:cs="Times New Roman"/>
          <w:sz w:val="24"/>
          <w:szCs w:val="24"/>
        </w:rPr>
        <w:t>Aun así, no están sujetas a las mismas normas ni se atienen a los mismos estándares que una empresa del mismo tamaño cotizada en alguna de las grandes Bolsas. Puede que nos parezca tedioso contar con capas de mandos intermedios, equipos de directivos no ejecutivos y el escrutinio de analistas y prensa al que se exponen cada día las grandes empresas cotizadas. Es verdad que en ocasiones generan burocracias ingentes que no son ni lo bastante rápidas ni flexibles para responder a los cambios en el mercado, pero tienen una gran ventaja: ofrecen una serie de controles y se aseguran de que la empresa, por lo menos, se gestio</w:t>
      </w:r>
      <w:r>
        <w:rPr>
          <w:rFonts w:ascii="Times New Roman" w:hAnsi="Times New Roman" w:cs="Times New Roman"/>
          <w:sz w:val="24"/>
          <w:szCs w:val="24"/>
        </w:rPr>
        <w:t>ne responsablemente.</w:t>
      </w:r>
    </w:p>
    <w:p w:rsidR="00FB5A59" w:rsidRDefault="00FB5A59" w:rsidP="00FB5A59">
      <w:pPr>
        <w:spacing w:line="240" w:lineRule="auto"/>
        <w:jc w:val="both"/>
        <w:rPr>
          <w:rFonts w:ascii="Times New Roman" w:hAnsi="Times New Roman" w:cs="Times New Roman"/>
          <w:sz w:val="24"/>
          <w:szCs w:val="24"/>
        </w:rPr>
      </w:pPr>
      <w:r w:rsidRPr="00A0231B">
        <w:rPr>
          <w:rFonts w:ascii="Times New Roman" w:hAnsi="Times New Roman" w:cs="Times New Roman"/>
          <w:sz w:val="24"/>
          <w:szCs w:val="24"/>
        </w:rPr>
        <w:t>La saga de Uber está empezando a demostrar esa necesidad. Hay toneladas de capital de riesgo y privado ahí fuera y una empresa nueva de éxito puede acceder a todo el dinero que necesite. Muchas asumen que no les hace falta preocuparse por salir a Bolsa. El engorro de los informes y requisitos normativos distraería la atención del crecimiento del negocio y lo haría adverso a los riesgos. Por eso el número de empresa</w:t>
      </w:r>
      <w:r>
        <w:rPr>
          <w:rFonts w:ascii="Times New Roman" w:hAnsi="Times New Roman" w:cs="Times New Roman"/>
          <w:sz w:val="24"/>
          <w:szCs w:val="24"/>
        </w:rPr>
        <w:t>s cotizadas ha caído sin cesar.</w:t>
      </w:r>
    </w:p>
    <w:p w:rsidR="00B819F3" w:rsidRDefault="00F61327" w:rsidP="00F61327">
      <w:pPr>
        <w:spacing w:line="240" w:lineRule="auto"/>
        <w:jc w:val="both"/>
        <w:rPr>
          <w:rFonts w:ascii="Times New Roman" w:hAnsi="Times New Roman" w:cs="Times New Roman"/>
          <w:sz w:val="24"/>
          <w:szCs w:val="24"/>
        </w:rPr>
      </w:pPr>
      <w:r>
        <w:rPr>
          <w:rFonts w:ascii="Times New Roman" w:hAnsi="Times New Roman" w:cs="Times New Roman"/>
          <w:sz w:val="24"/>
          <w:szCs w:val="24"/>
        </w:rPr>
        <w:t>- La clausura del ascensor social: l</w:t>
      </w:r>
      <w:r w:rsidRPr="00F61327">
        <w:rPr>
          <w:rFonts w:ascii="Times New Roman" w:hAnsi="Times New Roman" w:cs="Times New Roman"/>
          <w:sz w:val="24"/>
          <w:szCs w:val="24"/>
        </w:rPr>
        <w:t>os daños colaterales de una economía de “ficciones”</w:t>
      </w:r>
    </w:p>
    <w:p w:rsidR="00F61327" w:rsidRPr="00B819F3" w:rsidRDefault="00B819F3" w:rsidP="00B819F3">
      <w:pPr>
        <w:pStyle w:val="selectionshareable"/>
        <w:shd w:val="clear" w:color="auto" w:fill="FFFFFF"/>
        <w:spacing w:before="0" w:beforeAutospacing="0" w:after="300" w:afterAutospacing="0"/>
        <w:jc w:val="both"/>
        <w:textAlignment w:val="baseline"/>
        <w:rPr>
          <w:shd w:val="clear" w:color="auto" w:fill="FFFFFF"/>
        </w:rPr>
      </w:pPr>
      <w:r w:rsidRPr="00020973">
        <w:rPr>
          <w:shd w:val="clear" w:color="auto" w:fill="FFFFFF"/>
        </w:rPr>
        <w:t>“La mayor herencia que se le puede dejar a un hijo es la educació</w:t>
      </w:r>
      <w:r>
        <w:rPr>
          <w:shd w:val="clear" w:color="auto" w:fill="FFFFFF"/>
        </w:rPr>
        <w:t>n”. Sin duda, el “paradigma”</w:t>
      </w:r>
      <w:r w:rsidRPr="00020973">
        <w:rPr>
          <w:shd w:val="clear" w:color="auto" w:fill="FFFFFF"/>
        </w:rPr>
        <w:t xml:space="preserve"> que muchos hemos interiorizado y que, basado en años de repetición por parte de nuestros a</w:t>
      </w:r>
      <w:r>
        <w:rPr>
          <w:shd w:val="clear" w:color="auto" w:fill="FFFFFF"/>
        </w:rPr>
        <w:t xml:space="preserve">buelos, padres y maestros, </w:t>
      </w:r>
      <w:r w:rsidRPr="00020973">
        <w:rPr>
          <w:shd w:val="clear" w:color="auto" w:fill="FFFFFF"/>
        </w:rPr>
        <w:t>ha quedado grabado en nuestra mente para su posterior aplicación. Apoyar a nuestros hijos en su formación les ayudará a construir un futuro exitoso y a poder cumplir sus sueños. Pero, pese a estar de acuerdo y proceder en consonancia con esa idea, los números y la realidad demuestran que…</w:t>
      </w:r>
      <w:r>
        <w:rPr>
          <w:shd w:val="clear" w:color="auto" w:fill="FFFFFF"/>
        </w:rPr>
        <w:t xml:space="preserve"> ya no es cierto.</w:t>
      </w:r>
      <w:r w:rsidR="00F61327">
        <w:t xml:space="preserve"> </w:t>
      </w:r>
    </w:p>
    <w:p w:rsidR="00197BCF" w:rsidRPr="00020973" w:rsidRDefault="00F61327" w:rsidP="00197BCF">
      <w:pPr>
        <w:pStyle w:val="selectionshareable"/>
        <w:shd w:val="clear" w:color="auto" w:fill="FFFFFF"/>
        <w:spacing w:before="0" w:beforeAutospacing="0" w:after="300" w:afterAutospacing="0"/>
        <w:jc w:val="both"/>
        <w:textAlignment w:val="baseline"/>
        <w:rPr>
          <w:shd w:val="clear" w:color="auto" w:fill="FFFFFF"/>
        </w:rPr>
      </w:pPr>
      <w:r>
        <w:t xml:space="preserve">Out of order: </w:t>
      </w:r>
      <w:hyperlink r:id="rId82" w:tgtFrame="_self" w:history="1">
        <w:r w:rsidRPr="00F61327">
          <w:rPr>
            <w:rStyle w:val="Hipervnculo"/>
            <w:bCs/>
            <w:color w:val="auto"/>
            <w:u w:val="none"/>
            <w:shd w:val="clear" w:color="auto" w:fill="FFFFFF"/>
          </w:rPr>
          <w:t>sobrecualificación</w:t>
        </w:r>
        <w:r w:rsidR="00197BCF" w:rsidRPr="00F61327">
          <w:rPr>
            <w:rStyle w:val="Hipervnculo"/>
            <w:bCs/>
            <w:color w:val="auto"/>
            <w:u w:val="none"/>
            <w:shd w:val="clear" w:color="auto" w:fill="FFFFFF"/>
          </w:rPr>
          <w:t xml:space="preserve"> para el puesto de trabajo</w:t>
        </w:r>
      </w:hyperlink>
      <w:r w:rsidR="00197BCF" w:rsidRPr="00020973">
        <w:rPr>
          <w:shd w:val="clear" w:color="auto" w:fill="FFFFFF"/>
        </w:rPr>
        <w:t> que ocupa</w:t>
      </w:r>
      <w:r>
        <w:rPr>
          <w:shd w:val="clear" w:color="auto" w:fill="FFFFFF"/>
        </w:rPr>
        <w:t xml:space="preserve">… </w:t>
      </w:r>
      <w:r w:rsidR="00197BCF" w:rsidRPr="00F61327">
        <w:rPr>
          <w:rStyle w:val="Textoennegrita"/>
          <w:b w:val="0"/>
          <w:bdr w:val="none" w:sz="0" w:space="0" w:color="auto" w:frame="1"/>
          <w:shd w:val="clear" w:color="auto" w:fill="FFFFFF"/>
        </w:rPr>
        <w:t>infrautilización importante de empleados</w:t>
      </w:r>
      <w:r w:rsidR="00197BCF" w:rsidRPr="00020973">
        <w:rPr>
          <w:rStyle w:val="Textoennegrita"/>
          <w:bdr w:val="none" w:sz="0" w:space="0" w:color="auto" w:frame="1"/>
          <w:shd w:val="clear" w:color="auto" w:fill="FFFFFF"/>
        </w:rPr>
        <w:t> </w:t>
      </w:r>
      <w:r w:rsidR="00197BCF" w:rsidRPr="00020973">
        <w:rPr>
          <w:shd w:val="clear" w:color="auto" w:fill="FFFFFF"/>
        </w:rPr>
        <w:t>que podrían ser mucho más productivos en otros puestos de trabajo</w:t>
      </w:r>
      <w:r>
        <w:rPr>
          <w:shd w:val="clear" w:color="auto" w:fill="FFFFFF"/>
        </w:rPr>
        <w:t>… y lo más grave, es que la</w:t>
      </w:r>
      <w:r w:rsidR="00197BCF" w:rsidRPr="00020973">
        <w:rPr>
          <w:shd w:val="clear" w:color="auto" w:fill="FFFFFF"/>
        </w:rPr>
        <w:t> </w:t>
      </w:r>
      <w:r w:rsidR="00197BCF" w:rsidRPr="00F61327">
        <w:rPr>
          <w:rStyle w:val="Textoennegrita"/>
          <w:b w:val="0"/>
          <w:bdr w:val="none" w:sz="0" w:space="0" w:color="auto" w:frame="1"/>
          <w:shd w:val="clear" w:color="auto" w:fill="FFFFFF"/>
        </w:rPr>
        <w:t>sobrecualificación</w:t>
      </w:r>
      <w:r w:rsidR="00197BCF" w:rsidRPr="00020973">
        <w:rPr>
          <w:rStyle w:val="Textoennegrita"/>
          <w:bdr w:val="none" w:sz="0" w:space="0" w:color="auto" w:frame="1"/>
          <w:shd w:val="clear" w:color="auto" w:fill="FFFFFF"/>
        </w:rPr>
        <w:t> </w:t>
      </w:r>
      <w:r w:rsidR="00197BCF" w:rsidRPr="00020973">
        <w:rPr>
          <w:shd w:val="clear" w:color="auto" w:fill="FFFFFF"/>
        </w:rPr>
        <w:t>no es transitoria sino persistente</w:t>
      </w:r>
    </w:p>
    <w:p w:rsidR="00197BCF" w:rsidRDefault="00197BCF" w:rsidP="00197BCF">
      <w:pPr>
        <w:pStyle w:val="NormalWeb"/>
        <w:shd w:val="clear" w:color="auto" w:fill="FFFFFF"/>
        <w:spacing w:before="0" w:beforeAutospacing="0" w:after="0" w:afterAutospacing="0"/>
        <w:jc w:val="both"/>
        <w:textAlignment w:val="baseline"/>
      </w:pPr>
      <w:r w:rsidRPr="00020973">
        <w:t>Este</w:t>
      </w:r>
      <w:r w:rsidR="00F61327">
        <w:t xml:space="preserve"> fenómeno, </w:t>
      </w:r>
      <w:r w:rsidRPr="00020973">
        <w:t>se da a nivel mundial. P</w:t>
      </w:r>
      <w:r w:rsidR="00F61327">
        <w:t xml:space="preserve">or ejemplo, en Estados Unidos: </w:t>
      </w:r>
      <w:r w:rsidRPr="00020973">
        <w:t>en 1970, el número de taxistas que tenían cualificación académica era de uno entre 100. Hoy son más de 15 entre 100 los que cuentan con ese tipo de grado. Se sufre igualmente de ese exceso de oferta, de la globalización y del aumento de competencia. Por si fuera poco, el nivel de endeudamiento que se adquiere en ese país para financiar los costes de educación se ha disparado a máximos históricos.</w:t>
      </w:r>
    </w:p>
    <w:p w:rsidR="00F61327" w:rsidRPr="00020973" w:rsidRDefault="00F61327" w:rsidP="00197BCF">
      <w:pPr>
        <w:pStyle w:val="NormalWeb"/>
        <w:shd w:val="clear" w:color="auto" w:fill="FFFFFF"/>
        <w:spacing w:before="0" w:beforeAutospacing="0" w:after="0" w:afterAutospacing="0"/>
        <w:jc w:val="both"/>
        <w:textAlignment w:val="baseline"/>
      </w:pPr>
    </w:p>
    <w:p w:rsidR="00197BCF" w:rsidRPr="00020973" w:rsidRDefault="00197BCF" w:rsidP="00197BCF">
      <w:pPr>
        <w:shd w:val="clear" w:color="auto" w:fill="FFFFFF"/>
        <w:spacing w:line="240" w:lineRule="auto"/>
        <w:jc w:val="both"/>
        <w:textAlignment w:val="baseline"/>
        <w:rPr>
          <w:rFonts w:ascii="Times New Roman" w:hAnsi="Times New Roman" w:cs="Times New Roman"/>
          <w:sz w:val="24"/>
          <w:szCs w:val="24"/>
        </w:rPr>
      </w:pPr>
      <w:r w:rsidRPr="00020973">
        <w:rPr>
          <w:rFonts w:ascii="Times New Roman" w:hAnsi="Times New Roman" w:cs="Times New Roman"/>
          <w:bCs/>
          <w:noProof/>
          <w:sz w:val="24"/>
          <w:szCs w:val="24"/>
          <w:lang w:eastAsia="es-ES"/>
        </w:rPr>
        <w:drawing>
          <wp:inline distT="0" distB="0" distL="0" distR="0" wp14:anchorId="33421360" wp14:editId="08EE060C">
            <wp:extent cx="5746750" cy="2070100"/>
            <wp:effectExtent l="0" t="0" r="6350" b="6350"/>
            <wp:docPr id="1" name="Imagen 1" descr="Pinche para ampliar.">
              <a:hlinkClick xmlns:a="http://schemas.openxmlformats.org/drawingml/2006/main" r:id="rId8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nche para ampliar.">
                      <a:hlinkClick r:id="rId83" tgtFrame="&quot;_blank&quot;"/>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46750" cy="2070100"/>
                    </a:xfrm>
                    <a:prstGeom prst="rect">
                      <a:avLst/>
                    </a:prstGeom>
                    <a:noFill/>
                    <a:ln>
                      <a:noFill/>
                    </a:ln>
                  </pic:spPr>
                </pic:pic>
              </a:graphicData>
            </a:graphic>
          </wp:inline>
        </w:drawing>
      </w:r>
    </w:p>
    <w:p w:rsidR="00197BCF" w:rsidRDefault="00F61327" w:rsidP="00197BCF">
      <w:pPr>
        <w:pStyle w:val="NormalWeb"/>
        <w:shd w:val="clear" w:color="auto" w:fill="FFFFFF"/>
        <w:spacing w:before="0" w:beforeAutospacing="0" w:after="0" w:afterAutospacing="0"/>
        <w:jc w:val="both"/>
        <w:textAlignment w:val="baseline"/>
      </w:pPr>
      <w:r>
        <w:lastRenderedPageBreak/>
        <w:t>Un</w:t>
      </w:r>
      <w:r w:rsidR="00197BCF" w:rsidRPr="00020973">
        <w:t xml:space="preserve"> estudio de </w:t>
      </w:r>
      <w:hyperlink r:id="rId85" w:history="1">
        <w:r w:rsidR="00197BCF" w:rsidRPr="00F61327">
          <w:rPr>
            <w:rStyle w:val="Hipervnculo"/>
            <w:bCs/>
            <w:color w:val="auto"/>
            <w:u w:val="none"/>
          </w:rPr>
          <w:t>Adecco</w:t>
        </w:r>
      </w:hyperlink>
      <w:r>
        <w:t xml:space="preserve"> (para España)</w:t>
      </w:r>
      <w:r w:rsidR="00B819F3">
        <w:t> mostraba que</w:t>
      </w:r>
      <w:r w:rsidR="00197BCF" w:rsidRPr="00020973">
        <w:t xml:space="preserve"> un 72% de los trabajadores pensaban que no recibían una remuneración justa y que existen diferencias muy significativas según género y edad. Un 51% de las empresas reconoce haber congelado los sueldos, y casi un 23% los ha bajado. Para 2020, la mayoría de las empresas (61,5%) piensan que aún no se habrá recuperado el nivel salarial previo a la crisis. Por último, y según datos de Eurostat, el salario medio real de España ha subido, desde el año 2000, un triste 5,8% (hasta 2016).</w:t>
      </w:r>
    </w:p>
    <w:p w:rsidR="00F61327" w:rsidRPr="00020973" w:rsidRDefault="00F61327" w:rsidP="00197BCF">
      <w:pPr>
        <w:pStyle w:val="NormalWeb"/>
        <w:shd w:val="clear" w:color="auto" w:fill="FFFFFF"/>
        <w:spacing w:before="0" w:beforeAutospacing="0" w:after="0" w:afterAutospacing="0"/>
        <w:jc w:val="both"/>
        <w:textAlignment w:val="baseline"/>
      </w:pPr>
    </w:p>
    <w:p w:rsidR="00B819F3" w:rsidRDefault="00197BCF" w:rsidP="00B819F3">
      <w:pPr>
        <w:pStyle w:val="NormalWeb"/>
        <w:shd w:val="clear" w:color="auto" w:fill="FFFFFF"/>
        <w:spacing w:before="0" w:beforeAutospacing="0" w:after="0" w:afterAutospacing="0"/>
        <w:jc w:val="both"/>
        <w:textAlignment w:val="baseline"/>
      </w:pPr>
      <w:r w:rsidRPr="00020973">
        <w:t>Al final, y pese a la simplificación hecha, resulta que tenemos cada vez más trabajadores con mayor formación, cuyos salarios están congelados (y lejos de la media de Europa), que ocupan puestos de menor cualificación. Esto, encima, supone para muchos estudiantes o sus familias </w:t>
      </w:r>
      <w:r w:rsidRPr="00B819F3">
        <w:rPr>
          <w:rStyle w:val="Textoennegrita"/>
          <w:b w:val="0"/>
          <w:bdr w:val="none" w:sz="0" w:space="0" w:color="auto" w:frame="1"/>
        </w:rPr>
        <w:t>asumir deuda para financiar sus estudios</w:t>
      </w:r>
      <w:r w:rsidRPr="00B819F3">
        <w:t>.</w:t>
      </w:r>
    </w:p>
    <w:p w:rsidR="00B819F3" w:rsidRDefault="00B819F3" w:rsidP="00B819F3">
      <w:pPr>
        <w:pStyle w:val="NormalWeb"/>
        <w:shd w:val="clear" w:color="auto" w:fill="FFFFFF"/>
        <w:spacing w:before="0" w:beforeAutospacing="0" w:after="0" w:afterAutospacing="0"/>
        <w:jc w:val="both"/>
        <w:textAlignment w:val="baseline"/>
      </w:pPr>
    </w:p>
    <w:p w:rsidR="00442FA0" w:rsidRDefault="00442FA0" w:rsidP="00FB5A59">
      <w:pPr>
        <w:spacing w:line="240" w:lineRule="auto"/>
        <w:jc w:val="both"/>
        <w:rPr>
          <w:rFonts w:ascii="Times New Roman" w:hAnsi="Times New Roman" w:cs="Times New Roman"/>
          <w:sz w:val="24"/>
          <w:szCs w:val="24"/>
        </w:rPr>
      </w:pPr>
      <w:r w:rsidRPr="00442FA0">
        <w:rPr>
          <w:rFonts w:ascii="Times New Roman" w:hAnsi="Times New Roman" w:cs="Times New Roman"/>
          <w:sz w:val="24"/>
          <w:szCs w:val="24"/>
        </w:rPr>
        <w:t>- Las nuevas burbujas serán más grandes y peligrosas: el bitcoin puede ser la prueba</w:t>
      </w:r>
    </w:p>
    <w:p w:rsidR="000E2D8B" w:rsidRPr="001D6813" w:rsidRDefault="000E2D8B" w:rsidP="000E2D8B">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El ciclo de crecimiento financiero que vive</w:t>
      </w:r>
      <w:r>
        <w:rPr>
          <w:rFonts w:ascii="Times New Roman" w:hAnsi="Times New Roman" w:cs="Times New Roman"/>
          <w:sz w:val="24"/>
          <w:szCs w:val="24"/>
        </w:rPr>
        <w:t xml:space="preserve"> Occidente está siendo largo y “excesivamente”</w:t>
      </w:r>
      <w:r w:rsidRPr="001D6813">
        <w:rPr>
          <w:rFonts w:ascii="Times New Roman" w:hAnsi="Times New Roman" w:cs="Times New Roman"/>
          <w:sz w:val="24"/>
          <w:szCs w:val="24"/>
        </w:rPr>
        <w:t xml:space="preserve"> alcista. Las grandes inyecciones de dinero y programas de estímulo llevados a cabo por los bancos centrales más impor</w:t>
      </w:r>
      <w:r>
        <w:rPr>
          <w:rFonts w:ascii="Times New Roman" w:hAnsi="Times New Roman" w:cs="Times New Roman"/>
          <w:sz w:val="24"/>
          <w:szCs w:val="24"/>
        </w:rPr>
        <w:t>tantes del mundo están creando “super-ciclos”</w:t>
      </w:r>
      <w:r w:rsidRPr="001D6813">
        <w:rPr>
          <w:rFonts w:ascii="Times New Roman" w:hAnsi="Times New Roman" w:cs="Times New Roman"/>
          <w:sz w:val="24"/>
          <w:szCs w:val="24"/>
        </w:rPr>
        <w:t xml:space="preserve"> que amenazan con desestabilizar la economía global, según han informado dos pesos pesados de Morgan Stanley y Bank of </w:t>
      </w:r>
      <w:r>
        <w:rPr>
          <w:rFonts w:ascii="Times New Roman" w:hAnsi="Times New Roman" w:cs="Times New Roman"/>
          <w:sz w:val="24"/>
          <w:szCs w:val="24"/>
        </w:rPr>
        <w:t xml:space="preserve">America Merrill Lynch (BofAML) (El Economista - </w:t>
      </w:r>
      <w:r w:rsidRPr="001D6813">
        <w:rPr>
          <w:rFonts w:ascii="Times New Roman" w:hAnsi="Times New Roman" w:cs="Times New Roman"/>
          <w:b/>
          <w:sz w:val="24"/>
          <w:szCs w:val="24"/>
        </w:rPr>
        <w:t>6/9/17</w:t>
      </w:r>
      <w:r>
        <w:rPr>
          <w:rFonts w:ascii="Times New Roman" w:hAnsi="Times New Roman" w:cs="Times New Roman"/>
          <w:sz w:val="24"/>
          <w:szCs w:val="24"/>
        </w:rPr>
        <w:t>).</w:t>
      </w:r>
    </w:p>
    <w:p w:rsidR="000E2D8B" w:rsidRPr="001D6813" w:rsidRDefault="000E2D8B" w:rsidP="000E2D8B">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 xml:space="preserve">El bitcoin </w:t>
      </w:r>
      <w:r>
        <w:rPr>
          <w:rFonts w:ascii="Times New Roman" w:hAnsi="Times New Roman" w:cs="Times New Roman"/>
          <w:sz w:val="24"/>
          <w:szCs w:val="24"/>
        </w:rPr>
        <w:t>se ha disparado un 380% entre enero y agosto de 2017</w:t>
      </w:r>
      <w:r w:rsidRPr="001D6813">
        <w:rPr>
          <w:rFonts w:ascii="Times New Roman" w:hAnsi="Times New Roman" w:cs="Times New Roman"/>
          <w:sz w:val="24"/>
          <w:szCs w:val="24"/>
        </w:rPr>
        <w:t>, mientras que su capitalización se ha multiplicado por dos en el mismo periodo. Este brusco movimiento de la criptodivisa no es una anomalía, según Bank of America Merrill Lynch es uno de los efectos de una nueva era, que va a estar caracterizada por la creación de mayores</w:t>
      </w:r>
      <w:r>
        <w:rPr>
          <w:rFonts w:ascii="Times New Roman" w:hAnsi="Times New Roman" w:cs="Times New Roman"/>
          <w:sz w:val="24"/>
          <w:szCs w:val="24"/>
        </w:rPr>
        <w:t xml:space="preserve"> burbujas y posteriores caídas.</w:t>
      </w:r>
    </w:p>
    <w:p w:rsidR="000E2D8B" w:rsidRDefault="000E2D8B" w:rsidP="000E2D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principios de septiembre </w:t>
      </w:r>
      <w:r w:rsidRPr="001D6813">
        <w:rPr>
          <w:rFonts w:ascii="Times New Roman" w:hAnsi="Times New Roman" w:cs="Times New Roman"/>
          <w:sz w:val="24"/>
          <w:szCs w:val="24"/>
        </w:rPr>
        <w:t>se coloca cerca de los 4.500 dólares por unidad de la divisa digital. Resulta ilustrativo recordar que en enero de este año esta divisa luchaba por mantenerse por encim</w:t>
      </w:r>
      <w:r>
        <w:rPr>
          <w:rFonts w:ascii="Times New Roman" w:hAnsi="Times New Roman" w:cs="Times New Roman"/>
          <w:sz w:val="24"/>
          <w:szCs w:val="24"/>
        </w:rPr>
        <w:t>a de los 800 dólares la unidad.</w:t>
      </w:r>
    </w:p>
    <w:p w:rsidR="001156ED" w:rsidRDefault="001156ED" w:rsidP="001156ED">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Una burbuja dentro de otra burbuja (l</w:t>
      </w:r>
      <w:r w:rsidRPr="00573D1B">
        <w:rPr>
          <w:rFonts w:ascii="Times New Roman" w:eastAsia="Times New Roman" w:hAnsi="Times New Roman" w:cs="Times New Roman"/>
          <w:color w:val="000000"/>
          <w:sz w:val="24"/>
          <w:szCs w:val="24"/>
          <w:lang w:eastAsia="es-ES"/>
        </w:rPr>
        <w:t>a demencial burbuja de las criptodivisas</w:t>
      </w:r>
      <w:r>
        <w:rPr>
          <w:rFonts w:ascii="Times New Roman" w:eastAsia="Times New Roman" w:hAnsi="Times New Roman" w:cs="Times New Roman"/>
          <w:color w:val="000000"/>
          <w:sz w:val="24"/>
          <w:szCs w:val="24"/>
          <w:lang w:eastAsia="es-ES"/>
        </w:rPr>
        <w:t>)</w:t>
      </w:r>
    </w:p>
    <w:p w:rsidR="00996E70" w:rsidRPr="00DC73AB" w:rsidRDefault="00996E70" w:rsidP="00996E70">
      <w:pPr>
        <w:pStyle w:val="NormalWeb"/>
        <w:shd w:val="clear" w:color="auto" w:fill="FFFFFF"/>
        <w:spacing w:before="0" w:beforeAutospacing="0" w:after="0" w:afterAutospacing="0"/>
        <w:jc w:val="both"/>
        <w:textAlignment w:val="baseline"/>
      </w:pPr>
      <w:r w:rsidRPr="00DC73AB">
        <w:t>Hay un problema, la inmensa volatilidad que afecta a las criptomonedas. Y se ha agravado con el boom de la fórmula de financiación seguida por nuevas compañías que ofrecen a los inversores token (unidades de valor emitidas por entidades privadas) digitales a cambio de criptomonedas como el bitcoin o el ethereum, a través de los llamados ICO, Initial Coin Offering.</w:t>
      </w:r>
    </w:p>
    <w:p w:rsidR="00996E70" w:rsidRPr="00DF279A" w:rsidRDefault="00996E70" w:rsidP="00996E70">
      <w:pPr>
        <w:pStyle w:val="NormalWeb"/>
        <w:shd w:val="clear" w:color="auto" w:fill="FFFFFF"/>
        <w:spacing w:before="0" w:beforeAutospacing="0" w:after="0" w:afterAutospacing="0"/>
        <w:jc w:val="both"/>
        <w:textAlignment w:val="baseline"/>
        <w:rPr>
          <w:color w:val="FF0000"/>
        </w:rPr>
      </w:pPr>
    </w:p>
    <w:p w:rsidR="001156ED" w:rsidRDefault="001156ED" w:rsidP="001156ED">
      <w:pPr>
        <w:spacing w:after="180" w:line="240" w:lineRule="auto"/>
        <w:jc w:val="both"/>
        <w:rPr>
          <w:rFonts w:ascii="Times New Roman" w:eastAsia="Times New Roman" w:hAnsi="Times New Roman" w:cs="Times New Roman"/>
          <w:color w:val="000000"/>
          <w:sz w:val="24"/>
          <w:szCs w:val="24"/>
          <w:lang w:eastAsia="es-ES"/>
        </w:rPr>
      </w:pPr>
      <w:r w:rsidRPr="00573D1B">
        <w:rPr>
          <w:rFonts w:ascii="Times New Roman" w:eastAsia="Times New Roman" w:hAnsi="Times New Roman" w:cs="Times New Roman"/>
          <w:color w:val="000000"/>
          <w:sz w:val="24"/>
          <w:szCs w:val="24"/>
          <w:lang w:eastAsia="es-ES"/>
        </w:rPr>
        <w:t>Un token es una especie de moneda virtual mediante la que un proyecto de empresa se financia. Se parece al crowdfunding en que el inversor no paga por una participación de una empresa operativa, sino más bien invierte en una idea. Es como una Bolsa, porque los tokens se pueden comprar o vender en plataformas específicas. Y tiene mucho que ver con el bitcoin, porque la mayor parte de los proyectos tienen que ver con la tecnología blockchain y porque los tokens solo se pueden comprar con otras criptodivisas. Mayoritariamente bitcoins, que es lo más parecido al dinero en este universo.  O Ethers.</w:t>
      </w:r>
    </w:p>
    <w:p w:rsidR="001156ED" w:rsidRDefault="001156ED" w:rsidP="001156ED">
      <w:pPr>
        <w:spacing w:after="180" w:line="240" w:lineRule="auto"/>
        <w:jc w:val="both"/>
        <w:rPr>
          <w:rFonts w:ascii="Times New Roman" w:eastAsia="Times New Roman" w:hAnsi="Times New Roman" w:cs="Times New Roman"/>
          <w:color w:val="000000"/>
          <w:sz w:val="24"/>
          <w:szCs w:val="24"/>
          <w:lang w:eastAsia="es-ES"/>
        </w:rPr>
      </w:pPr>
      <w:r w:rsidRPr="00573D1B">
        <w:rPr>
          <w:rFonts w:ascii="Times New Roman" w:eastAsia="Times New Roman" w:hAnsi="Times New Roman" w:cs="Times New Roman"/>
          <w:color w:val="000000"/>
          <w:sz w:val="24"/>
          <w:szCs w:val="24"/>
          <w:lang w:eastAsia="es-ES"/>
        </w:rPr>
        <w:t>Los tokens se venden en operaciones llamadas ICOs, o Initial Coin Offerings, similares a salidas a Bolsa pero sin acciones, ni empresa ni dinero de verdad.</w:t>
      </w:r>
    </w:p>
    <w:p w:rsidR="00996E70" w:rsidRPr="00996E70" w:rsidRDefault="00996E70" w:rsidP="00996E70">
      <w:pPr>
        <w:pStyle w:val="NormalWeb"/>
        <w:shd w:val="clear" w:color="auto" w:fill="FFFFFF"/>
        <w:spacing w:before="0" w:beforeAutospacing="0" w:after="0" w:afterAutospacing="0"/>
        <w:jc w:val="both"/>
        <w:textAlignment w:val="baseline"/>
      </w:pPr>
      <w:r w:rsidRPr="00996E70">
        <w:t>Pero ha bastado con que China tomara cartas en el asunto (en la primera semana de septiembre 2017) prohibiendo la financiación a través de colocaciones de criptimonedas para que el bitcoin y el ethereum sufrieran desplomes de hasta un 20%.</w:t>
      </w:r>
    </w:p>
    <w:p w:rsidR="00996E70" w:rsidRPr="00996E70" w:rsidRDefault="00996E70" w:rsidP="00996E70">
      <w:pPr>
        <w:pStyle w:val="NormalWeb"/>
        <w:shd w:val="clear" w:color="auto" w:fill="FFFFFF"/>
        <w:spacing w:after="0"/>
        <w:jc w:val="both"/>
        <w:textAlignment w:val="baseline"/>
      </w:pPr>
      <w:r w:rsidRPr="00996E70">
        <w:lastRenderedPageBreak/>
        <w:t>Si vemos el gráfico de cotización del bitcoin desde su inicio, la escalada de esta criptomoneda va de los 6,18 dólares de hace cinco años a rondar los 5.000 dólares recientemente. Subidas de miles por ciento como ésta  son capaces de seducir a cualquiera:</w:t>
      </w:r>
    </w:p>
    <w:p w:rsidR="00996E70" w:rsidRPr="00996E70" w:rsidRDefault="00996E70" w:rsidP="00996E70">
      <w:pPr>
        <w:pStyle w:val="NormalWeb"/>
        <w:shd w:val="clear" w:color="auto" w:fill="FFFFFF"/>
        <w:spacing w:after="0"/>
        <w:jc w:val="both"/>
        <w:textAlignment w:val="baseline"/>
      </w:pPr>
      <w:r w:rsidRPr="00996E70">
        <w:rPr>
          <w:noProof/>
        </w:rPr>
        <w:drawing>
          <wp:inline distT="0" distB="0" distL="0" distR="0" wp14:anchorId="2E6AA85E" wp14:editId="4CC9E5DB">
            <wp:extent cx="5727700" cy="1631950"/>
            <wp:effectExtent l="0" t="0" r="6350" b="6350"/>
            <wp:docPr id="3" name="Imagen 3" descr="http://estaticos04.expansion.com/blogs/estadistica-pollo/imagenes_posts/2017/09/05/187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04.expansion.com/blogs/estadistica-pollo/imagenes_posts/2017/09/05/187790.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1633036"/>
                    </a:xfrm>
                    <a:prstGeom prst="rect">
                      <a:avLst/>
                    </a:prstGeom>
                    <a:noFill/>
                    <a:ln>
                      <a:noFill/>
                    </a:ln>
                  </pic:spPr>
                </pic:pic>
              </a:graphicData>
            </a:graphic>
          </wp:inline>
        </w:drawing>
      </w:r>
      <w:r w:rsidRPr="00996E70">
        <w:t>Fuente: Coindesk.</w:t>
      </w:r>
    </w:p>
    <w:p w:rsidR="00996E70" w:rsidRPr="00996E70" w:rsidRDefault="00996E70" w:rsidP="00996E70">
      <w:pPr>
        <w:pStyle w:val="NormalWeb"/>
        <w:shd w:val="clear" w:color="auto" w:fill="FFFFFF"/>
        <w:spacing w:after="0"/>
        <w:jc w:val="both"/>
        <w:textAlignment w:val="baseline"/>
      </w:pPr>
      <w:r w:rsidRPr="00996E70">
        <w:t>Pero si ponemos la lupa en lo que ha ocurrido entre finales de agosto y principios de septiembre (2017), solo en una última semana se ha llegado a perder cerca de un 20%, en algunos momentos:</w:t>
      </w:r>
    </w:p>
    <w:p w:rsidR="00996E70" w:rsidRPr="00996E70" w:rsidRDefault="00996E70" w:rsidP="00996E70">
      <w:pPr>
        <w:pStyle w:val="NormalWeb"/>
        <w:shd w:val="clear" w:color="auto" w:fill="FFFFFF"/>
        <w:spacing w:after="0"/>
        <w:jc w:val="both"/>
        <w:textAlignment w:val="baseline"/>
      </w:pPr>
      <w:r w:rsidRPr="00996E70">
        <w:rPr>
          <w:noProof/>
        </w:rPr>
        <w:drawing>
          <wp:inline distT="0" distB="0" distL="0" distR="0" wp14:anchorId="7883D5E0" wp14:editId="74B0F1FA">
            <wp:extent cx="5727697" cy="1930400"/>
            <wp:effectExtent l="0" t="0" r="6985" b="0"/>
            <wp:docPr id="18" name="Imagen 18" descr="http://estaticos01.expansion.com/blogs/estadistica-pollo/imagenes_posts/2017/09/05/187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staticos01.expansion.com/blogs/estadistica-pollo/imagenes_posts/2017/09/05/187791.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1931685"/>
                    </a:xfrm>
                    <a:prstGeom prst="rect">
                      <a:avLst/>
                    </a:prstGeom>
                    <a:noFill/>
                    <a:ln>
                      <a:noFill/>
                    </a:ln>
                  </pic:spPr>
                </pic:pic>
              </a:graphicData>
            </a:graphic>
          </wp:inline>
        </w:drawing>
      </w:r>
    </w:p>
    <w:p w:rsidR="00996E70" w:rsidRPr="00996E70" w:rsidRDefault="00996E70" w:rsidP="00996E70">
      <w:pPr>
        <w:pStyle w:val="NormalWeb"/>
        <w:shd w:val="clear" w:color="auto" w:fill="FFFFFF"/>
        <w:spacing w:after="0"/>
        <w:jc w:val="both"/>
        <w:textAlignment w:val="baseline"/>
      </w:pPr>
      <w:r w:rsidRPr="00996E70">
        <w:t>¿Recuerdan Terra? Fue la salida a Bolsa más fulgurante de la burbuja puntocom. Empezó a cotizar a 11,81 euros en noviembre de 1999 y quienes compraron acciones y vendieron hasta marzo de 2000, cuando alcanzó los 157,65 euros, pudieron obtener jugosas plusvalías.</w:t>
      </w:r>
    </w:p>
    <w:p w:rsidR="00996E70" w:rsidRPr="00996E70" w:rsidRDefault="00996E70" w:rsidP="00996E70">
      <w:pPr>
        <w:pStyle w:val="NormalWeb"/>
        <w:shd w:val="clear" w:color="auto" w:fill="FFFFFF"/>
        <w:spacing w:before="0" w:beforeAutospacing="0" w:after="0" w:afterAutospacing="0"/>
        <w:jc w:val="both"/>
        <w:textAlignment w:val="baseline"/>
      </w:pPr>
      <w:r w:rsidRPr="00996E70">
        <w:t>Sin embargo, quienes no se habían desprendido de las acciones para entonces y tardaron en reaccionar esperando que remontara la racha vieron el inevitable declive que llevó al valor a desplomarse hasta los 3,04 euros en su último cierr</w:t>
      </w:r>
      <w:r w:rsidR="0066457B">
        <w:t>e en julio de 2005</w:t>
      </w:r>
      <w:r w:rsidRPr="00996E70">
        <w:t>:</w:t>
      </w:r>
    </w:p>
    <w:p w:rsidR="00996E70" w:rsidRDefault="00996E70" w:rsidP="00996E70">
      <w:pPr>
        <w:pStyle w:val="NormalWeb"/>
        <w:shd w:val="clear" w:color="auto" w:fill="FFFFFF"/>
        <w:spacing w:before="0" w:beforeAutospacing="0" w:after="0" w:afterAutospacing="0"/>
        <w:jc w:val="both"/>
        <w:textAlignment w:val="baseline"/>
        <w:rPr>
          <w:color w:val="FF0000"/>
        </w:rPr>
      </w:pPr>
    </w:p>
    <w:p w:rsidR="00996E70" w:rsidRDefault="00996E70" w:rsidP="00996E70">
      <w:pPr>
        <w:pStyle w:val="NormalWeb"/>
        <w:shd w:val="clear" w:color="auto" w:fill="FFFFFF"/>
        <w:spacing w:before="0" w:beforeAutospacing="0" w:after="0" w:afterAutospacing="0"/>
        <w:jc w:val="both"/>
        <w:textAlignment w:val="baseline"/>
        <w:rPr>
          <w:color w:val="FF0000"/>
        </w:rPr>
      </w:pPr>
      <w:r>
        <w:rPr>
          <w:noProof/>
        </w:rPr>
        <w:drawing>
          <wp:inline distT="0" distB="0" distL="0" distR="0" wp14:anchorId="433FEA8C" wp14:editId="0615D7E7">
            <wp:extent cx="5734050" cy="1930400"/>
            <wp:effectExtent l="0" t="0" r="0" b="0"/>
            <wp:docPr id="19" name="Imagen 19" descr="http://estaticos02.expansion.com/blogs/estadistica-pollo/imagenes_posts/2017/09/05/187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staticos02.expansion.com/blogs/estadistica-pollo/imagenes_posts/2017/09/05/18779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4050" cy="1930400"/>
                    </a:xfrm>
                    <a:prstGeom prst="rect">
                      <a:avLst/>
                    </a:prstGeom>
                    <a:noFill/>
                    <a:ln>
                      <a:noFill/>
                    </a:ln>
                  </pic:spPr>
                </pic:pic>
              </a:graphicData>
            </a:graphic>
          </wp:inline>
        </w:drawing>
      </w:r>
    </w:p>
    <w:p w:rsidR="001156ED" w:rsidRPr="00573D1B" w:rsidRDefault="001156ED" w:rsidP="001156ED">
      <w:pPr>
        <w:spacing w:after="180" w:line="240" w:lineRule="auto"/>
        <w:jc w:val="both"/>
        <w:rPr>
          <w:rFonts w:ascii="Times New Roman" w:eastAsia="Times New Roman" w:hAnsi="Times New Roman" w:cs="Times New Roman"/>
          <w:color w:val="000000"/>
          <w:sz w:val="24"/>
          <w:szCs w:val="24"/>
          <w:lang w:eastAsia="es-ES"/>
        </w:rPr>
      </w:pPr>
      <w:r w:rsidRPr="00573D1B">
        <w:rPr>
          <w:rFonts w:ascii="Times New Roman" w:eastAsia="Times New Roman" w:hAnsi="Times New Roman" w:cs="Times New Roman"/>
          <w:color w:val="000000"/>
          <w:sz w:val="24"/>
          <w:szCs w:val="24"/>
          <w:lang w:eastAsia="es-ES"/>
        </w:rPr>
        <w:lastRenderedPageBreak/>
        <w:t xml:space="preserve">La SEC ya advirtió de los riesgos de que las ICOs sean simplemente fórmulas para sacar dinero a los más incautos. </w:t>
      </w:r>
      <w:r w:rsidR="00506D34">
        <w:rPr>
          <w:rFonts w:ascii="Times New Roman" w:eastAsia="Times New Roman" w:hAnsi="Times New Roman" w:cs="Times New Roman"/>
          <w:color w:val="000000"/>
          <w:sz w:val="24"/>
          <w:szCs w:val="24"/>
          <w:lang w:eastAsia="es-ES"/>
        </w:rPr>
        <w:t>Pero como ya sabemos,</w:t>
      </w:r>
      <w:r w:rsidRPr="00573D1B">
        <w:rPr>
          <w:rFonts w:ascii="Times New Roman" w:eastAsia="Times New Roman" w:hAnsi="Times New Roman" w:cs="Times New Roman"/>
          <w:color w:val="000000"/>
          <w:sz w:val="24"/>
          <w:szCs w:val="24"/>
          <w:lang w:eastAsia="es-ES"/>
        </w:rPr>
        <w:t xml:space="preserve"> el dinero fácil provoca más entusiasmo que suspicacias.</w:t>
      </w:r>
      <w:r w:rsidR="00506D34">
        <w:rPr>
          <w:rFonts w:ascii="Times New Roman" w:eastAsia="Times New Roman" w:hAnsi="Times New Roman" w:cs="Times New Roman"/>
          <w:color w:val="000000"/>
          <w:sz w:val="24"/>
          <w:szCs w:val="24"/>
          <w:lang w:eastAsia="es-ES"/>
        </w:rPr>
        <w:t xml:space="preserve"> </w:t>
      </w:r>
      <w:r w:rsidR="00506D34" w:rsidRPr="00573D1B">
        <w:rPr>
          <w:rFonts w:ascii="Times New Roman" w:eastAsia="Times New Roman" w:hAnsi="Times New Roman" w:cs="Times New Roman"/>
          <w:color w:val="000000"/>
          <w:sz w:val="24"/>
          <w:szCs w:val="24"/>
          <w:lang w:eastAsia="es-ES"/>
        </w:rPr>
        <w:t>Como todas las burbujas, tiene, o tuvo en su día, un sentido</w:t>
      </w:r>
      <w:r w:rsidR="00506D34">
        <w:rPr>
          <w:rFonts w:ascii="Times New Roman" w:eastAsia="Times New Roman" w:hAnsi="Times New Roman" w:cs="Times New Roman"/>
          <w:color w:val="000000"/>
          <w:sz w:val="24"/>
          <w:szCs w:val="24"/>
          <w:lang w:eastAsia="es-ES"/>
        </w:rPr>
        <w:t xml:space="preserve">. </w:t>
      </w:r>
      <w:r w:rsidRPr="00573D1B">
        <w:rPr>
          <w:rFonts w:ascii="Times New Roman" w:eastAsia="Times New Roman" w:hAnsi="Times New Roman" w:cs="Times New Roman"/>
          <w:color w:val="000000"/>
          <w:sz w:val="24"/>
          <w:szCs w:val="24"/>
          <w:lang w:eastAsia="es-ES"/>
        </w:rPr>
        <w:t>E</w:t>
      </w:r>
      <w:r w:rsidR="00506D34">
        <w:rPr>
          <w:rFonts w:ascii="Times New Roman" w:eastAsia="Times New Roman" w:hAnsi="Times New Roman" w:cs="Times New Roman"/>
          <w:color w:val="000000"/>
          <w:sz w:val="24"/>
          <w:szCs w:val="24"/>
          <w:lang w:eastAsia="es-ES"/>
        </w:rPr>
        <w:t>n China, más directos que en EE</w:t>
      </w:r>
      <w:r w:rsidRPr="00573D1B">
        <w:rPr>
          <w:rFonts w:ascii="Times New Roman" w:eastAsia="Times New Roman" w:hAnsi="Times New Roman" w:cs="Times New Roman"/>
          <w:color w:val="000000"/>
          <w:sz w:val="24"/>
          <w:szCs w:val="24"/>
          <w:lang w:eastAsia="es-ES"/>
        </w:rPr>
        <w:t>UU, han prohibido las ICOs de un día para otro, forzando la</w:t>
      </w:r>
      <w:r>
        <w:rPr>
          <w:rFonts w:ascii="Times New Roman" w:eastAsia="Times New Roman" w:hAnsi="Times New Roman" w:cs="Times New Roman"/>
          <w:color w:val="000000"/>
          <w:sz w:val="24"/>
          <w:szCs w:val="24"/>
          <w:lang w:eastAsia="es-ES"/>
        </w:rPr>
        <w:t xml:space="preserve"> devolución del dinero captado.</w:t>
      </w:r>
    </w:p>
    <w:p w:rsidR="001156ED" w:rsidRPr="00573D1B" w:rsidRDefault="001156ED" w:rsidP="001156ED">
      <w:pPr>
        <w:spacing w:after="180" w:line="240" w:lineRule="auto"/>
        <w:jc w:val="both"/>
        <w:rPr>
          <w:rFonts w:ascii="Times New Roman" w:eastAsia="Times New Roman" w:hAnsi="Times New Roman" w:cs="Times New Roman"/>
          <w:color w:val="000000"/>
          <w:sz w:val="24"/>
          <w:szCs w:val="24"/>
          <w:lang w:eastAsia="es-ES"/>
        </w:rPr>
      </w:pPr>
      <w:r w:rsidRPr="00573D1B">
        <w:rPr>
          <w:rFonts w:ascii="Times New Roman" w:eastAsia="Times New Roman" w:hAnsi="Times New Roman" w:cs="Times New Roman"/>
          <w:color w:val="000000"/>
          <w:sz w:val="24"/>
          <w:szCs w:val="24"/>
          <w:lang w:eastAsia="es-ES"/>
        </w:rPr>
        <w:t>¿Quién compra? Hay fondos especializados en este mercado, a quienes seguramente no les falten clientes. Lógicamente, hay personas que ven en la CNBC o leen en su portal financiero de referencia que el bitcoin sube como la espuma y que la tecnología blockchain cambiará el mundo, y quieren participar de todo eso, sea lo que sea. Estas personas pueden adquirir directamente criptodivisas o pueden operar vía fondos. El fondo, a su vez, puede presumir ante sus clientes de estar metido al 110% en la revolución del bitcoin, así como de los astronómicos rendimientos obtenidos (aunque no realizados). Y el cliente tiene una carta ganadora en las barbacoas del d</w:t>
      </w:r>
      <w:r>
        <w:rPr>
          <w:rFonts w:ascii="Times New Roman" w:eastAsia="Times New Roman" w:hAnsi="Times New Roman" w:cs="Times New Roman"/>
          <w:color w:val="000000"/>
          <w:sz w:val="24"/>
          <w:szCs w:val="24"/>
          <w:lang w:eastAsia="es-ES"/>
        </w:rPr>
        <w:t>omingo con la familia política.</w:t>
      </w:r>
    </w:p>
    <w:p w:rsidR="002531E2" w:rsidRPr="00506D34" w:rsidRDefault="00506D34" w:rsidP="00506D34">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Así, estimado (y paciente) lector</w:t>
      </w:r>
      <w:r w:rsidR="001156ED" w:rsidRPr="00573D1B">
        <w:rPr>
          <w:rFonts w:ascii="Times New Roman" w:eastAsia="Times New Roman" w:hAnsi="Times New Roman" w:cs="Times New Roman"/>
          <w:color w:val="000000"/>
          <w:sz w:val="24"/>
          <w:szCs w:val="24"/>
          <w:lang w:eastAsia="es-ES"/>
        </w:rPr>
        <w:t>, funciona el mundo</w:t>
      </w:r>
      <w:r>
        <w:rPr>
          <w:rFonts w:ascii="Times New Roman" w:eastAsia="Times New Roman" w:hAnsi="Times New Roman" w:cs="Times New Roman"/>
          <w:color w:val="000000"/>
          <w:sz w:val="24"/>
          <w:szCs w:val="24"/>
          <w:lang w:eastAsia="es-ES"/>
        </w:rPr>
        <w:t xml:space="preserve"> financiero. </w:t>
      </w:r>
      <w:r w:rsidR="001156ED" w:rsidRPr="00573D1B">
        <w:rPr>
          <w:rFonts w:ascii="Times New Roman" w:eastAsia="Times New Roman" w:hAnsi="Times New Roman" w:cs="Times New Roman"/>
          <w:color w:val="000000"/>
          <w:sz w:val="24"/>
          <w:szCs w:val="24"/>
          <w:lang w:eastAsia="es-ES"/>
        </w:rPr>
        <w:t xml:space="preserve">En Bank of America cuentan que las burbujas actuales están haciendo que las burbujas clásicas, como la japonesa, la inmobiliaria o la puntocom, parezcan aburridas. Para Robert </w:t>
      </w:r>
      <w:r w:rsidR="002D3B01">
        <w:rPr>
          <w:rFonts w:ascii="Times New Roman" w:eastAsia="Times New Roman" w:hAnsi="Times New Roman" w:cs="Times New Roman"/>
          <w:color w:val="000000"/>
          <w:sz w:val="24"/>
          <w:szCs w:val="24"/>
          <w:lang w:eastAsia="es-ES"/>
        </w:rPr>
        <w:t>S</w:t>
      </w:r>
      <w:r w:rsidR="00DC73AB" w:rsidRPr="00573D1B">
        <w:rPr>
          <w:rFonts w:ascii="Times New Roman" w:eastAsia="Times New Roman" w:hAnsi="Times New Roman" w:cs="Times New Roman"/>
          <w:color w:val="000000"/>
          <w:sz w:val="24"/>
          <w:szCs w:val="24"/>
          <w:lang w:eastAsia="es-ES"/>
        </w:rPr>
        <w:t>hiller</w:t>
      </w:r>
      <w:r w:rsidR="001156ED" w:rsidRPr="00573D1B">
        <w:rPr>
          <w:rFonts w:ascii="Times New Roman" w:eastAsia="Times New Roman" w:hAnsi="Times New Roman" w:cs="Times New Roman"/>
          <w:color w:val="000000"/>
          <w:sz w:val="24"/>
          <w:szCs w:val="24"/>
          <w:lang w:eastAsia="es-ES"/>
        </w:rPr>
        <w:t>, premio Nobel</w:t>
      </w:r>
      <w:r>
        <w:rPr>
          <w:rFonts w:ascii="Times New Roman" w:eastAsia="Times New Roman" w:hAnsi="Times New Roman" w:cs="Times New Roman"/>
          <w:color w:val="000000"/>
          <w:sz w:val="24"/>
          <w:szCs w:val="24"/>
          <w:lang w:eastAsia="es-ES"/>
        </w:rPr>
        <w:t xml:space="preserve"> de economía</w:t>
      </w:r>
      <w:r w:rsidR="001156ED" w:rsidRPr="00573D1B">
        <w:rPr>
          <w:rFonts w:ascii="Times New Roman" w:eastAsia="Times New Roman" w:hAnsi="Times New Roman" w:cs="Times New Roman"/>
          <w:color w:val="000000"/>
          <w:sz w:val="24"/>
          <w:szCs w:val="24"/>
          <w:lang w:eastAsia="es-ES"/>
        </w:rPr>
        <w:t>, bitcoin</w:t>
      </w:r>
      <w:r>
        <w:rPr>
          <w:rFonts w:ascii="Times New Roman" w:eastAsia="Times New Roman" w:hAnsi="Times New Roman" w:cs="Times New Roman"/>
          <w:color w:val="000000"/>
          <w:sz w:val="24"/>
          <w:szCs w:val="24"/>
          <w:lang w:eastAsia="es-ES"/>
        </w:rPr>
        <w:t xml:space="preserve"> es “</w:t>
      </w:r>
      <w:r w:rsidR="001156ED" w:rsidRPr="00573D1B">
        <w:rPr>
          <w:rFonts w:ascii="Times New Roman" w:eastAsia="Times New Roman" w:hAnsi="Times New Roman" w:cs="Times New Roman"/>
          <w:color w:val="000000"/>
          <w:sz w:val="24"/>
          <w:szCs w:val="24"/>
          <w:lang w:eastAsia="es-ES"/>
        </w:rPr>
        <w:t>el m</w:t>
      </w:r>
      <w:r>
        <w:rPr>
          <w:rFonts w:ascii="Times New Roman" w:eastAsia="Times New Roman" w:hAnsi="Times New Roman" w:cs="Times New Roman"/>
          <w:color w:val="000000"/>
          <w:sz w:val="24"/>
          <w:szCs w:val="24"/>
          <w:lang w:eastAsia="es-ES"/>
        </w:rPr>
        <w:t>ejor ejemplo posible de burbuja”</w:t>
      </w:r>
      <w:r w:rsidR="001156ED" w:rsidRPr="00573D1B">
        <w:rPr>
          <w:rFonts w:ascii="Times New Roman" w:eastAsia="Times New Roman" w:hAnsi="Times New Roman" w:cs="Times New Roman"/>
          <w:color w:val="000000"/>
          <w:sz w:val="24"/>
          <w:szCs w:val="24"/>
          <w:lang w:eastAsia="es-ES"/>
        </w:rPr>
        <w:t xml:space="preserve">. Los tipos cero y las compras de deuda han mitigado la crisis por inundación, un sistema más o menos eficaz y mejor que alternativas de austeridad inspiradas en la medicina medieval, pero que tiene efectos secundarios. </w:t>
      </w:r>
    </w:p>
    <w:p w:rsidR="000E2D8B" w:rsidRDefault="000E2D8B" w:rsidP="000E2D8B">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Determinados activos están moviendo grandes cantidades de dinero en un espacio de tiempo relativamente corto, que incluso superan a las burbujas de activos como las de las acciones japonesas, segú</w:t>
      </w:r>
      <w:r>
        <w:rPr>
          <w:rFonts w:ascii="Times New Roman" w:hAnsi="Times New Roman" w:cs="Times New Roman"/>
          <w:sz w:val="24"/>
          <w:szCs w:val="24"/>
        </w:rPr>
        <w:t>n los estrategas de este banco.</w:t>
      </w:r>
    </w:p>
    <w:p w:rsidR="000E2D8B" w:rsidRPr="001D6813" w:rsidRDefault="000E2D8B" w:rsidP="000E2D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813">
        <w:rPr>
          <w:rFonts w:ascii="Times New Roman" w:hAnsi="Times New Roman" w:cs="Times New Roman"/>
          <w:sz w:val="24"/>
          <w:szCs w:val="24"/>
        </w:rPr>
        <w:t xml:space="preserve">Después de la crisis financiera, la generosidad de los bancos centrales parece inducir a aumentos de precios más rápidos </w:t>
      </w:r>
      <w:r>
        <w:rPr>
          <w:rFonts w:ascii="Times New Roman" w:hAnsi="Times New Roman" w:cs="Times New Roman"/>
          <w:sz w:val="24"/>
          <w:szCs w:val="24"/>
        </w:rPr>
        <w:t>y más abruptos que en el pasado”</w:t>
      </w:r>
      <w:r w:rsidRPr="001D6813">
        <w:rPr>
          <w:rFonts w:ascii="Times New Roman" w:hAnsi="Times New Roman" w:cs="Times New Roman"/>
          <w:sz w:val="24"/>
          <w:szCs w:val="24"/>
        </w:rPr>
        <w:t>, según varios analistas, entre los</w:t>
      </w:r>
      <w:r>
        <w:rPr>
          <w:rFonts w:ascii="Times New Roman" w:hAnsi="Times New Roman" w:cs="Times New Roman"/>
          <w:sz w:val="24"/>
          <w:szCs w:val="24"/>
        </w:rPr>
        <w:t xml:space="preserve"> que se cuenta Barnaby Martin. “</w:t>
      </w:r>
      <w:r w:rsidRPr="001D6813">
        <w:rPr>
          <w:rFonts w:ascii="Times New Roman" w:hAnsi="Times New Roman" w:cs="Times New Roman"/>
          <w:sz w:val="24"/>
          <w:szCs w:val="24"/>
        </w:rPr>
        <w:t>El comportamiento especulativo en los activos está apareciendo con más</w:t>
      </w:r>
      <w:r>
        <w:rPr>
          <w:rFonts w:ascii="Times New Roman" w:hAnsi="Times New Roman" w:cs="Times New Roman"/>
          <w:sz w:val="24"/>
          <w:szCs w:val="24"/>
        </w:rPr>
        <w:t xml:space="preserve"> frecuencia y en más mercados”.</w:t>
      </w:r>
    </w:p>
    <w:p w:rsidR="000E2D8B" w:rsidRPr="001D6813" w:rsidRDefault="000E2D8B" w:rsidP="000E2D8B">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Eso no quiere decir que las burbujas estén a punto de estallar, según han destacado los estrategas. El ciclo de crédito alcista sólo finalizará una vez que hayan cesado los flujos significativos; és</w:t>
      </w:r>
      <w:r>
        <w:rPr>
          <w:rFonts w:ascii="Times New Roman" w:hAnsi="Times New Roman" w:cs="Times New Roman"/>
          <w:sz w:val="24"/>
          <w:szCs w:val="24"/>
        </w:rPr>
        <w:t>tos sólo disminuirán si hay un “choque inflacionario”</w:t>
      </w:r>
      <w:r w:rsidRPr="001D6813">
        <w:rPr>
          <w:rFonts w:ascii="Times New Roman" w:hAnsi="Times New Roman" w:cs="Times New Roman"/>
          <w:sz w:val="24"/>
          <w:szCs w:val="24"/>
        </w:rPr>
        <w:t xml:space="preserve"> que altere la visión positiva que tiene el mercado de los ti</w:t>
      </w:r>
      <w:r>
        <w:rPr>
          <w:rFonts w:ascii="Times New Roman" w:hAnsi="Times New Roman" w:cs="Times New Roman"/>
          <w:sz w:val="24"/>
          <w:szCs w:val="24"/>
        </w:rPr>
        <w:t>pos, sentenciaron los expertos.</w:t>
      </w:r>
    </w:p>
    <w:p w:rsidR="000E2D8B" w:rsidRPr="001D6813" w:rsidRDefault="000E2D8B" w:rsidP="000E2D8B">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Por otro lado, Ruchir Sharma, director de mercados emergentes de Morgan Stanley, destaca en una entrevista con Bloomberg que los prolongados mercados alcistas de acciones y bonos se han convertido en la mayor a</w:t>
      </w:r>
      <w:r>
        <w:rPr>
          <w:rFonts w:ascii="Times New Roman" w:hAnsi="Times New Roman" w:cs="Times New Roman"/>
          <w:sz w:val="24"/>
          <w:szCs w:val="24"/>
        </w:rPr>
        <w:t>menaza para la economía global.</w:t>
      </w:r>
    </w:p>
    <w:p w:rsidR="000E2D8B" w:rsidRPr="001D6813" w:rsidRDefault="000E2D8B" w:rsidP="000E2D8B">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Este experto ha insinuado que la próxima crisis económica estará liderada por un colapso del mercado financiero y no por las posibles turbulencias que se produzcan en la economía rea</w:t>
      </w:r>
      <w:r>
        <w:rPr>
          <w:rFonts w:ascii="Times New Roman" w:hAnsi="Times New Roman" w:cs="Times New Roman"/>
          <w:sz w:val="24"/>
          <w:szCs w:val="24"/>
        </w:rPr>
        <w:t>l.</w:t>
      </w:r>
    </w:p>
    <w:p w:rsidR="000E2D8B" w:rsidRPr="001D6813" w:rsidRDefault="000E2D8B" w:rsidP="000E2D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813">
        <w:rPr>
          <w:rFonts w:ascii="Times New Roman" w:hAnsi="Times New Roman" w:cs="Times New Roman"/>
          <w:sz w:val="24"/>
          <w:szCs w:val="24"/>
        </w:rPr>
        <w:t>El tamaño de la economía financiera -acciones y bonos a nivel mundial- es más de tres veces la economía subyacente. Es muy posible que algo suceda allí, lo que tiene un efecto de golpe en la</w:t>
      </w:r>
      <w:r>
        <w:rPr>
          <w:rFonts w:ascii="Times New Roman" w:hAnsi="Times New Roman" w:cs="Times New Roman"/>
          <w:sz w:val="24"/>
          <w:szCs w:val="24"/>
        </w:rPr>
        <w:t xml:space="preserve"> economía, en lugar de al revés”</w:t>
      </w:r>
      <w:r w:rsidRPr="001D6813">
        <w:rPr>
          <w:rFonts w:ascii="Times New Roman" w:hAnsi="Times New Roman" w:cs="Times New Roman"/>
          <w:sz w:val="24"/>
          <w:szCs w:val="24"/>
        </w:rPr>
        <w:t>, dijo Shar</w:t>
      </w:r>
      <w:r>
        <w:rPr>
          <w:rFonts w:ascii="Times New Roman" w:hAnsi="Times New Roman" w:cs="Times New Roman"/>
          <w:sz w:val="24"/>
          <w:szCs w:val="24"/>
        </w:rPr>
        <w:t>ma en una entrevis</w:t>
      </w:r>
      <w:r w:rsidR="00F201EB">
        <w:rPr>
          <w:rFonts w:ascii="Times New Roman" w:hAnsi="Times New Roman" w:cs="Times New Roman"/>
          <w:sz w:val="24"/>
          <w:szCs w:val="24"/>
        </w:rPr>
        <w:t>ta el 5/9</w:t>
      </w:r>
      <w:r>
        <w:rPr>
          <w:rFonts w:ascii="Times New Roman" w:hAnsi="Times New Roman" w:cs="Times New Roman"/>
          <w:sz w:val="24"/>
          <w:szCs w:val="24"/>
        </w:rPr>
        <w:t>.</w:t>
      </w:r>
    </w:p>
    <w:p w:rsidR="000E2D8B" w:rsidRPr="001D6813" w:rsidRDefault="000E2D8B" w:rsidP="000E2D8B">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 xml:space="preserve">Teniendo en cuenta que los rendimientos globales de los bonos se han mantenido en descenso (los intereses que pagan han caído mientras que su precio ha subido), el aumento de los tipos de interés podría ser el catalizador para desatar la ira de los mercados, comenta Sharma. La segunda amenaza sí que estaría relacionada con la economía real y es una posible </w:t>
      </w:r>
      <w:r w:rsidRPr="001D6813">
        <w:rPr>
          <w:rFonts w:ascii="Times New Roman" w:hAnsi="Times New Roman" w:cs="Times New Roman"/>
          <w:sz w:val="24"/>
          <w:szCs w:val="24"/>
        </w:rPr>
        <w:lastRenderedPageBreak/>
        <w:t>desaceleración del crecimiento mundial que tome por sorpresa a</w:t>
      </w:r>
      <w:r>
        <w:rPr>
          <w:rFonts w:ascii="Times New Roman" w:hAnsi="Times New Roman" w:cs="Times New Roman"/>
          <w:sz w:val="24"/>
          <w:szCs w:val="24"/>
        </w:rPr>
        <w:t xml:space="preserve"> los participantes del mercado.</w:t>
      </w:r>
    </w:p>
    <w:p w:rsidR="000E2D8B" w:rsidRDefault="000E2D8B" w:rsidP="000E2D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813">
        <w:rPr>
          <w:rFonts w:ascii="Times New Roman" w:hAnsi="Times New Roman" w:cs="Times New Roman"/>
          <w:sz w:val="24"/>
          <w:szCs w:val="24"/>
        </w:rPr>
        <w:t>Hemos visto el crecimiento global oscilar en un rango, y ahora estamos en e</w:t>
      </w:r>
      <w:r>
        <w:rPr>
          <w:rFonts w:ascii="Times New Roman" w:hAnsi="Times New Roman" w:cs="Times New Roman"/>
          <w:sz w:val="24"/>
          <w:szCs w:val="24"/>
        </w:rPr>
        <w:t>l extremo superior de ese rango”</w:t>
      </w:r>
      <w:r w:rsidRPr="001D6813">
        <w:rPr>
          <w:rFonts w:ascii="Times New Roman" w:hAnsi="Times New Roman" w:cs="Times New Roman"/>
          <w:sz w:val="24"/>
          <w:szCs w:val="24"/>
        </w:rPr>
        <w:t>, asegura el jefe de mercados</w:t>
      </w:r>
      <w:r>
        <w:rPr>
          <w:rFonts w:ascii="Times New Roman" w:hAnsi="Times New Roman" w:cs="Times New Roman"/>
          <w:sz w:val="24"/>
          <w:szCs w:val="24"/>
        </w:rPr>
        <w:t xml:space="preserve"> emergentes de Morgan Stanley. “</w:t>
      </w:r>
      <w:r w:rsidRPr="001D6813">
        <w:rPr>
          <w:rFonts w:ascii="Times New Roman" w:hAnsi="Times New Roman" w:cs="Times New Roman"/>
          <w:sz w:val="24"/>
          <w:szCs w:val="24"/>
        </w:rPr>
        <w:t>Posiblemente las sorpresas a la baja sobre el crecimiento económico podrían apar</w:t>
      </w:r>
      <w:r>
        <w:rPr>
          <w:rFonts w:ascii="Times New Roman" w:hAnsi="Times New Roman" w:cs="Times New Roman"/>
          <w:sz w:val="24"/>
          <w:szCs w:val="24"/>
        </w:rPr>
        <w:t>ecer en los próximos seis meses”</w:t>
      </w:r>
      <w:r w:rsidRPr="001D6813">
        <w:rPr>
          <w:rFonts w:ascii="Times New Roman" w:hAnsi="Times New Roman" w:cs="Times New Roman"/>
          <w:sz w:val="24"/>
          <w:szCs w:val="24"/>
        </w:rPr>
        <w:t>.</w:t>
      </w:r>
    </w:p>
    <w:p w:rsidR="00E60D7E" w:rsidRPr="007968DF" w:rsidRDefault="00E60D7E" w:rsidP="00E60D7E">
      <w:pPr>
        <w:spacing w:line="240" w:lineRule="auto"/>
        <w:jc w:val="both"/>
        <w:rPr>
          <w:rFonts w:ascii="Times New Roman" w:hAnsi="Times New Roman" w:cs="Times New Roman"/>
          <w:sz w:val="24"/>
          <w:szCs w:val="24"/>
        </w:rPr>
      </w:pPr>
      <w:r w:rsidRPr="007968DF">
        <w:rPr>
          <w:rFonts w:ascii="Times New Roman" w:hAnsi="Times New Roman" w:cs="Times New Roman"/>
          <w:sz w:val="24"/>
          <w:szCs w:val="24"/>
        </w:rPr>
        <w:t>Nada de esto justifica bajar la guardia. Un sistema financiero global más integrado trae consigo inevitablemente más riesgo de contagio. Siempre pueden repetirse excesos; de hecho, los mercados accionarios e inmobiliarios en algunas economías avanzadas vuelven a registrar máximos que no se condicen con las mediocres perspectivas de crecimiento. Otro motivo de preocupación es la volatilidad de los flujos brutos de capitales. Desde 2010, un tercio de los países en desarrollo y dos tercios de las economías avanzadas han experimentado grandes fluctuaciones en el ingreso total de capitales. Particularmente inestables han sido los flujos de préstamos; más del 60% de los países tuvieron algún grado de fluctuación anual, con una mediana del 7,7% del PIB para las economías avanzadas y 3%</w:t>
      </w:r>
      <w:r>
        <w:rPr>
          <w:rFonts w:ascii="Times New Roman" w:hAnsi="Times New Roman" w:cs="Times New Roman"/>
          <w:sz w:val="24"/>
          <w:szCs w:val="24"/>
        </w:rPr>
        <w:t xml:space="preserve"> para los países en desarrollo.</w:t>
      </w:r>
    </w:p>
    <w:p w:rsidR="00E60D7E" w:rsidRDefault="00E60D7E" w:rsidP="00E60D7E">
      <w:pPr>
        <w:spacing w:line="240" w:lineRule="auto"/>
        <w:jc w:val="both"/>
        <w:rPr>
          <w:rFonts w:ascii="Times New Roman" w:hAnsi="Times New Roman" w:cs="Times New Roman"/>
          <w:sz w:val="24"/>
          <w:szCs w:val="24"/>
        </w:rPr>
      </w:pPr>
      <w:r w:rsidRPr="007968DF">
        <w:rPr>
          <w:rFonts w:ascii="Times New Roman" w:hAnsi="Times New Roman" w:cs="Times New Roman"/>
          <w:sz w:val="24"/>
          <w:szCs w:val="24"/>
        </w:rPr>
        <w:t>Algunos observadores sostienen que lo hecho hasta ahora para contener el riesgo sistémico es insuficiente; y en la medida en que el riesgo se haya trasladado de la banca formal a la informal, es posible que tengan razón. Pero en términos generales, se ven por todas partes señales de más resiliencia y estabilidad. De modo que las medidas tomadas estos últimos diez años implican que habrá menos fragilidad cuando llegue la próxima crisis (que seguramente llegará).</w:t>
      </w:r>
    </w:p>
    <w:p w:rsidR="00BD4909" w:rsidRPr="00BD4909" w:rsidRDefault="00BC0ACD" w:rsidP="00E60D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D4909" w:rsidRPr="00BD4909">
        <w:rPr>
          <w:rFonts w:ascii="Times New Roman" w:hAnsi="Times New Roman" w:cs="Times New Roman"/>
          <w:sz w:val="24"/>
          <w:szCs w:val="24"/>
        </w:rPr>
        <w:t>¿Es la “nueva normalidad” una “fábrica de lágrimas”?</w:t>
      </w:r>
    </w:p>
    <w:p w:rsidR="00413D4E" w:rsidRDefault="00BD4909" w:rsidP="00BD4909">
      <w:pPr>
        <w:spacing w:line="240" w:lineRule="auto"/>
        <w:jc w:val="both"/>
        <w:rPr>
          <w:rFonts w:ascii="Times New Roman" w:hAnsi="Times New Roman" w:cs="Times New Roman"/>
          <w:sz w:val="24"/>
          <w:szCs w:val="24"/>
        </w:rPr>
      </w:pPr>
      <w:r w:rsidRPr="00BD4909">
        <w:rPr>
          <w:rFonts w:ascii="Times New Roman" w:hAnsi="Times New Roman" w:cs="Times New Roman"/>
          <w:sz w:val="24"/>
          <w:szCs w:val="24"/>
        </w:rPr>
        <w:t>De todas las frases que la crisis de 2008 acuñó probablemente “the new normal” es la que mejor ha sobrevivido. Su autor Mohamed el Erian, norteamericano de origen egipcio, antiguo segundo de Pimco, expresidente del fondo de inversión de Harvard, y actual economista jefe de Allianze, utilizó ese nombre para que aceptáramos acost</w:t>
      </w:r>
      <w:r>
        <w:rPr>
          <w:rFonts w:ascii="Times New Roman" w:hAnsi="Times New Roman" w:cs="Times New Roman"/>
          <w:sz w:val="24"/>
          <w:szCs w:val="24"/>
        </w:rPr>
        <w:t>umbrarnos a un cambio duradero.</w:t>
      </w:r>
      <w:r w:rsidR="00413D4E">
        <w:rPr>
          <w:rFonts w:ascii="Times New Roman" w:hAnsi="Times New Roman" w:cs="Times New Roman"/>
          <w:sz w:val="24"/>
          <w:szCs w:val="24"/>
        </w:rPr>
        <w:t xml:space="preserve"> </w:t>
      </w:r>
      <w:r w:rsidR="00413D4E" w:rsidRPr="00413D4E">
        <w:rPr>
          <w:rFonts w:ascii="Times New Roman" w:hAnsi="Times New Roman" w:cs="Times New Roman"/>
          <w:sz w:val="24"/>
          <w:szCs w:val="24"/>
        </w:rPr>
        <w:t>El-Erian ha popularizado el término “nueva normalidad” para describir el largo período de lento crecimiento que enfrentó el mundo a raíz de la crisis de crédito del 2008.</w:t>
      </w:r>
    </w:p>
    <w:p w:rsidR="00004C32" w:rsidRDefault="00004C32" w:rsidP="00004C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lenta </w:t>
      </w:r>
      <w:r w:rsidRPr="00413D4E">
        <w:rPr>
          <w:rFonts w:ascii="Times New Roman" w:hAnsi="Times New Roman" w:cs="Times New Roman"/>
          <w:sz w:val="24"/>
          <w:szCs w:val="24"/>
        </w:rPr>
        <w:t>expansión económica de la era posterior a la crisis financiera podría estar en peligro si las autoridades electas no pueden sustituir a los responsables de la política monetaria en lo relativo a estimular un mayor crecimiento mediante reformas estructurales. “Si no hacemos esa tran</w:t>
      </w:r>
      <w:r>
        <w:rPr>
          <w:rFonts w:ascii="Times New Roman" w:hAnsi="Times New Roman" w:cs="Times New Roman"/>
          <w:sz w:val="24"/>
          <w:szCs w:val="24"/>
        </w:rPr>
        <w:t>sición”, dijo El-Erian el 29/3/17</w:t>
      </w:r>
      <w:r w:rsidRPr="00413D4E">
        <w:rPr>
          <w:rFonts w:ascii="Times New Roman" w:hAnsi="Times New Roman" w:cs="Times New Roman"/>
          <w:sz w:val="24"/>
          <w:szCs w:val="24"/>
        </w:rPr>
        <w:t xml:space="preserve"> en una entrevista de Bloomberg Television, “descubriremos que los bancos centrales son menos efectivos en lo que respecta a reprimir la volatilidad financiera e impulsar el crecimiento”. “El sistema político va a ser más complicado, la política contaminará aún más la economía, todo lo cual llevará a los mercados a preguntarse si las valuaciones tienen sentido en este contexto económico y político”, agregó. </w:t>
      </w:r>
    </w:p>
    <w:p w:rsidR="00004C32" w:rsidRDefault="00004C32" w:rsidP="00004C32">
      <w:pPr>
        <w:spacing w:line="240" w:lineRule="auto"/>
        <w:jc w:val="both"/>
        <w:rPr>
          <w:rFonts w:ascii="Times New Roman" w:hAnsi="Times New Roman" w:cs="Times New Roman"/>
          <w:sz w:val="24"/>
          <w:szCs w:val="24"/>
        </w:rPr>
      </w:pPr>
      <w:r w:rsidRPr="00413D4E">
        <w:rPr>
          <w:rFonts w:ascii="Times New Roman" w:hAnsi="Times New Roman" w:cs="Times New Roman"/>
          <w:sz w:val="24"/>
          <w:szCs w:val="24"/>
        </w:rPr>
        <w:t xml:space="preserve">Mientras que la Reserva Federal (Fed) trabajó para estimular la economía con tasas de interés bajas y la expansión de su balance, a los legisladores les ha costado aprobar reformas tributarias y mejoras a largo plazo de la infraestructura que podrían impulsar un crecimiento a más largo plazo. </w:t>
      </w:r>
    </w:p>
    <w:p w:rsidR="00004C32" w:rsidRPr="00BD4909" w:rsidRDefault="00004C32" w:rsidP="00BD4909">
      <w:pPr>
        <w:spacing w:line="240" w:lineRule="auto"/>
        <w:jc w:val="both"/>
        <w:rPr>
          <w:rFonts w:ascii="Times New Roman" w:hAnsi="Times New Roman" w:cs="Times New Roman"/>
          <w:sz w:val="24"/>
          <w:szCs w:val="24"/>
        </w:rPr>
      </w:pPr>
      <w:r w:rsidRPr="00413D4E">
        <w:rPr>
          <w:rFonts w:ascii="Times New Roman" w:hAnsi="Times New Roman" w:cs="Times New Roman"/>
          <w:sz w:val="24"/>
          <w:szCs w:val="24"/>
        </w:rPr>
        <w:t>“La senda que hemos transitado du</w:t>
      </w:r>
      <w:r>
        <w:rPr>
          <w:rFonts w:ascii="Times New Roman" w:hAnsi="Times New Roman" w:cs="Times New Roman"/>
          <w:sz w:val="24"/>
          <w:szCs w:val="24"/>
        </w:rPr>
        <w:t>rante tanto tiempo, la llamada “nueva normalidad”</w:t>
      </w:r>
      <w:r w:rsidRPr="00413D4E">
        <w:rPr>
          <w:rFonts w:ascii="Times New Roman" w:hAnsi="Times New Roman" w:cs="Times New Roman"/>
          <w:sz w:val="24"/>
          <w:szCs w:val="24"/>
        </w:rPr>
        <w:t xml:space="preserve">, está llegando a su fin porque la devoran sus propias contradicciones”, dijo El-Erian, que es también columnista de Bloomberg View. “La buena noticia es que podemos virar hacia </w:t>
      </w:r>
      <w:r w:rsidRPr="00413D4E">
        <w:rPr>
          <w:rFonts w:ascii="Times New Roman" w:hAnsi="Times New Roman" w:cs="Times New Roman"/>
          <w:sz w:val="24"/>
          <w:szCs w:val="24"/>
        </w:rPr>
        <w:lastRenderedPageBreak/>
        <w:t xml:space="preserve">políticas de impulso a la recuperación del crecimiento y un aumento de las ganancias. De no hacerlo, podemos tomar el camino opuesto”. </w:t>
      </w:r>
    </w:p>
    <w:p w:rsidR="00BD4909" w:rsidRPr="00BD4909" w:rsidRDefault="00BD4909" w:rsidP="00BD4909">
      <w:pPr>
        <w:spacing w:line="240" w:lineRule="auto"/>
        <w:jc w:val="both"/>
        <w:rPr>
          <w:rFonts w:ascii="Times New Roman" w:hAnsi="Times New Roman" w:cs="Times New Roman"/>
          <w:sz w:val="24"/>
          <w:szCs w:val="24"/>
        </w:rPr>
      </w:pPr>
      <w:r w:rsidRPr="00BD4909">
        <w:rPr>
          <w:rFonts w:ascii="Times New Roman" w:hAnsi="Times New Roman" w:cs="Times New Roman"/>
          <w:sz w:val="24"/>
          <w:szCs w:val="24"/>
        </w:rPr>
        <w:t>La  actual volatilidad de la economía mundial ha hecho difícil saber que es duradero y que no. Pero los activos sin riesgo, que han disminuido en número desde la crisis y generan menos intereses nominales, sugieren un cambio duradero. Muchos se preguntarán qué son, para qué sirven y que i</w:t>
      </w:r>
      <w:r>
        <w:rPr>
          <w:rFonts w:ascii="Times New Roman" w:hAnsi="Times New Roman" w:cs="Times New Roman"/>
          <w:sz w:val="24"/>
          <w:szCs w:val="24"/>
        </w:rPr>
        <w:t>mportan los activos sin riesgo.</w:t>
      </w:r>
    </w:p>
    <w:p w:rsidR="00BD4909" w:rsidRPr="00BD4909" w:rsidRDefault="00BD4909" w:rsidP="00BD4909">
      <w:pPr>
        <w:spacing w:line="240" w:lineRule="auto"/>
        <w:jc w:val="both"/>
        <w:rPr>
          <w:rFonts w:ascii="Times New Roman" w:hAnsi="Times New Roman" w:cs="Times New Roman"/>
          <w:sz w:val="24"/>
          <w:szCs w:val="24"/>
        </w:rPr>
      </w:pPr>
      <w:r w:rsidRPr="00BD4909">
        <w:rPr>
          <w:rFonts w:ascii="Times New Roman" w:hAnsi="Times New Roman" w:cs="Times New Roman"/>
          <w:sz w:val="24"/>
          <w:szCs w:val="24"/>
        </w:rPr>
        <w:t>Los activos sin riesgo son claves para el funcionamiento de la economía financiera que juega un papel central en el capitalismo moderno. La crisis los ha disminuido y su rendimiento es menor. Antes de la crisis prácticamente todos las deudas públicas de los países desarrollados se consideraban, al menos localmente, activos sin riesgo. Todas pagaban intereses  nominales a los inversores. Fondo de pensiones, compañías de seguros, bancos invertían en su deuda pública local con ese objetivo y ayudaban a financiar a sus Estados al mismo tiempo. En la zona euro los diferenciales eran inferiores a los 75 puntos básicos ent</w:t>
      </w:r>
      <w:r w:rsidR="00004C32">
        <w:rPr>
          <w:rFonts w:ascii="Times New Roman" w:hAnsi="Times New Roman" w:cs="Times New Roman"/>
          <w:sz w:val="24"/>
          <w:szCs w:val="24"/>
        </w:rPr>
        <w:t>re la deuda de los países euro.</w:t>
      </w:r>
      <w:r w:rsidRPr="00BD4909">
        <w:rPr>
          <w:rFonts w:ascii="Times New Roman" w:hAnsi="Times New Roman" w:cs="Times New Roman"/>
          <w:sz w:val="24"/>
          <w:szCs w:val="24"/>
        </w:rPr>
        <w:t xml:space="preserve"> </w:t>
      </w:r>
    </w:p>
    <w:p w:rsidR="00004C32" w:rsidRPr="00BD4909" w:rsidRDefault="00004C32" w:rsidP="00004C32">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00BD4909" w:rsidRPr="00BD4909">
        <w:rPr>
          <w:rFonts w:ascii="Times New Roman" w:hAnsi="Times New Roman" w:cs="Times New Roman"/>
          <w:sz w:val="24"/>
          <w:szCs w:val="24"/>
        </w:rPr>
        <w:t xml:space="preserve">l concepto prima de riesgo se ha convertido en una palabra común y esa prima indica que deudas públicas están o no libres de riesgo. </w:t>
      </w:r>
      <w:r>
        <w:rPr>
          <w:rFonts w:ascii="Times New Roman" w:hAnsi="Times New Roman" w:cs="Times New Roman"/>
          <w:sz w:val="24"/>
          <w:szCs w:val="24"/>
        </w:rPr>
        <w:t xml:space="preserve">Ya no todas las deudas públicas </w:t>
      </w:r>
      <w:r w:rsidRPr="00BD4909">
        <w:rPr>
          <w:rFonts w:ascii="Times New Roman" w:hAnsi="Times New Roman" w:cs="Times New Roman"/>
          <w:sz w:val="24"/>
          <w:szCs w:val="24"/>
        </w:rPr>
        <w:t>son activos sin riesgo, antes o después sus fondos de pensiones, compañías de seguros, bancos, inversores tendrán que tenerlo en cuenta.</w:t>
      </w:r>
      <w:r>
        <w:rPr>
          <w:rFonts w:ascii="Times New Roman" w:hAnsi="Times New Roman" w:cs="Times New Roman"/>
          <w:sz w:val="24"/>
          <w:szCs w:val="24"/>
        </w:rPr>
        <w:t xml:space="preserve"> </w:t>
      </w:r>
      <w:r w:rsidRPr="00BD4909">
        <w:rPr>
          <w:rFonts w:ascii="Times New Roman" w:hAnsi="Times New Roman" w:cs="Times New Roman"/>
          <w:sz w:val="24"/>
          <w:szCs w:val="24"/>
        </w:rPr>
        <w:t>El mundo es más peligroso, pero los acreedores cobran menos en términos nominales.</w:t>
      </w:r>
      <w:r>
        <w:rPr>
          <w:rFonts w:ascii="Times New Roman" w:hAnsi="Times New Roman" w:cs="Times New Roman"/>
          <w:sz w:val="24"/>
          <w:szCs w:val="24"/>
        </w:rPr>
        <w:t xml:space="preserve"> </w:t>
      </w:r>
      <w:r w:rsidRPr="00BD4909">
        <w:rPr>
          <w:rFonts w:ascii="Times New Roman" w:hAnsi="Times New Roman" w:cs="Times New Roman"/>
          <w:sz w:val="24"/>
          <w:szCs w:val="24"/>
        </w:rPr>
        <w:t>La ruptura del suelo hacia tipos negativos supone que Alicia ha traspasado el espejo hacia una nueva realidad.</w:t>
      </w:r>
    </w:p>
    <w:p w:rsidR="0077263E" w:rsidRDefault="00BD4909" w:rsidP="00BD4909">
      <w:pPr>
        <w:spacing w:line="240" w:lineRule="auto"/>
        <w:jc w:val="both"/>
        <w:rPr>
          <w:rFonts w:ascii="Times New Roman" w:hAnsi="Times New Roman" w:cs="Times New Roman"/>
          <w:sz w:val="24"/>
          <w:szCs w:val="24"/>
        </w:rPr>
      </w:pPr>
      <w:r w:rsidRPr="00BD4909">
        <w:rPr>
          <w:rFonts w:ascii="Times New Roman" w:hAnsi="Times New Roman" w:cs="Times New Roman"/>
          <w:sz w:val="24"/>
          <w:szCs w:val="24"/>
        </w:rPr>
        <w:t xml:space="preserve">A la pregunta de </w:t>
      </w:r>
      <w:r w:rsidR="0077263E" w:rsidRPr="00BD4909">
        <w:rPr>
          <w:rFonts w:ascii="Times New Roman" w:hAnsi="Times New Roman" w:cs="Times New Roman"/>
          <w:sz w:val="24"/>
          <w:szCs w:val="24"/>
        </w:rPr>
        <w:t>por qué</w:t>
      </w:r>
      <w:r w:rsidRPr="00BD4909">
        <w:rPr>
          <w:rFonts w:ascii="Times New Roman" w:hAnsi="Times New Roman" w:cs="Times New Roman"/>
          <w:sz w:val="24"/>
          <w:szCs w:val="24"/>
        </w:rPr>
        <w:t xml:space="preserve"> se produce este New normal parte de la contestación es el exceso de deuda con el que las economías desarrolladas salen de la crisis. La historia económica nos enseña, que en casos precedentes, las deudas excesivas o no se han pagado o se ha</w:t>
      </w:r>
      <w:r w:rsidR="0077263E">
        <w:rPr>
          <w:rFonts w:ascii="Times New Roman" w:hAnsi="Times New Roman" w:cs="Times New Roman"/>
          <w:sz w:val="24"/>
          <w:szCs w:val="24"/>
        </w:rPr>
        <w:t xml:space="preserve">n monetizado casi siempre con  </w:t>
      </w:r>
      <w:r w:rsidRPr="00BD4909">
        <w:rPr>
          <w:rFonts w:ascii="Times New Roman" w:hAnsi="Times New Roman" w:cs="Times New Roman"/>
          <w:sz w:val="24"/>
          <w:szCs w:val="24"/>
        </w:rPr>
        <w:t>devaluaciones. Esta vez la intervención de los bancos centrales comprando deuda y los tipos de interés negativos están intentando hacer el t</w:t>
      </w:r>
      <w:r w:rsidR="0077263E">
        <w:rPr>
          <w:rFonts w:ascii="Times New Roman" w:hAnsi="Times New Roman" w:cs="Times New Roman"/>
          <w:sz w:val="24"/>
          <w:szCs w:val="24"/>
        </w:rPr>
        <w:t xml:space="preserve">rabajo a favor de los deudores. </w:t>
      </w:r>
      <w:r w:rsidRPr="00BD4909">
        <w:rPr>
          <w:rFonts w:ascii="Times New Roman" w:hAnsi="Times New Roman" w:cs="Times New Roman"/>
          <w:sz w:val="24"/>
          <w:szCs w:val="24"/>
        </w:rPr>
        <w:t>Todo esto a</w:t>
      </w:r>
      <w:r w:rsidR="0077263E">
        <w:rPr>
          <w:rFonts w:ascii="Times New Roman" w:hAnsi="Times New Roman" w:cs="Times New Roman"/>
          <w:sz w:val="24"/>
          <w:szCs w:val="24"/>
        </w:rPr>
        <w:t>bre la puerta a muchas dudas</w:t>
      </w:r>
      <w:r w:rsidRPr="00BD4909">
        <w:rPr>
          <w:rFonts w:ascii="Times New Roman" w:hAnsi="Times New Roman" w:cs="Times New Roman"/>
          <w:sz w:val="24"/>
          <w:szCs w:val="24"/>
        </w:rPr>
        <w:t xml:space="preserve"> en varios ámbitos. </w:t>
      </w:r>
    </w:p>
    <w:p w:rsidR="0077263E" w:rsidRDefault="00BC0ACD" w:rsidP="00BD490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7263E">
        <w:rPr>
          <w:rFonts w:ascii="Times New Roman" w:hAnsi="Times New Roman" w:cs="Times New Roman"/>
          <w:sz w:val="24"/>
          <w:szCs w:val="24"/>
        </w:rPr>
        <w:t>¿Y</w:t>
      </w:r>
      <w:r w:rsidR="0077263E" w:rsidRPr="0077263E">
        <w:rPr>
          <w:rFonts w:ascii="Times New Roman" w:hAnsi="Times New Roman" w:cs="Times New Roman"/>
          <w:sz w:val="24"/>
          <w:szCs w:val="24"/>
        </w:rPr>
        <w:t xml:space="preserve"> si sólo podemos crecer creando burbujas?</w:t>
      </w:r>
      <w:r w:rsidR="00996E70">
        <w:rPr>
          <w:rFonts w:ascii="Times New Roman" w:hAnsi="Times New Roman" w:cs="Times New Roman"/>
          <w:sz w:val="24"/>
          <w:szCs w:val="24"/>
        </w:rPr>
        <w:t xml:space="preserve"> (economía de los excesos</w:t>
      </w:r>
      <w:r w:rsidR="0077263E">
        <w:rPr>
          <w:rFonts w:ascii="Times New Roman" w:hAnsi="Times New Roman" w:cs="Times New Roman"/>
          <w:sz w:val="24"/>
          <w:szCs w:val="24"/>
        </w:rPr>
        <w:t>)</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¿Qué pasaría si la crisis simplemente se hubiese acabado y en realidad nos estuviésemos enfrentando a un nuevo escenario en el que el escaso crecimiento es lo normal, una especie de estancamiento secular?, planteó el exsecretario del Tesoro estadounidense y asesor de Obama</w:t>
      </w:r>
      <w:r>
        <w:rPr>
          <w:rFonts w:ascii="Times New Roman" w:hAnsi="Times New Roman" w:cs="Times New Roman"/>
          <w:sz w:val="24"/>
          <w:szCs w:val="24"/>
        </w:rPr>
        <w:t xml:space="preserve">, </w:t>
      </w:r>
      <w:r w:rsidRPr="0077263E">
        <w:rPr>
          <w:rFonts w:ascii="Times New Roman" w:hAnsi="Times New Roman" w:cs="Times New Roman"/>
          <w:sz w:val="24"/>
          <w:szCs w:val="24"/>
        </w:rPr>
        <w:t>Larry Summers</w:t>
      </w:r>
      <w:r>
        <w:rPr>
          <w:rFonts w:ascii="Times New Roman" w:hAnsi="Times New Roman" w:cs="Times New Roman"/>
          <w:sz w:val="24"/>
          <w:szCs w:val="24"/>
        </w:rPr>
        <w:t xml:space="preserve">, </w:t>
      </w:r>
      <w:r w:rsidRPr="0077263E">
        <w:rPr>
          <w:rFonts w:ascii="Times New Roman" w:hAnsi="Times New Roman" w:cs="Times New Roman"/>
          <w:sz w:val="24"/>
          <w:szCs w:val="24"/>
        </w:rPr>
        <w:t xml:space="preserve"> ante una selecta audiencia en un foro del FMI.</w:t>
      </w:r>
      <w:r>
        <w:rPr>
          <w:rFonts w:ascii="Times New Roman" w:hAnsi="Times New Roman" w:cs="Times New Roman"/>
          <w:sz w:val="24"/>
          <w:szCs w:val="24"/>
        </w:rPr>
        <w:t xml:space="preserve"> </w:t>
      </w:r>
      <w:r w:rsidRPr="0077263E">
        <w:rPr>
          <w:rFonts w:ascii="Times New Roman" w:hAnsi="Times New Roman" w:cs="Times New Roman"/>
          <w:sz w:val="24"/>
          <w:szCs w:val="24"/>
        </w:rPr>
        <w:t xml:space="preserve">(Vozpópuli - </w:t>
      </w:r>
      <w:r w:rsidRPr="0077263E">
        <w:rPr>
          <w:rFonts w:ascii="Times New Roman" w:hAnsi="Times New Roman" w:cs="Times New Roman"/>
          <w:b/>
          <w:sz w:val="24"/>
          <w:szCs w:val="24"/>
        </w:rPr>
        <w:t>24/11/13</w:t>
      </w:r>
      <w:r w:rsidRPr="0077263E">
        <w:rPr>
          <w:rFonts w:ascii="Times New Roman" w:hAnsi="Times New Roman" w:cs="Times New Roman"/>
          <w:sz w:val="24"/>
          <w:szCs w:val="24"/>
        </w:rPr>
        <w:t>)</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Delante de una distinguida audiencia durante una conferencia en el FMI, con personajes de la talla de Ben Bernanke o Martin Feldstein entre los oyentes, el exsecretario del Tesoro estadounidense, excandidato a presidir la Fed y exasesor de Obama, Larry Su</w:t>
      </w:r>
      <w:r>
        <w:rPr>
          <w:rFonts w:ascii="Times New Roman" w:hAnsi="Times New Roman" w:cs="Times New Roman"/>
          <w:sz w:val="24"/>
          <w:szCs w:val="24"/>
        </w:rPr>
        <w:t xml:space="preserve">mmers, pronunció </w:t>
      </w:r>
      <w:r w:rsidRPr="0077263E">
        <w:rPr>
          <w:rFonts w:ascii="Times New Roman" w:hAnsi="Times New Roman" w:cs="Times New Roman"/>
          <w:sz w:val="24"/>
          <w:szCs w:val="24"/>
        </w:rPr>
        <w:t>un discurso que conmocionó a la comunidad de académicos y analistas por radical a la par que convincente y estremecedor: ¿y si la economía estadounidense y por extensión la occidental no es capaz de crecer y crear empleo?, ¿y si sólo puede hacerlo a fuerza de crear burbujas con los consiguiente</w:t>
      </w:r>
      <w:r>
        <w:rPr>
          <w:rFonts w:ascii="Times New Roman" w:hAnsi="Times New Roman" w:cs="Times New Roman"/>
          <w:sz w:val="24"/>
          <w:szCs w:val="24"/>
        </w:rPr>
        <w:t>s riesgos?</w:t>
      </w:r>
      <w:r w:rsidRPr="0077263E">
        <w:rPr>
          <w:rFonts w:ascii="Times New Roman" w:hAnsi="Times New Roman" w:cs="Times New Roman"/>
          <w:sz w:val="24"/>
          <w:szCs w:val="24"/>
        </w:rPr>
        <w:t>.</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 xml:space="preserve">Summers explicó que las autoridades lo hicieron muy bien a la hora de atajar el pánico del 2008-2009. La rapidez con la que suministraron la liquidez consiguió alejar el fantasma de una Gran Depresión y estabilizar las condiciones financieras. Sin embargo, cuatro años más tarde la proporción de gente trabajando no mejora y el crecimiento del PIB en EEUU sigue siendo anémico. Y semejante fenómeno no sólo ocurre en Estados Unidos, también sucede </w:t>
      </w:r>
      <w:r w:rsidRPr="0077263E">
        <w:rPr>
          <w:rFonts w:ascii="Times New Roman" w:hAnsi="Times New Roman" w:cs="Times New Roman"/>
          <w:sz w:val="24"/>
          <w:szCs w:val="24"/>
        </w:rPr>
        <w:lastRenderedPageBreak/>
        <w:t>por ejemplo en Japón. ¿Qué pasaría si la crisis simplemente se hubiese acabado y en realidad nos estuviésemos enfrentando a un nuevo escenario en el que el escaso crecimiento es lo normal, una especie de estancamiento secular?, planteó Summers.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El exsecretario del Tesoro con Bill Clinton, a veces criticado por su papel en la liberalización de los servicios financieros, relató cómo una crisis de origen bancario no es igual que las demás: si por ejemplo ocurre un desastre y se recorta de un día para otro el 80 por ciento de la producción eléctrica, entonces la economía se colapsaría igual que con una crisis financiera y el Producto Interior Bruto se desmoronaría. Sin embargo, a los pocos meses se empezaría a crecer de nuevo. En cambio, la normalización de una crisis bancaria no funciona así. Después de una restricción crediticia o credit crunch, se tarda mucho más en reactivar los canales financieros.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Y para explicar por qué Summers se remonta a la década anterior a la crisis y se pregunta: ¿cómo pudo ser que en los años previos a la debacle hubiese tanta imprudencia financiera, tanto dinero fácil, y aun así todos esos excesos no se tradujesen en un aumento espectacular de la demanda, mayor empleo, un sobrecalentamiento de la economía y, al final, una oleada de inflación rampante? Es decir, incluso con una gran burbuja y todos esos estímulos artificiales, la demanda no se disparó sin control. Supongamos, dice Summers, que los tipos de interés reales descontando la inflación ya fuesen antes negativos, y que ni siquiera así se logró el pleno empleo. ¿Acaso no será entonces que ya antes de la crisis no se podía crecer pero la actividad se mantuvo a fuerza de burbujas?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Según Summers, cuando los tipos de interés están en positivo éstos se pueden bajar y fomentar la demanda. Incluso con unos tipos a cero, se puede soportar la demanda inyectando dinero e inflando así algunos precios de activos. Pero una vez los tipos de interés, descontada la inflación, caen por debajo de cero la capacidad de maniobra se limita: aunque se pueden mantener los tipos muy bajos para siempre, resulta mucho más difícil tomar medidas extraordinarias que fomenten la demanda durante mucho tiempo o incluso para siempre.</w:t>
      </w:r>
      <w:r w:rsidR="00346209">
        <w:rPr>
          <w:rFonts w:ascii="Times New Roman" w:hAnsi="Times New Roman" w:cs="Times New Roman"/>
          <w:sz w:val="24"/>
          <w:szCs w:val="24"/>
        </w:rPr>
        <w:t xml:space="preserve"> Sin embargo, lamentablemente, “</w:t>
      </w:r>
      <w:r w:rsidRPr="0077263E">
        <w:rPr>
          <w:rFonts w:ascii="Times New Roman" w:hAnsi="Times New Roman" w:cs="Times New Roman"/>
          <w:sz w:val="24"/>
          <w:szCs w:val="24"/>
        </w:rPr>
        <w:t>el problema de fon</w:t>
      </w:r>
      <w:r w:rsidR="00346209">
        <w:rPr>
          <w:rFonts w:ascii="Times New Roman" w:hAnsi="Times New Roman" w:cs="Times New Roman"/>
          <w:sz w:val="24"/>
          <w:szCs w:val="24"/>
        </w:rPr>
        <w:t>do puede estar ahí para siempre”</w:t>
      </w:r>
      <w:r w:rsidRPr="0077263E">
        <w:rPr>
          <w:rFonts w:ascii="Times New Roman" w:hAnsi="Times New Roman" w:cs="Times New Roman"/>
          <w:sz w:val="24"/>
          <w:szCs w:val="24"/>
        </w:rPr>
        <w:t>, afirmó Summers.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Y de ser correcta esta visión, prosiguió Summers, dado que cuatro años más tarde no hay evidencia de que se haya restaurado el crecimiento, habría que preocuparse en el caso de que la política monetaria reduzca su actividad, se haga menos expansiva y brinde menos estímulos y, en consec</w:t>
      </w:r>
      <w:r w:rsidR="00346209">
        <w:rPr>
          <w:rFonts w:ascii="Times New Roman" w:hAnsi="Times New Roman" w:cs="Times New Roman"/>
          <w:sz w:val="24"/>
          <w:szCs w:val="24"/>
        </w:rPr>
        <w:t>uencia, conceda menos crédito. “</w:t>
      </w:r>
      <w:r w:rsidRPr="0077263E">
        <w:rPr>
          <w:rFonts w:ascii="Times New Roman" w:hAnsi="Times New Roman" w:cs="Times New Roman"/>
          <w:sz w:val="24"/>
          <w:szCs w:val="24"/>
        </w:rPr>
        <w:t>Podríamos necesitar que en los próximos años se piense sobre cómo se gestiona una economía donde el tipo de interés nominal cero es un inhibidor crónico y sistémico de la actividad económica, manteniendo nuestra econ</w:t>
      </w:r>
      <w:r w:rsidR="00346209">
        <w:rPr>
          <w:rFonts w:ascii="Times New Roman" w:hAnsi="Times New Roman" w:cs="Times New Roman"/>
          <w:sz w:val="24"/>
          <w:szCs w:val="24"/>
        </w:rPr>
        <w:t>omía por debajo de su potencial”</w:t>
      </w:r>
      <w:r w:rsidRPr="0077263E">
        <w:rPr>
          <w:rFonts w:ascii="Times New Roman" w:hAnsi="Times New Roman" w:cs="Times New Roman"/>
          <w:sz w:val="24"/>
          <w:szCs w:val="24"/>
        </w:rPr>
        <w:t>, remató Summers.</w:t>
      </w:r>
    </w:p>
    <w:p w:rsidR="00346209"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¿Y qué significa lo dicho por Summers? Esta intervención se entiende como un aval para las políticas de estímulos justo ahora que la Reserva Federal estudia si debe rebajar sus inyecciones monetarias y que el BCE baraja si tomar o no nuevas medidas para alejar la amenaza de unas inflaciones muy bajas y, por consiguiente, unos crecimientos muy bajos. Si la teoría de Summers se cumple, se trata de escoger entre el riesgo de sufrir la inflación y nuevas burbujas o el de padecer muchos años con altas tasas de desempleo.</w:t>
      </w:r>
    </w:p>
    <w:p w:rsidR="0077263E" w:rsidRPr="0077263E" w:rsidRDefault="00BC0ACD" w:rsidP="007726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819F3">
        <w:rPr>
          <w:rFonts w:ascii="Times New Roman" w:hAnsi="Times New Roman" w:cs="Times New Roman"/>
          <w:sz w:val="24"/>
          <w:szCs w:val="24"/>
        </w:rPr>
        <w:t>Pero… ¿</w:t>
      </w:r>
      <w:r w:rsidR="0077263E" w:rsidRPr="0077263E">
        <w:rPr>
          <w:rFonts w:ascii="Times New Roman" w:hAnsi="Times New Roman" w:cs="Times New Roman"/>
          <w:sz w:val="24"/>
          <w:szCs w:val="24"/>
        </w:rPr>
        <w:t>cómo hemos llegado hasta aquí?</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Occidente pudo crecer hasta me</w:t>
      </w:r>
      <w:r w:rsidR="00346209">
        <w:rPr>
          <w:rFonts w:ascii="Times New Roman" w:hAnsi="Times New Roman" w:cs="Times New Roman"/>
          <w:sz w:val="24"/>
          <w:szCs w:val="24"/>
        </w:rPr>
        <w:t>diados de los 80 gracias a los “baby boomers”</w:t>
      </w:r>
      <w:r w:rsidRPr="0077263E">
        <w:rPr>
          <w:rFonts w:ascii="Times New Roman" w:hAnsi="Times New Roman" w:cs="Times New Roman"/>
          <w:sz w:val="24"/>
          <w:szCs w:val="24"/>
        </w:rPr>
        <w:t xml:space="preserve"> y la incorporación de la mujer al trabajo. A partir de ahí, salvo por algunos momentos en los que </w:t>
      </w:r>
      <w:r w:rsidRPr="0077263E">
        <w:rPr>
          <w:rFonts w:ascii="Times New Roman" w:hAnsi="Times New Roman" w:cs="Times New Roman"/>
          <w:sz w:val="24"/>
          <w:szCs w:val="24"/>
        </w:rPr>
        <w:lastRenderedPageBreak/>
        <w:t>se aprovechó la globalización y las nuevas tecnologías, el motor del crecimiento ha sido la deuda y, por ende, las burbujas: la puntocom, la inmobiliaria y la del crédito.</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Y este proceso comenzó a agudizarse desde la crisis del 98 en los emergentes. Estos países consideran que tuvieron que sufrir la terapia del FMI porque no disponían de reservas con las que responder, y desde entonces empezaron a acumular divisas, sobre todo dólares. Y ello supuso que el precio del dólar se revalorizó y fulminó buena parte de la competitividad estadounidense, lo que a su vez se tradujo en que EEUU alcanzó un déficit comercial del orden del 10 por ciento del PIB. Y para financiar ese déficit todos los años tuvo que entrar en la economía un 10 por ciento del PIB prestado de fuera. Unos fondos que no se destinaron a inversiones productivas, sino a los mercados financieros e inmobiliarios, creando burbujas.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China, Alemania y Japón, los países más volcados con las exportaciones, se convirtieron en los principales suministradores mundiales de crédito, en concreto y sobre todo de Estados Unidos, Reino Unido y la periferia europea. Y ese mar de liquidez provocó que los tipos de interés se mantuviesen artificialmente bajos. La oferta de dinero fue tanta que éste se abarata. Una vez</w:t>
      </w:r>
      <w:r w:rsidR="00346209">
        <w:rPr>
          <w:rFonts w:ascii="Times New Roman" w:hAnsi="Times New Roman" w:cs="Times New Roman"/>
          <w:sz w:val="24"/>
          <w:szCs w:val="24"/>
        </w:rPr>
        <w:t xml:space="preserve"> que</w:t>
      </w:r>
      <w:r w:rsidRPr="0077263E">
        <w:rPr>
          <w:rFonts w:ascii="Times New Roman" w:hAnsi="Times New Roman" w:cs="Times New Roman"/>
          <w:sz w:val="24"/>
          <w:szCs w:val="24"/>
        </w:rPr>
        <w:t xml:space="preserve"> se resta la inflación, los tipos de interés en la práctica eran negativos y había que ser tontos para no endeudarse. Se podía tomar prestado cuanto se quisiera, ya que se podría devolver porque la actividad brindaba réditos mayores.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Hasta que ocurre el desastre. En una crisis típica, en cuanto se bajan los tipos se reanima la inversión y el empleo. Pero esta vez hay un exceso de capacidad y unos tipos de interés en el entorno de cero que sencillamente no facilitan el crecimiento por varias razones: por un lado, con los tipos tan bajos no se incentiva a la banca a dar crédito, y en lugar de concederlo al sector privado prefiere darlo al público que se califica de más seguro, o simplemente dedicarlo a la especulación financiera.</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Por otro, se anima la toma de riesgos y la inversión concentrada en mercados con expectativas de grandes crecimientos, esto es, en burbujas, distorsionando y finalmente destruyendo el crecimiento. En definitiva, mediante el uso de la deuda se adelanta tanta demanda traída del futuro que llega un momento en el que con un crecimiento extenuado las empresas y familias ya no pueden seguir endeudándose más, consumiendo más y a la vez amortizando sus plazos.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De modo que los problemas se acumulan: al tiempo que la austeridad restringe la demanda, todos los países se lanzan a la vez a ganar cuota de mercado exportadora. La población occidental envejece y mengua el crecimiento. Las reformas que mejoran la productividad son lentas y tienen un coste político alto. Y la globalización y la tecnología están causando una redistribución de la riqueza en detrimento de la clase media de los países occidentales y a favor de las naciones más pobres, las multinacionales y las grandes fortunas. Por si fuera poco, las inyecciones monetarias de los bancos centrales también acaban reportando pingües beneficios sobre todo a los más ricos.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Así las cosas, ¿y si ni siquiera una burbuja es capaz de contrarrestar los cambios estructurales que están ocurriendo?, ¿y si se han terminado los ciclos económicos y sólo podemos crear empleo a fuerza de burbujas financieras o estímulos masivos que siempre suelen acabar muy mal?, ¿cómo vamos a poder reanimar la inversión productiva si ahogados por la deuda no tenemos unas perspectivas de consumo que garanticen los retornos?</w:t>
      </w:r>
    </w:p>
    <w:p w:rsidR="00BC0ACD" w:rsidRPr="00197BCF" w:rsidRDefault="00BC0ACD" w:rsidP="00BC0ACD">
      <w:pPr>
        <w:spacing w:line="240" w:lineRule="auto"/>
        <w:jc w:val="both"/>
        <w:rPr>
          <w:rFonts w:ascii="Times New Roman" w:hAnsi="Times New Roman" w:cs="Times New Roman"/>
          <w:sz w:val="24"/>
          <w:szCs w:val="24"/>
          <w:lang w:val="en-GB"/>
        </w:rPr>
      </w:pPr>
      <w:r w:rsidRPr="00197BCF">
        <w:rPr>
          <w:rFonts w:ascii="Times New Roman" w:hAnsi="Times New Roman" w:cs="Times New Roman"/>
          <w:sz w:val="24"/>
          <w:szCs w:val="24"/>
          <w:lang w:val="en-GB"/>
        </w:rPr>
        <w:t>Joseph E. Stiglitz</w:t>
      </w:r>
      <w:r w:rsidR="00197BCF" w:rsidRPr="00197BCF">
        <w:rPr>
          <w:rFonts w:ascii="Times New Roman" w:hAnsi="Times New Roman" w:cs="Times New Roman"/>
          <w:sz w:val="24"/>
          <w:szCs w:val="24"/>
          <w:lang w:val="en-GB"/>
        </w:rPr>
        <w:t xml:space="preserve"> </w:t>
      </w:r>
      <w:r w:rsidR="00197BCF">
        <w:rPr>
          <w:rFonts w:ascii="Times New Roman" w:hAnsi="Times New Roman" w:cs="Times New Roman"/>
          <w:sz w:val="24"/>
          <w:szCs w:val="24"/>
          <w:lang w:val="en-GB"/>
        </w:rPr>
        <w:t>(</w:t>
      </w:r>
      <w:r w:rsidR="00197BCF" w:rsidRPr="0077263E">
        <w:rPr>
          <w:rFonts w:ascii="Times New Roman" w:hAnsi="Times New Roman" w:cs="Times New Roman"/>
          <w:sz w:val="24"/>
          <w:szCs w:val="24"/>
          <w:lang w:val="en-GB"/>
        </w:rPr>
        <w:t>Nobel laureate in economics and University Professor at Columbia University, was Cha</w:t>
      </w:r>
      <w:r w:rsidR="00197BCF">
        <w:rPr>
          <w:rFonts w:ascii="Times New Roman" w:hAnsi="Times New Roman" w:cs="Times New Roman"/>
          <w:sz w:val="24"/>
          <w:szCs w:val="24"/>
          <w:lang w:val="en-GB"/>
        </w:rPr>
        <w:t>irman of President Bill Clinton’</w:t>
      </w:r>
      <w:r w:rsidR="00197BCF" w:rsidRPr="0077263E">
        <w:rPr>
          <w:rFonts w:ascii="Times New Roman" w:hAnsi="Times New Roman" w:cs="Times New Roman"/>
          <w:sz w:val="24"/>
          <w:szCs w:val="24"/>
          <w:lang w:val="en-GB"/>
        </w:rPr>
        <w:t xml:space="preserve">s Council of Economic Advisers and </w:t>
      </w:r>
      <w:r w:rsidR="00197BCF" w:rsidRPr="0077263E">
        <w:rPr>
          <w:rFonts w:ascii="Times New Roman" w:hAnsi="Times New Roman" w:cs="Times New Roman"/>
          <w:sz w:val="24"/>
          <w:szCs w:val="24"/>
          <w:lang w:val="en-GB"/>
        </w:rPr>
        <w:lastRenderedPageBreak/>
        <w:t>served as Senior Vice President and Chief Economist of</w:t>
      </w:r>
      <w:r w:rsidR="00197BCF">
        <w:rPr>
          <w:rFonts w:ascii="Times New Roman" w:hAnsi="Times New Roman" w:cs="Times New Roman"/>
          <w:sz w:val="24"/>
          <w:szCs w:val="24"/>
          <w:lang w:val="en-GB"/>
        </w:rPr>
        <w:t xml:space="preserve"> the World Bank)</w:t>
      </w:r>
      <w:r w:rsidRPr="00197BCF">
        <w:rPr>
          <w:rFonts w:ascii="Times New Roman" w:hAnsi="Times New Roman" w:cs="Times New Roman"/>
          <w:sz w:val="24"/>
          <w:szCs w:val="24"/>
          <w:lang w:val="en-GB"/>
        </w:rPr>
        <w:t xml:space="preserve">, en un artículo (Estancamiento diseñado deliberadamente - Project Syndicate - </w:t>
      </w:r>
      <w:r w:rsidRPr="00197BCF">
        <w:rPr>
          <w:rFonts w:ascii="Times New Roman" w:hAnsi="Times New Roman" w:cs="Times New Roman"/>
          <w:b/>
          <w:sz w:val="24"/>
          <w:szCs w:val="24"/>
          <w:lang w:val="en-GB"/>
        </w:rPr>
        <w:t>5/2/14</w:t>
      </w:r>
      <w:r w:rsidRPr="00197BCF">
        <w:rPr>
          <w:rFonts w:ascii="Times New Roman" w:hAnsi="Times New Roman" w:cs="Times New Roman"/>
          <w:sz w:val="24"/>
          <w:szCs w:val="24"/>
          <w:lang w:val="en-GB"/>
        </w:rPr>
        <w:t>), decía:</w:t>
      </w:r>
    </w:p>
    <w:p w:rsidR="0077263E" w:rsidRPr="0077263E" w:rsidRDefault="00BC0ACD" w:rsidP="0077263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7263E" w:rsidRPr="0077263E">
        <w:rPr>
          <w:rFonts w:ascii="Times New Roman" w:hAnsi="Times New Roman" w:cs="Times New Roman"/>
          <w:sz w:val="24"/>
          <w:szCs w:val="24"/>
        </w:rPr>
        <w:t>Poco después de que estallara la crisis financiera mundial en el año 2008, advertí sobre que a menos que se adopten políticas adecuadas, se podía asentar un malestar al estilo japonés - es decir, un crecimiento lento e ingresos casi estancados durante muchos años. Si bien los líderes a ambos lados del Atlántico afirmaron que habían aprendido las lecciones de Japón, rápidamente procedieron a repetir algunos de los mismos errores. Ahora, incluso un ex funcionario clave de Estados Unidos, el economista Larry Summers, realiza advertencias sobre el estancamiento secular.</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El punto básico que planteé hace media década fue que, en un sentido fundamental, la economía de EEUU se encontraba enferma, incluso antes de la crisis: fue sólo una burbuja de precios de los activos, creada a través de regulaciones laxas y tasas de interés bajas, la que hizo que la economía aparentara estar robusta. Debajo de la superficie, numerosos problemas supuraban: una creciente desigualdad; una insatisfecha necesidad de reforma estructural (la necesidad de un desplazamiento desde una economía que se basa en la manufactura a una que se base en los servicios y que se adapte a las cambiantes ventajas comparativas a nivel mundial); persistentes desequilibrios a nivel mundial; y, un sistema financiero que está más en sintonía con la especulación que con la realización de inversiones que crearían puestos de trabajo, aumentarían la productividad, y redistribuirían los superávits con el objetivo de maximizar la rentabilidad social.</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La respuesta a la crisis de los formuladores de políticas no abordó estos problemas; peor aún, agravó algunos de ellos y creó otros nuevos - y no sólo en EEUU. El resultado ha sido un aumento del endeudamiento en muchos países, debido a que el colapso del PIB socavó los ingresos de los gobiernos. Además, la falta de inversión, tanto en el sector público como en el privado, ha creado una generación de jóvenes que han vivido durante años en un estado de inactividad y que se tornan cada vez más hostiles, en una etapa de sus vidas en la que ellos deberían estar perfeccionando sus destrezas y aumentando su productividad</w:t>
      </w:r>
      <w:r w:rsidR="00BC0ACD">
        <w:rPr>
          <w:rFonts w:ascii="Times New Roman" w:hAnsi="Times New Roman" w:cs="Times New Roman"/>
          <w:sz w:val="24"/>
          <w:szCs w:val="24"/>
        </w:rPr>
        <w:t>…</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Cada desaceleración en algún momento llega a su fin. La característica que distingue a una buena política es que ella logre que la desaceleración sea más corta y menos profunda de lo que hubiese sido si dicha política no se hubiese implementado. La característica que distingue a las políticas de austeridad que muchos gobiernos adoptaron es que ellas hicieron que la desaceleración sea mucho más profunda y más larga de lo necesario, causando además consecuencias de larga duración.</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El PIB real per cápita (ajustado por la inflación) es más bajo en la mayoría de los países del Atlántico del Norte en comparación a su nivel en el año 2007</w:t>
      </w:r>
      <w:r w:rsidR="00BC0ACD">
        <w:rPr>
          <w:rFonts w:ascii="Times New Roman" w:hAnsi="Times New Roman" w:cs="Times New Roman"/>
          <w:sz w:val="24"/>
          <w:szCs w:val="24"/>
        </w:rPr>
        <w:t>…</w:t>
      </w:r>
      <w:r w:rsidRPr="0077263E">
        <w:rPr>
          <w:rFonts w:ascii="Times New Roman" w:hAnsi="Times New Roman" w:cs="Times New Roman"/>
          <w:sz w:val="24"/>
          <w:szCs w:val="24"/>
        </w:rPr>
        <w:t xml:space="preserve"> La economía de EEUU continúa teniendo un tamaño 15% menor al que hubiese tenido si su crecimiento hubiese continuado, aún en caso de que dicho crecimiento se hubiese mantenido en la trayectoria moderada que registraba antes de la crisis.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Pero incluso estas cifras no relatan la historia completa sobre cuán mal están las cosas, debido a que el PIB no es una buena medida del éxito. Mucho más relevante es lo que está sucediendo con los ingresos de los hogares. La mediana del ingreso real en EEUU se encuentra por debajo del nivel en el que se encontraba en el año 1989, es decir hace un cuarto de siglo atrás; la mediana del ingreso para los trabajadores varones que trabajan a tiempo completo en la actualidad es más baja en comparación a la de se registró hace más de 40 años atrás</w:t>
      </w:r>
      <w:r w:rsidR="00BC0ACD">
        <w:rPr>
          <w:rFonts w:ascii="Times New Roman" w:hAnsi="Times New Roman" w:cs="Times New Roman"/>
          <w:sz w:val="24"/>
          <w:szCs w:val="24"/>
        </w:rPr>
        <w:t xml:space="preserve">… </w:t>
      </w:r>
      <w:r w:rsidRPr="0077263E">
        <w:rPr>
          <w:rFonts w:ascii="Times New Roman" w:hAnsi="Times New Roman" w:cs="Times New Roman"/>
          <w:sz w:val="24"/>
          <w:szCs w:val="24"/>
        </w:rPr>
        <w:t>una cosa parece estar clara: a menos que las políticas de los gobiernos cambien, tenemos por delante un largo período de decepciones.</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lastRenderedPageBreak/>
        <w:t>Los mercados no se autocorrigen. Los problemas fundamentales subyacentes que he descrito anteriormente podrían agravarse - y muchos de ellos se están agravando. El aumento de la desigualdad debilita aún más la demanda; y, en la mayoría de los países, incluyéndose entre ellos a EEUU, la crisis sólo ha agravado la desigualdad.</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Los superávits de las balanzas comerciales de los países del norte de Europa han aumentado, incluso mientras el superávit de China se ha moderado. Lo más importante es que los mercados nunca han sido muy buenos en cuanto a lograr por su propia cuenta transformaciones estructurales de forma rápida; la transición de la agricultura a la manufactura, por ejemplo, no fue de ninguna forma suave y calmada; al contrario, estuvo acompañada por una importante desarticulación social y por la Gran Depresión.</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Esta vez no ocurre algo distinto, pero en algunos aspectos la situación podría ser más grave: los sectores que deberían estar creciendo, reflejando las necesidades y deseos de los ciudadanos, son los sectores de servicios, como por ejemplo los sectores de salud y educación, que tradicionalmente se financian con fondos públicos, porque existen buenas razones para que se financien de esa manera. Pero, en lugar de que los gobiernos faciliten la transición, la austeridad la está inhibiendo.</w:t>
      </w:r>
    </w:p>
    <w:p w:rsidR="0077263E" w:rsidRP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Un malestar general es mejor que una recesión y una recesión es mejor que una depresión. Pero las dificultades que enfrentamos ahora no son el resultado de las leyes inexorables de la economía, a las cuales nosotros simplemente nos debemos adaptar, como lo haríamos en el caso de ocurriese un desastre natural, como ser un terremoto o un tsunami. Las dificultades que enfrentamos no son ni siquiera una especie de penitencia que tenemos que pagar por los pecados cometidos en el pasado - aunque, sin duda, las políticas neoliberales que han prevalecido durante las últimas tres décadas tienen mucho que ver con los trances que actualmente enfrentamos.</w:t>
      </w:r>
    </w:p>
    <w:p w:rsidR="0077263E" w:rsidRDefault="0077263E" w:rsidP="0077263E">
      <w:pPr>
        <w:spacing w:line="240" w:lineRule="auto"/>
        <w:jc w:val="both"/>
        <w:rPr>
          <w:rFonts w:ascii="Times New Roman" w:hAnsi="Times New Roman" w:cs="Times New Roman"/>
          <w:sz w:val="24"/>
          <w:szCs w:val="24"/>
        </w:rPr>
      </w:pPr>
      <w:r w:rsidRPr="0077263E">
        <w:rPr>
          <w:rFonts w:ascii="Times New Roman" w:hAnsi="Times New Roman" w:cs="Times New Roman"/>
          <w:sz w:val="24"/>
          <w:szCs w:val="24"/>
        </w:rPr>
        <w:t>En cambio, nuestras dificultades actuales son el resultado de políticas erróneas. Existen alternativas. Pero no las vamos a encontrar en la complacencia autosatisfecha de las élites, cuyos ingresos y carteras de acciones una vez más se disparan al alza. Aparentemente, sólo algunas personas deberán ajustarse a un estándar de vida más bajo de forma permanente. Desafortunadamente, lo que ocurre es que dichas personas conforman la gran mayoría de la población</w:t>
      </w:r>
      <w:r w:rsidR="00ED0C38">
        <w:rPr>
          <w:rFonts w:ascii="Times New Roman" w:hAnsi="Times New Roman" w:cs="Times New Roman"/>
          <w:sz w:val="24"/>
          <w:szCs w:val="24"/>
        </w:rPr>
        <w:t>”…</w:t>
      </w:r>
    </w:p>
    <w:p w:rsidR="00B819F3" w:rsidRDefault="00B819F3"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819F3">
        <w:rPr>
          <w:rFonts w:ascii="Times New Roman" w:hAnsi="Times New Roman" w:cs="Times New Roman"/>
          <w:sz w:val="24"/>
          <w:szCs w:val="24"/>
        </w:rPr>
        <w:t>El futuro de hoy</w:t>
      </w:r>
      <w:r>
        <w:rPr>
          <w:rFonts w:ascii="Times New Roman" w:hAnsi="Times New Roman" w:cs="Times New Roman"/>
          <w:sz w:val="24"/>
          <w:szCs w:val="24"/>
        </w:rPr>
        <w:t xml:space="preserve"> </w:t>
      </w:r>
      <w:r w:rsidR="00D36BD5">
        <w:rPr>
          <w:rFonts w:ascii="Times New Roman" w:hAnsi="Times New Roman" w:cs="Times New Roman"/>
          <w:sz w:val="24"/>
          <w:szCs w:val="24"/>
        </w:rPr>
        <w:t>(los que juegan a los dados con Dios)</w:t>
      </w:r>
    </w:p>
    <w:p w:rsidR="00D36BD5" w:rsidRDefault="00D36BD5"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creación de ficciones y la capacidad de hacer que otros crean en ellos. Un capitalismo esperpéntico. Una economía de casino. De la realidad “aumentada” (2015), pasamos a la realidad “virtual” (2016) y al final de la “década infame” (2007-2017) solo descubrimos una realidad “triste” (o una triste realidad). </w:t>
      </w:r>
    </w:p>
    <w:p w:rsidR="005002CB" w:rsidRDefault="00D36BD5"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Antes, cuando é</w:t>
      </w:r>
      <w:r w:rsidR="005002CB">
        <w:rPr>
          <w:rFonts w:ascii="Times New Roman" w:hAnsi="Times New Roman" w:cs="Times New Roman"/>
          <w:sz w:val="24"/>
          <w:szCs w:val="24"/>
        </w:rPr>
        <w:t xml:space="preserve">ramos más pobres, y no existían: IPhone. </w:t>
      </w:r>
      <w:r w:rsidR="005002CB" w:rsidRPr="005002CB">
        <w:rPr>
          <w:rFonts w:ascii="Times New Roman" w:hAnsi="Times New Roman" w:cs="Times New Roman"/>
          <w:sz w:val="24"/>
          <w:szCs w:val="24"/>
        </w:rPr>
        <w:t>IPad, Facebook, Twitter, Pokemons, WhatsApp, gadgets y simulaciones, el dólar era una moneda seria, no hab</w:t>
      </w:r>
      <w:r w:rsidR="00E13C47">
        <w:rPr>
          <w:rFonts w:ascii="Times New Roman" w:hAnsi="Times New Roman" w:cs="Times New Roman"/>
          <w:sz w:val="24"/>
          <w:szCs w:val="24"/>
        </w:rPr>
        <w:t>ía marcos</w:t>
      </w:r>
      <w:r w:rsidR="005002CB">
        <w:rPr>
          <w:rFonts w:ascii="Times New Roman" w:hAnsi="Times New Roman" w:cs="Times New Roman"/>
          <w:sz w:val="24"/>
          <w:szCs w:val="24"/>
        </w:rPr>
        <w:t>,</w:t>
      </w:r>
      <w:r w:rsidR="001927CE">
        <w:rPr>
          <w:rFonts w:ascii="Times New Roman" w:hAnsi="Times New Roman" w:cs="Times New Roman"/>
          <w:sz w:val="24"/>
          <w:szCs w:val="24"/>
        </w:rPr>
        <w:t xml:space="preserve"> libras,</w:t>
      </w:r>
      <w:r w:rsidR="00E13C47">
        <w:rPr>
          <w:rFonts w:ascii="Times New Roman" w:hAnsi="Times New Roman" w:cs="Times New Roman"/>
          <w:sz w:val="24"/>
          <w:szCs w:val="24"/>
        </w:rPr>
        <w:t xml:space="preserve"> </w:t>
      </w:r>
      <w:r w:rsidR="005002CB">
        <w:rPr>
          <w:rFonts w:ascii="Times New Roman" w:hAnsi="Times New Roman" w:cs="Times New Roman"/>
          <w:sz w:val="24"/>
          <w:szCs w:val="24"/>
        </w:rPr>
        <w:t>francos suizos</w:t>
      </w:r>
      <w:r w:rsidR="00E13C47">
        <w:rPr>
          <w:rFonts w:ascii="Times New Roman" w:hAnsi="Times New Roman" w:cs="Times New Roman"/>
          <w:sz w:val="24"/>
          <w:szCs w:val="24"/>
        </w:rPr>
        <w:t>, yenes</w:t>
      </w:r>
      <w:r w:rsidR="005002CB">
        <w:rPr>
          <w:rFonts w:ascii="Times New Roman" w:hAnsi="Times New Roman" w:cs="Times New Roman"/>
          <w:sz w:val="24"/>
          <w:szCs w:val="24"/>
        </w:rPr>
        <w:t>…, ni ninguna moneda que valiera algo al lado del dólar.</w:t>
      </w:r>
    </w:p>
    <w:p w:rsidR="005002CB" w:rsidRDefault="005002CB"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Entonces ¿cuál ha sido el mal de América? El enriquecimiento sin propósito, la falta de producción, la falta de fe en el sentido último de </w:t>
      </w:r>
      <w:r w:rsidR="005211CD">
        <w:rPr>
          <w:rFonts w:ascii="Times New Roman" w:hAnsi="Times New Roman" w:cs="Times New Roman"/>
          <w:sz w:val="24"/>
          <w:szCs w:val="24"/>
        </w:rPr>
        <w:t>un acto. Desde hace por lo menos</w:t>
      </w:r>
      <w:r>
        <w:rPr>
          <w:rFonts w:ascii="Times New Roman" w:hAnsi="Times New Roman" w:cs="Times New Roman"/>
          <w:sz w:val="24"/>
          <w:szCs w:val="24"/>
        </w:rPr>
        <w:t xml:space="preserve"> tres décadas EEUU no produce nada novedoso. Salvo pornografía, dinero falso, y estupideces por doquier.</w:t>
      </w:r>
    </w:p>
    <w:p w:rsidR="00D36BD5" w:rsidRDefault="00E13C47"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Para la ortodoxia </w:t>
      </w:r>
      <w:r w:rsidR="005002CB">
        <w:rPr>
          <w:rFonts w:ascii="Times New Roman" w:hAnsi="Times New Roman" w:cs="Times New Roman"/>
          <w:sz w:val="24"/>
          <w:szCs w:val="24"/>
        </w:rPr>
        <w:t xml:space="preserve">dominante (en EEUU y de rebote en Europa, Japón… y más allá), la economía global solo es capaz de sobrevivir generando inflaciones de activos financieros y/o </w:t>
      </w:r>
      <w:r w:rsidR="005211CD">
        <w:rPr>
          <w:rFonts w:ascii="Times New Roman" w:hAnsi="Times New Roman" w:cs="Times New Roman"/>
          <w:sz w:val="24"/>
          <w:szCs w:val="24"/>
        </w:rPr>
        <w:t>inmobiliarios.</w:t>
      </w:r>
      <w:r w:rsidR="005002CB" w:rsidRPr="005002CB">
        <w:rPr>
          <w:rFonts w:ascii="Times New Roman" w:hAnsi="Times New Roman" w:cs="Times New Roman"/>
          <w:sz w:val="24"/>
          <w:szCs w:val="24"/>
        </w:rPr>
        <w:t xml:space="preserve"> </w:t>
      </w:r>
    </w:p>
    <w:p w:rsidR="005211CD" w:rsidRDefault="005211CD"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Pero a cada inflación de activos, cuando estalla le sigue otra todavía más perniciosa, de manera que cuando esta nueva explota el impacto macroeconómico negativo se acrecienta.</w:t>
      </w:r>
    </w:p>
    <w:p w:rsidR="005211CD" w:rsidRDefault="005211CD"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Cerebros (siniestros) contra sentimientos (irreflexivos): </w:t>
      </w:r>
      <w:r w:rsidR="005C18A9">
        <w:rPr>
          <w:rFonts w:ascii="Times New Roman" w:hAnsi="Times New Roman" w:cs="Times New Roman"/>
          <w:sz w:val="24"/>
          <w:szCs w:val="24"/>
        </w:rPr>
        <w:t>“la verdad de la milanesa”</w:t>
      </w:r>
    </w:p>
    <w:p w:rsidR="005211CD" w:rsidRDefault="005211CD"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Los “vendedores de hipotecas” convencen al trabador pobre (en USA, tal vez, un negro en camiseta) que puede comprarse la casa de los sueños con una hipoteca a 25, 30 o más años…</w:t>
      </w:r>
    </w:p>
    <w:p w:rsidR="005C18A9" w:rsidRDefault="005211CD"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deuda es empaquetada con otras similares y los genios de Wall Street crean un “vehículo de inversión estructurada” (atención al nombre, aunque hay otros con más “magnetismo”: </w:t>
      </w:r>
      <w:r w:rsidR="005C18A9">
        <w:rPr>
          <w:rFonts w:ascii="Times New Roman" w:hAnsi="Times New Roman" w:cs="Times New Roman"/>
          <w:sz w:val="24"/>
          <w:szCs w:val="24"/>
        </w:rPr>
        <w:t>“fondo estratégico de crédito estructurado de alta gama”, “fondo de apalancamiento de créditos estructurados de alta gama”) y se los venden a la “manada” (por el mundo mundial).</w:t>
      </w:r>
    </w:p>
    <w:p w:rsidR="005C18A9" w:rsidRDefault="005C18A9"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Al final todos los fondos resultan ser el “fondo del negro desempleado” y se descubre que el “win win” no existe. ¿Han sido “estúpidos” los inversores (la manada)?</w:t>
      </w:r>
    </w:p>
    <w:p w:rsidR="005C18A9" w:rsidRDefault="00E13C47"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La “respuesta” del</w:t>
      </w:r>
      <w:r w:rsidR="005C18A9">
        <w:rPr>
          <w:rFonts w:ascii="Times New Roman" w:hAnsi="Times New Roman" w:cs="Times New Roman"/>
          <w:sz w:val="24"/>
          <w:szCs w:val="24"/>
        </w:rPr>
        <w:t xml:space="preserve"> mercado: lo “estúpido” ha sido preguntar cuánto vale toda esta mierda. </w:t>
      </w:r>
    </w:p>
    <w:p w:rsidR="005C18A9" w:rsidRDefault="005C18A9"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Crisis, colapso financiero… los bancos centrales y gobiernos rescatan a los especuladores</w:t>
      </w:r>
      <w:r w:rsidR="002755D6">
        <w:rPr>
          <w:rFonts w:ascii="Times New Roman" w:hAnsi="Times New Roman" w:cs="Times New Roman"/>
          <w:sz w:val="24"/>
          <w:szCs w:val="24"/>
        </w:rPr>
        <w:t xml:space="preserve">. Por supuesto el </w:t>
      </w:r>
      <w:r w:rsidR="00E13C47">
        <w:rPr>
          <w:rFonts w:ascii="Times New Roman" w:hAnsi="Times New Roman" w:cs="Times New Roman"/>
          <w:sz w:val="24"/>
          <w:szCs w:val="24"/>
        </w:rPr>
        <w:t>“</w:t>
      </w:r>
      <w:r w:rsidR="002755D6">
        <w:rPr>
          <w:rFonts w:ascii="Times New Roman" w:hAnsi="Times New Roman" w:cs="Times New Roman"/>
          <w:sz w:val="24"/>
          <w:szCs w:val="24"/>
        </w:rPr>
        <w:t>negro</w:t>
      </w:r>
      <w:r w:rsidR="00E13C47">
        <w:rPr>
          <w:rFonts w:ascii="Times New Roman" w:hAnsi="Times New Roman" w:cs="Times New Roman"/>
          <w:sz w:val="24"/>
          <w:szCs w:val="24"/>
        </w:rPr>
        <w:t>”</w:t>
      </w:r>
      <w:r w:rsidR="002755D6">
        <w:rPr>
          <w:rFonts w:ascii="Times New Roman" w:hAnsi="Times New Roman" w:cs="Times New Roman"/>
          <w:sz w:val="24"/>
          <w:szCs w:val="24"/>
        </w:rPr>
        <w:t xml:space="preserve"> ha perdido su empleo y su casa. Los “vendedores de hipotecas” y los “traders” de Wall Street, siguen cobrando sus “bonus”… y jugando a los dados con Dios.</w:t>
      </w:r>
    </w:p>
    <w:p w:rsidR="00E13C47" w:rsidRDefault="008724C2"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La serpiente ha</w:t>
      </w:r>
      <w:r w:rsidR="00E13C47">
        <w:rPr>
          <w:rFonts w:ascii="Times New Roman" w:hAnsi="Times New Roman" w:cs="Times New Roman"/>
          <w:sz w:val="24"/>
          <w:szCs w:val="24"/>
        </w:rPr>
        <w:t xml:space="preserve"> salido del huevo</w:t>
      </w:r>
      <w:r>
        <w:rPr>
          <w:rFonts w:ascii="Times New Roman" w:hAnsi="Times New Roman" w:cs="Times New Roman"/>
          <w:sz w:val="24"/>
          <w:szCs w:val="24"/>
        </w:rPr>
        <w:t xml:space="preserve"> (nota: el huevo de la serpiente fue la crisis de las subprime)</w:t>
      </w:r>
    </w:p>
    <w:p w:rsidR="00E13C47" w:rsidRDefault="00E13C47" w:rsidP="00B819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Antes, cuando éramos más pobres, </w:t>
      </w:r>
      <w:r w:rsidR="008661ED">
        <w:rPr>
          <w:rFonts w:ascii="Times New Roman" w:hAnsi="Times New Roman" w:cs="Times New Roman"/>
          <w:sz w:val="24"/>
          <w:szCs w:val="24"/>
        </w:rPr>
        <w:t xml:space="preserve">teníamos una economía </w:t>
      </w:r>
      <w:r>
        <w:rPr>
          <w:rFonts w:ascii="Times New Roman" w:hAnsi="Times New Roman" w:cs="Times New Roman"/>
          <w:sz w:val="24"/>
          <w:szCs w:val="24"/>
        </w:rPr>
        <w:t>que valía la pena</w:t>
      </w:r>
      <w:r w:rsidR="008661ED">
        <w:rPr>
          <w:rFonts w:ascii="Times New Roman" w:hAnsi="Times New Roman" w:cs="Times New Roman"/>
          <w:sz w:val="24"/>
          <w:szCs w:val="24"/>
        </w:rPr>
        <w:t>, se trataba de producir más y mejor</w:t>
      </w:r>
      <w:r>
        <w:rPr>
          <w:rFonts w:ascii="Times New Roman" w:hAnsi="Times New Roman" w:cs="Times New Roman"/>
          <w:sz w:val="24"/>
          <w:szCs w:val="24"/>
        </w:rPr>
        <w:t>…</w:t>
      </w:r>
      <w:r w:rsidR="008661ED">
        <w:rPr>
          <w:rFonts w:ascii="Times New Roman" w:hAnsi="Times New Roman" w:cs="Times New Roman"/>
          <w:sz w:val="24"/>
          <w:szCs w:val="24"/>
        </w:rPr>
        <w:t xml:space="preserve"> ahora, solo se trata de un juego</w:t>
      </w:r>
      <w:r>
        <w:rPr>
          <w:rFonts w:ascii="Times New Roman" w:hAnsi="Times New Roman" w:cs="Times New Roman"/>
          <w:sz w:val="24"/>
          <w:szCs w:val="24"/>
        </w:rPr>
        <w:t xml:space="preserve"> de poder, de vender humo, </w:t>
      </w:r>
      <w:r w:rsidR="008661ED">
        <w:rPr>
          <w:rFonts w:ascii="Times New Roman" w:hAnsi="Times New Roman" w:cs="Times New Roman"/>
          <w:sz w:val="24"/>
          <w:szCs w:val="24"/>
        </w:rPr>
        <w:t>de manipular al consumidor, de intoxicar… de jugar en el casino con el dinero ajeno, socializando las pérdidas y privatizando las ganancias… matand</w:t>
      </w:r>
      <w:r w:rsidR="00F45063">
        <w:rPr>
          <w:rFonts w:ascii="Times New Roman" w:hAnsi="Times New Roman" w:cs="Times New Roman"/>
          <w:sz w:val="24"/>
          <w:szCs w:val="24"/>
        </w:rPr>
        <w:t xml:space="preserve">o al capitalismo por sobredosis… </w:t>
      </w:r>
      <w:r w:rsidR="00AE4A30">
        <w:rPr>
          <w:rFonts w:ascii="Times New Roman" w:hAnsi="Times New Roman" w:cs="Times New Roman"/>
          <w:sz w:val="24"/>
          <w:szCs w:val="24"/>
        </w:rPr>
        <w:t xml:space="preserve">en manos de </w:t>
      </w:r>
      <w:r w:rsidR="00F45063">
        <w:rPr>
          <w:rFonts w:ascii="Times New Roman" w:hAnsi="Times New Roman" w:cs="Times New Roman"/>
          <w:sz w:val="24"/>
          <w:szCs w:val="24"/>
        </w:rPr>
        <w:t>imbéciles que se pasan de listos (los asnos de oro)…</w:t>
      </w:r>
      <w:r w:rsidR="008661ED">
        <w:rPr>
          <w:rFonts w:ascii="Times New Roman" w:hAnsi="Times New Roman" w:cs="Times New Roman"/>
          <w:sz w:val="24"/>
          <w:szCs w:val="24"/>
        </w:rPr>
        <w:t xml:space="preserve"> </w:t>
      </w:r>
      <w:r w:rsidR="00D12B2D">
        <w:rPr>
          <w:rFonts w:ascii="Times New Roman" w:hAnsi="Times New Roman" w:cs="Times New Roman"/>
          <w:sz w:val="24"/>
          <w:szCs w:val="24"/>
        </w:rPr>
        <w:t xml:space="preserve">timadores </w:t>
      </w:r>
      <w:r w:rsidR="008661ED">
        <w:rPr>
          <w:rFonts w:ascii="Times New Roman" w:hAnsi="Times New Roman" w:cs="Times New Roman"/>
          <w:sz w:val="24"/>
          <w:szCs w:val="24"/>
        </w:rPr>
        <w:t>liberticidas</w:t>
      </w:r>
      <w:r w:rsidR="00D12B2D">
        <w:rPr>
          <w:rFonts w:ascii="Times New Roman" w:hAnsi="Times New Roman" w:cs="Times New Roman"/>
          <w:sz w:val="24"/>
          <w:szCs w:val="24"/>
        </w:rPr>
        <w:t>,</w:t>
      </w:r>
      <w:r w:rsidR="008661ED">
        <w:rPr>
          <w:rFonts w:ascii="Times New Roman" w:hAnsi="Times New Roman" w:cs="Times New Roman"/>
          <w:sz w:val="24"/>
          <w:szCs w:val="24"/>
        </w:rPr>
        <w:t xml:space="preserve"> fatuos y arrogantes</w:t>
      </w:r>
      <w:r w:rsidR="00AE4A30">
        <w:rPr>
          <w:rFonts w:ascii="Times New Roman" w:hAnsi="Times New Roman" w:cs="Times New Roman"/>
          <w:sz w:val="24"/>
          <w:szCs w:val="24"/>
        </w:rPr>
        <w:t xml:space="preserve"> (los adoradores de becerro de oro)</w:t>
      </w:r>
      <w:r w:rsidR="008661ED">
        <w:rPr>
          <w:rFonts w:ascii="Times New Roman" w:hAnsi="Times New Roman" w:cs="Times New Roman"/>
          <w:sz w:val="24"/>
          <w:szCs w:val="24"/>
        </w:rPr>
        <w:t xml:space="preserve">: </w:t>
      </w:r>
      <w:r w:rsidR="00AE4A30">
        <w:rPr>
          <w:rFonts w:ascii="Times New Roman" w:hAnsi="Times New Roman" w:cs="Times New Roman"/>
          <w:sz w:val="24"/>
          <w:szCs w:val="24"/>
        </w:rPr>
        <w:t>“</w:t>
      </w:r>
      <w:r w:rsidR="008661ED">
        <w:rPr>
          <w:rFonts w:ascii="Times New Roman" w:hAnsi="Times New Roman" w:cs="Times New Roman"/>
          <w:sz w:val="24"/>
          <w:szCs w:val="24"/>
        </w:rPr>
        <w:t>demasiado grandes para caer</w:t>
      </w:r>
      <w:r w:rsidR="00AE4A30">
        <w:rPr>
          <w:rFonts w:ascii="Times New Roman" w:hAnsi="Times New Roman" w:cs="Times New Roman"/>
          <w:sz w:val="24"/>
          <w:szCs w:val="24"/>
        </w:rPr>
        <w:t>”</w:t>
      </w:r>
      <w:r w:rsidR="008661ED">
        <w:rPr>
          <w:rFonts w:ascii="Times New Roman" w:hAnsi="Times New Roman" w:cs="Times New Roman"/>
          <w:sz w:val="24"/>
          <w:szCs w:val="24"/>
        </w:rPr>
        <w:t xml:space="preserve"> y </w:t>
      </w:r>
      <w:r w:rsidR="00AE4A30">
        <w:rPr>
          <w:rFonts w:ascii="Times New Roman" w:hAnsi="Times New Roman" w:cs="Times New Roman"/>
          <w:sz w:val="24"/>
          <w:szCs w:val="24"/>
        </w:rPr>
        <w:t>“</w:t>
      </w:r>
      <w:r w:rsidR="008661ED">
        <w:rPr>
          <w:rFonts w:ascii="Times New Roman" w:hAnsi="Times New Roman" w:cs="Times New Roman"/>
          <w:sz w:val="24"/>
          <w:szCs w:val="24"/>
        </w:rPr>
        <w:t>demasiado grandes para ir a la cárcel</w:t>
      </w:r>
      <w:r w:rsidR="00AE4A30">
        <w:rPr>
          <w:rFonts w:ascii="Times New Roman" w:hAnsi="Times New Roman" w:cs="Times New Roman"/>
          <w:sz w:val="24"/>
          <w:szCs w:val="24"/>
        </w:rPr>
        <w:t>”</w:t>
      </w:r>
      <w:r w:rsidR="00EF3F2D">
        <w:rPr>
          <w:rFonts w:ascii="Times New Roman" w:hAnsi="Times New Roman" w:cs="Times New Roman"/>
          <w:sz w:val="24"/>
          <w:szCs w:val="24"/>
        </w:rPr>
        <w:t xml:space="preserve">… </w:t>
      </w:r>
    </w:p>
    <w:p w:rsidR="00EA2EC8" w:rsidRPr="00EA2EC8" w:rsidRDefault="00EA2EC8" w:rsidP="00B819F3">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Mientras, el “cuento” de los mercados, se seguirá escribiendo con renglones torcidos… los “amos del universo” continuarán actuando “como si fueran los últimos”… proseguirán utilizando la naturaleza como una máquina con el hombre controlando los mandos… exprimiendo a la Tierra… exprimiendo a la gente (la máquina no puede parar)… buscando crecer sin límite… perpetuando la cultura de usar y tirar… </w:t>
      </w:r>
    </w:p>
    <w:p w:rsidR="00EA2EC8" w:rsidRPr="00A17821" w:rsidRDefault="00EA2EC8" w:rsidP="00EA2EC8">
      <w:pPr>
        <w:spacing w:line="240" w:lineRule="auto"/>
        <w:jc w:val="both"/>
        <w:rPr>
          <w:rFonts w:ascii="Times New Roman" w:hAnsi="Times New Roman"/>
          <w:sz w:val="24"/>
          <w:szCs w:val="24"/>
        </w:rPr>
      </w:pPr>
      <w:r w:rsidRPr="00A17821">
        <w:rPr>
          <w:rFonts w:ascii="Times New Roman" w:hAnsi="Times New Roman"/>
          <w:sz w:val="24"/>
          <w:szCs w:val="24"/>
        </w:rPr>
        <w:t>En septiembre de 2007, la economía global entraba en su peor crisis desde la Gran Depresión. No se trataba simplemente de una crisis financiera; era una crisis moral y una crisis de legitimidad. Surgida en los meandros de Wall Street y de la City, los corazones del capitalismo occidental, la crisis ponía en cuestión gran parte de los fundamentos intelectuales y morales de las finanzas modernas. La confianza en la capacidad de las grandes entidades financieras para medir y gestionar el riesgo mediante las modernas tecnologías se encontró  profundamente debilitada ante la quiebra de varias de esas grandes entidades y la cuasi quiebra de otras.</w:t>
      </w:r>
    </w:p>
    <w:p w:rsidR="00EA2EC8" w:rsidRPr="00A17821" w:rsidRDefault="00EA2EC8" w:rsidP="00EA2EC8">
      <w:pPr>
        <w:spacing w:line="240" w:lineRule="auto"/>
        <w:jc w:val="both"/>
        <w:rPr>
          <w:rFonts w:ascii="Times New Roman" w:hAnsi="Times New Roman"/>
          <w:sz w:val="24"/>
          <w:szCs w:val="24"/>
        </w:rPr>
      </w:pPr>
      <w:r w:rsidRPr="00A17821">
        <w:rPr>
          <w:rFonts w:ascii="Times New Roman" w:hAnsi="Times New Roman"/>
          <w:sz w:val="24"/>
          <w:szCs w:val="24"/>
        </w:rPr>
        <w:t xml:space="preserve">En noviembre de 2009, importantes instituciones en EEUU, el Reino Unido y otros lugares del mundo estaban funcionando bajo la tutela del Estado. Se puso en evidencia que la </w:t>
      </w:r>
      <w:r w:rsidRPr="00A17821">
        <w:rPr>
          <w:rFonts w:ascii="Times New Roman" w:hAnsi="Times New Roman"/>
          <w:sz w:val="24"/>
          <w:szCs w:val="24"/>
        </w:rPr>
        <w:lastRenderedPageBreak/>
        <w:t>ideología del libre mercado que había gobernado el mundo desde los años de Reagan/Thatcher era un modelo inadecuado para gobernar la economía mundial.</w:t>
      </w:r>
    </w:p>
    <w:p w:rsidR="00EA2EC8" w:rsidRPr="00A17821" w:rsidRDefault="00EA2EC8" w:rsidP="00EA2EC8">
      <w:pPr>
        <w:spacing w:line="240" w:lineRule="auto"/>
        <w:jc w:val="both"/>
        <w:rPr>
          <w:rFonts w:ascii="Times New Roman" w:hAnsi="Times New Roman"/>
          <w:sz w:val="24"/>
          <w:szCs w:val="24"/>
        </w:rPr>
      </w:pPr>
      <w:r w:rsidRPr="00A17821">
        <w:rPr>
          <w:rFonts w:ascii="Times New Roman" w:hAnsi="Times New Roman"/>
          <w:sz w:val="24"/>
          <w:szCs w:val="24"/>
        </w:rPr>
        <w:t>Desde la nacionalización de facto de grandes bancos como Citigroup, Inc. y Bank of America hasta el aval a AIG y los rescates de Fannie Mae y Freddie Mac, el capitalismo de libre mercado ha pasado a la historia. Francamente, la mera existencia de empresas cuasi gubernamentales como las dos gigantescas entidades hipotecarias debería haber servido de aviso de que los libres mercados estaban completamente podridos mucho antes de que estallara la crisis.</w:t>
      </w:r>
    </w:p>
    <w:p w:rsidR="00EA2EC8" w:rsidRPr="00A17821" w:rsidRDefault="00EA2EC8" w:rsidP="00EA2EC8">
      <w:pPr>
        <w:spacing w:line="240" w:lineRule="auto"/>
        <w:jc w:val="both"/>
        <w:rPr>
          <w:rFonts w:ascii="Times New Roman" w:hAnsi="Times New Roman"/>
          <w:sz w:val="24"/>
          <w:szCs w:val="24"/>
        </w:rPr>
      </w:pPr>
      <w:r w:rsidRPr="00A17821">
        <w:rPr>
          <w:rFonts w:ascii="Times New Roman" w:hAnsi="Times New Roman"/>
          <w:sz w:val="24"/>
          <w:szCs w:val="24"/>
        </w:rPr>
        <w:t xml:space="preserve">La implicación de la Reserva Federal en políticas monetarias pro cíclicas muy intervencionistas bajo los mandatos tanto de Alan Greenspan, como de Ben Bernanke, también han distorsionado de manera superlativa los mecanismos del libre mercado. Estas políticas han enriquecido a Wall Street a expensas de Main Street (al sector financiero a expensas de la economía real) y a un pequeño grupo de privilegiados a expensas del norteamericano medio. </w:t>
      </w:r>
    </w:p>
    <w:p w:rsidR="00EA2EC8" w:rsidRPr="00A17821" w:rsidRDefault="00EA2EC8" w:rsidP="00EA2EC8">
      <w:pPr>
        <w:spacing w:line="240" w:lineRule="auto"/>
        <w:jc w:val="both"/>
        <w:rPr>
          <w:rFonts w:ascii="Times New Roman" w:hAnsi="Times New Roman"/>
          <w:sz w:val="24"/>
          <w:szCs w:val="24"/>
        </w:rPr>
      </w:pPr>
      <w:r w:rsidRPr="00A17821">
        <w:rPr>
          <w:rFonts w:ascii="Times New Roman" w:hAnsi="Times New Roman"/>
          <w:sz w:val="24"/>
          <w:szCs w:val="24"/>
        </w:rPr>
        <w:t>Además, cuando el sistema se ha visto amenazado por la catástrofe, las mejores soluciones han consistido en socializar aún más los riesgos sin tener en cuenta quiénes se habían llevado los beneficios en el pasado.</w:t>
      </w:r>
    </w:p>
    <w:p w:rsidR="00EA2EC8" w:rsidRPr="00A17821" w:rsidRDefault="00EA2EC8" w:rsidP="00EA2EC8">
      <w:pPr>
        <w:spacing w:line="240" w:lineRule="auto"/>
        <w:jc w:val="both"/>
        <w:rPr>
          <w:rFonts w:ascii="Times New Roman" w:hAnsi="Times New Roman"/>
          <w:sz w:val="24"/>
          <w:szCs w:val="24"/>
        </w:rPr>
      </w:pPr>
      <w:r w:rsidRPr="00A17821">
        <w:rPr>
          <w:rFonts w:ascii="Times New Roman" w:hAnsi="Times New Roman"/>
          <w:sz w:val="24"/>
          <w:szCs w:val="24"/>
        </w:rPr>
        <w:t>El problema es que las medidas adoptadas para restablecer la estabilidad han estado sembrando las semillas de otras burbujas a medio y largo plazo. Estas nuevas burbujas se encuentran en distintas fases y, durante algún tiempo, van a resistir sin estallar, aunque los inversores no se quieran enterar a pesar del riesgo que están corriendo.</w:t>
      </w:r>
    </w:p>
    <w:p w:rsidR="00EA2EC8" w:rsidRPr="00A17821" w:rsidRDefault="00EA2EC8" w:rsidP="00EA2EC8">
      <w:pPr>
        <w:spacing w:line="240" w:lineRule="auto"/>
        <w:jc w:val="both"/>
        <w:rPr>
          <w:rFonts w:ascii="Times New Roman" w:hAnsi="Times New Roman"/>
          <w:sz w:val="24"/>
          <w:szCs w:val="24"/>
        </w:rPr>
      </w:pPr>
      <w:r w:rsidRPr="00A17821">
        <w:rPr>
          <w:rFonts w:ascii="Times New Roman" w:hAnsi="Times New Roman"/>
          <w:sz w:val="24"/>
          <w:szCs w:val="24"/>
        </w:rPr>
        <w:t>Pero éste no es el único problema permanente que nos va a dejar esta crisis. El otro, es la quiebra de valores. Pero no los de las clases trabajadoras, sino los de ciertas élites financieras, corporativas y políticas. La corrupción, fraude, abuso, desigualdad, injusticia, desconfianza es de tal naturaleza que, si queremos mantener la legitimidad social de la economía de mercado y la eficacia de las reformas y las políticas económicas, tendremos que reconstruir una política del bien común. Una política que reduzca las desigualdades, fomente la fraternidad y el sentimiento de justicia, y sirva de cemento entre los que “tienen” y los que “no tienen”.</w:t>
      </w:r>
    </w:p>
    <w:p w:rsidR="00EA2EC8" w:rsidRDefault="00EA2EC8" w:rsidP="00B819F3">
      <w:pPr>
        <w:spacing w:line="240" w:lineRule="auto"/>
        <w:jc w:val="both"/>
        <w:rPr>
          <w:rFonts w:ascii="Times New Roman" w:hAnsi="Times New Roman"/>
          <w:sz w:val="24"/>
          <w:szCs w:val="24"/>
        </w:rPr>
      </w:pPr>
      <w:r w:rsidRPr="00A17821">
        <w:rPr>
          <w:rFonts w:ascii="Times New Roman" w:hAnsi="Times New Roman"/>
          <w:sz w:val="24"/>
          <w:szCs w:val="24"/>
        </w:rPr>
        <w:t xml:space="preserve">En la crisis de 2001 o en la de 1992 se discutía sobre la orientación ideológica de las políticas macroeconómicas. Ahora lo que está en cuestión son los valores, las reglas y las instituciones que regulan nuestra economía. </w:t>
      </w:r>
    </w:p>
    <w:p w:rsidR="001927CE" w:rsidRDefault="001927CE" w:rsidP="001927CE">
      <w:pPr>
        <w:spacing w:line="240" w:lineRule="auto"/>
        <w:jc w:val="both"/>
        <w:rPr>
          <w:rFonts w:ascii="Times New Roman" w:hAnsi="Times New Roman"/>
          <w:sz w:val="24"/>
          <w:szCs w:val="24"/>
        </w:rPr>
      </w:pPr>
      <w:r>
        <w:rPr>
          <w:rFonts w:ascii="Times New Roman" w:hAnsi="Times New Roman"/>
          <w:sz w:val="24"/>
          <w:szCs w:val="24"/>
        </w:rPr>
        <w:t>¿Cómo pueden continuar, los “</w:t>
      </w:r>
      <w:r w:rsidR="00480817">
        <w:rPr>
          <w:rFonts w:ascii="Times New Roman" w:hAnsi="Times New Roman"/>
          <w:sz w:val="24"/>
          <w:szCs w:val="24"/>
        </w:rPr>
        <w:t>global players</w:t>
      </w:r>
      <w:r>
        <w:rPr>
          <w:rFonts w:ascii="Times New Roman" w:hAnsi="Times New Roman"/>
          <w:sz w:val="24"/>
          <w:szCs w:val="24"/>
        </w:rPr>
        <w:t xml:space="preserve">”, empujando la soga? ¿cómo logran colar la trola, </w:t>
      </w:r>
      <w:r w:rsidR="0087381A">
        <w:rPr>
          <w:rFonts w:ascii="Times New Roman" w:hAnsi="Times New Roman"/>
          <w:sz w:val="24"/>
          <w:szCs w:val="24"/>
        </w:rPr>
        <w:t>hipnotizar</w:t>
      </w:r>
      <w:r w:rsidR="00480817">
        <w:rPr>
          <w:rFonts w:ascii="Times New Roman" w:hAnsi="Times New Roman"/>
          <w:sz w:val="24"/>
          <w:szCs w:val="24"/>
        </w:rPr>
        <w:t xml:space="preserve"> al público? ¿cómo pueden dominar los que “cobran” (serpientes encantadoras de hombres), a los que “pagan” (corderos silenciosos)?</w:t>
      </w:r>
    </w:p>
    <w:p w:rsidR="00480817" w:rsidRDefault="00480817" w:rsidP="00480817">
      <w:pPr>
        <w:pStyle w:val="NormalWeb"/>
        <w:spacing w:after="0"/>
        <w:jc w:val="both"/>
      </w:pPr>
      <w:r>
        <w:t>Utilizando los nuevos “paradigmas”: “gobernanza”, “empoderamiento”, “asociacionismo” “resiliencia”, “asertividad”, “conectividad”, “inteligencia emocional”, “tecnologías disruptivas”, “plataformas digitales”, “efectos de red”, “consumo colaborativo”…</w:t>
      </w:r>
      <w:r w:rsidR="00B12D51">
        <w:t xml:space="preserve"> (puras patrañas y eufemismos)</w:t>
      </w:r>
      <w:r>
        <w:t xml:space="preserve">   </w:t>
      </w:r>
    </w:p>
    <w:p w:rsidR="00480817" w:rsidRDefault="00480817" w:rsidP="00480817">
      <w:pPr>
        <w:pStyle w:val="NormalWeb"/>
        <w:spacing w:after="0"/>
        <w:jc w:val="both"/>
      </w:pPr>
      <w:r>
        <w:t>¿Cómo puede ser que ante tan patético “esperpento” (economía morbosa, involución permanente, indigencia intelectual, avasallamiento…), ante toda esta burda estafa para saquear arcas públicas y bolsillos privados, no se haya producido un estallido social?</w:t>
      </w:r>
    </w:p>
    <w:p w:rsidR="00480817" w:rsidRDefault="00480817" w:rsidP="00480817">
      <w:pPr>
        <w:pStyle w:val="NormalWeb"/>
        <w:spacing w:after="0"/>
        <w:jc w:val="both"/>
      </w:pPr>
      <w:r>
        <w:lastRenderedPageBreak/>
        <w:t xml:space="preserve">El “gobierno en la sombra” tiene la fórmula mágica: entretenimiento, anestesia, y chupetes personalizados… simplificación, ternurismo, estridencia y mal gusto… no pensar por cuenta propia y eliminar el gen del inconformismo… </w:t>
      </w:r>
    </w:p>
    <w:p w:rsidR="00480817" w:rsidRDefault="00480817" w:rsidP="00480817">
      <w:pPr>
        <w:pStyle w:val="NormalWeb"/>
        <w:spacing w:after="0"/>
        <w:jc w:val="both"/>
      </w:pPr>
      <w:r>
        <w:t>Bienvenidos a “Zombieland”: -economía del entretenimiento (la civilización del espectáculo) - videojuegos - economía digital (la tumba de la inteligencia) - e</w:t>
      </w:r>
      <w:r w:rsidRPr="00DB52F6">
        <w:t>l nativo digital: hablar con amigos, publicar en redes sociales, hacer compras por internet, buscar información (carne de Big Data)</w:t>
      </w:r>
      <w:r>
        <w:t xml:space="preserve"> - l</w:t>
      </w:r>
      <w:r w:rsidRPr="009500AE">
        <w:t>as redes sociales</w:t>
      </w:r>
      <w:r>
        <w:t xml:space="preserve"> - </w:t>
      </w:r>
      <w:r w:rsidRPr="009500AE">
        <w:t>Facebook</w:t>
      </w:r>
      <w:r>
        <w:t xml:space="preserve"> - </w:t>
      </w:r>
      <w:r w:rsidRPr="009500AE">
        <w:t>Twitter (los tuits)</w:t>
      </w:r>
      <w:r>
        <w:t xml:space="preserve"> - </w:t>
      </w:r>
      <w:r w:rsidRPr="009500AE">
        <w:t>YouTube</w:t>
      </w:r>
      <w:r>
        <w:t xml:space="preserve"> - Instagram - los smartphones -los “selfies” - las tabletas - e</w:t>
      </w:r>
      <w:r w:rsidRPr="007A0AD0">
        <w:rPr>
          <w:color w:val="000000"/>
        </w:rPr>
        <w:t>l mantra de la conectividad y la sociabilización onanista</w:t>
      </w:r>
      <w:r>
        <w:t xml:space="preserve"> - d</w:t>
      </w:r>
      <w:r w:rsidRPr="00024647">
        <w:t>esnudos en la red (del planeta web, a agarrados por los web)</w:t>
      </w:r>
      <w:r>
        <w:t xml:space="preserve"> - las “apps” - el “whatsapp” - los relojes “inteligentes” - las gafas de realidad virtual - la impresora 3D - el Internet de las cosas - e</w:t>
      </w:r>
      <w:r w:rsidRPr="00541512">
        <w:t>l Sistema de Posicionamiento Global (GPS)</w:t>
      </w:r>
      <w:r>
        <w:t xml:space="preserve"> - los drones</w:t>
      </w:r>
      <w:r w:rsidR="0087381A">
        <w:t xml:space="preserve"> - l</w:t>
      </w:r>
      <w:r>
        <w:t>as “startups”</w:t>
      </w:r>
      <w:r w:rsidR="0087381A">
        <w:t xml:space="preserve"> - l</w:t>
      </w:r>
      <w:r>
        <w:t>os “unicornios” digitales</w:t>
      </w:r>
      <w:r w:rsidR="0087381A">
        <w:t xml:space="preserve"> - l</w:t>
      </w:r>
      <w:r>
        <w:t>as citas online</w:t>
      </w:r>
      <w:r w:rsidR="0087381A">
        <w:t xml:space="preserve"> - l</w:t>
      </w:r>
      <w:r>
        <w:t>os “gadgets”</w:t>
      </w:r>
      <w:r w:rsidR="0087381A">
        <w:t xml:space="preserve"> - l</w:t>
      </w:r>
      <w:r>
        <w:t>a “cloud computing”</w:t>
      </w:r>
      <w:r w:rsidR="0087381A">
        <w:t xml:space="preserve"> - l</w:t>
      </w:r>
      <w:r>
        <w:t>a tecnofilia</w:t>
      </w:r>
      <w:r w:rsidR="0087381A">
        <w:t xml:space="preserve"> - l</w:t>
      </w:r>
      <w:r>
        <w:t>a nomofobia</w:t>
      </w:r>
      <w:r w:rsidR="0087381A">
        <w:t xml:space="preserve"> - e</w:t>
      </w:r>
      <w:r>
        <w:t>l flujo en la red generado por programas automáticos</w:t>
      </w:r>
      <w:r w:rsidR="0087381A">
        <w:t xml:space="preserve"> - l</w:t>
      </w:r>
      <w:r>
        <w:t>a vigilancia en Internet de las principales Agencias de Seguridad Nacional</w:t>
      </w:r>
      <w:r w:rsidR="0087381A">
        <w:t xml:space="preserve"> - l</w:t>
      </w:r>
      <w:r>
        <w:t>a pérdida de intimidad por la utilización de los teléfonos móviles</w:t>
      </w:r>
      <w:r w:rsidR="0087381A">
        <w:t xml:space="preserve"> - l</w:t>
      </w:r>
      <w:r>
        <w:t>a pérdida de intimidad por la utilización de los sistemas GPS</w:t>
      </w:r>
      <w:r w:rsidR="0087381A">
        <w:t xml:space="preserve"> - l</w:t>
      </w:r>
      <w:r>
        <w:t>a economía asociativa</w:t>
      </w:r>
      <w:r w:rsidR="0087381A">
        <w:t xml:space="preserve"> </w:t>
      </w:r>
      <w:r w:rsidR="00B12D51">
        <w:t>-</w:t>
      </w:r>
      <w:r w:rsidR="0087381A">
        <w:t xml:space="preserve"> </w:t>
      </w:r>
      <w:r>
        <w:t>Uber</w:t>
      </w:r>
      <w:r w:rsidR="0087381A">
        <w:t xml:space="preserve"> </w:t>
      </w:r>
      <w:r>
        <w:t>- Airbnb (¡New!: Airbiznb: alquilar</w:t>
      </w:r>
      <w:r w:rsidRPr="008254E4">
        <w:t xml:space="preserve"> tu hogar a un extra</w:t>
      </w:r>
      <w:r>
        <w:t>ño para que lo use como oficina)</w:t>
      </w:r>
      <w:r w:rsidR="0087381A">
        <w:t xml:space="preserve"> - l</w:t>
      </w:r>
      <w:r>
        <w:t>os datos personales que introducimos a diario en Internet que resultan accesibles (y negociables) a las compañías de Internet</w:t>
      </w:r>
      <w:r w:rsidR="0087381A">
        <w:t xml:space="preserve"> - d</w:t>
      </w:r>
      <w:r w:rsidRPr="007A0AD0">
        <w:t>el espionaje (del Gran Hermano de turno) a la publicidad (de los mercaderes de turno) y vuelta a empezar… (del “deep blue” al “deep packet inspection”: desnudos en la red)</w:t>
      </w:r>
      <w:r>
        <w:t xml:space="preserve">…  </w:t>
      </w:r>
      <w:r w:rsidR="000F20D4">
        <w:t xml:space="preserve">Y si </w:t>
      </w:r>
      <w:r w:rsidR="00D12B2D">
        <w:t>queda alguna neurona útil</w:t>
      </w:r>
      <w:r w:rsidR="000F20D4">
        <w:t xml:space="preserve"> en el “pesebre”</w:t>
      </w:r>
      <w:r w:rsidR="00D12B2D">
        <w:t>,</w:t>
      </w:r>
      <w:r w:rsidR="000F20D4">
        <w:t xml:space="preserve"> hay alcohol y drogas para evaporarla.</w:t>
      </w:r>
      <w:r>
        <w:t xml:space="preserve">  </w:t>
      </w:r>
    </w:p>
    <w:p w:rsidR="00480817" w:rsidRDefault="00480817" w:rsidP="00480817">
      <w:pPr>
        <w:pStyle w:val="NormalWeb"/>
        <w:spacing w:after="0"/>
        <w:jc w:val="both"/>
      </w:pPr>
      <w:r>
        <w:t>Para el pronto beneficio -otra vez- de los “proféticos Webonomics”, con la “atolondrada” colaboración -otra vez- de los “codiciosos Webonazos”. Mientras los Zucks se forran de lo lindo y los Goldmans repiten la jugada. ¡Tonto el último!</w:t>
      </w:r>
    </w:p>
    <w:p w:rsidR="00C3620D" w:rsidRDefault="00480817" w:rsidP="0087381A">
      <w:pPr>
        <w:pStyle w:val="NormalWeb"/>
        <w:spacing w:after="0"/>
        <w:jc w:val="both"/>
      </w:pPr>
      <w:r w:rsidRPr="009500AE">
        <w:t>Mientras  “Deep State” o el gobierno en la sombra de EEUU, vigila, controla y continúa operando al margen de las garantías políticas e institucionales, y de los mecanismos democráticos elegidos</w:t>
      </w:r>
      <w:r w:rsidR="00D555BC">
        <w:t>…</w:t>
      </w:r>
    </w:p>
    <w:p w:rsidR="00D555BC" w:rsidRPr="00D555BC" w:rsidRDefault="00D555BC" w:rsidP="00D555BC">
      <w:pPr>
        <w:jc w:val="both"/>
        <w:rPr>
          <w:rFonts w:ascii="Times New Roman" w:hAnsi="Times New Roman" w:cs="Times New Roman"/>
          <w:sz w:val="24"/>
          <w:szCs w:val="24"/>
          <w:u w:val="single"/>
        </w:rPr>
      </w:pPr>
      <w:r w:rsidRPr="00D555BC">
        <w:rPr>
          <w:rFonts w:ascii="Times New Roman" w:hAnsi="Times New Roman" w:cs="Times New Roman"/>
          <w:sz w:val="24"/>
          <w:szCs w:val="24"/>
          <w:u w:val="single"/>
        </w:rPr>
        <w:t>-¿Qué opina sobre las turbulencias financieras que han golpeado al sistema?</w:t>
      </w:r>
    </w:p>
    <w:p w:rsidR="00D555BC" w:rsidRPr="00D555BC" w:rsidRDefault="00D555BC" w:rsidP="00D555BC">
      <w:pPr>
        <w:jc w:val="both"/>
        <w:rPr>
          <w:rFonts w:ascii="Times New Roman" w:hAnsi="Times New Roman" w:cs="Times New Roman"/>
          <w:sz w:val="24"/>
          <w:szCs w:val="24"/>
        </w:rPr>
      </w:pPr>
      <w:r w:rsidRPr="00D555BC">
        <w:rPr>
          <w:rFonts w:ascii="Times New Roman" w:hAnsi="Times New Roman" w:cs="Times New Roman"/>
          <w:sz w:val="24"/>
          <w:szCs w:val="24"/>
          <w:u w:val="single"/>
        </w:rPr>
        <w:t>-Los bancos convencionales han perdido mucho, y ahora están en el proceso de depreciarse en cientos de miles de millones de dólares, que es mucho dinero. Y mientras discutimos sobre esto, y hablamos de la ralentización de la economía a causa de los problemas del sector bancario, nadie se ha hecho la pregunta de ¿quién es el responsable de esto? No se ha hecho ninguna investigación, no se ha escrito ningún editorial. Si un empleado mediano comete un error y pierde dinero, se hacen muchas investigaciones, pero por cientos de miles de millones nadie hace nada. La gente responsable de esto está probablemente jugando al golf, y no les importa. Sus salarios no se han visto afectados. Pero, eso sí, nadie le deja dinero a una mujer pobre por si no lo puede devolver.</w:t>
      </w:r>
      <w:r w:rsidR="00E41D1F">
        <w:rPr>
          <w:rFonts w:ascii="Times New Roman" w:hAnsi="Times New Roman" w:cs="Times New Roman"/>
          <w:sz w:val="24"/>
          <w:szCs w:val="24"/>
        </w:rPr>
        <w:t xml:space="preserve"> (</w:t>
      </w:r>
      <w:r w:rsidR="00E41D1F" w:rsidRPr="00D555BC">
        <w:rPr>
          <w:rFonts w:ascii="Times New Roman" w:hAnsi="Times New Roman" w:cs="Times New Roman"/>
          <w:sz w:val="24"/>
          <w:szCs w:val="24"/>
        </w:rPr>
        <w:t>Muhammad Yunus, Presidente del Ba</w:t>
      </w:r>
      <w:r w:rsidR="00E41D1F">
        <w:rPr>
          <w:rFonts w:ascii="Times New Roman" w:hAnsi="Times New Roman" w:cs="Times New Roman"/>
          <w:sz w:val="24"/>
          <w:szCs w:val="24"/>
        </w:rPr>
        <w:t xml:space="preserve">nco Grameen y Nobel de la Paz, </w:t>
      </w:r>
      <w:r w:rsidR="00E41D1F" w:rsidRPr="00D555BC">
        <w:rPr>
          <w:rFonts w:ascii="Times New Roman" w:hAnsi="Times New Roman" w:cs="Times New Roman"/>
          <w:sz w:val="24"/>
          <w:szCs w:val="24"/>
        </w:rPr>
        <w:t xml:space="preserve">ABC - </w:t>
      </w:r>
      <w:r w:rsidR="00E41D1F" w:rsidRPr="00D555BC">
        <w:rPr>
          <w:rFonts w:ascii="Times New Roman" w:hAnsi="Times New Roman" w:cs="Times New Roman"/>
          <w:b/>
          <w:sz w:val="24"/>
          <w:szCs w:val="24"/>
        </w:rPr>
        <w:t>9/6/08</w:t>
      </w:r>
      <w:r w:rsidR="00E41D1F">
        <w:rPr>
          <w:rFonts w:ascii="Times New Roman" w:hAnsi="Times New Roman" w:cs="Times New Roman"/>
          <w:sz w:val="24"/>
          <w:szCs w:val="24"/>
        </w:rPr>
        <w:t>)</w:t>
      </w:r>
    </w:p>
    <w:p w:rsidR="00D555BC" w:rsidRPr="00D555BC" w:rsidRDefault="00D555BC" w:rsidP="00D555B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historia (crisis) se repetirá dos veces? La primera como tragedia y la segunda como farsa. </w:t>
      </w:r>
    </w:p>
    <w:p w:rsidR="001927CE" w:rsidRPr="00C56983" w:rsidRDefault="001927CE" w:rsidP="001927CE">
      <w:pPr>
        <w:pStyle w:val="NormalWeb"/>
        <w:shd w:val="clear" w:color="auto" w:fill="FFFFFF"/>
        <w:spacing w:before="0" w:beforeAutospacing="0" w:after="0" w:afterAutospacing="0"/>
        <w:jc w:val="both"/>
        <w:textAlignment w:val="baseline"/>
      </w:pPr>
      <w:r w:rsidRPr="00C56983">
        <w:t>En un ambiente hegemonizado por la financierización y una realidad virtual, la discrepancia es disidencia y la ortodoxia impone la adhesión idolátrica a los valores de la economía de casino.</w:t>
      </w:r>
    </w:p>
    <w:p w:rsidR="00DC73AB" w:rsidRDefault="00C56983" w:rsidP="00C56983">
      <w:pPr>
        <w:pStyle w:val="NormalWeb"/>
        <w:shd w:val="clear" w:color="auto" w:fill="FFFFFF"/>
        <w:spacing w:after="0"/>
        <w:jc w:val="both"/>
        <w:textAlignment w:val="baseline"/>
        <w:rPr>
          <w:shd w:val="clear" w:color="auto" w:fill="FFFFFF"/>
        </w:rPr>
      </w:pPr>
      <w:r w:rsidRPr="00C56983">
        <w:rPr>
          <w:shd w:val="clear" w:color="auto" w:fill="FFFFFF"/>
        </w:rPr>
        <w:lastRenderedPageBreak/>
        <w:t>Hay indicadores que todavía están por debajo de los de entonces (2007) y otros que, en cambio, los superan (2017). Pero más o menos</w:t>
      </w:r>
      <w:r w:rsidR="00AF7EFD">
        <w:rPr>
          <w:shd w:val="clear" w:color="auto" w:fill="FFFFFF"/>
        </w:rPr>
        <w:t>,</w:t>
      </w:r>
      <w:r w:rsidRPr="00C56983">
        <w:rPr>
          <w:shd w:val="clear" w:color="auto" w:fill="FFFFFF"/>
        </w:rPr>
        <w:t xml:space="preserve"> puede decirse que la “década perdida” ya ha terminado</w:t>
      </w:r>
      <w:r w:rsidR="00AF7EFD">
        <w:rPr>
          <w:shd w:val="clear" w:color="auto" w:fill="FFFFFF"/>
        </w:rPr>
        <w:t xml:space="preserve"> (o eso dicen los grandes bonetes)</w:t>
      </w:r>
      <w:r w:rsidRPr="00C56983">
        <w:rPr>
          <w:shd w:val="clear" w:color="auto" w:fill="FFFFFF"/>
        </w:rPr>
        <w:t>. Y comienza la qu</w:t>
      </w:r>
      <w:r w:rsidR="00E41D1F">
        <w:rPr>
          <w:shd w:val="clear" w:color="auto" w:fill="FFFFFF"/>
        </w:rPr>
        <w:t xml:space="preserve">e debería ser de consolidación. </w:t>
      </w:r>
    </w:p>
    <w:p w:rsidR="00DC73AB" w:rsidRDefault="00C56983" w:rsidP="00C56983">
      <w:pPr>
        <w:pStyle w:val="NormalWeb"/>
        <w:shd w:val="clear" w:color="auto" w:fill="FFFFFF"/>
        <w:spacing w:after="0"/>
        <w:jc w:val="both"/>
        <w:textAlignment w:val="baseline"/>
        <w:rPr>
          <w:shd w:val="clear" w:color="auto" w:fill="FFFFFF"/>
        </w:rPr>
      </w:pPr>
      <w:r>
        <w:rPr>
          <w:shd w:val="clear" w:color="auto" w:fill="FFFFFF"/>
        </w:rPr>
        <w:t>Aunque ya</w:t>
      </w:r>
      <w:r w:rsidR="00034871">
        <w:rPr>
          <w:shd w:val="clear" w:color="auto" w:fill="FFFFFF"/>
        </w:rPr>
        <w:t xml:space="preserve"> surgen</w:t>
      </w:r>
      <w:r w:rsidRPr="00C56983">
        <w:rPr>
          <w:shd w:val="clear" w:color="auto" w:fill="FFFFFF"/>
        </w:rPr>
        <w:t xml:space="preserve"> nuevos episodios de inestabilidad financiera internacional</w:t>
      </w:r>
      <w:r>
        <w:rPr>
          <w:shd w:val="clear" w:color="auto" w:fill="FFFFFF"/>
        </w:rPr>
        <w:t>, que sin ser graves aún, no resul</w:t>
      </w:r>
      <w:r w:rsidR="00E41D1F">
        <w:rPr>
          <w:shd w:val="clear" w:color="auto" w:fill="FFFFFF"/>
        </w:rPr>
        <w:t>tan demasiado tranquilizadores</w:t>
      </w:r>
      <w:r w:rsidR="00AF7EFD">
        <w:rPr>
          <w:shd w:val="clear" w:color="auto" w:fill="FFFFFF"/>
        </w:rPr>
        <w:t xml:space="preserve"> (</w:t>
      </w:r>
      <w:r w:rsidR="00EF3F2D">
        <w:rPr>
          <w:shd w:val="clear" w:color="auto" w:fill="FFFFFF"/>
        </w:rPr>
        <w:t>aunque lo nieguen ciertos analistas)</w:t>
      </w:r>
      <w:r w:rsidR="00E41D1F">
        <w:rPr>
          <w:shd w:val="clear" w:color="auto" w:fill="FFFFFF"/>
        </w:rPr>
        <w:t xml:space="preserve">. </w:t>
      </w:r>
      <w:r w:rsidR="00E06373">
        <w:rPr>
          <w:shd w:val="clear" w:color="auto" w:fill="FFFFFF"/>
        </w:rPr>
        <w:t>Parece que no hemos aprendido lo suficiente</w:t>
      </w:r>
      <w:r w:rsidR="005717B6">
        <w:rPr>
          <w:shd w:val="clear" w:color="auto" w:fill="FFFFFF"/>
        </w:rPr>
        <w:t xml:space="preserve"> (a</w:t>
      </w:r>
      <w:r w:rsidR="00FF2816">
        <w:rPr>
          <w:shd w:val="clear" w:color="auto" w:fill="FFFFFF"/>
        </w:rPr>
        <w:t xml:space="preserve"> pesar de los Nobel y apóstoles</w:t>
      </w:r>
      <w:r w:rsidR="00EF3F2D">
        <w:rPr>
          <w:shd w:val="clear" w:color="auto" w:fill="FFFFFF"/>
        </w:rPr>
        <w:t xml:space="preserve"> mediáticos).</w:t>
      </w:r>
    </w:p>
    <w:p w:rsidR="00C56983" w:rsidRDefault="00DC73AB" w:rsidP="00C56983">
      <w:pPr>
        <w:pStyle w:val="NormalWeb"/>
        <w:shd w:val="clear" w:color="auto" w:fill="FFFFFF"/>
        <w:spacing w:after="0"/>
        <w:jc w:val="both"/>
        <w:textAlignment w:val="baseline"/>
        <w:rPr>
          <w:shd w:val="clear" w:color="auto" w:fill="FFFFFF"/>
        </w:rPr>
      </w:pPr>
      <w:r>
        <w:rPr>
          <w:shd w:val="clear" w:color="auto" w:fill="FFFFFF"/>
        </w:rPr>
        <w:t>¿Esta vez va en serio, o se repetirá la historia (crisis)?</w:t>
      </w:r>
    </w:p>
    <w:p w:rsidR="00C56983" w:rsidRDefault="00DC73AB" w:rsidP="00C56983">
      <w:pPr>
        <w:pStyle w:val="NormalWeb"/>
        <w:shd w:val="clear" w:color="auto" w:fill="FFFFFF"/>
        <w:spacing w:after="0"/>
        <w:jc w:val="both"/>
        <w:textAlignment w:val="baseline"/>
        <w:rPr>
          <w:shd w:val="clear" w:color="auto" w:fill="FFFFFF"/>
        </w:rPr>
      </w:pPr>
      <w:r>
        <w:rPr>
          <w:shd w:val="clear" w:color="auto" w:fill="FFFFFF"/>
        </w:rPr>
        <w:t>¿C</w:t>
      </w:r>
      <w:r w:rsidR="00C56983">
        <w:rPr>
          <w:shd w:val="clear" w:color="auto" w:fill="FFFFFF"/>
        </w:rPr>
        <w:t>on</w:t>
      </w:r>
      <w:r>
        <w:rPr>
          <w:shd w:val="clear" w:color="auto" w:fill="FFFFFF"/>
        </w:rPr>
        <w:t>ti</w:t>
      </w:r>
      <w:r w:rsidR="00493DA3">
        <w:rPr>
          <w:shd w:val="clear" w:color="auto" w:fill="FFFFFF"/>
        </w:rPr>
        <w:t>nuará</w:t>
      </w:r>
      <w:r w:rsidR="00E06373">
        <w:rPr>
          <w:shd w:val="clear" w:color="auto" w:fill="FFFFFF"/>
        </w:rPr>
        <w:t xml:space="preserve"> el disparate? </w:t>
      </w:r>
      <w:r w:rsidR="00493DA3">
        <w:rPr>
          <w:shd w:val="clear" w:color="auto" w:fill="FFFFFF"/>
        </w:rPr>
        <w:t>“</w:t>
      </w:r>
      <w:r>
        <w:rPr>
          <w:shd w:val="clear" w:color="auto" w:fill="FFFFFF"/>
        </w:rPr>
        <w:t>Q</w:t>
      </w:r>
      <w:r w:rsidR="00C56983">
        <w:rPr>
          <w:shd w:val="clear" w:color="auto" w:fill="FFFFFF"/>
        </w:rPr>
        <w:t>uién lanza mej</w:t>
      </w:r>
      <w:r>
        <w:rPr>
          <w:shd w:val="clear" w:color="auto" w:fill="FFFFFF"/>
        </w:rPr>
        <w:t>or los dados dentro del mercado</w:t>
      </w:r>
      <w:r w:rsidR="00493DA3">
        <w:rPr>
          <w:shd w:val="clear" w:color="auto" w:fill="FFFFFF"/>
        </w:rPr>
        <w:t>”</w:t>
      </w:r>
      <w:r w:rsidR="00E06373">
        <w:rPr>
          <w:shd w:val="clear" w:color="auto" w:fill="FFFFFF"/>
        </w:rPr>
        <w:t xml:space="preserve"> (esperpento)</w:t>
      </w:r>
      <w:r>
        <w:rPr>
          <w:shd w:val="clear" w:color="auto" w:fill="FFFFFF"/>
        </w:rPr>
        <w:t>.</w:t>
      </w:r>
    </w:p>
    <w:p w:rsidR="00C56983" w:rsidRPr="00C56983" w:rsidRDefault="00E06373" w:rsidP="00C56983">
      <w:pPr>
        <w:pStyle w:val="NormalWeb"/>
        <w:shd w:val="clear" w:color="auto" w:fill="FFFFFF"/>
        <w:spacing w:after="0"/>
        <w:jc w:val="both"/>
        <w:textAlignment w:val="baseline"/>
        <w:rPr>
          <w:shd w:val="clear" w:color="auto" w:fill="FFFFFF"/>
        </w:rPr>
      </w:pPr>
      <w:r>
        <w:rPr>
          <w:shd w:val="clear" w:color="auto" w:fill="FFFFFF"/>
        </w:rPr>
        <w:t>¿Habrá b</w:t>
      </w:r>
      <w:r w:rsidR="00C56983">
        <w:rPr>
          <w:shd w:val="clear" w:color="auto" w:fill="FFFFFF"/>
        </w:rPr>
        <w:t xml:space="preserve">ronca u </w:t>
      </w:r>
      <w:r w:rsidR="00E41D1F">
        <w:rPr>
          <w:shd w:val="clear" w:color="auto" w:fill="FFFFFF"/>
        </w:rPr>
        <w:t>ovación</w:t>
      </w:r>
      <w:r>
        <w:rPr>
          <w:shd w:val="clear" w:color="auto" w:fill="FFFFFF"/>
        </w:rPr>
        <w:t>? O n</w:t>
      </w:r>
      <w:r w:rsidR="00C56983">
        <w:rPr>
          <w:shd w:val="clear" w:color="auto" w:fill="FFFFFF"/>
        </w:rPr>
        <w:t>ada de eso: solo “evasión” e “ignorancia”</w:t>
      </w:r>
      <w:r w:rsidR="00E41D1F">
        <w:rPr>
          <w:shd w:val="clear" w:color="auto" w:fill="FFFFFF"/>
        </w:rPr>
        <w:t xml:space="preserve"> (tragedia)</w:t>
      </w:r>
      <w:r w:rsidR="00C56983">
        <w:rPr>
          <w:shd w:val="clear" w:color="auto" w:fill="FFFFFF"/>
        </w:rPr>
        <w:t xml:space="preserve"> </w:t>
      </w:r>
    </w:p>
    <w:p w:rsidR="001927CE" w:rsidRPr="00C56983" w:rsidRDefault="00C56983" w:rsidP="00C56983">
      <w:pPr>
        <w:pStyle w:val="NormalWeb"/>
        <w:shd w:val="clear" w:color="auto" w:fill="FFFFFF"/>
        <w:spacing w:after="0"/>
        <w:jc w:val="both"/>
        <w:textAlignment w:val="baseline"/>
        <w:rPr>
          <w:i/>
        </w:rPr>
      </w:pPr>
      <w:r w:rsidRPr="00C56983">
        <w:rPr>
          <w:shd w:val="clear" w:color="auto" w:fill="EEF0EF"/>
        </w:rPr>
        <w:t>“La vida es esto; crueldad, ingratitud, inconsciencia, desdén de la fuerza por la debilidad”, dice uno de los personajes de Baroja en </w:t>
      </w:r>
      <w:r w:rsidRPr="00C56983">
        <w:rPr>
          <w:rStyle w:val="nfasis"/>
          <w:i w:val="0"/>
          <w:shd w:val="clear" w:color="auto" w:fill="EEF0EF"/>
        </w:rPr>
        <w:t>El mundo es ansí.</w:t>
      </w:r>
    </w:p>
    <w:p w:rsidR="0087381A" w:rsidRPr="00C56983" w:rsidRDefault="001927CE" w:rsidP="00C56983">
      <w:pPr>
        <w:pStyle w:val="NormalWeb"/>
        <w:shd w:val="clear" w:color="auto" w:fill="FFFFFF"/>
        <w:spacing w:before="0" w:beforeAutospacing="0" w:after="0" w:afterAutospacing="0"/>
        <w:jc w:val="both"/>
        <w:textAlignment w:val="baseline"/>
      </w:pPr>
      <w:r w:rsidRPr="00C56983">
        <w:t>“A veces el silencio es la peor mentira”, escribió Unamuno.</w:t>
      </w:r>
    </w:p>
    <w:p w:rsidR="00BF5291" w:rsidRPr="00BF5291" w:rsidRDefault="00BF5291" w:rsidP="0087381A">
      <w:pPr>
        <w:pStyle w:val="NormalWeb"/>
        <w:shd w:val="clear" w:color="auto" w:fill="F9F9F9"/>
        <w:spacing w:before="75" w:after="75"/>
        <w:ind w:right="360"/>
        <w:jc w:val="both"/>
      </w:pPr>
      <w:r w:rsidRPr="00BF5291">
        <w:t xml:space="preserve">En el siguiente </w:t>
      </w:r>
      <w:r w:rsidRPr="00FB5A59">
        <w:rPr>
          <w:b/>
        </w:rPr>
        <w:t>Anexo</w:t>
      </w:r>
      <w:r w:rsidRPr="00BF5291">
        <w:t xml:space="preserve"> </w:t>
      </w:r>
      <w:r w:rsidR="00FB5A59">
        <w:t>se presenta una amplia selección de Informes y datos</w:t>
      </w:r>
      <w:r>
        <w:t xml:space="preserve"> de referencia, para</w:t>
      </w:r>
      <w:r w:rsidR="00FB5A59">
        <w:t xml:space="preserve"> permitir que el lector elabore</w:t>
      </w:r>
      <w:r>
        <w:t xml:space="preserve"> sus propias conclusiones</w:t>
      </w:r>
      <w:r w:rsidR="00FB5A59">
        <w:t xml:space="preserve"> y enriquezca el debate. </w:t>
      </w:r>
    </w:p>
    <w:p w:rsidR="00BF5291" w:rsidRPr="00C56983" w:rsidRDefault="00BF5291" w:rsidP="0087381A">
      <w:pPr>
        <w:pStyle w:val="NormalWeb"/>
        <w:shd w:val="clear" w:color="auto" w:fill="F9F9F9"/>
        <w:spacing w:before="75" w:after="75"/>
        <w:ind w:right="360"/>
        <w:jc w:val="both"/>
        <w:rPr>
          <w:lang w:val="en-GB"/>
        </w:rPr>
      </w:pPr>
      <w:r w:rsidRPr="00C56983">
        <w:rPr>
          <w:lang w:val="en-GB"/>
        </w:rPr>
        <w:t>- Sovereign borrowing outlook for OECD countries - OECD 2017</w:t>
      </w:r>
    </w:p>
    <w:p w:rsidR="00BF5291" w:rsidRPr="00C56983" w:rsidRDefault="00BF5291" w:rsidP="0087381A">
      <w:pPr>
        <w:pStyle w:val="NormalWeb"/>
        <w:shd w:val="clear" w:color="auto" w:fill="F9F9F9"/>
        <w:spacing w:before="75" w:after="75"/>
        <w:ind w:right="360"/>
        <w:jc w:val="both"/>
        <w:rPr>
          <w:lang w:val="en-GB"/>
        </w:rPr>
      </w:pPr>
      <w:r w:rsidRPr="00C56983">
        <w:rPr>
          <w:lang w:val="en-GB"/>
        </w:rPr>
        <w:t>- Government at a Glance 2017 - OECD 2017</w:t>
      </w:r>
    </w:p>
    <w:p w:rsidR="00BF5291" w:rsidRPr="00C56983" w:rsidRDefault="00BF5291" w:rsidP="0087381A">
      <w:pPr>
        <w:autoSpaceDE w:val="0"/>
        <w:autoSpaceDN w:val="0"/>
        <w:adjustRightInd w:val="0"/>
        <w:spacing w:after="0" w:line="240" w:lineRule="auto"/>
        <w:jc w:val="both"/>
        <w:rPr>
          <w:rFonts w:ascii="Times New Roman" w:eastAsia="ZapfDingbatsStd" w:hAnsi="Times New Roman" w:cs="Times New Roman"/>
          <w:sz w:val="24"/>
          <w:szCs w:val="24"/>
        </w:rPr>
      </w:pPr>
      <w:r w:rsidRPr="00C56983">
        <w:rPr>
          <w:rFonts w:ascii="Times New Roman" w:eastAsia="ZapfDingbatsStd" w:hAnsi="Times New Roman" w:cs="Times New Roman"/>
          <w:sz w:val="24"/>
          <w:szCs w:val="24"/>
        </w:rPr>
        <w:t>- Eurostatistics - Eurostat - Agosto 2017</w:t>
      </w:r>
    </w:p>
    <w:p w:rsidR="00BF5291" w:rsidRPr="00C56983" w:rsidRDefault="00BF5291" w:rsidP="0087381A">
      <w:pPr>
        <w:autoSpaceDE w:val="0"/>
        <w:autoSpaceDN w:val="0"/>
        <w:adjustRightInd w:val="0"/>
        <w:spacing w:after="0" w:line="240" w:lineRule="auto"/>
        <w:jc w:val="both"/>
        <w:rPr>
          <w:rFonts w:ascii="Times New Roman" w:hAnsi="Times New Roman" w:cs="Times New Roman"/>
          <w:color w:val="000000"/>
          <w:sz w:val="24"/>
          <w:szCs w:val="24"/>
        </w:rPr>
      </w:pPr>
    </w:p>
    <w:p w:rsidR="00BF5291" w:rsidRPr="00C56983" w:rsidRDefault="00BF5291" w:rsidP="0087381A">
      <w:pPr>
        <w:autoSpaceDE w:val="0"/>
        <w:autoSpaceDN w:val="0"/>
        <w:adjustRightInd w:val="0"/>
        <w:spacing w:after="0" w:line="240" w:lineRule="auto"/>
        <w:jc w:val="both"/>
        <w:rPr>
          <w:rFonts w:ascii="Times New Roman" w:eastAsia="ZapfDingbatsStd" w:hAnsi="Times New Roman" w:cs="Times New Roman"/>
          <w:sz w:val="24"/>
          <w:szCs w:val="24"/>
        </w:rPr>
      </w:pPr>
      <w:r w:rsidRPr="00C56983">
        <w:rPr>
          <w:rFonts w:ascii="Times New Roman" w:eastAsia="ZapfDingbatsStd" w:hAnsi="Times New Roman" w:cs="Times New Roman"/>
          <w:sz w:val="24"/>
          <w:szCs w:val="24"/>
        </w:rPr>
        <w:t>- Comisión Europea: información sobre la respuesta de la UE a la crisis de 2008</w:t>
      </w:r>
    </w:p>
    <w:p w:rsidR="00BF5291" w:rsidRPr="00C56983" w:rsidRDefault="00BF5291" w:rsidP="0087381A">
      <w:pPr>
        <w:autoSpaceDE w:val="0"/>
        <w:autoSpaceDN w:val="0"/>
        <w:adjustRightInd w:val="0"/>
        <w:spacing w:after="0" w:line="240" w:lineRule="auto"/>
        <w:jc w:val="both"/>
        <w:rPr>
          <w:rFonts w:ascii="Times New Roman" w:eastAsia="ZapfDingbatsStd" w:hAnsi="Times New Roman" w:cs="Times New Roman"/>
          <w:sz w:val="24"/>
          <w:szCs w:val="24"/>
        </w:rPr>
      </w:pPr>
    </w:p>
    <w:p w:rsidR="00BF5291" w:rsidRPr="00C56983" w:rsidRDefault="00BF5291" w:rsidP="0087381A">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C56983">
        <w:rPr>
          <w:rFonts w:ascii="Times New Roman" w:eastAsia="ZapfDingbatsStd" w:hAnsi="Times New Roman" w:cs="Times New Roman"/>
          <w:sz w:val="24"/>
          <w:szCs w:val="24"/>
          <w:lang w:val="en-GB"/>
        </w:rPr>
        <w:t>- Government finance statistics - Summary tables DATA 1995-2016 - Statistical Books - Eurostat - 1/2017</w:t>
      </w:r>
    </w:p>
    <w:p w:rsidR="00BF5291" w:rsidRPr="00C56983" w:rsidRDefault="00BF5291" w:rsidP="0087381A">
      <w:pPr>
        <w:autoSpaceDE w:val="0"/>
        <w:autoSpaceDN w:val="0"/>
        <w:adjustRightInd w:val="0"/>
        <w:spacing w:after="0" w:line="240" w:lineRule="auto"/>
        <w:jc w:val="both"/>
        <w:rPr>
          <w:rFonts w:ascii="Times New Roman" w:hAnsi="Times New Roman" w:cs="Times New Roman"/>
          <w:color w:val="000000"/>
          <w:sz w:val="24"/>
          <w:szCs w:val="24"/>
          <w:lang w:val="en-GB"/>
        </w:rPr>
      </w:pPr>
    </w:p>
    <w:p w:rsidR="00BF5291" w:rsidRPr="00C56983" w:rsidRDefault="00BF5291" w:rsidP="0087381A">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C56983">
        <w:rPr>
          <w:rFonts w:ascii="Times New Roman" w:eastAsia="ZapfDingbatsStd" w:hAnsi="Times New Roman" w:cs="Times New Roman"/>
          <w:sz w:val="24"/>
          <w:szCs w:val="24"/>
          <w:lang w:val="en-GB"/>
        </w:rPr>
        <w:t>- Eurostatistics - Data for short-term economic analysis - Eurostat 08/2017</w:t>
      </w:r>
    </w:p>
    <w:p w:rsidR="00BF5291" w:rsidRPr="00C56983" w:rsidRDefault="00BF5291" w:rsidP="0087381A">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BF5291" w:rsidRPr="00C56983" w:rsidRDefault="00BF5291" w:rsidP="0087381A">
      <w:pPr>
        <w:pStyle w:val="Default"/>
        <w:jc w:val="both"/>
        <w:rPr>
          <w:rFonts w:ascii="Times New Roman" w:hAnsi="Times New Roman" w:cs="Times New Roman"/>
          <w:lang w:val="en-GB"/>
        </w:rPr>
      </w:pPr>
      <w:r w:rsidRPr="00C56983">
        <w:rPr>
          <w:rFonts w:ascii="Times New Roman" w:hAnsi="Times New Roman" w:cs="Times New Roman"/>
          <w:lang w:val="en-GB"/>
        </w:rPr>
        <w:t>- “Middle Class Fortunes in Western Europe” - Pew Research Center - April, 2017</w:t>
      </w:r>
    </w:p>
    <w:p w:rsidR="00BF5291" w:rsidRPr="00C56983" w:rsidRDefault="00BF5291" w:rsidP="0087381A">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BF5291" w:rsidRPr="00C56983" w:rsidRDefault="00BF5291" w:rsidP="0087381A">
      <w:pPr>
        <w:pStyle w:val="Default"/>
        <w:jc w:val="both"/>
        <w:rPr>
          <w:rFonts w:ascii="Times New Roman" w:hAnsi="Times New Roman" w:cs="Times New Roman"/>
        </w:rPr>
      </w:pPr>
      <w:r w:rsidRPr="00C56983">
        <w:rPr>
          <w:rFonts w:ascii="Times New Roman" w:hAnsi="Times New Roman" w:cs="Times New Roman"/>
        </w:rPr>
        <w:t xml:space="preserve">- Índice de Progreso Social 2017 - </w:t>
      </w:r>
      <w:r w:rsidRPr="00C56983">
        <w:rPr>
          <w:rFonts w:ascii="Times New Roman" w:hAnsi="Times New Roman" w:cs="Times New Roman"/>
          <w:color w:val="auto"/>
        </w:rPr>
        <w:t>socialprogressimperative.org</w:t>
      </w:r>
    </w:p>
    <w:p w:rsidR="00BF5291" w:rsidRPr="00C56983" w:rsidRDefault="00BF5291" w:rsidP="0087381A">
      <w:pPr>
        <w:pStyle w:val="Default"/>
        <w:jc w:val="both"/>
        <w:rPr>
          <w:rFonts w:ascii="Times New Roman" w:hAnsi="Times New Roman" w:cs="Times New Roman"/>
        </w:rPr>
      </w:pPr>
    </w:p>
    <w:p w:rsidR="00BF5291" w:rsidRPr="00C56983" w:rsidRDefault="00BF5291" w:rsidP="0087381A">
      <w:pPr>
        <w:pStyle w:val="Default"/>
        <w:jc w:val="both"/>
        <w:rPr>
          <w:rFonts w:ascii="Times New Roman" w:hAnsi="Times New Roman" w:cs="Times New Roman"/>
        </w:rPr>
      </w:pPr>
      <w:r w:rsidRPr="00C56983">
        <w:rPr>
          <w:rFonts w:ascii="Times New Roman" w:hAnsi="Times New Roman" w:cs="Times New Roman"/>
        </w:rPr>
        <w:t>- Informe sobre perspectivas sociales y del empleo en el mundo 2016 - Transformar el empleo para erradicar la pobreza - OIT - 2016</w:t>
      </w:r>
    </w:p>
    <w:p w:rsidR="00BF5291" w:rsidRPr="00C56983" w:rsidRDefault="00BF5291" w:rsidP="0087381A">
      <w:pPr>
        <w:pStyle w:val="Default"/>
        <w:jc w:val="both"/>
        <w:rPr>
          <w:rFonts w:ascii="Times New Roman" w:hAnsi="Times New Roman" w:cs="Times New Roman"/>
          <w:color w:val="auto"/>
        </w:rPr>
      </w:pPr>
    </w:p>
    <w:p w:rsidR="00BF5291" w:rsidRPr="00C56983" w:rsidRDefault="00BF5291" w:rsidP="0087381A">
      <w:pPr>
        <w:pStyle w:val="Default"/>
        <w:jc w:val="both"/>
        <w:rPr>
          <w:rFonts w:ascii="Times New Roman" w:hAnsi="Times New Roman" w:cs="Times New Roman"/>
          <w:color w:val="auto"/>
        </w:rPr>
      </w:pPr>
      <w:r w:rsidRPr="00C56983">
        <w:rPr>
          <w:rFonts w:ascii="Times New Roman" w:hAnsi="Times New Roman" w:cs="Times New Roman"/>
          <w:color w:val="auto"/>
        </w:rPr>
        <w:t xml:space="preserve">- Informe sobre perspectivas sociales y del empleo en el mundo 2016 - Jóvenes - OIT </w:t>
      </w:r>
      <w:r w:rsidR="0087381A" w:rsidRPr="00C56983">
        <w:rPr>
          <w:rFonts w:ascii="Times New Roman" w:hAnsi="Times New Roman" w:cs="Times New Roman"/>
          <w:color w:val="auto"/>
        </w:rPr>
        <w:t>–</w:t>
      </w:r>
      <w:r w:rsidRPr="00C56983">
        <w:rPr>
          <w:rFonts w:ascii="Times New Roman" w:hAnsi="Times New Roman" w:cs="Times New Roman"/>
          <w:color w:val="auto"/>
        </w:rPr>
        <w:t xml:space="preserve"> 2016</w:t>
      </w:r>
    </w:p>
    <w:p w:rsidR="0087381A" w:rsidRPr="00C56983" w:rsidRDefault="0087381A" w:rsidP="0087381A">
      <w:pPr>
        <w:pStyle w:val="Default"/>
        <w:jc w:val="both"/>
        <w:rPr>
          <w:rFonts w:ascii="Times New Roman" w:hAnsi="Times New Roman" w:cs="Times New Roman"/>
          <w:color w:val="auto"/>
        </w:rPr>
      </w:pPr>
    </w:p>
    <w:p w:rsidR="00BF5291" w:rsidRPr="00C56983" w:rsidRDefault="0087381A" w:rsidP="0087381A">
      <w:pPr>
        <w:autoSpaceDE w:val="0"/>
        <w:autoSpaceDN w:val="0"/>
        <w:adjustRightInd w:val="0"/>
        <w:spacing w:after="0" w:line="240" w:lineRule="auto"/>
        <w:jc w:val="both"/>
        <w:rPr>
          <w:rFonts w:ascii="Times New Roman" w:hAnsi="Times New Roman" w:cs="Times New Roman"/>
          <w:color w:val="000000"/>
          <w:sz w:val="24"/>
          <w:szCs w:val="24"/>
          <w:lang w:val="en-GB"/>
        </w:rPr>
      </w:pPr>
      <w:r w:rsidRPr="00C56983">
        <w:rPr>
          <w:rFonts w:ascii="Times New Roman" w:hAnsi="Times New Roman" w:cs="Times New Roman"/>
          <w:color w:val="000000"/>
          <w:sz w:val="24"/>
          <w:szCs w:val="24"/>
          <w:lang w:val="en-GB"/>
        </w:rPr>
        <w:t xml:space="preserve">- </w:t>
      </w:r>
      <w:r w:rsidR="00BF5291" w:rsidRPr="00C56983">
        <w:rPr>
          <w:rFonts w:ascii="Times New Roman" w:hAnsi="Times New Roman" w:cs="Times New Roman"/>
          <w:color w:val="000000"/>
          <w:sz w:val="24"/>
          <w:szCs w:val="24"/>
          <w:lang w:val="en-GB"/>
        </w:rPr>
        <w:t>Informe: Employment and Social Developments in Europe Annual Review 2017 - European Comission - June 2017</w:t>
      </w:r>
    </w:p>
    <w:p w:rsidR="00BF5291" w:rsidRPr="00C56983" w:rsidRDefault="00BF5291" w:rsidP="0087381A">
      <w:pPr>
        <w:autoSpaceDE w:val="0"/>
        <w:autoSpaceDN w:val="0"/>
        <w:adjustRightInd w:val="0"/>
        <w:spacing w:after="0" w:line="240" w:lineRule="auto"/>
        <w:jc w:val="both"/>
        <w:rPr>
          <w:rFonts w:ascii="Times New Roman" w:hAnsi="Times New Roman" w:cs="Times New Roman"/>
          <w:color w:val="000000"/>
          <w:sz w:val="24"/>
          <w:szCs w:val="24"/>
          <w:lang w:val="en-GB"/>
        </w:rPr>
      </w:pPr>
    </w:p>
    <w:p w:rsidR="00BF5291" w:rsidRDefault="00BF5291" w:rsidP="0087381A">
      <w:pPr>
        <w:autoSpaceDE w:val="0"/>
        <w:autoSpaceDN w:val="0"/>
        <w:adjustRightInd w:val="0"/>
        <w:spacing w:after="0" w:line="240" w:lineRule="auto"/>
        <w:jc w:val="both"/>
        <w:rPr>
          <w:rFonts w:ascii="Times New Roman" w:hAnsi="Times New Roman" w:cs="Times New Roman"/>
          <w:color w:val="000000"/>
          <w:sz w:val="24"/>
          <w:szCs w:val="24"/>
          <w:lang w:val="en-GB"/>
        </w:rPr>
      </w:pPr>
      <w:r w:rsidRPr="00C56983">
        <w:rPr>
          <w:rFonts w:ascii="Times New Roman" w:hAnsi="Times New Roman" w:cs="Times New Roman"/>
          <w:color w:val="000000"/>
          <w:sz w:val="24"/>
          <w:szCs w:val="24"/>
          <w:lang w:val="en-GB"/>
        </w:rPr>
        <w:t xml:space="preserve">- Informe Over-qualification rate by economic activity - Eurostat 2006 </w:t>
      </w:r>
      <w:r w:rsidR="00CE087C">
        <w:rPr>
          <w:rFonts w:ascii="Times New Roman" w:hAnsi="Times New Roman" w:cs="Times New Roman"/>
          <w:color w:val="000000"/>
          <w:sz w:val="24"/>
          <w:szCs w:val="24"/>
          <w:lang w:val="en-GB"/>
        </w:rPr>
        <w:t>–</w:t>
      </w:r>
      <w:r w:rsidRPr="00C56983">
        <w:rPr>
          <w:rFonts w:ascii="Times New Roman" w:hAnsi="Times New Roman" w:cs="Times New Roman"/>
          <w:color w:val="000000"/>
          <w:sz w:val="24"/>
          <w:szCs w:val="24"/>
          <w:lang w:val="en-GB"/>
        </w:rPr>
        <w:t xml:space="preserve"> 2016</w:t>
      </w:r>
    </w:p>
    <w:p w:rsidR="00CE087C" w:rsidRDefault="00CE087C" w:rsidP="0087381A">
      <w:pPr>
        <w:autoSpaceDE w:val="0"/>
        <w:autoSpaceDN w:val="0"/>
        <w:adjustRightInd w:val="0"/>
        <w:spacing w:after="0" w:line="240" w:lineRule="auto"/>
        <w:jc w:val="both"/>
        <w:rPr>
          <w:rFonts w:ascii="Times New Roman" w:hAnsi="Times New Roman" w:cs="Times New Roman"/>
          <w:color w:val="000000"/>
          <w:sz w:val="24"/>
          <w:szCs w:val="24"/>
          <w:lang w:val="en-GB"/>
        </w:rPr>
      </w:pPr>
    </w:p>
    <w:p w:rsidR="00BB1872" w:rsidRDefault="00BB1872" w:rsidP="0087381A">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CE087C" w:rsidRDefault="00CE087C" w:rsidP="00CE087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CE087C">
        <w:rPr>
          <w:rFonts w:ascii="Times New Roman" w:hAnsi="Times New Roman" w:cs="Times New Roman"/>
          <w:b/>
          <w:sz w:val="24"/>
          <w:szCs w:val="24"/>
        </w:rPr>
        <w:t>Anexo</w:t>
      </w:r>
      <w:bookmarkStart w:id="0" w:name="_GoBack"/>
      <w:bookmarkEnd w:id="0"/>
      <w:r w:rsidRPr="00CE087C">
        <w:rPr>
          <w:rFonts w:ascii="Times New Roman" w:hAnsi="Times New Roman" w:cs="Times New Roman"/>
          <w:b/>
          <w:sz w:val="24"/>
          <w:szCs w:val="24"/>
        </w:rPr>
        <w:t>:</w:t>
      </w:r>
      <w:r>
        <w:rPr>
          <w:rFonts w:ascii="Times New Roman" w:hAnsi="Times New Roman" w:cs="Times New Roman"/>
          <w:b/>
          <w:sz w:val="24"/>
          <w:szCs w:val="24"/>
        </w:rPr>
        <w:t xml:space="preserve"> selección de Informes</w:t>
      </w:r>
      <w:r w:rsidR="00F45063">
        <w:rPr>
          <w:rFonts w:ascii="Times New Roman" w:hAnsi="Times New Roman" w:cs="Times New Roman"/>
          <w:b/>
          <w:sz w:val="24"/>
          <w:szCs w:val="24"/>
        </w:rPr>
        <w:t xml:space="preserve"> y datos de referencia de </w:t>
      </w:r>
      <w:r>
        <w:rPr>
          <w:rFonts w:ascii="Times New Roman" w:hAnsi="Times New Roman" w:cs="Times New Roman"/>
          <w:b/>
          <w:sz w:val="24"/>
          <w:szCs w:val="24"/>
        </w:rPr>
        <w:t>Organismos Internacionales</w:t>
      </w:r>
      <w:r w:rsidRPr="00CE087C">
        <w:rPr>
          <w:rFonts w:ascii="Times New Roman" w:hAnsi="Times New Roman" w:cs="Times New Roman"/>
          <w:b/>
          <w:sz w:val="24"/>
          <w:szCs w:val="24"/>
        </w:rPr>
        <w:t xml:space="preserve"> </w:t>
      </w:r>
    </w:p>
    <w:p w:rsidR="00CE087C" w:rsidRPr="00F04DEA" w:rsidRDefault="00CE087C" w:rsidP="00CE087C">
      <w:pPr>
        <w:spacing w:line="240" w:lineRule="auto"/>
        <w:jc w:val="both"/>
        <w:textAlignment w:val="baseline"/>
        <w:rPr>
          <w:rFonts w:ascii="Times New Roman" w:hAnsi="Times New Roman" w:cs="Times New Roman"/>
          <w:sz w:val="24"/>
          <w:szCs w:val="24"/>
        </w:rPr>
      </w:pPr>
      <w:r w:rsidRPr="00F04DEA">
        <w:rPr>
          <w:rFonts w:ascii="Times New Roman" w:hAnsi="Times New Roman" w:cs="Times New Roman"/>
          <w:noProof/>
          <w:sz w:val="24"/>
          <w:szCs w:val="24"/>
          <w:lang w:eastAsia="es-ES"/>
        </w:rPr>
        <w:drawing>
          <wp:inline distT="0" distB="0" distL="0" distR="0" wp14:anchorId="0F0860A2" wp14:editId="4F6FE4AB">
            <wp:extent cx="5734050" cy="2628900"/>
            <wp:effectExtent l="0" t="0" r="0" b="0"/>
            <wp:docPr id="529" name="Imagen 529" descr="https://si.wsj.net/public/resources/images/BN-UV380_CDO082_BR_20170825171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wsj.net/public/resources/images/BN-UV380_CDO082_BR_20170825171741.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4050" cy="2628900"/>
                    </a:xfrm>
                    <a:prstGeom prst="rect">
                      <a:avLst/>
                    </a:prstGeom>
                    <a:noFill/>
                    <a:ln>
                      <a:noFill/>
                    </a:ln>
                  </pic:spPr>
                </pic:pic>
              </a:graphicData>
            </a:graphic>
          </wp:inline>
        </w:drawing>
      </w:r>
    </w:p>
    <w:p w:rsidR="00CE087C" w:rsidRPr="00CE087C" w:rsidRDefault="00CE087C" w:rsidP="00CE087C">
      <w:pPr>
        <w:spacing w:line="240" w:lineRule="auto"/>
        <w:jc w:val="both"/>
        <w:rPr>
          <w:rFonts w:ascii="Times New Roman" w:hAnsi="Times New Roman" w:cs="Times New Roman"/>
          <w:bCs/>
          <w:color w:val="0040FF"/>
          <w:sz w:val="24"/>
          <w:szCs w:val="24"/>
        </w:rPr>
      </w:pPr>
      <w:r>
        <w:rPr>
          <w:rFonts w:ascii="Times New Roman" w:hAnsi="Times New Roman" w:cs="Times New Roman"/>
          <w:bCs/>
          <w:sz w:val="24"/>
          <w:szCs w:val="24"/>
        </w:rPr>
        <w:t xml:space="preserve">- </w:t>
      </w:r>
      <w:r w:rsidRPr="00CE087C">
        <w:rPr>
          <w:rFonts w:ascii="Times New Roman" w:hAnsi="Times New Roman" w:cs="Times New Roman"/>
          <w:sz w:val="24"/>
          <w:szCs w:val="24"/>
          <w:u w:val="single"/>
        </w:rPr>
        <w:t>España, el país de la OCDE donde más aumentó la deuda de 2007 a 2015</w:t>
      </w:r>
      <w:r w:rsidRPr="00CE087C">
        <w:rPr>
          <w:rFonts w:ascii="Times New Roman" w:hAnsi="Times New Roman" w:cs="Times New Roman"/>
          <w:bCs/>
          <w:sz w:val="24"/>
          <w:szCs w:val="24"/>
          <w:u w:val="single"/>
        </w:rPr>
        <w:t xml:space="preserve"> </w:t>
      </w:r>
      <w:r>
        <w:rPr>
          <w:rFonts w:ascii="Times New Roman" w:hAnsi="Times New Roman" w:cs="Times New Roman"/>
          <w:bCs/>
          <w:sz w:val="24"/>
          <w:szCs w:val="24"/>
        </w:rPr>
        <w:t>(Informe OCDE</w:t>
      </w:r>
      <w:r w:rsidRPr="00CE087C">
        <w:rPr>
          <w:rFonts w:ascii="Times New Roman" w:hAnsi="Times New Roman" w:cs="Times New Roman"/>
          <w:bCs/>
          <w:sz w:val="24"/>
          <w:szCs w:val="24"/>
        </w:rPr>
        <w:t xml:space="preserve">- </w:t>
      </w:r>
      <w:r w:rsidRPr="00CE087C">
        <w:rPr>
          <w:rStyle w:val="fuente"/>
          <w:rFonts w:ascii="Times New Roman" w:hAnsi="Times New Roman" w:cs="Times New Roman"/>
          <w:sz w:val="24"/>
          <w:szCs w:val="24"/>
        </w:rPr>
        <w:t xml:space="preserve">EFE </w:t>
      </w:r>
      <w:r w:rsidRPr="00CE087C">
        <w:rPr>
          <w:rStyle w:val="origen"/>
          <w:rFonts w:ascii="Times New Roman" w:hAnsi="Times New Roman" w:cs="Times New Roman"/>
          <w:bCs/>
          <w:color w:val="1A1A1A"/>
          <w:sz w:val="24"/>
          <w:szCs w:val="24"/>
        </w:rPr>
        <w:t>París</w:t>
      </w:r>
      <w:r>
        <w:rPr>
          <w:rStyle w:val="fecha"/>
          <w:rFonts w:ascii="Times New Roman" w:hAnsi="Times New Roman" w:cs="Times New Roman"/>
          <w:bCs/>
          <w:color w:val="333333"/>
          <w:sz w:val="24"/>
          <w:szCs w:val="24"/>
        </w:rPr>
        <w:t xml:space="preserve"> - </w:t>
      </w:r>
      <w:r w:rsidRPr="00CE087C">
        <w:rPr>
          <w:rStyle w:val="fecha"/>
          <w:rFonts w:ascii="Times New Roman" w:hAnsi="Times New Roman" w:cs="Times New Roman"/>
          <w:b/>
          <w:bCs/>
          <w:color w:val="333333"/>
          <w:sz w:val="24"/>
          <w:szCs w:val="24"/>
        </w:rPr>
        <w:t>13/7/17</w:t>
      </w:r>
      <w:r>
        <w:rPr>
          <w:rStyle w:val="fecha"/>
          <w:rFonts w:ascii="Times New Roman" w:hAnsi="Times New Roman" w:cs="Times New Roman"/>
          <w:bCs/>
          <w:color w:val="333333"/>
          <w:sz w:val="24"/>
          <w:szCs w:val="24"/>
        </w:rPr>
        <w:t>)</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España fue el país de la OCDE en el que más aumentó en términos relativos la deuda pública bruta entre 2007 y 2015, por delante incluso de Eslovenia, Portugal y Grecia, y también fue en 2016 el farolillo rojo por el déficit.</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Estas son algunas de las informaciones contenidas en el estudio anual sobre las administraciones públicas editado hoy por la Organización para la Cooperación y el Desarrollo Económico (OCDE), que hizo notar una mejora de las cuentas públicas desde los años más duros de la crisis.</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La deuda (según la concepción del Sistema de Contabilidad Nacional y no del Tratado de Maastricht) pasó en España del 41,73 % del producto interior bruto (PIB) de 2007 al 116,85 % en 2015, lo que significó 75,12 puntos porcentuales de PIB suplementarios.</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El incremento en esos ocho años fue de 73 puntos en Eslovenia, de 71,1 en Portugal y de 68,8 puntos en Grecia. Estos dos últimos países tuvieron que ser rescatados por sus socios europeos para evitar la bancarrota.</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En cualquier caso, entre los miembros del conocido como el "Club de los países desarrollados" los niveles de deuda llegaron en 2015 a un máximo del 221,8 % del PIB en Japón, del 181,6 % en Grecia, del 157,5 % en Italia y del 149,2 % en Portugal.</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España se quedó ese año (el último para el que existen datos armonizados de todos) en séptima posición con ese 116,85 % (117,23 % en 2016) por debajo también de Bélgica y Francia, pero por encima de la media del 112 % en la OCDE (donde había sido del 73 % en 2007).</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Los Estados con menos carga de deuda eran Estonia (13 % del PIB), Chile (24,5 %), Turquía (27,4 %) y Luxemburgo (30,7 %).</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Entre 2007 y 2015 el agujero de las cuentas públicas sólo disminuyó en Noruega (16,7 puntos porcentuales), Suiza (5,2 puntos) e Israel (2,1 puntos).</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Por lo que se refiere al déficit, en la OCDE se pasó de un 8,4 % de media en 2009, cuando más se hacía sentir el impacto de la crisis financiera, al 2,8 % en 2015.</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lastRenderedPageBreak/>
        <w:t>España, que hasta 2015 había estado en segunda posición por la cola sólo por encima de Grecia, se convirtió en 2016 en el farolillo rojo con un saldo negativo del 4,5 % del PIB.</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Grecia, que había alcanzado un déficit del 15,1 % del PIB en 2009 y todavía un 5,9 % en 2015, a fuerza de ajustes invirtió su situación y en 2016 obtuvo un superávit del 0,7 %. Todavía muy lejos de Islandia, donde la diferencia entre lo recaudado y lo gastado representó un 17,2 % del PIB.</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Si se observan los cambios en la estructura del gasto público, en el caso de España el elemento más sobresaliente durante la crisis fue el incremento del peso relativo de la protección social (6,2 puntos porcentuales más entre 2007 y 2015, hasta representar el 39,1 % del total, por encima de la media del 32,6 % en la OCDE).</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Fue el segundo incremento más pronunciado de los Estados miembros, únicamente por detrás del de Letonia (7,6 puntos suplementarios hasta el 31 %).</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La otra partida en la que hubo un alza muy significativa en España en esos ocho años (2,2 puntos suplementarios hasta el 14,9 % del gasto público) fue la de los servicios públicos generales, que incluye el servicio de la deuda (los intereses).</w:t>
      </w:r>
    </w:p>
    <w:p w:rsidR="00CE087C" w:rsidRPr="00CE087C" w:rsidRDefault="00CE087C" w:rsidP="00CE087C">
      <w:pPr>
        <w:shd w:val="clear" w:color="auto" w:fill="FFFFFF"/>
        <w:spacing w:after="150" w:line="240" w:lineRule="auto"/>
        <w:jc w:val="both"/>
        <w:rPr>
          <w:rFonts w:ascii="Times New Roman" w:eastAsia="Times New Roman" w:hAnsi="Times New Roman" w:cs="Times New Roman"/>
          <w:sz w:val="24"/>
          <w:szCs w:val="24"/>
          <w:lang w:eastAsia="es-ES"/>
        </w:rPr>
      </w:pPr>
      <w:r w:rsidRPr="00CE087C">
        <w:rPr>
          <w:rFonts w:ascii="Times New Roman" w:eastAsia="Times New Roman" w:hAnsi="Times New Roman" w:cs="Times New Roman"/>
          <w:sz w:val="24"/>
          <w:szCs w:val="24"/>
          <w:lang w:eastAsia="es-ES"/>
        </w:rPr>
        <w:t>Eso se hizo en detrimento sobre todo de los asuntos económicos (3,3 puntos porcentuales menos al 10 %), y el ocio, la cultura y la religión (1,5 puntos menos al 2,6 %).</w:t>
      </w:r>
    </w:p>
    <w:p w:rsidR="00CE087C" w:rsidRPr="00CE087C" w:rsidRDefault="00CE087C" w:rsidP="00CE087C">
      <w:pPr>
        <w:pStyle w:val="Ttulo3"/>
        <w:shd w:val="clear" w:color="auto" w:fill="F9F9F9"/>
        <w:spacing w:before="0" w:after="75" w:line="240" w:lineRule="auto"/>
        <w:jc w:val="both"/>
        <w:rPr>
          <w:rFonts w:ascii="Times New Roman" w:hAnsi="Times New Roman" w:cs="Times New Roman"/>
          <w:color w:val="auto"/>
          <w:sz w:val="24"/>
          <w:szCs w:val="24"/>
          <w:lang w:val="en-GB"/>
        </w:rPr>
      </w:pPr>
      <w:r w:rsidRPr="00CE087C">
        <w:rPr>
          <w:color w:val="auto"/>
          <w:lang w:val="en-GB"/>
        </w:rPr>
        <w:t xml:space="preserve">- </w:t>
      </w:r>
      <w:hyperlink r:id="rId90" w:tgtFrame="_blank" w:tooltip="Home " w:history="1">
        <w:r w:rsidRPr="00CE087C">
          <w:rPr>
            <w:rStyle w:val="Hipervnculo"/>
            <w:rFonts w:ascii="Times New Roman" w:hAnsi="Times New Roman" w:cs="Times New Roman"/>
            <w:color w:val="auto"/>
            <w:sz w:val="24"/>
            <w:szCs w:val="24"/>
            <w:u w:val="none"/>
            <w:bdr w:val="none" w:sz="0" w:space="0" w:color="auto" w:frame="1"/>
            <w:lang w:val="en-GB"/>
          </w:rPr>
          <w:t>Sovereign borrowing outlook for OECD countries, 2007 to 2017</w:t>
        </w:r>
      </w:hyperlink>
    </w:p>
    <w:p w:rsidR="00CE087C" w:rsidRPr="00CE087C" w:rsidRDefault="00CE087C" w:rsidP="00CE087C">
      <w:pPr>
        <w:pStyle w:val="NormalWeb"/>
        <w:shd w:val="clear" w:color="auto" w:fill="F9F9F9"/>
        <w:spacing w:before="75" w:beforeAutospacing="0" w:after="75" w:afterAutospacing="0"/>
        <w:jc w:val="both"/>
        <w:rPr>
          <w:lang w:val="en-GB"/>
        </w:rPr>
      </w:pPr>
    </w:p>
    <w:p w:rsidR="00CE087C" w:rsidRPr="00CE087C" w:rsidRDefault="00CE087C" w:rsidP="00CE087C">
      <w:pPr>
        <w:pStyle w:val="NormalWeb"/>
        <w:shd w:val="clear" w:color="auto" w:fill="F9F9F9"/>
        <w:spacing w:before="75" w:beforeAutospacing="0" w:after="75" w:afterAutospacing="0"/>
        <w:jc w:val="both"/>
        <w:rPr>
          <w:lang w:val="en-GB"/>
        </w:rPr>
      </w:pPr>
      <w:r w:rsidRPr="00CE087C">
        <w:rPr>
          <w:b/>
          <w:lang w:val="en-GB"/>
        </w:rPr>
        <w:t>15/02/2017</w:t>
      </w:r>
      <w:r w:rsidRPr="00CE087C">
        <w:rPr>
          <w:lang w:val="en-GB"/>
        </w:rPr>
        <w:t xml:space="preserve"> - This </w:t>
      </w:r>
      <w:hyperlink r:id="rId91" w:tgtFrame="_blank" w:tooltip="Home " w:history="1">
        <w:r w:rsidRPr="00CE087C">
          <w:rPr>
            <w:rStyle w:val="Hipervnculo"/>
            <w:color w:val="auto"/>
            <w:u w:val="none"/>
            <w:bdr w:val="none" w:sz="0" w:space="0" w:color="auto" w:frame="1"/>
            <w:lang w:val="en-GB"/>
          </w:rPr>
          <w:t>report</w:t>
        </w:r>
      </w:hyperlink>
      <w:r w:rsidRPr="00CE087C">
        <w:rPr>
          <w:lang w:val="en-GB"/>
        </w:rPr>
        <w:t> from the 2017 edition of the OECD Sovereign Borrowing Outlook examines net and gross sovereign borrowing in OECD countries from 2007 to 2017. It first looks at net and gross borrowing needs of OECD governments in the context of fiscal developments. It then considers recent trends in central government marketable debt in the OECD area and central government debt ratios for groups of selected OECD countries. Finally, the report examines funding strategies and growing issuance of debt with 30 or more years of maturities.</w:t>
      </w:r>
    </w:p>
    <w:p w:rsidR="00CE087C" w:rsidRPr="00F04DEA" w:rsidRDefault="00CE087C" w:rsidP="00CE087C">
      <w:pPr>
        <w:pStyle w:val="Ttulo4"/>
        <w:shd w:val="clear" w:color="auto" w:fill="F9F9F9"/>
        <w:spacing w:before="150" w:after="300" w:line="240" w:lineRule="auto"/>
        <w:jc w:val="both"/>
        <w:rPr>
          <w:rFonts w:ascii="Times New Roman" w:hAnsi="Times New Roman" w:cs="Times New Roman"/>
          <w:b w:val="0"/>
          <w:bCs w:val="0"/>
          <w:color w:val="FF0000"/>
          <w:sz w:val="24"/>
          <w:szCs w:val="24"/>
        </w:rPr>
      </w:pPr>
      <w:r w:rsidRPr="00F04DEA">
        <w:rPr>
          <w:rFonts w:ascii="Times New Roman" w:hAnsi="Times New Roman" w:cs="Times New Roman"/>
          <w:b w:val="0"/>
          <w:bCs w:val="0"/>
          <w:color w:val="FF0000"/>
          <w:sz w:val="24"/>
          <w:szCs w:val="24"/>
        </w:rPr>
        <w:t>Key findings</w:t>
      </w:r>
    </w:p>
    <w:p w:rsidR="00CE087C" w:rsidRPr="00F04DEA" w:rsidRDefault="00CE087C" w:rsidP="00CE087C">
      <w:pPr>
        <w:pStyle w:val="NormalWeb"/>
        <w:numPr>
          <w:ilvl w:val="0"/>
          <w:numId w:val="9"/>
        </w:numPr>
        <w:shd w:val="clear" w:color="auto" w:fill="F9F9F9"/>
        <w:spacing w:before="75" w:beforeAutospacing="0" w:after="75" w:afterAutospacing="0"/>
        <w:ind w:left="360" w:right="360"/>
        <w:jc w:val="both"/>
        <w:rPr>
          <w:color w:val="FF0000"/>
          <w:lang w:val="en-GB"/>
        </w:rPr>
      </w:pPr>
      <w:r w:rsidRPr="00F04DEA">
        <w:rPr>
          <w:color w:val="FF0000"/>
          <w:lang w:val="en-GB"/>
        </w:rPr>
        <w:t>Sovereign gross borrowing needs in the OECD area have continued to decline from the peaks attained in 2012. They are expected to be USD 9.5 trillion in 2017, approximately the same level as 2016.</w:t>
      </w:r>
    </w:p>
    <w:p w:rsidR="00CE087C" w:rsidRPr="00F04DEA" w:rsidRDefault="00CE087C" w:rsidP="00CE087C">
      <w:pPr>
        <w:pStyle w:val="NormalWeb"/>
        <w:numPr>
          <w:ilvl w:val="0"/>
          <w:numId w:val="9"/>
        </w:numPr>
        <w:shd w:val="clear" w:color="auto" w:fill="F9F9F9"/>
        <w:spacing w:before="75" w:beforeAutospacing="0" w:after="75" w:afterAutospacing="0"/>
        <w:ind w:left="360" w:right="360"/>
        <w:jc w:val="both"/>
        <w:rPr>
          <w:color w:val="FF0000"/>
          <w:lang w:val="en-GB"/>
        </w:rPr>
      </w:pPr>
      <w:r w:rsidRPr="00F04DEA">
        <w:rPr>
          <w:color w:val="FF0000"/>
          <w:lang w:val="en-GB"/>
        </w:rPr>
        <w:t>Net borrowing needs have also declined but continue to be positive and are projected to remain flat in 2017 for the OECD area, reflecting the fact that underlying fiscal balances are becoming more expansionary. Until 2016, net borrowing requirements in the OECD area declined steadily from the peaks attained in 2009.</w:t>
      </w:r>
    </w:p>
    <w:p w:rsidR="00CE087C" w:rsidRPr="00F04DEA" w:rsidRDefault="00CE087C" w:rsidP="00CE087C">
      <w:pPr>
        <w:pStyle w:val="NormalWeb"/>
        <w:numPr>
          <w:ilvl w:val="0"/>
          <w:numId w:val="9"/>
        </w:numPr>
        <w:shd w:val="clear" w:color="auto" w:fill="F9F9F9"/>
        <w:spacing w:before="75" w:beforeAutospacing="0" w:after="75" w:afterAutospacing="0"/>
        <w:ind w:left="360" w:right="360"/>
        <w:jc w:val="both"/>
        <w:rPr>
          <w:color w:val="FF0000"/>
          <w:lang w:val="en-GB"/>
        </w:rPr>
      </w:pPr>
      <w:r w:rsidRPr="00F04DEA">
        <w:rPr>
          <w:color w:val="FF0000"/>
          <w:lang w:val="en-GB"/>
        </w:rPr>
        <w:t>Sovereign debt levels have continued to increase and debt levels are high by historical standards, although exchange rate developments are complicating the interpretation of such aggregates.</w:t>
      </w:r>
    </w:p>
    <w:p w:rsidR="00CE087C" w:rsidRPr="00F04DEA" w:rsidRDefault="00CE087C" w:rsidP="00CE087C">
      <w:pPr>
        <w:pStyle w:val="NormalWeb"/>
        <w:numPr>
          <w:ilvl w:val="0"/>
          <w:numId w:val="9"/>
        </w:numPr>
        <w:shd w:val="clear" w:color="auto" w:fill="F9F9F9"/>
        <w:spacing w:before="75" w:beforeAutospacing="0" w:after="75" w:afterAutospacing="0"/>
        <w:ind w:left="360" w:right="360"/>
        <w:jc w:val="both"/>
        <w:rPr>
          <w:color w:val="FF0000"/>
          <w:lang w:val="en-GB"/>
        </w:rPr>
      </w:pPr>
      <w:r w:rsidRPr="00F04DEA">
        <w:rPr>
          <w:color w:val="FF0000"/>
          <w:lang w:val="en-GB"/>
        </w:rPr>
        <w:t>After surging from 49.8% to 74.6% between 2007 and 2015, the central government marketable debt-to-GDP ratio has started to decline and is estimated to be 73% in 2017. Among country groups the decline in the debt-to-GDP ratio is more significant for G7 countries.</w:t>
      </w:r>
    </w:p>
    <w:p w:rsidR="00CE087C" w:rsidRPr="00F04DEA" w:rsidRDefault="00CE087C" w:rsidP="00CE087C">
      <w:pPr>
        <w:pStyle w:val="NormalWeb"/>
        <w:numPr>
          <w:ilvl w:val="0"/>
          <w:numId w:val="9"/>
        </w:numPr>
        <w:shd w:val="clear" w:color="auto" w:fill="F9F9F9"/>
        <w:spacing w:before="75" w:beforeAutospacing="0" w:after="75" w:afterAutospacing="0"/>
        <w:ind w:left="360" w:right="360"/>
        <w:jc w:val="both"/>
        <w:rPr>
          <w:color w:val="FF0000"/>
          <w:lang w:val="en-GB"/>
        </w:rPr>
      </w:pPr>
      <w:r w:rsidRPr="00F04DEA">
        <w:rPr>
          <w:color w:val="FF0000"/>
          <w:lang w:val="en-GB"/>
        </w:rPr>
        <w:t xml:space="preserve">Interest rates remain low and are even negative for approximately USD 10 trillion of outstanding high-credit-quality sovereign debt. This situation facilitates the servicing of debt. It also makes debt-funded public investments to kick-start real activity growth </w:t>
      </w:r>
      <w:r w:rsidRPr="00F04DEA">
        <w:rPr>
          <w:color w:val="FF0000"/>
          <w:lang w:val="en-GB"/>
        </w:rPr>
        <w:lastRenderedPageBreak/>
        <w:t>relatively less costly and more attractive, without obscuring the medium- to long-term need for continued measured fiscal consolidation.</w:t>
      </w:r>
    </w:p>
    <w:p w:rsidR="00CE087C" w:rsidRPr="00F04DEA" w:rsidRDefault="00CE087C" w:rsidP="00CE087C">
      <w:pPr>
        <w:pStyle w:val="NormalWeb"/>
        <w:numPr>
          <w:ilvl w:val="0"/>
          <w:numId w:val="9"/>
        </w:numPr>
        <w:shd w:val="clear" w:color="auto" w:fill="F9F9F9"/>
        <w:spacing w:before="75" w:beforeAutospacing="0" w:after="75" w:afterAutospacing="0"/>
        <w:ind w:left="360" w:right="360"/>
        <w:jc w:val="both"/>
        <w:rPr>
          <w:color w:val="FF0000"/>
          <w:lang w:val="en-GB"/>
        </w:rPr>
      </w:pPr>
      <w:r w:rsidRPr="00F04DEA">
        <w:rPr>
          <w:color w:val="FF0000"/>
          <w:lang w:val="en-GB"/>
        </w:rPr>
        <w:t>Debt managers are reacting to fiscal challenges by lengthening redemption profiles, thus limiting rollover risks. This strategy tends to involve higher debt-servicing costs over the short term but, at the current juncture, such costs are very limited.</w:t>
      </w:r>
    </w:p>
    <w:p w:rsidR="00CE087C" w:rsidRPr="00F04DEA" w:rsidRDefault="00CE087C" w:rsidP="00CE087C">
      <w:pPr>
        <w:pStyle w:val="NormalWeb"/>
        <w:numPr>
          <w:ilvl w:val="0"/>
          <w:numId w:val="9"/>
        </w:numPr>
        <w:shd w:val="clear" w:color="auto" w:fill="F9F9F9"/>
        <w:spacing w:before="75" w:beforeAutospacing="0" w:after="75" w:afterAutospacing="0"/>
        <w:ind w:left="360" w:right="360"/>
        <w:jc w:val="both"/>
        <w:rPr>
          <w:color w:val="FF0000"/>
          <w:lang w:val="en-GB"/>
        </w:rPr>
      </w:pPr>
      <w:r w:rsidRPr="00F04DEA">
        <w:rPr>
          <w:color w:val="FF0000"/>
          <w:lang w:val="en-GB"/>
        </w:rPr>
        <w:t>Ultra-long government bond issuance has increased significantly, partly driven by attempts to lock in low long-term interest rates. Annual volumes of ultra-long bonds tripled between 2006 and 2016, with the number of issues doubling over the same period.</w:t>
      </w:r>
    </w:p>
    <w:p w:rsidR="00CE087C" w:rsidRPr="00CE087C" w:rsidRDefault="00CE087C" w:rsidP="00CE087C">
      <w:pPr>
        <w:pStyle w:val="NormalWeb"/>
        <w:shd w:val="clear" w:color="auto" w:fill="F9F9F9"/>
        <w:spacing w:before="75" w:after="75"/>
        <w:ind w:right="360"/>
        <w:jc w:val="both"/>
        <w:rPr>
          <w:b/>
          <w:lang w:val="en-GB"/>
        </w:rPr>
      </w:pPr>
      <w:r w:rsidRPr="00CE087C">
        <w:rPr>
          <w:b/>
          <w:lang w:val="en-GB"/>
        </w:rPr>
        <w:t>- Sovereign borrowing outlook for OECD countries - OECD 2017</w:t>
      </w:r>
    </w:p>
    <w:p w:rsidR="00CE087C" w:rsidRPr="00CE087C" w:rsidRDefault="00CE087C" w:rsidP="00CE087C">
      <w:pPr>
        <w:autoSpaceDE w:val="0"/>
        <w:autoSpaceDN w:val="0"/>
        <w:adjustRightInd w:val="0"/>
        <w:spacing w:after="0" w:line="240" w:lineRule="auto"/>
        <w:jc w:val="both"/>
        <w:rPr>
          <w:rFonts w:ascii="Times New Roman" w:hAnsi="Times New Roman" w:cs="Times New Roman"/>
          <w:bCs/>
          <w:sz w:val="24"/>
          <w:szCs w:val="24"/>
          <w:lang w:val="en-GB"/>
        </w:rPr>
      </w:pPr>
      <w:r w:rsidRPr="00CE087C">
        <w:rPr>
          <w:rFonts w:ascii="Times New Roman" w:hAnsi="Times New Roman" w:cs="Times New Roman"/>
          <w:bCs/>
          <w:sz w:val="24"/>
          <w:szCs w:val="24"/>
          <w:lang w:val="en-GB"/>
        </w:rPr>
        <w:t>Executive summary</w:t>
      </w:r>
    </w:p>
    <w:p w:rsidR="00CE087C" w:rsidRPr="00CE087C" w:rsidRDefault="00CE087C" w:rsidP="00CE087C">
      <w:pPr>
        <w:autoSpaceDE w:val="0"/>
        <w:autoSpaceDN w:val="0"/>
        <w:adjustRightInd w:val="0"/>
        <w:spacing w:after="0" w:line="240" w:lineRule="auto"/>
        <w:jc w:val="both"/>
        <w:rPr>
          <w:rFonts w:ascii="Times New Roman" w:hAnsi="Times New Roman" w:cs="Times New Roman"/>
          <w:bCs/>
          <w:sz w:val="24"/>
          <w:szCs w:val="24"/>
          <w:lang w:val="en-GB"/>
        </w:rPr>
      </w:pPr>
    </w:p>
    <w:p w:rsidR="00CE087C" w:rsidRPr="00CE087C" w:rsidRDefault="00CE087C" w:rsidP="00CE087C">
      <w:pPr>
        <w:autoSpaceDE w:val="0"/>
        <w:autoSpaceDN w:val="0"/>
        <w:adjustRightInd w:val="0"/>
        <w:spacing w:after="0" w:line="240" w:lineRule="auto"/>
        <w:jc w:val="both"/>
        <w:rPr>
          <w:rFonts w:ascii="Times New Roman" w:hAnsi="Times New Roman" w:cs="Times New Roman"/>
          <w:b/>
          <w:bCs/>
          <w:sz w:val="24"/>
          <w:szCs w:val="24"/>
          <w:lang w:val="en-GB"/>
        </w:rPr>
      </w:pPr>
      <w:r w:rsidRPr="00CE087C">
        <w:rPr>
          <w:rFonts w:ascii="Times New Roman" w:hAnsi="Times New Roman" w:cs="Times New Roman"/>
          <w:b/>
          <w:bCs/>
          <w:sz w:val="24"/>
          <w:szCs w:val="24"/>
          <w:lang w:val="en-GB"/>
        </w:rPr>
        <w:t>Shaped primarily by fiscal policies, sovereign borrowing levels in the OECD area have stabilised in recent years, although sovereign debt burdens remain high by historical standards and redemption profiles still pose serious challenges.</w:t>
      </w:r>
    </w:p>
    <w:p w:rsidR="00CE087C" w:rsidRPr="00CE087C" w:rsidRDefault="00CE087C" w:rsidP="00CE087C">
      <w:pPr>
        <w:autoSpaceDE w:val="0"/>
        <w:autoSpaceDN w:val="0"/>
        <w:adjustRightInd w:val="0"/>
        <w:spacing w:after="0" w:line="240" w:lineRule="auto"/>
        <w:jc w:val="both"/>
        <w:rPr>
          <w:rFonts w:ascii="Times New Roman" w:hAnsi="Times New Roman" w:cs="Times New Roman"/>
          <w:b/>
          <w:color w:val="000000"/>
          <w:sz w:val="24"/>
          <w:szCs w:val="24"/>
          <w:lang w:val="en-GB"/>
        </w:rPr>
      </w:pP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04DEA">
        <w:rPr>
          <w:rFonts w:ascii="Times New Roman" w:hAnsi="Times New Roman" w:cs="Times New Roman"/>
          <w:color w:val="000000"/>
          <w:sz w:val="24"/>
          <w:szCs w:val="24"/>
          <w:lang w:val="en-GB"/>
        </w:rPr>
        <w:t>The pace of debt accumulation has stabilised compared to the first years of the global financial and economic crisis. Sovereign borrowing requirements (both in gross and net terms), which had risen rapidly as a result of the policy response to the crisis, have since declined due to fiscal consolidation efforts made mostly from 2011 to 2015. Net borrowing requirements have also declined but remain positive and are projected to stay level in 2017 in the OECD area, reflecting that underlying fiscal balances are slowly becoming more expansionary. As a result, outstanding debt has continued to increase, albeit at a slower pace. Survey results indicate that aggregate central government marketable debt across the OECD area will gradually inc</w:t>
      </w:r>
      <w:r>
        <w:rPr>
          <w:rFonts w:ascii="Times New Roman" w:hAnsi="Times New Roman" w:cs="Times New Roman"/>
          <w:color w:val="000000"/>
          <w:sz w:val="24"/>
          <w:szCs w:val="24"/>
          <w:lang w:val="en-GB"/>
        </w:rPr>
        <w:t>rease from USD 41,</w:t>
      </w:r>
      <w:r w:rsidRPr="00F04DEA">
        <w:rPr>
          <w:rFonts w:ascii="Times New Roman" w:hAnsi="Times New Roman" w:cs="Times New Roman"/>
          <w:color w:val="000000"/>
          <w:sz w:val="24"/>
          <w:szCs w:val="24"/>
          <w:lang w:val="en-GB"/>
        </w:rPr>
        <w:t xml:space="preserve">3 trillion in </w:t>
      </w:r>
      <w:r>
        <w:rPr>
          <w:rFonts w:ascii="Times New Roman" w:hAnsi="Times New Roman" w:cs="Times New Roman"/>
          <w:color w:val="000000"/>
          <w:sz w:val="24"/>
          <w:szCs w:val="24"/>
          <w:lang w:val="en-GB"/>
        </w:rPr>
        <w:t>2016 to USD 42,</w:t>
      </w:r>
      <w:r w:rsidRPr="00F04DEA">
        <w:rPr>
          <w:rFonts w:ascii="Times New Roman" w:hAnsi="Times New Roman" w:cs="Times New Roman"/>
          <w:color w:val="000000"/>
          <w:sz w:val="24"/>
          <w:szCs w:val="24"/>
          <w:lang w:val="en-GB"/>
        </w:rPr>
        <w:t>2 trillion in 2017, while sovereign net borrowing requirements are expected to remain at USD 1</w:t>
      </w:r>
      <w:r>
        <w:rPr>
          <w:rFonts w:ascii="Times New Roman" w:hAnsi="Times New Roman" w:cs="Times New Roman"/>
          <w:color w:val="000000"/>
          <w:sz w:val="24"/>
          <w:szCs w:val="24"/>
          <w:lang w:val="en-GB"/>
        </w:rPr>
        <w:t>,</w:t>
      </w:r>
      <w:r w:rsidRPr="00F04DEA">
        <w:rPr>
          <w:rFonts w:ascii="Times New Roman" w:hAnsi="Times New Roman" w:cs="Times New Roman"/>
          <w:color w:val="000000"/>
          <w:sz w:val="24"/>
          <w:szCs w:val="24"/>
          <w:lang w:val="en-GB"/>
        </w:rPr>
        <w:t>7 trillion in 2017, approximately the same level as 2016.</w:t>
      </w: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04DEA">
        <w:rPr>
          <w:rFonts w:ascii="Times New Roman" w:hAnsi="Times New Roman" w:cs="Times New Roman"/>
          <w:color w:val="000000"/>
          <w:sz w:val="24"/>
          <w:szCs w:val="24"/>
          <w:lang w:val="en-GB"/>
        </w:rPr>
        <w:t xml:space="preserve">Against this backdrop, sovereign debt burdens remain high by historical standards. After surging from 49.8% to 74.6% between 2007 and 2015 in the OECD area, central government marketable debt-to-GDP ratio has started to decline and is estimated to be 73% in 2017. This decline is more significant for the G7 group than other country groups, despite sluggish economic growth in these economies. The November 2016 edition of the </w:t>
      </w:r>
      <w:r w:rsidRPr="00F04DEA">
        <w:rPr>
          <w:rFonts w:ascii="Times New Roman" w:hAnsi="Times New Roman" w:cs="Times New Roman"/>
          <w:i/>
          <w:iCs/>
          <w:color w:val="000000"/>
          <w:sz w:val="24"/>
          <w:szCs w:val="24"/>
          <w:lang w:val="en-GB"/>
        </w:rPr>
        <w:t xml:space="preserve">OECD Economic Outlook </w:t>
      </w:r>
      <w:r w:rsidRPr="00F04DEA">
        <w:rPr>
          <w:rFonts w:ascii="Times New Roman" w:hAnsi="Times New Roman" w:cs="Times New Roman"/>
          <w:color w:val="000000"/>
          <w:sz w:val="24"/>
          <w:szCs w:val="24"/>
          <w:lang w:val="en-GB"/>
        </w:rPr>
        <w:t>indicated that fiscal space was created by lower interest payments on rolled-over debt in several advanced economies. The recommended policy response is to use fiscal space to support growth in public investment which would require additional borrowing.</w:t>
      </w: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04DEA">
        <w:rPr>
          <w:rFonts w:ascii="Times New Roman" w:hAnsi="Times New Roman" w:cs="Times New Roman"/>
          <w:color w:val="000000"/>
          <w:sz w:val="24"/>
          <w:szCs w:val="24"/>
          <w:lang w:val="en-GB"/>
        </w:rPr>
        <w:t>Since 2008, the high level of debt servicing, combined with large net borrowing requirements, has generated challenging rollover ratios and aggravated refinancing risk for sovereign debt management in the OECD area. In response to the drastic increase in government debt levels, most OECD countries have deployed a funding strategy geared towards issuance of long-dated instruments. The total debt service of OECD governments has decreased from 45% in 2015 to around 40% of the outstanding marketable debt in 2016. While this service burden has eased, it still poses a serious challenge to sovereign debt managers.</w:t>
      </w: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04DEA" w:rsidRDefault="00CE087C" w:rsidP="00CE087C">
      <w:pPr>
        <w:autoSpaceDE w:val="0"/>
        <w:autoSpaceDN w:val="0"/>
        <w:adjustRightInd w:val="0"/>
        <w:spacing w:after="0" w:line="240" w:lineRule="auto"/>
        <w:jc w:val="both"/>
        <w:rPr>
          <w:rFonts w:ascii="Times New Roman" w:hAnsi="Times New Roman" w:cs="Times New Roman"/>
          <w:b/>
          <w:bCs/>
          <w:sz w:val="24"/>
          <w:szCs w:val="24"/>
          <w:lang w:val="en-GB"/>
        </w:rPr>
      </w:pPr>
      <w:r w:rsidRPr="00F04DEA">
        <w:rPr>
          <w:rFonts w:ascii="Times New Roman" w:hAnsi="Times New Roman" w:cs="Times New Roman"/>
          <w:b/>
          <w:bCs/>
          <w:sz w:val="24"/>
          <w:szCs w:val="24"/>
          <w:lang w:val="en-GB"/>
        </w:rPr>
        <w:t>The persistent ultra-low interest rate environment has had a significant impact on both primary and secondary markets for government securities.</w:t>
      </w: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04DEA">
        <w:rPr>
          <w:rFonts w:ascii="Times New Roman" w:hAnsi="Times New Roman" w:cs="Times New Roman"/>
          <w:color w:val="000000"/>
          <w:sz w:val="24"/>
          <w:szCs w:val="24"/>
          <w:lang w:val="en-GB"/>
        </w:rPr>
        <w:lastRenderedPageBreak/>
        <w:t xml:space="preserve">Short- and long-term interest rates have continued to fall, reaching very low and – in many cases –negative levels in recent years. More than USD 10 trillion of outstanding high-credit-quality sovereign debt is currently trading at negative yields. This </w:t>
      </w:r>
      <w:r w:rsidRPr="00F04DEA">
        <w:rPr>
          <w:rFonts w:ascii="Times New Roman" w:hAnsi="Times New Roman" w:cs="Times New Roman"/>
          <w:i/>
          <w:iCs/>
          <w:color w:val="000000"/>
          <w:sz w:val="24"/>
          <w:szCs w:val="24"/>
          <w:lang w:val="en-GB"/>
        </w:rPr>
        <w:t>Outlook</w:t>
      </w:r>
      <w:r w:rsidRPr="00F04DEA">
        <w:rPr>
          <w:rFonts w:ascii="Times New Roman" w:hAnsi="Times New Roman" w:cs="Times New Roman"/>
          <w:color w:val="000000"/>
          <w:sz w:val="24"/>
          <w:szCs w:val="24"/>
          <w:lang w:val="en-GB"/>
        </w:rPr>
        <w:t xml:space="preserve"> examines the implications of the ultra-low interest rate environment for debt dynamics, sovereign funding strategies, investor base, and government market liquidi</w:t>
      </w:r>
      <w:r>
        <w:rPr>
          <w:rFonts w:ascii="Times New Roman" w:hAnsi="Times New Roman" w:cs="Times New Roman"/>
          <w:color w:val="000000"/>
          <w:sz w:val="24"/>
          <w:szCs w:val="24"/>
          <w:lang w:val="en-GB"/>
        </w:rPr>
        <w:t>ty. Lower interest rate yields -</w:t>
      </w:r>
      <w:r w:rsidRPr="00F04DEA">
        <w:rPr>
          <w:rFonts w:ascii="Times New Roman" w:hAnsi="Times New Roman" w:cs="Times New Roman"/>
          <w:color w:val="000000"/>
          <w:sz w:val="24"/>
          <w:szCs w:val="24"/>
          <w:lang w:val="en-GB"/>
        </w:rPr>
        <w:t xml:space="preserve"> entering into negative </w:t>
      </w:r>
      <w:r>
        <w:rPr>
          <w:rFonts w:ascii="Times New Roman" w:hAnsi="Times New Roman" w:cs="Times New Roman"/>
          <w:color w:val="000000"/>
          <w:sz w:val="24"/>
          <w:szCs w:val="24"/>
          <w:lang w:val="en-GB"/>
        </w:rPr>
        <w:t>territory in several countries-</w:t>
      </w:r>
      <w:r w:rsidRPr="00F04DEA">
        <w:rPr>
          <w:rFonts w:ascii="Times New Roman" w:hAnsi="Times New Roman" w:cs="Times New Roman"/>
          <w:color w:val="000000"/>
          <w:sz w:val="24"/>
          <w:szCs w:val="24"/>
          <w:lang w:val="en-GB"/>
        </w:rPr>
        <w:t xml:space="preserve"> have improved debt dynamics and eased government debt funding. Since interest rates have declined by more than GDP growth which more than offsets the increase in the debt-to-GDP ratio, debt-servicing has been facilitated and debt sustainability concerns have been alleviated in a number of OECD countries. Also, historical evolution of the average term-to</w:t>
      </w:r>
      <w:r>
        <w:rPr>
          <w:rFonts w:ascii="Times New Roman" w:hAnsi="Times New Roman" w:cs="Times New Roman"/>
          <w:color w:val="000000"/>
          <w:sz w:val="24"/>
          <w:szCs w:val="24"/>
          <w:lang w:val="en-GB"/>
        </w:rPr>
        <w:t xml:space="preserve"> </w:t>
      </w:r>
      <w:r w:rsidRPr="00F04DEA">
        <w:rPr>
          <w:rFonts w:ascii="Times New Roman" w:hAnsi="Times New Roman" w:cs="Times New Roman"/>
          <w:color w:val="000000"/>
          <w:sz w:val="24"/>
          <w:szCs w:val="24"/>
          <w:lang w:val="en-GB"/>
        </w:rPr>
        <w:t>maturity of outstanding central government debt, representing refinanci</w:t>
      </w:r>
      <w:r>
        <w:rPr>
          <w:rFonts w:ascii="Times New Roman" w:hAnsi="Times New Roman" w:cs="Times New Roman"/>
          <w:color w:val="000000"/>
          <w:sz w:val="24"/>
          <w:szCs w:val="24"/>
          <w:lang w:val="en-GB"/>
        </w:rPr>
        <w:t>ng risk exposure, indicates a 1,</w:t>
      </w:r>
      <w:r w:rsidRPr="00F04DEA">
        <w:rPr>
          <w:rFonts w:ascii="Times New Roman" w:hAnsi="Times New Roman" w:cs="Times New Roman"/>
          <w:color w:val="000000"/>
          <w:sz w:val="24"/>
          <w:szCs w:val="24"/>
          <w:lang w:val="en-GB"/>
        </w:rPr>
        <w:t>5-year increase compared to the pre-crisis period. This figure reached historic highs in 2016 for several countries including Belgium, Mexico, the United Kingdom and the United States, partly driven by growing issuance of ultra-long bonds.</w:t>
      </w: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04DEA">
        <w:rPr>
          <w:rFonts w:ascii="Times New Roman" w:hAnsi="Times New Roman" w:cs="Times New Roman"/>
          <w:color w:val="000000"/>
          <w:sz w:val="24"/>
          <w:szCs w:val="24"/>
          <w:lang w:val="en-GB"/>
        </w:rPr>
        <w:t>With volumes of sovereign debt trading at negative yields attaining record levels in 2016, some countries, including France, Germany, Japan, and the Netherlands, have received payments for issuing domestic government bonds. Specifically, an examination of sovereign bond auctions in 14 OECD countries indicates that the volume of negative</w:t>
      </w:r>
      <w:r>
        <w:rPr>
          <w:rFonts w:ascii="Times New Roman" w:hAnsi="Times New Roman" w:cs="Times New Roman"/>
          <w:color w:val="000000"/>
          <w:sz w:val="24"/>
          <w:szCs w:val="24"/>
          <w:lang w:val="en-GB"/>
        </w:rPr>
        <w:t xml:space="preserve"> </w:t>
      </w:r>
      <w:r w:rsidRPr="00F04DEA">
        <w:rPr>
          <w:rFonts w:ascii="Times New Roman" w:hAnsi="Times New Roman" w:cs="Times New Roman"/>
          <w:color w:val="000000"/>
          <w:sz w:val="24"/>
          <w:szCs w:val="24"/>
          <w:lang w:val="en-GB"/>
        </w:rPr>
        <w:t>yielding fixed-rate bond issues reached USD 1.2 trillion between 2014 and 2016.</w:t>
      </w: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04DEA">
        <w:rPr>
          <w:rFonts w:ascii="Times New Roman" w:hAnsi="Times New Roman" w:cs="Times New Roman"/>
          <w:color w:val="000000"/>
          <w:sz w:val="24"/>
          <w:szCs w:val="24"/>
          <w:lang w:val="en-GB"/>
        </w:rPr>
        <w:t>Survey results indicate that debt managers witness structural changes in the investor base for government securities. Large central banks and public funds have become dominant holders of sovereign debt in major OECD countries. While the share of buy</w:t>
      </w:r>
      <w:r>
        <w:rPr>
          <w:rFonts w:ascii="Times New Roman" w:hAnsi="Times New Roman" w:cs="Times New Roman"/>
          <w:color w:val="000000"/>
          <w:sz w:val="24"/>
          <w:szCs w:val="24"/>
          <w:lang w:val="en-GB"/>
        </w:rPr>
        <w:t xml:space="preserve"> </w:t>
      </w:r>
      <w:r w:rsidRPr="00F04DEA">
        <w:rPr>
          <w:rFonts w:ascii="Times New Roman" w:hAnsi="Times New Roman" w:cs="Times New Roman"/>
          <w:color w:val="000000"/>
          <w:sz w:val="24"/>
          <w:szCs w:val="24"/>
          <w:lang w:val="en-GB"/>
        </w:rPr>
        <w:t>and- hold type investors increased in the sovereign debt investor base, secondary market liquidity remains an important source of concern for debt managers. Reduced liquidity impairs, to some extent, the price discovery process, increases the cost of borrowing via higher risk premia and limits the issuers' ability to tap a variety of investors. In response, debt managers in several countries have introduced policy measures such as tap sales, buy-backs and switch operations, frequent and smaller auctions, repurchase agreements and changes to the primary dealership system.</w:t>
      </w:r>
    </w:p>
    <w:p w:rsidR="00CE087C" w:rsidRPr="00F04DEA" w:rsidRDefault="00CE087C" w:rsidP="00CE087C">
      <w:pPr>
        <w:autoSpaceDE w:val="0"/>
        <w:autoSpaceDN w:val="0"/>
        <w:adjustRightInd w:val="0"/>
        <w:spacing w:after="0" w:line="240" w:lineRule="auto"/>
        <w:jc w:val="both"/>
        <w:rPr>
          <w:rFonts w:ascii="Times New Roman" w:hAnsi="Times New Roman" w:cs="Times New Roman"/>
          <w:b/>
          <w:bCs/>
          <w:color w:val="4F82BE"/>
          <w:sz w:val="24"/>
          <w:szCs w:val="24"/>
          <w:lang w:val="en-GB"/>
        </w:rPr>
      </w:pPr>
    </w:p>
    <w:p w:rsidR="00CE087C" w:rsidRPr="00F04DEA" w:rsidRDefault="00CE087C" w:rsidP="00CE087C">
      <w:pPr>
        <w:autoSpaceDE w:val="0"/>
        <w:autoSpaceDN w:val="0"/>
        <w:adjustRightInd w:val="0"/>
        <w:spacing w:after="0" w:line="240" w:lineRule="auto"/>
        <w:jc w:val="both"/>
        <w:rPr>
          <w:rFonts w:ascii="Times New Roman" w:hAnsi="Times New Roman" w:cs="Times New Roman"/>
          <w:b/>
          <w:bCs/>
          <w:sz w:val="24"/>
          <w:szCs w:val="24"/>
          <w:lang w:val="en-GB"/>
        </w:rPr>
      </w:pPr>
      <w:r w:rsidRPr="00F04DEA">
        <w:rPr>
          <w:rFonts w:ascii="Times New Roman" w:hAnsi="Times New Roman" w:cs="Times New Roman"/>
          <w:b/>
          <w:bCs/>
          <w:sz w:val="24"/>
          <w:szCs w:val="24"/>
          <w:lang w:val="en-GB"/>
        </w:rPr>
        <w:t>Inflation-linked sovereign bonds have become a global asset class, as their supply has grown significantly in recent years.</w:t>
      </w:r>
    </w:p>
    <w:p w:rsidR="00CE087C" w:rsidRPr="00F04DEA" w:rsidRDefault="00CE087C" w:rsidP="00CE087C">
      <w:pPr>
        <w:autoSpaceDE w:val="0"/>
        <w:autoSpaceDN w:val="0"/>
        <w:adjustRightInd w:val="0"/>
        <w:spacing w:after="0" w:line="240" w:lineRule="auto"/>
        <w:jc w:val="both"/>
        <w:rPr>
          <w:rFonts w:ascii="Times New Roman" w:hAnsi="Times New Roman" w:cs="Times New Roman"/>
          <w:b/>
          <w:bCs/>
          <w:color w:val="4F82BE"/>
          <w:sz w:val="24"/>
          <w:szCs w:val="24"/>
          <w:lang w:val="en-GB"/>
        </w:rPr>
      </w:pP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04DEA">
        <w:rPr>
          <w:rFonts w:ascii="Times New Roman" w:hAnsi="Times New Roman" w:cs="Times New Roman"/>
          <w:color w:val="000000"/>
          <w:sz w:val="24"/>
          <w:szCs w:val="24"/>
          <w:lang w:val="en-GB"/>
        </w:rPr>
        <w:t xml:space="preserve">This edition of the </w:t>
      </w:r>
      <w:r w:rsidRPr="00F04DEA">
        <w:rPr>
          <w:rFonts w:ascii="Times New Roman" w:hAnsi="Times New Roman" w:cs="Times New Roman"/>
          <w:i/>
          <w:iCs/>
          <w:color w:val="000000"/>
          <w:sz w:val="24"/>
          <w:szCs w:val="24"/>
          <w:lang w:val="en-GB"/>
        </w:rPr>
        <w:t xml:space="preserve">Outlook </w:t>
      </w:r>
      <w:r w:rsidRPr="00F04DEA">
        <w:rPr>
          <w:rFonts w:ascii="Times New Roman" w:hAnsi="Times New Roman" w:cs="Times New Roman"/>
          <w:color w:val="000000"/>
          <w:sz w:val="24"/>
          <w:szCs w:val="24"/>
          <w:lang w:val="en-GB"/>
        </w:rPr>
        <w:t>also reviews inflation-linked sovereign debt in OECD countries which has grown significantly in recent years, currently standing at around USD 3 trillion. Inflation-linked bonds were originally created in the 18th century to deal with the impact of high inflation rates on investors. Today they are a significant part of government financial markets and offer a number of benefits for investors and issuers, such as: Portfolio and investor base diversifications; smoothing of budget volatility; information concerning inflation expectations; and protection of savings against inflation. A significant portion of inflation-linked bonds are issued by countries characterised by both low inflation rates and price stability. While G7 countries are the dominant players in this asset category, regional aggregates also indicate increased popularity of linkers in emerging market economies where near-term inflationary pressures are arguably more of a concern.</w:t>
      </w:r>
    </w:p>
    <w:p w:rsidR="00CE087C" w:rsidRPr="00F04DEA"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F04DEA">
        <w:rPr>
          <w:rFonts w:ascii="Times New Roman" w:hAnsi="Times New Roman" w:cs="Times New Roman"/>
          <w:sz w:val="24"/>
          <w:szCs w:val="24"/>
          <w:lang w:val="en-GB"/>
        </w:rPr>
        <w:t xml:space="preserve">In light of prolonged low interest rates and falling inflation in several jurisdictions, current policy discussions focus on the potential impact on supply and demand for these securities. Indeed, break-even inflation rates, simply defined as the difference between nominal yield on </w:t>
      </w:r>
      <w:r w:rsidRPr="00F04DEA">
        <w:rPr>
          <w:rFonts w:ascii="Times New Roman" w:hAnsi="Times New Roman" w:cs="Times New Roman"/>
          <w:sz w:val="24"/>
          <w:szCs w:val="24"/>
          <w:lang w:val="en-GB"/>
        </w:rPr>
        <w:lastRenderedPageBreak/>
        <w:t>a nominal fixed-rate bond and real yield on an inflation-linked bond of similar maturity and credit quality, have been decreasing in several countries. This development, which can be attributed to market expectation for future inflation and poorer liquidity conditions of linkers relative to nominal bonds, has raised concerns over the potential impact on the linker market. In terms of demand, inflation-linked bonds stand as a unique asset class offering a perfect hedge against inflation for investors, particularly for pension funds and insurance companies. Looking ahead, underlying demand for linkers is likely to remain robust as the future level of prices is uncertain and liability-driven investments increase. In response to continuing strong demand, sovereign issuers remain committed to inflation-linker programmes and to maintaining a well</w:t>
      </w:r>
      <w:r>
        <w:rPr>
          <w:rFonts w:ascii="Times New Roman" w:hAnsi="Times New Roman" w:cs="Times New Roman"/>
          <w:sz w:val="24"/>
          <w:szCs w:val="24"/>
          <w:lang w:val="en-GB"/>
        </w:rPr>
        <w:t>-</w:t>
      </w:r>
      <w:r w:rsidRPr="00F04DEA">
        <w:rPr>
          <w:rFonts w:ascii="Times New Roman" w:hAnsi="Times New Roman" w:cs="Times New Roman"/>
          <w:sz w:val="24"/>
          <w:szCs w:val="24"/>
          <w:lang w:val="en-GB"/>
        </w:rPr>
        <w:t>functioning market for inflation linkers.</w:t>
      </w:r>
    </w:p>
    <w:p w:rsidR="00CE087C" w:rsidRPr="00A941C3"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Pr="00A941C3" w:rsidRDefault="00CE087C" w:rsidP="00CE087C">
      <w:pPr>
        <w:autoSpaceDE w:val="0"/>
        <w:autoSpaceDN w:val="0"/>
        <w:adjustRightInd w:val="0"/>
        <w:spacing w:after="0" w:line="240" w:lineRule="auto"/>
        <w:jc w:val="both"/>
        <w:rPr>
          <w:rFonts w:ascii="Times New Roman" w:hAnsi="Times New Roman" w:cs="Times New Roman"/>
          <w:b/>
          <w:bCs/>
          <w:sz w:val="24"/>
          <w:szCs w:val="24"/>
          <w:lang w:val="en-GB"/>
        </w:rPr>
      </w:pPr>
      <w:r w:rsidRPr="00A941C3">
        <w:rPr>
          <w:rFonts w:ascii="Times New Roman" w:hAnsi="Times New Roman" w:cs="Times New Roman"/>
          <w:b/>
          <w:bCs/>
          <w:sz w:val="24"/>
          <w:szCs w:val="24"/>
          <w:lang w:val="en-GB"/>
        </w:rPr>
        <w:t>Introduction</w:t>
      </w:r>
    </w:p>
    <w:p w:rsidR="00CE087C" w:rsidRPr="00A941C3" w:rsidRDefault="00CE087C" w:rsidP="00CE087C">
      <w:pPr>
        <w:autoSpaceDE w:val="0"/>
        <w:autoSpaceDN w:val="0"/>
        <w:adjustRightInd w:val="0"/>
        <w:spacing w:after="0" w:line="240" w:lineRule="auto"/>
        <w:jc w:val="both"/>
        <w:rPr>
          <w:rFonts w:ascii="Times New Roman" w:hAnsi="Times New Roman" w:cs="Times New Roman"/>
          <w:b/>
          <w:bCs/>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A941C3">
        <w:rPr>
          <w:rFonts w:ascii="Times New Roman" w:hAnsi="Times New Roman" w:cs="Times New Roman"/>
          <w:sz w:val="24"/>
          <w:szCs w:val="24"/>
          <w:lang w:val="en-GB"/>
        </w:rPr>
        <w:t>This chapter examines net and gross sovere</w:t>
      </w:r>
      <w:r>
        <w:rPr>
          <w:rFonts w:ascii="Times New Roman" w:hAnsi="Times New Roman" w:cs="Times New Roman"/>
          <w:sz w:val="24"/>
          <w:szCs w:val="24"/>
          <w:lang w:val="en-GB"/>
        </w:rPr>
        <w:t xml:space="preserve">ign borrowing in OECD countries </w:t>
      </w:r>
      <w:r w:rsidRPr="00A941C3">
        <w:rPr>
          <w:rFonts w:ascii="Times New Roman" w:hAnsi="Times New Roman" w:cs="Times New Roman"/>
          <w:sz w:val="24"/>
          <w:szCs w:val="24"/>
          <w:lang w:val="en-GB"/>
        </w:rPr>
        <w:t>from 2007 to 2017. It first looks at net and gross borr</w:t>
      </w:r>
      <w:r>
        <w:rPr>
          <w:rFonts w:ascii="Times New Roman" w:hAnsi="Times New Roman" w:cs="Times New Roman"/>
          <w:sz w:val="24"/>
          <w:szCs w:val="24"/>
          <w:lang w:val="en-GB"/>
        </w:rPr>
        <w:t xml:space="preserve">owing needs of OECD governments </w:t>
      </w:r>
      <w:r w:rsidRPr="00A941C3">
        <w:rPr>
          <w:rFonts w:ascii="Times New Roman" w:hAnsi="Times New Roman" w:cs="Times New Roman"/>
          <w:sz w:val="24"/>
          <w:szCs w:val="24"/>
          <w:lang w:val="en-GB"/>
        </w:rPr>
        <w:t>in the context of fiscal developments. It then con</w:t>
      </w:r>
      <w:r>
        <w:rPr>
          <w:rFonts w:ascii="Times New Roman" w:hAnsi="Times New Roman" w:cs="Times New Roman"/>
          <w:sz w:val="24"/>
          <w:szCs w:val="24"/>
          <w:lang w:val="en-GB"/>
        </w:rPr>
        <w:t xml:space="preserve">siders recent trends in central </w:t>
      </w:r>
      <w:r w:rsidRPr="00A941C3">
        <w:rPr>
          <w:rFonts w:ascii="Times New Roman" w:hAnsi="Times New Roman" w:cs="Times New Roman"/>
          <w:sz w:val="24"/>
          <w:szCs w:val="24"/>
          <w:lang w:val="en-GB"/>
        </w:rPr>
        <w:t>government marketable debt in the OECD area and cen</w:t>
      </w:r>
      <w:r>
        <w:rPr>
          <w:rFonts w:ascii="Times New Roman" w:hAnsi="Times New Roman" w:cs="Times New Roman"/>
          <w:sz w:val="24"/>
          <w:szCs w:val="24"/>
          <w:lang w:val="en-GB"/>
        </w:rPr>
        <w:t xml:space="preserve">tral government debt ratios for </w:t>
      </w:r>
      <w:r w:rsidRPr="00A941C3">
        <w:rPr>
          <w:rFonts w:ascii="Times New Roman" w:hAnsi="Times New Roman" w:cs="Times New Roman"/>
          <w:sz w:val="24"/>
          <w:szCs w:val="24"/>
          <w:lang w:val="en-GB"/>
        </w:rPr>
        <w:t xml:space="preserve">groups of selected OECD countries. Finally, the chapter </w:t>
      </w:r>
      <w:r>
        <w:rPr>
          <w:rFonts w:ascii="Times New Roman" w:hAnsi="Times New Roman" w:cs="Times New Roman"/>
          <w:sz w:val="24"/>
          <w:szCs w:val="24"/>
          <w:lang w:val="en-GB"/>
        </w:rPr>
        <w:t xml:space="preserve">examines funding strategies and </w:t>
      </w:r>
      <w:r w:rsidRPr="00A941C3">
        <w:rPr>
          <w:rFonts w:ascii="Times New Roman" w:hAnsi="Times New Roman" w:cs="Times New Roman"/>
          <w:sz w:val="24"/>
          <w:szCs w:val="24"/>
          <w:lang w:val="en-GB"/>
        </w:rPr>
        <w:t>growing issuance of debt with 30 or more years of maturities.</w:t>
      </w:r>
    </w:p>
    <w:p w:rsidR="00CE087C" w:rsidRPr="00A941C3"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b/>
          <w:bCs/>
          <w:i/>
          <w:iCs/>
          <w:sz w:val="24"/>
          <w:szCs w:val="24"/>
          <w:lang w:val="en-GB"/>
        </w:rPr>
      </w:pPr>
      <w:r w:rsidRPr="00A941C3">
        <w:rPr>
          <w:rFonts w:ascii="Times New Roman" w:hAnsi="Times New Roman" w:cs="Times New Roman"/>
          <w:b/>
          <w:bCs/>
          <w:i/>
          <w:iCs/>
          <w:sz w:val="24"/>
          <w:szCs w:val="24"/>
          <w:lang w:val="en-GB"/>
        </w:rPr>
        <w:t>Key findings</w:t>
      </w:r>
    </w:p>
    <w:p w:rsidR="00CE087C" w:rsidRPr="00A941C3" w:rsidRDefault="00CE087C" w:rsidP="00CE087C">
      <w:pPr>
        <w:autoSpaceDE w:val="0"/>
        <w:autoSpaceDN w:val="0"/>
        <w:adjustRightInd w:val="0"/>
        <w:spacing w:after="0" w:line="240" w:lineRule="auto"/>
        <w:jc w:val="both"/>
        <w:rPr>
          <w:rFonts w:ascii="Times New Roman" w:hAnsi="Times New Roman" w:cs="Times New Roman"/>
          <w:b/>
          <w:bCs/>
          <w:i/>
          <w:iCs/>
          <w:sz w:val="24"/>
          <w:szCs w:val="24"/>
          <w:lang w:val="en-GB"/>
        </w:rPr>
      </w:pPr>
    </w:p>
    <w:p w:rsidR="00CE087C" w:rsidRPr="00A941C3"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A941C3">
        <w:rPr>
          <w:rFonts w:ascii="Times New Roman" w:hAnsi="Times New Roman" w:cs="Times New Roman"/>
          <w:sz w:val="24"/>
          <w:szCs w:val="24"/>
        </w:rPr>
        <w:t></w:t>
      </w:r>
      <w:r w:rsidRPr="00A941C3">
        <w:rPr>
          <w:rFonts w:ascii="Times New Roman" w:hAnsi="Times New Roman" w:cs="Times New Roman"/>
          <w:sz w:val="24"/>
          <w:szCs w:val="24"/>
          <w:lang w:val="en-GB"/>
        </w:rPr>
        <w:t xml:space="preserve"> Sovereign gross borrowing needs in the OECD</w:t>
      </w:r>
      <w:r>
        <w:rPr>
          <w:rFonts w:ascii="Times New Roman" w:hAnsi="Times New Roman" w:cs="Times New Roman"/>
          <w:sz w:val="24"/>
          <w:szCs w:val="24"/>
          <w:lang w:val="en-GB"/>
        </w:rPr>
        <w:t xml:space="preserve"> area have continued to decline </w:t>
      </w:r>
      <w:r w:rsidRPr="00A941C3">
        <w:rPr>
          <w:rFonts w:ascii="Times New Roman" w:hAnsi="Times New Roman" w:cs="Times New Roman"/>
          <w:sz w:val="24"/>
          <w:szCs w:val="24"/>
          <w:lang w:val="en-GB"/>
        </w:rPr>
        <w:t>from the peaks attained in 2012. They are expect</w:t>
      </w:r>
      <w:r>
        <w:rPr>
          <w:rFonts w:ascii="Times New Roman" w:hAnsi="Times New Roman" w:cs="Times New Roman"/>
          <w:sz w:val="24"/>
          <w:szCs w:val="24"/>
          <w:lang w:val="en-GB"/>
        </w:rPr>
        <w:t xml:space="preserve">ed to be USD 9,5 trillion in </w:t>
      </w:r>
      <w:r w:rsidRPr="00A941C3">
        <w:rPr>
          <w:rFonts w:ascii="Times New Roman" w:hAnsi="Times New Roman" w:cs="Times New Roman"/>
          <w:sz w:val="24"/>
          <w:szCs w:val="24"/>
          <w:lang w:val="en-GB"/>
        </w:rPr>
        <w:t>2017, approximately the same level as 2016.</w:t>
      </w:r>
    </w:p>
    <w:p w:rsidR="00CE087C" w:rsidRPr="00A941C3"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A941C3">
        <w:rPr>
          <w:rFonts w:ascii="Times New Roman" w:hAnsi="Times New Roman" w:cs="Times New Roman"/>
          <w:sz w:val="24"/>
          <w:szCs w:val="24"/>
        </w:rPr>
        <w:t></w:t>
      </w:r>
      <w:r w:rsidRPr="00A941C3">
        <w:rPr>
          <w:rFonts w:ascii="Times New Roman" w:hAnsi="Times New Roman" w:cs="Times New Roman"/>
          <w:sz w:val="24"/>
          <w:szCs w:val="24"/>
          <w:lang w:val="en-GB"/>
        </w:rPr>
        <w:t xml:space="preserve"> Net borrowing needs have also declined but </w:t>
      </w:r>
      <w:r>
        <w:rPr>
          <w:rFonts w:ascii="Times New Roman" w:hAnsi="Times New Roman" w:cs="Times New Roman"/>
          <w:sz w:val="24"/>
          <w:szCs w:val="24"/>
          <w:lang w:val="en-GB"/>
        </w:rPr>
        <w:t xml:space="preserve">continue to be positive and are </w:t>
      </w:r>
      <w:r w:rsidRPr="00A941C3">
        <w:rPr>
          <w:rFonts w:ascii="Times New Roman" w:hAnsi="Times New Roman" w:cs="Times New Roman"/>
          <w:sz w:val="24"/>
          <w:szCs w:val="24"/>
          <w:lang w:val="en-GB"/>
        </w:rPr>
        <w:t>projected to remain flat in 2017 for the OECD</w:t>
      </w:r>
      <w:r>
        <w:rPr>
          <w:rFonts w:ascii="Times New Roman" w:hAnsi="Times New Roman" w:cs="Times New Roman"/>
          <w:sz w:val="24"/>
          <w:szCs w:val="24"/>
          <w:lang w:val="en-GB"/>
        </w:rPr>
        <w:t xml:space="preserve"> area, reflecting the fact that </w:t>
      </w:r>
      <w:r w:rsidRPr="00A941C3">
        <w:rPr>
          <w:rFonts w:ascii="Times New Roman" w:hAnsi="Times New Roman" w:cs="Times New Roman"/>
          <w:sz w:val="24"/>
          <w:szCs w:val="24"/>
          <w:lang w:val="en-GB"/>
        </w:rPr>
        <w:t>underlying fiscal balances are becoming mor</w:t>
      </w:r>
      <w:r>
        <w:rPr>
          <w:rFonts w:ascii="Times New Roman" w:hAnsi="Times New Roman" w:cs="Times New Roman"/>
          <w:sz w:val="24"/>
          <w:szCs w:val="24"/>
          <w:lang w:val="en-GB"/>
        </w:rPr>
        <w:t xml:space="preserve">e expansionary. Until 2016, net </w:t>
      </w:r>
      <w:r w:rsidRPr="00A941C3">
        <w:rPr>
          <w:rFonts w:ascii="Times New Roman" w:hAnsi="Times New Roman" w:cs="Times New Roman"/>
          <w:sz w:val="24"/>
          <w:szCs w:val="24"/>
          <w:lang w:val="en-GB"/>
        </w:rPr>
        <w:t>borrowing requirements in the OECD area d</w:t>
      </w:r>
      <w:r>
        <w:rPr>
          <w:rFonts w:ascii="Times New Roman" w:hAnsi="Times New Roman" w:cs="Times New Roman"/>
          <w:sz w:val="24"/>
          <w:szCs w:val="24"/>
          <w:lang w:val="en-GB"/>
        </w:rPr>
        <w:t xml:space="preserve">eclined steadily from the peaks </w:t>
      </w:r>
      <w:r w:rsidRPr="00A941C3">
        <w:rPr>
          <w:rFonts w:ascii="Times New Roman" w:hAnsi="Times New Roman" w:cs="Times New Roman"/>
          <w:sz w:val="24"/>
          <w:szCs w:val="24"/>
          <w:lang w:val="en-GB"/>
        </w:rPr>
        <w:t>attained in 2009.</w:t>
      </w:r>
    </w:p>
    <w:p w:rsidR="00CE087C" w:rsidRPr="00A941C3"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A941C3">
        <w:rPr>
          <w:rFonts w:ascii="Times New Roman" w:hAnsi="Times New Roman" w:cs="Times New Roman"/>
          <w:sz w:val="24"/>
          <w:szCs w:val="24"/>
        </w:rPr>
        <w:t></w:t>
      </w:r>
      <w:r w:rsidRPr="00A941C3">
        <w:rPr>
          <w:rFonts w:ascii="Times New Roman" w:hAnsi="Times New Roman" w:cs="Times New Roman"/>
          <w:sz w:val="24"/>
          <w:szCs w:val="24"/>
          <w:lang w:val="en-GB"/>
        </w:rPr>
        <w:t xml:space="preserve"> Sovereign debt levels have continued to incre</w:t>
      </w:r>
      <w:r>
        <w:rPr>
          <w:rFonts w:ascii="Times New Roman" w:hAnsi="Times New Roman" w:cs="Times New Roman"/>
          <w:sz w:val="24"/>
          <w:szCs w:val="24"/>
          <w:lang w:val="en-GB"/>
        </w:rPr>
        <w:t xml:space="preserve">ase and debt levels are high by </w:t>
      </w:r>
      <w:r w:rsidRPr="00A941C3">
        <w:rPr>
          <w:rFonts w:ascii="Times New Roman" w:hAnsi="Times New Roman" w:cs="Times New Roman"/>
          <w:sz w:val="24"/>
          <w:szCs w:val="24"/>
          <w:lang w:val="en-GB"/>
        </w:rPr>
        <w:t>historical standards, although exchange rate de</w:t>
      </w:r>
      <w:r>
        <w:rPr>
          <w:rFonts w:ascii="Times New Roman" w:hAnsi="Times New Roman" w:cs="Times New Roman"/>
          <w:sz w:val="24"/>
          <w:szCs w:val="24"/>
          <w:lang w:val="en-GB"/>
        </w:rPr>
        <w:t xml:space="preserve">velopments are complicating the </w:t>
      </w:r>
      <w:r w:rsidRPr="00A941C3">
        <w:rPr>
          <w:rFonts w:ascii="Times New Roman" w:hAnsi="Times New Roman" w:cs="Times New Roman"/>
          <w:sz w:val="24"/>
          <w:szCs w:val="24"/>
          <w:lang w:val="en-GB"/>
        </w:rPr>
        <w:t>interpretation of such aggregates.</w:t>
      </w:r>
    </w:p>
    <w:p w:rsidR="00CE087C" w:rsidRPr="00A941C3"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A941C3">
        <w:rPr>
          <w:rFonts w:ascii="Times New Roman" w:hAnsi="Times New Roman" w:cs="Times New Roman"/>
          <w:sz w:val="24"/>
          <w:szCs w:val="24"/>
        </w:rPr>
        <w:t></w:t>
      </w:r>
      <w:r>
        <w:rPr>
          <w:rFonts w:ascii="Times New Roman" w:hAnsi="Times New Roman" w:cs="Times New Roman"/>
          <w:sz w:val="24"/>
          <w:szCs w:val="24"/>
          <w:lang w:val="en-GB"/>
        </w:rPr>
        <w:t xml:space="preserve"> After surging from 49,8% to 74,</w:t>
      </w:r>
      <w:r w:rsidRPr="00A941C3">
        <w:rPr>
          <w:rFonts w:ascii="Times New Roman" w:hAnsi="Times New Roman" w:cs="Times New Roman"/>
          <w:sz w:val="24"/>
          <w:szCs w:val="24"/>
          <w:lang w:val="en-GB"/>
        </w:rPr>
        <w:t>6% bet</w:t>
      </w:r>
      <w:r>
        <w:rPr>
          <w:rFonts w:ascii="Times New Roman" w:hAnsi="Times New Roman" w:cs="Times New Roman"/>
          <w:sz w:val="24"/>
          <w:szCs w:val="24"/>
          <w:lang w:val="en-GB"/>
        </w:rPr>
        <w:t xml:space="preserve">ween 2007 and 2015, the central </w:t>
      </w:r>
      <w:r w:rsidRPr="00A941C3">
        <w:rPr>
          <w:rFonts w:ascii="Times New Roman" w:hAnsi="Times New Roman" w:cs="Times New Roman"/>
          <w:sz w:val="24"/>
          <w:szCs w:val="24"/>
          <w:lang w:val="en-GB"/>
        </w:rPr>
        <w:t>government marketable debt-to-GDP ratio has star</w:t>
      </w:r>
      <w:r>
        <w:rPr>
          <w:rFonts w:ascii="Times New Roman" w:hAnsi="Times New Roman" w:cs="Times New Roman"/>
          <w:sz w:val="24"/>
          <w:szCs w:val="24"/>
          <w:lang w:val="en-GB"/>
        </w:rPr>
        <w:t xml:space="preserve">ted to decline and is estimated to be 73% in 2017. </w:t>
      </w:r>
      <w:r w:rsidRPr="00A941C3">
        <w:rPr>
          <w:rFonts w:ascii="Times New Roman" w:hAnsi="Times New Roman" w:cs="Times New Roman"/>
          <w:sz w:val="24"/>
          <w:szCs w:val="24"/>
          <w:lang w:val="en-GB"/>
        </w:rPr>
        <w:t>Among country groups the decl</w:t>
      </w:r>
      <w:r>
        <w:rPr>
          <w:rFonts w:ascii="Times New Roman" w:hAnsi="Times New Roman" w:cs="Times New Roman"/>
          <w:sz w:val="24"/>
          <w:szCs w:val="24"/>
          <w:lang w:val="en-GB"/>
        </w:rPr>
        <w:t xml:space="preserve">ine in the debt-to-GDP ratio is </w:t>
      </w:r>
      <w:r w:rsidRPr="00A941C3">
        <w:rPr>
          <w:rFonts w:ascii="Times New Roman" w:hAnsi="Times New Roman" w:cs="Times New Roman"/>
          <w:sz w:val="24"/>
          <w:szCs w:val="24"/>
          <w:lang w:val="en-GB"/>
        </w:rPr>
        <w:t>more significant for G7 countries.</w:t>
      </w:r>
    </w:p>
    <w:p w:rsidR="00CE087C" w:rsidRPr="00A941C3"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A941C3">
        <w:rPr>
          <w:rFonts w:ascii="Times New Roman" w:hAnsi="Times New Roman" w:cs="Times New Roman"/>
          <w:sz w:val="24"/>
          <w:szCs w:val="24"/>
        </w:rPr>
        <w:t></w:t>
      </w:r>
      <w:r w:rsidRPr="00A941C3">
        <w:rPr>
          <w:rFonts w:ascii="Times New Roman" w:hAnsi="Times New Roman" w:cs="Times New Roman"/>
          <w:sz w:val="24"/>
          <w:szCs w:val="24"/>
          <w:lang w:val="en-GB"/>
        </w:rPr>
        <w:t xml:space="preserve"> Interest rates remain low and are even negative fo</w:t>
      </w:r>
      <w:r>
        <w:rPr>
          <w:rFonts w:ascii="Times New Roman" w:hAnsi="Times New Roman" w:cs="Times New Roman"/>
          <w:sz w:val="24"/>
          <w:szCs w:val="24"/>
          <w:lang w:val="en-GB"/>
        </w:rPr>
        <w:t xml:space="preserve">r approximately USD 10 trillion </w:t>
      </w:r>
      <w:r w:rsidRPr="00A941C3">
        <w:rPr>
          <w:rFonts w:ascii="Times New Roman" w:hAnsi="Times New Roman" w:cs="Times New Roman"/>
          <w:sz w:val="24"/>
          <w:szCs w:val="24"/>
          <w:lang w:val="en-GB"/>
        </w:rPr>
        <w:t>of outstanding high-credit-quality sovereign debt.</w:t>
      </w:r>
      <w:r>
        <w:rPr>
          <w:rFonts w:ascii="Times New Roman" w:hAnsi="Times New Roman" w:cs="Times New Roman"/>
          <w:sz w:val="24"/>
          <w:szCs w:val="24"/>
          <w:lang w:val="en-GB"/>
        </w:rPr>
        <w:t xml:space="preserve"> This situation facilitates the </w:t>
      </w:r>
      <w:r w:rsidRPr="00A941C3">
        <w:rPr>
          <w:rFonts w:ascii="Times New Roman" w:hAnsi="Times New Roman" w:cs="Times New Roman"/>
          <w:sz w:val="24"/>
          <w:szCs w:val="24"/>
          <w:lang w:val="en-GB"/>
        </w:rPr>
        <w:t>serv</w:t>
      </w:r>
      <w:r>
        <w:rPr>
          <w:rFonts w:ascii="Times New Roman" w:hAnsi="Times New Roman" w:cs="Times New Roman"/>
          <w:sz w:val="24"/>
          <w:szCs w:val="24"/>
          <w:lang w:val="en-GB"/>
        </w:rPr>
        <w:t xml:space="preserve">icing of debt. </w:t>
      </w:r>
      <w:r w:rsidRPr="00A941C3">
        <w:rPr>
          <w:rFonts w:ascii="Times New Roman" w:hAnsi="Times New Roman" w:cs="Times New Roman"/>
          <w:sz w:val="24"/>
          <w:szCs w:val="24"/>
          <w:lang w:val="en-GB"/>
        </w:rPr>
        <w:t>It also makes debt-funded public</w:t>
      </w:r>
      <w:r>
        <w:rPr>
          <w:rFonts w:ascii="Times New Roman" w:hAnsi="Times New Roman" w:cs="Times New Roman"/>
          <w:sz w:val="24"/>
          <w:szCs w:val="24"/>
          <w:lang w:val="en-GB"/>
        </w:rPr>
        <w:t xml:space="preserve"> investments to kick-start real </w:t>
      </w:r>
      <w:r w:rsidRPr="00A941C3">
        <w:rPr>
          <w:rFonts w:ascii="Times New Roman" w:hAnsi="Times New Roman" w:cs="Times New Roman"/>
          <w:sz w:val="24"/>
          <w:szCs w:val="24"/>
          <w:lang w:val="en-GB"/>
        </w:rPr>
        <w:t>activity growth relatively less costly and more at</w:t>
      </w:r>
      <w:r>
        <w:rPr>
          <w:rFonts w:ascii="Times New Roman" w:hAnsi="Times New Roman" w:cs="Times New Roman"/>
          <w:sz w:val="24"/>
          <w:szCs w:val="24"/>
          <w:lang w:val="en-GB"/>
        </w:rPr>
        <w:t xml:space="preserve">tractive, without obscuring the </w:t>
      </w:r>
      <w:r w:rsidRPr="00A941C3">
        <w:rPr>
          <w:rFonts w:ascii="Times New Roman" w:hAnsi="Times New Roman" w:cs="Times New Roman"/>
          <w:sz w:val="24"/>
          <w:szCs w:val="24"/>
          <w:lang w:val="en-GB"/>
        </w:rPr>
        <w:t>medium- to long-term need for continued measured fiscal consolidation.</w:t>
      </w:r>
    </w:p>
    <w:p w:rsidR="00CE087C" w:rsidRPr="00A941C3"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A941C3">
        <w:rPr>
          <w:rFonts w:ascii="Times New Roman" w:hAnsi="Times New Roman" w:cs="Times New Roman"/>
          <w:sz w:val="24"/>
          <w:szCs w:val="24"/>
        </w:rPr>
        <w:t></w:t>
      </w:r>
      <w:r w:rsidRPr="00A941C3">
        <w:rPr>
          <w:rFonts w:ascii="Times New Roman" w:hAnsi="Times New Roman" w:cs="Times New Roman"/>
          <w:sz w:val="24"/>
          <w:szCs w:val="24"/>
          <w:lang w:val="en-GB"/>
        </w:rPr>
        <w:t xml:space="preserve"> Debt managers are reacting to fiscal chall</w:t>
      </w:r>
      <w:r>
        <w:rPr>
          <w:rFonts w:ascii="Times New Roman" w:hAnsi="Times New Roman" w:cs="Times New Roman"/>
          <w:sz w:val="24"/>
          <w:szCs w:val="24"/>
          <w:lang w:val="en-GB"/>
        </w:rPr>
        <w:t xml:space="preserve">enges by lengthening redemption </w:t>
      </w:r>
      <w:r w:rsidRPr="00A941C3">
        <w:rPr>
          <w:rFonts w:ascii="Times New Roman" w:hAnsi="Times New Roman" w:cs="Times New Roman"/>
          <w:sz w:val="24"/>
          <w:szCs w:val="24"/>
          <w:lang w:val="en-GB"/>
        </w:rPr>
        <w:t xml:space="preserve">profiles, thus limiting rollover risks. This strategy tends </w:t>
      </w:r>
      <w:r>
        <w:rPr>
          <w:rFonts w:ascii="Times New Roman" w:hAnsi="Times New Roman" w:cs="Times New Roman"/>
          <w:sz w:val="24"/>
          <w:szCs w:val="24"/>
          <w:lang w:val="en-GB"/>
        </w:rPr>
        <w:t xml:space="preserve">to involve higher debt servicing </w:t>
      </w:r>
      <w:r w:rsidRPr="00A941C3">
        <w:rPr>
          <w:rFonts w:ascii="Times New Roman" w:hAnsi="Times New Roman" w:cs="Times New Roman"/>
          <w:sz w:val="24"/>
          <w:szCs w:val="24"/>
          <w:lang w:val="en-GB"/>
        </w:rPr>
        <w:t>costs over the short term but, at the curren</w:t>
      </w:r>
      <w:r>
        <w:rPr>
          <w:rFonts w:ascii="Times New Roman" w:hAnsi="Times New Roman" w:cs="Times New Roman"/>
          <w:sz w:val="24"/>
          <w:szCs w:val="24"/>
          <w:lang w:val="en-GB"/>
        </w:rPr>
        <w:t xml:space="preserve">t juncture, such costs are very </w:t>
      </w:r>
      <w:r w:rsidRPr="00A941C3">
        <w:rPr>
          <w:rFonts w:ascii="Times New Roman" w:hAnsi="Times New Roman" w:cs="Times New Roman"/>
          <w:sz w:val="24"/>
          <w:szCs w:val="24"/>
          <w:lang w:val="en-GB"/>
        </w:rPr>
        <w:t>limited.</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A941C3">
        <w:rPr>
          <w:rFonts w:ascii="Times New Roman" w:hAnsi="Times New Roman" w:cs="Times New Roman"/>
          <w:sz w:val="24"/>
          <w:szCs w:val="24"/>
        </w:rPr>
        <w:t></w:t>
      </w:r>
      <w:r w:rsidRPr="00A941C3">
        <w:rPr>
          <w:rFonts w:ascii="Times New Roman" w:hAnsi="Times New Roman" w:cs="Times New Roman"/>
          <w:sz w:val="24"/>
          <w:szCs w:val="24"/>
          <w:lang w:val="en-GB"/>
        </w:rPr>
        <w:t xml:space="preserve"> Ultra-long government bond issuance has increased </w:t>
      </w:r>
      <w:r>
        <w:rPr>
          <w:rFonts w:ascii="Times New Roman" w:hAnsi="Times New Roman" w:cs="Times New Roman"/>
          <w:sz w:val="24"/>
          <w:szCs w:val="24"/>
          <w:lang w:val="en-GB"/>
        </w:rPr>
        <w:t xml:space="preserve">significantly, partly driven by </w:t>
      </w:r>
      <w:r w:rsidRPr="00A941C3">
        <w:rPr>
          <w:rFonts w:ascii="Times New Roman" w:hAnsi="Times New Roman" w:cs="Times New Roman"/>
          <w:sz w:val="24"/>
          <w:szCs w:val="24"/>
          <w:lang w:val="en-GB"/>
        </w:rPr>
        <w:t>attempts to lock in low long-term interest rate</w:t>
      </w:r>
      <w:r>
        <w:rPr>
          <w:rFonts w:ascii="Times New Roman" w:hAnsi="Times New Roman" w:cs="Times New Roman"/>
          <w:sz w:val="24"/>
          <w:szCs w:val="24"/>
          <w:lang w:val="en-GB"/>
        </w:rPr>
        <w:t xml:space="preserve">s. Annual volumes of ultra-long </w:t>
      </w:r>
      <w:r w:rsidRPr="00A941C3">
        <w:rPr>
          <w:rFonts w:ascii="Times New Roman" w:hAnsi="Times New Roman" w:cs="Times New Roman"/>
          <w:sz w:val="24"/>
          <w:szCs w:val="24"/>
          <w:lang w:val="en-GB"/>
        </w:rPr>
        <w:t>bonds tripled between 2006 and 2016, with the</w:t>
      </w:r>
      <w:r>
        <w:rPr>
          <w:rFonts w:ascii="Times New Roman" w:hAnsi="Times New Roman" w:cs="Times New Roman"/>
          <w:sz w:val="24"/>
          <w:szCs w:val="24"/>
          <w:lang w:val="en-GB"/>
        </w:rPr>
        <w:t xml:space="preserve"> number of issues doubling over </w:t>
      </w:r>
      <w:r w:rsidRPr="00A941C3">
        <w:rPr>
          <w:rFonts w:ascii="Times New Roman" w:hAnsi="Times New Roman" w:cs="Times New Roman"/>
          <w:sz w:val="24"/>
          <w:szCs w:val="24"/>
          <w:lang w:val="en-GB"/>
        </w:rPr>
        <w:t>the same period.</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Pr="00A941C3"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r w:rsidRPr="00A941C3">
        <w:rPr>
          <w:rFonts w:ascii="Times New Roman" w:hAnsi="Times New Roman" w:cs="Times New Roman"/>
          <w:noProof/>
          <w:sz w:val="24"/>
          <w:szCs w:val="24"/>
          <w:lang w:eastAsia="es-ES"/>
        </w:rPr>
        <w:drawing>
          <wp:inline distT="0" distB="0" distL="0" distR="0" wp14:anchorId="12A44858" wp14:editId="437811BD">
            <wp:extent cx="5731510" cy="4052471"/>
            <wp:effectExtent l="0" t="0" r="2540" b="57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4052471"/>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r w:rsidRPr="00A941C3">
        <w:rPr>
          <w:rFonts w:ascii="Times New Roman" w:hAnsi="Times New Roman" w:cs="Times New Roman"/>
          <w:noProof/>
          <w:sz w:val="24"/>
          <w:szCs w:val="24"/>
          <w:lang w:eastAsia="es-ES"/>
        </w:rPr>
        <w:drawing>
          <wp:inline distT="0" distB="0" distL="0" distR="0" wp14:anchorId="704D5B38" wp14:editId="62B17232">
            <wp:extent cx="5731510" cy="3441355"/>
            <wp:effectExtent l="0" t="0" r="2540"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441355"/>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r w:rsidRPr="00A941C3">
        <w:rPr>
          <w:rFonts w:ascii="Times New Roman" w:hAnsi="Times New Roman" w:cs="Times New Roman"/>
          <w:noProof/>
          <w:sz w:val="24"/>
          <w:szCs w:val="24"/>
          <w:lang w:eastAsia="es-ES"/>
        </w:rPr>
        <w:lastRenderedPageBreak/>
        <w:drawing>
          <wp:inline distT="0" distB="0" distL="0" distR="0" wp14:anchorId="4C76D5EF" wp14:editId="05FA0FA3">
            <wp:extent cx="5733937" cy="4089400"/>
            <wp:effectExtent l="0" t="0" r="635"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4087669"/>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r w:rsidRPr="00A941C3">
        <w:rPr>
          <w:rFonts w:ascii="Times New Roman" w:hAnsi="Times New Roman" w:cs="Times New Roman"/>
          <w:noProof/>
          <w:sz w:val="24"/>
          <w:szCs w:val="24"/>
          <w:lang w:eastAsia="es-ES"/>
        </w:rPr>
        <w:drawing>
          <wp:inline distT="0" distB="0" distL="0" distR="0" wp14:anchorId="6536A393" wp14:editId="7C2E238D">
            <wp:extent cx="5732479" cy="4552950"/>
            <wp:effectExtent l="0" t="0" r="190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4552181"/>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r w:rsidRPr="00E21F84">
        <w:rPr>
          <w:rFonts w:ascii="Times New Roman" w:hAnsi="Times New Roman" w:cs="Times New Roman"/>
          <w:noProof/>
          <w:sz w:val="24"/>
          <w:szCs w:val="24"/>
          <w:lang w:eastAsia="es-ES"/>
        </w:rPr>
        <w:drawing>
          <wp:inline distT="0" distB="0" distL="0" distR="0" wp14:anchorId="1116E0AC" wp14:editId="35B5D11F">
            <wp:extent cx="5731510" cy="3951435"/>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951435"/>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r w:rsidRPr="00E21F84">
        <w:rPr>
          <w:rFonts w:ascii="Times New Roman" w:hAnsi="Times New Roman" w:cs="Times New Roman"/>
          <w:noProof/>
          <w:sz w:val="24"/>
          <w:szCs w:val="24"/>
          <w:lang w:eastAsia="es-ES"/>
        </w:rPr>
        <w:drawing>
          <wp:inline distT="0" distB="0" distL="0" distR="0" wp14:anchorId="1B24534D" wp14:editId="5B9C7DEC">
            <wp:extent cx="5731510" cy="3772019"/>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772019"/>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r w:rsidRPr="00E21F84">
        <w:rPr>
          <w:rFonts w:ascii="Times New Roman" w:hAnsi="Times New Roman" w:cs="Times New Roman"/>
          <w:noProof/>
          <w:sz w:val="24"/>
          <w:szCs w:val="24"/>
          <w:lang w:eastAsia="es-ES"/>
        </w:rPr>
        <w:lastRenderedPageBreak/>
        <w:drawing>
          <wp:inline distT="0" distB="0" distL="0" distR="0" wp14:anchorId="1D97B57B" wp14:editId="6019F4FE">
            <wp:extent cx="5731806" cy="4254500"/>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4254280"/>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r w:rsidRPr="00E21F84">
        <w:rPr>
          <w:rFonts w:ascii="Times New Roman" w:hAnsi="Times New Roman" w:cs="Times New Roman"/>
          <w:noProof/>
          <w:sz w:val="24"/>
          <w:szCs w:val="24"/>
          <w:lang w:eastAsia="es-ES"/>
        </w:rPr>
        <w:drawing>
          <wp:inline distT="0" distB="0" distL="0" distR="0" wp14:anchorId="5ED88EC9" wp14:editId="34EA9F0B">
            <wp:extent cx="5732923" cy="4197350"/>
            <wp:effectExtent l="0" t="0" r="127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4196315"/>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r w:rsidRPr="00B93D4C">
        <w:rPr>
          <w:rFonts w:ascii="Times New Roman" w:hAnsi="Times New Roman" w:cs="Times New Roman"/>
          <w:noProof/>
          <w:sz w:val="24"/>
          <w:szCs w:val="24"/>
          <w:lang w:eastAsia="es-ES"/>
        </w:rPr>
        <w:lastRenderedPageBreak/>
        <w:drawing>
          <wp:inline distT="0" distB="0" distL="0" distR="0" wp14:anchorId="27E443A9" wp14:editId="7B047BFD">
            <wp:extent cx="5734050" cy="250825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2507139"/>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r w:rsidRPr="00984375">
        <w:rPr>
          <w:rFonts w:ascii="Times New Roman" w:hAnsi="Times New Roman" w:cs="Times New Roman"/>
          <w:noProof/>
          <w:sz w:val="24"/>
          <w:szCs w:val="24"/>
          <w:lang w:eastAsia="es-ES"/>
        </w:rPr>
        <w:drawing>
          <wp:inline distT="0" distB="0" distL="0" distR="0" wp14:anchorId="761591B1" wp14:editId="34832C03">
            <wp:extent cx="5727700" cy="2292350"/>
            <wp:effectExtent l="0" t="0" r="635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2293875"/>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r w:rsidRPr="00984375">
        <w:rPr>
          <w:rFonts w:ascii="Times New Roman" w:hAnsi="Times New Roman" w:cs="Times New Roman"/>
          <w:noProof/>
          <w:sz w:val="24"/>
          <w:szCs w:val="24"/>
          <w:lang w:eastAsia="es-ES"/>
        </w:rPr>
        <w:drawing>
          <wp:inline distT="0" distB="0" distL="0" distR="0" wp14:anchorId="273C3A8B" wp14:editId="4C9EBCF7">
            <wp:extent cx="5727700" cy="3759200"/>
            <wp:effectExtent l="0" t="0" r="635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761701"/>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r w:rsidRPr="00984375">
        <w:rPr>
          <w:rFonts w:ascii="Times New Roman" w:hAnsi="Times New Roman" w:cs="Times New Roman"/>
          <w:noProof/>
          <w:sz w:val="24"/>
          <w:szCs w:val="24"/>
          <w:lang w:eastAsia="es-ES"/>
        </w:rPr>
        <w:drawing>
          <wp:inline distT="0" distB="0" distL="0" distR="0" wp14:anchorId="00C41ABD" wp14:editId="7E427150">
            <wp:extent cx="5731510" cy="3555251"/>
            <wp:effectExtent l="0" t="0" r="2540" b="762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555251"/>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p>
    <w:p w:rsidR="00CE087C" w:rsidRDefault="00CE087C" w:rsidP="00CE087C">
      <w:pPr>
        <w:spacing w:line="240" w:lineRule="auto"/>
        <w:jc w:val="both"/>
        <w:rPr>
          <w:rFonts w:ascii="Times New Roman" w:hAnsi="Times New Roman" w:cs="Times New Roman"/>
          <w:sz w:val="24"/>
          <w:szCs w:val="24"/>
          <w:lang w:val="en-GB"/>
        </w:rPr>
      </w:pPr>
      <w:r w:rsidRPr="00984375">
        <w:rPr>
          <w:rFonts w:ascii="Times New Roman" w:hAnsi="Times New Roman" w:cs="Times New Roman"/>
          <w:noProof/>
          <w:sz w:val="24"/>
          <w:szCs w:val="24"/>
          <w:lang w:eastAsia="es-ES"/>
        </w:rPr>
        <w:drawing>
          <wp:inline distT="0" distB="0" distL="0" distR="0" wp14:anchorId="56021428" wp14:editId="28CC1EEB">
            <wp:extent cx="5731510" cy="3407064"/>
            <wp:effectExtent l="0" t="0" r="2540" b="317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407064"/>
                    </a:xfrm>
                    <a:prstGeom prst="rect">
                      <a:avLst/>
                    </a:prstGeom>
                  </pic:spPr>
                </pic:pic>
              </a:graphicData>
            </a:graphic>
          </wp:inline>
        </w:drawing>
      </w:r>
    </w:p>
    <w:p w:rsidR="00CE087C" w:rsidRDefault="00CE087C" w:rsidP="00CE087C">
      <w:pPr>
        <w:spacing w:line="240" w:lineRule="auto"/>
        <w:jc w:val="both"/>
        <w:rPr>
          <w:rFonts w:ascii="Times New Roman" w:hAnsi="Times New Roman" w:cs="Times New Roman"/>
          <w:sz w:val="24"/>
          <w:szCs w:val="24"/>
          <w:lang w:val="en-GB"/>
        </w:rPr>
      </w:pPr>
    </w:p>
    <w:p w:rsidR="00CE087C" w:rsidRPr="00CE087C" w:rsidRDefault="00CE087C" w:rsidP="00CE087C">
      <w:pPr>
        <w:spacing w:line="240" w:lineRule="auto"/>
        <w:jc w:val="both"/>
        <w:rPr>
          <w:rFonts w:ascii="Times New Roman" w:hAnsi="Times New Roman" w:cs="Times New Roman"/>
          <w:b/>
          <w:sz w:val="24"/>
          <w:szCs w:val="24"/>
          <w:lang w:val="en-GB"/>
        </w:rPr>
      </w:pPr>
      <w:r w:rsidRPr="00CE087C">
        <w:rPr>
          <w:rFonts w:ascii="Times New Roman" w:hAnsi="Times New Roman" w:cs="Times New Roman"/>
          <w:b/>
          <w:sz w:val="24"/>
          <w:szCs w:val="24"/>
          <w:lang w:val="en-GB"/>
        </w:rPr>
        <w:lastRenderedPageBreak/>
        <w:t>- Government at a Glance 2017 - OECD 2017</w:t>
      </w:r>
    </w:p>
    <w:p w:rsidR="00CE087C" w:rsidRPr="00663E3B" w:rsidRDefault="00CE087C" w:rsidP="00CE087C">
      <w:pPr>
        <w:spacing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Executive summary</w:t>
      </w:r>
    </w:p>
    <w:p w:rsidR="00CE087C" w:rsidRPr="00663E3B" w:rsidRDefault="00CE087C" w:rsidP="00CE087C">
      <w:pPr>
        <w:spacing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Economic growth is slowly picking up in the OEC</w:t>
      </w:r>
      <w:r>
        <w:rPr>
          <w:rFonts w:ascii="Times New Roman" w:hAnsi="Times New Roman" w:cs="Times New Roman"/>
          <w:sz w:val="24"/>
          <w:szCs w:val="24"/>
          <w:lang w:val="en-GB"/>
        </w:rPr>
        <w:t xml:space="preserve">D area but the backlash against </w:t>
      </w:r>
      <w:r w:rsidRPr="00663E3B">
        <w:rPr>
          <w:rFonts w:ascii="Times New Roman" w:hAnsi="Times New Roman" w:cs="Times New Roman"/>
          <w:sz w:val="24"/>
          <w:szCs w:val="24"/>
          <w:lang w:val="en-GB"/>
        </w:rPr>
        <w:t>globalisation is real and must be addressed by governments. Co</w:t>
      </w:r>
      <w:r>
        <w:rPr>
          <w:rFonts w:ascii="Times New Roman" w:hAnsi="Times New Roman" w:cs="Times New Roman"/>
          <w:sz w:val="24"/>
          <w:szCs w:val="24"/>
          <w:lang w:val="en-GB"/>
        </w:rPr>
        <w:t xml:space="preserve">nfidence in public institutions </w:t>
      </w:r>
      <w:r w:rsidRPr="00663E3B">
        <w:rPr>
          <w:rFonts w:ascii="Times New Roman" w:hAnsi="Times New Roman" w:cs="Times New Roman"/>
          <w:sz w:val="24"/>
          <w:szCs w:val="24"/>
          <w:lang w:val="en-GB"/>
        </w:rPr>
        <w:t>is low, and the perception that public policies favor selec</w:t>
      </w:r>
      <w:r>
        <w:rPr>
          <w:rFonts w:ascii="Times New Roman" w:hAnsi="Times New Roman" w:cs="Times New Roman"/>
          <w:sz w:val="24"/>
          <w:szCs w:val="24"/>
          <w:lang w:val="en-GB"/>
        </w:rPr>
        <w:t xml:space="preserve">t interest groups has increased </w:t>
      </w:r>
      <w:r w:rsidRPr="00663E3B">
        <w:rPr>
          <w:rFonts w:ascii="Times New Roman" w:hAnsi="Times New Roman" w:cs="Times New Roman"/>
          <w:sz w:val="24"/>
          <w:szCs w:val="24"/>
          <w:lang w:val="en-GB"/>
        </w:rPr>
        <w:t>sharply. Shorter economic cycles, technological change and disruptive i</w:t>
      </w:r>
      <w:r>
        <w:rPr>
          <w:rFonts w:ascii="Times New Roman" w:hAnsi="Times New Roman" w:cs="Times New Roman"/>
          <w:sz w:val="24"/>
          <w:szCs w:val="24"/>
          <w:lang w:val="en-GB"/>
        </w:rPr>
        <w:t xml:space="preserve">nnovation have led </w:t>
      </w:r>
      <w:r w:rsidRPr="00663E3B">
        <w:rPr>
          <w:rFonts w:ascii="Times New Roman" w:hAnsi="Times New Roman" w:cs="Times New Roman"/>
          <w:sz w:val="24"/>
          <w:szCs w:val="24"/>
          <w:lang w:val="en-GB"/>
        </w:rPr>
        <w:t>to calls to reforms in national labour markets and social pr</w:t>
      </w:r>
      <w:r>
        <w:rPr>
          <w:rFonts w:ascii="Times New Roman" w:hAnsi="Times New Roman" w:cs="Times New Roman"/>
          <w:sz w:val="24"/>
          <w:szCs w:val="24"/>
          <w:lang w:val="en-GB"/>
        </w:rPr>
        <w:t xml:space="preserve">otection systems, while climate </w:t>
      </w:r>
      <w:r w:rsidRPr="00663E3B">
        <w:rPr>
          <w:rFonts w:ascii="Times New Roman" w:hAnsi="Times New Roman" w:cs="Times New Roman"/>
          <w:sz w:val="24"/>
          <w:szCs w:val="24"/>
          <w:lang w:val="en-GB"/>
        </w:rPr>
        <w:t>change, tax evasion and terrorism demand concerted global</w:t>
      </w:r>
      <w:r>
        <w:rPr>
          <w:rFonts w:ascii="Times New Roman" w:hAnsi="Times New Roman" w:cs="Times New Roman"/>
          <w:sz w:val="24"/>
          <w:szCs w:val="24"/>
          <w:lang w:val="en-GB"/>
        </w:rPr>
        <w:t xml:space="preserve"> action. Political polarisation </w:t>
      </w:r>
      <w:r w:rsidRPr="00663E3B">
        <w:rPr>
          <w:rFonts w:ascii="Times New Roman" w:hAnsi="Times New Roman" w:cs="Times New Roman"/>
          <w:sz w:val="24"/>
          <w:szCs w:val="24"/>
          <w:lang w:val="en-GB"/>
        </w:rPr>
        <w:t>and citizens’ distrust in public institutions make the success of reforms more unpredictable.</w:t>
      </w:r>
    </w:p>
    <w:p w:rsidR="00CE087C" w:rsidRDefault="00CE087C" w:rsidP="00CE087C">
      <w:pPr>
        <w:spacing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Strengthening, establishing dialogue with citizens through open</w:t>
      </w:r>
      <w:r>
        <w:rPr>
          <w:rFonts w:ascii="Times New Roman" w:hAnsi="Times New Roman" w:cs="Times New Roman"/>
          <w:sz w:val="24"/>
          <w:szCs w:val="24"/>
          <w:lang w:val="en-GB"/>
        </w:rPr>
        <w:t xml:space="preserve"> and participative policymaking </w:t>
      </w:r>
      <w:r w:rsidRPr="00663E3B">
        <w:rPr>
          <w:rFonts w:ascii="Times New Roman" w:hAnsi="Times New Roman" w:cs="Times New Roman"/>
          <w:sz w:val="24"/>
          <w:szCs w:val="24"/>
          <w:lang w:val="en-GB"/>
        </w:rPr>
        <w:t>processes, and enhancing government’s capacity</w:t>
      </w:r>
      <w:r>
        <w:rPr>
          <w:rFonts w:ascii="Times New Roman" w:hAnsi="Times New Roman" w:cs="Times New Roman"/>
          <w:sz w:val="24"/>
          <w:szCs w:val="24"/>
          <w:lang w:val="en-GB"/>
        </w:rPr>
        <w:t xml:space="preserve"> to choose the most appropriate </w:t>
      </w:r>
      <w:r w:rsidRPr="00663E3B">
        <w:rPr>
          <w:rFonts w:ascii="Times New Roman" w:hAnsi="Times New Roman" w:cs="Times New Roman"/>
          <w:sz w:val="24"/>
          <w:szCs w:val="24"/>
          <w:lang w:val="en-GB"/>
        </w:rPr>
        <w:t>policies among various options - all are key to re-connect g</w:t>
      </w:r>
      <w:r>
        <w:rPr>
          <w:rFonts w:ascii="Times New Roman" w:hAnsi="Times New Roman" w:cs="Times New Roman"/>
          <w:sz w:val="24"/>
          <w:szCs w:val="24"/>
          <w:lang w:val="en-GB"/>
        </w:rPr>
        <w:t xml:space="preserve">overnments with their citizenry </w:t>
      </w:r>
      <w:r w:rsidRPr="00663E3B">
        <w:rPr>
          <w:rFonts w:ascii="Times New Roman" w:hAnsi="Times New Roman" w:cs="Times New Roman"/>
          <w:sz w:val="24"/>
          <w:szCs w:val="24"/>
          <w:lang w:val="en-GB"/>
        </w:rPr>
        <w:t>and foster more inclusive and sustainable growth. Governmen</w:t>
      </w:r>
      <w:r>
        <w:rPr>
          <w:rFonts w:ascii="Times New Roman" w:hAnsi="Times New Roman" w:cs="Times New Roman"/>
          <w:sz w:val="24"/>
          <w:szCs w:val="24"/>
          <w:lang w:val="en-GB"/>
        </w:rPr>
        <w:t xml:space="preserve">t at a Glance 2017 provides the </w:t>
      </w:r>
      <w:r w:rsidRPr="00663E3B">
        <w:rPr>
          <w:rFonts w:ascii="Times New Roman" w:hAnsi="Times New Roman" w:cs="Times New Roman"/>
          <w:sz w:val="24"/>
          <w:szCs w:val="24"/>
          <w:lang w:val="en-GB"/>
        </w:rPr>
        <w:t>evidence for such public governance reforms.</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Fiscal stabilisation continues, yet debt levels remain high and government</w:t>
      </w:r>
      <w:r>
        <w:rPr>
          <w:rFonts w:ascii="Times New Roman" w:hAnsi="Times New Roman" w:cs="Times New Roman"/>
          <w:sz w:val="24"/>
          <w:szCs w:val="24"/>
          <w:lang w:val="en-GB"/>
        </w:rPr>
        <w:t xml:space="preserve"> </w:t>
      </w:r>
      <w:r w:rsidRPr="00663E3B">
        <w:rPr>
          <w:rFonts w:ascii="Times New Roman" w:hAnsi="Times New Roman" w:cs="Times New Roman"/>
          <w:sz w:val="24"/>
          <w:szCs w:val="24"/>
          <w:lang w:val="en-GB"/>
        </w:rPr>
        <w:t>investment has decreased</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The a</w:t>
      </w:r>
      <w:r>
        <w:rPr>
          <w:rFonts w:ascii="Times New Roman" w:hAnsi="Times New Roman" w:cs="Times New Roman"/>
          <w:sz w:val="24"/>
          <w:szCs w:val="24"/>
          <w:lang w:val="en-GB"/>
        </w:rPr>
        <w:t>verage fiscal deficit reached 2,</w:t>
      </w:r>
      <w:r w:rsidRPr="00663E3B">
        <w:rPr>
          <w:rFonts w:ascii="Times New Roman" w:hAnsi="Times New Roman" w:cs="Times New Roman"/>
          <w:sz w:val="24"/>
          <w:szCs w:val="24"/>
          <w:lang w:val="en-GB"/>
        </w:rPr>
        <w:t>8% of GDP across OECD countries in 2015, up from</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8,</w:t>
      </w:r>
      <w:r w:rsidRPr="00663E3B">
        <w:rPr>
          <w:rFonts w:ascii="Times New Roman" w:hAnsi="Times New Roman" w:cs="Times New Roman"/>
          <w:sz w:val="24"/>
          <w:szCs w:val="24"/>
          <w:lang w:val="en-GB"/>
        </w:rPr>
        <w:t>4% in 2009, as countries stabilise public finances following the financial crisis.</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The st</w:t>
      </w:r>
      <w:r>
        <w:rPr>
          <w:rFonts w:ascii="Times New Roman" w:hAnsi="Times New Roman" w:cs="Times New Roman"/>
          <w:sz w:val="24"/>
          <w:szCs w:val="24"/>
          <w:lang w:val="en-GB"/>
        </w:rPr>
        <w:t>ructural balance improved from -6,</w:t>
      </w:r>
      <w:r w:rsidRPr="00663E3B">
        <w:rPr>
          <w:rFonts w:ascii="Times New Roman" w:hAnsi="Times New Roman" w:cs="Times New Roman"/>
          <w:sz w:val="24"/>
          <w:szCs w:val="24"/>
          <w:lang w:val="en-GB"/>
        </w:rPr>
        <w:t>3% of potenti</w:t>
      </w:r>
      <w:r>
        <w:rPr>
          <w:rFonts w:ascii="Times New Roman" w:hAnsi="Times New Roman" w:cs="Times New Roman"/>
          <w:sz w:val="24"/>
          <w:szCs w:val="24"/>
          <w:lang w:val="en-GB"/>
        </w:rPr>
        <w:t xml:space="preserve">al GDP in 2009 to -2,4% in 2015 </w:t>
      </w:r>
      <w:r w:rsidRPr="00663E3B">
        <w:rPr>
          <w:rFonts w:ascii="Times New Roman" w:hAnsi="Times New Roman" w:cs="Times New Roman"/>
          <w:sz w:val="24"/>
          <w:szCs w:val="24"/>
          <w:lang w:val="en-GB"/>
        </w:rPr>
        <w:t>across OECD countries, marking a return to long-term trends.</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 xml:space="preserve">Average gross government debt in 2015 reached 112% of </w:t>
      </w:r>
      <w:r>
        <w:rPr>
          <w:rFonts w:ascii="Times New Roman" w:hAnsi="Times New Roman" w:cs="Times New Roman"/>
          <w:sz w:val="24"/>
          <w:szCs w:val="24"/>
          <w:lang w:val="en-GB"/>
        </w:rPr>
        <w:t xml:space="preserve">GDP across OECD countries, with </w:t>
      </w:r>
      <w:r w:rsidRPr="00663E3B">
        <w:rPr>
          <w:rFonts w:ascii="Times New Roman" w:hAnsi="Times New Roman" w:cs="Times New Roman"/>
          <w:sz w:val="24"/>
          <w:szCs w:val="24"/>
          <w:lang w:val="en-GB"/>
        </w:rPr>
        <w:t>eleven countries having debt levels equal to, or higher than, GDP.</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G</w:t>
      </w:r>
      <w:r>
        <w:rPr>
          <w:rFonts w:ascii="Times New Roman" w:hAnsi="Times New Roman" w:cs="Times New Roman"/>
          <w:sz w:val="24"/>
          <w:szCs w:val="24"/>
          <w:lang w:val="en-GB"/>
        </w:rPr>
        <w:t>overnment investment averaged 3,</w:t>
      </w:r>
      <w:r w:rsidRPr="00663E3B">
        <w:rPr>
          <w:rFonts w:ascii="Times New Roman" w:hAnsi="Times New Roman" w:cs="Times New Roman"/>
          <w:sz w:val="24"/>
          <w:szCs w:val="24"/>
          <w:lang w:val="en-GB"/>
        </w:rPr>
        <w:t xml:space="preserve">2% of GDP in 2015, </w:t>
      </w:r>
      <w:r>
        <w:rPr>
          <w:rFonts w:ascii="Times New Roman" w:hAnsi="Times New Roman" w:cs="Times New Roman"/>
          <w:sz w:val="24"/>
          <w:szCs w:val="24"/>
          <w:lang w:val="en-GB"/>
        </w:rPr>
        <w:t>ranging from 6,7% in Hungary to 1,</w:t>
      </w:r>
      <w:r w:rsidRPr="00663E3B">
        <w:rPr>
          <w:rFonts w:ascii="Times New Roman" w:hAnsi="Times New Roman" w:cs="Times New Roman"/>
          <w:sz w:val="24"/>
          <w:szCs w:val="24"/>
          <w:lang w:val="en-GB"/>
        </w:rPr>
        <w:t>5% in Israel. Th</w:t>
      </w:r>
      <w:r>
        <w:rPr>
          <w:rFonts w:ascii="Times New Roman" w:hAnsi="Times New Roman" w:cs="Times New Roman"/>
          <w:sz w:val="24"/>
          <w:szCs w:val="24"/>
          <w:lang w:val="en-GB"/>
        </w:rPr>
        <w:t>is is down from an average of 4,</w:t>
      </w:r>
      <w:r w:rsidRPr="00663E3B">
        <w:rPr>
          <w:rFonts w:ascii="Times New Roman" w:hAnsi="Times New Roman" w:cs="Times New Roman"/>
          <w:sz w:val="24"/>
          <w:szCs w:val="24"/>
          <w:lang w:val="en-GB"/>
        </w:rPr>
        <w:t>1% in 20</w:t>
      </w:r>
      <w:r>
        <w:rPr>
          <w:rFonts w:ascii="Times New Roman" w:hAnsi="Times New Roman" w:cs="Times New Roman"/>
          <w:sz w:val="24"/>
          <w:szCs w:val="24"/>
          <w:lang w:val="en-GB"/>
        </w:rPr>
        <w:t xml:space="preserve">09, when fiscal expansions were </w:t>
      </w:r>
      <w:r w:rsidRPr="00663E3B">
        <w:rPr>
          <w:rFonts w:ascii="Times New Roman" w:hAnsi="Times New Roman" w:cs="Times New Roman"/>
          <w:sz w:val="24"/>
          <w:szCs w:val="24"/>
          <w:lang w:val="en-GB"/>
        </w:rPr>
        <w:t>introduced. One-third of public investment is directed toward economic affairs, mainly</w:t>
      </w:r>
      <w:r>
        <w:rPr>
          <w:rFonts w:ascii="Times New Roman" w:hAnsi="Times New Roman" w:cs="Times New Roman"/>
          <w:sz w:val="24"/>
          <w:szCs w:val="24"/>
          <w:lang w:val="en-GB"/>
        </w:rPr>
        <w:t xml:space="preserve"> </w:t>
      </w:r>
      <w:r w:rsidRPr="00663E3B">
        <w:rPr>
          <w:rFonts w:ascii="Times New Roman" w:hAnsi="Times New Roman" w:cs="Times New Roman"/>
          <w:sz w:val="24"/>
          <w:szCs w:val="24"/>
          <w:lang w:val="en-GB"/>
        </w:rPr>
        <w:t>to transportation, followed b</w:t>
      </w:r>
      <w:r>
        <w:rPr>
          <w:rFonts w:ascii="Times New Roman" w:hAnsi="Times New Roman" w:cs="Times New Roman"/>
          <w:sz w:val="24"/>
          <w:szCs w:val="24"/>
          <w:lang w:val="en-GB"/>
        </w:rPr>
        <w:t>y defence (15,</w:t>
      </w:r>
      <w:r w:rsidRPr="00663E3B">
        <w:rPr>
          <w:rFonts w:ascii="Times New Roman" w:hAnsi="Times New Roman" w:cs="Times New Roman"/>
          <w:sz w:val="24"/>
          <w:szCs w:val="24"/>
          <w:lang w:val="en-GB"/>
        </w:rPr>
        <w:t>2%).</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Public spending on health care and social protection have increased</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Between 2007 and 2015, government spending increase</w:t>
      </w:r>
      <w:r>
        <w:rPr>
          <w:rFonts w:ascii="Times New Roman" w:hAnsi="Times New Roman" w:cs="Times New Roman"/>
          <w:sz w:val="24"/>
          <w:szCs w:val="24"/>
          <w:lang w:val="en-GB"/>
        </w:rPr>
        <w:t>d the most on social protection (2,6 p.p.) and health care (1,</w:t>
      </w:r>
      <w:r w:rsidRPr="00663E3B">
        <w:rPr>
          <w:rFonts w:ascii="Times New Roman" w:hAnsi="Times New Roman" w:cs="Times New Roman"/>
          <w:sz w:val="24"/>
          <w:szCs w:val="24"/>
          <w:lang w:val="en-GB"/>
        </w:rPr>
        <w:t>7 p.p.) across OECD countries.</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Considering that one third of public procurement expen</w:t>
      </w:r>
      <w:r>
        <w:rPr>
          <w:rFonts w:ascii="Times New Roman" w:hAnsi="Times New Roman" w:cs="Times New Roman"/>
          <w:sz w:val="24"/>
          <w:szCs w:val="24"/>
          <w:lang w:val="en-GB"/>
        </w:rPr>
        <w:t xml:space="preserve">ditures are dedicated to health </w:t>
      </w:r>
      <w:r w:rsidRPr="00663E3B">
        <w:rPr>
          <w:rFonts w:ascii="Times New Roman" w:hAnsi="Times New Roman" w:cs="Times New Roman"/>
          <w:sz w:val="24"/>
          <w:szCs w:val="24"/>
          <w:lang w:val="en-GB"/>
        </w:rPr>
        <w:t>care, strengthening the transparency and efficien</w:t>
      </w:r>
      <w:r>
        <w:rPr>
          <w:rFonts w:ascii="Times New Roman" w:hAnsi="Times New Roman" w:cs="Times New Roman"/>
          <w:sz w:val="24"/>
          <w:szCs w:val="24"/>
          <w:lang w:val="en-GB"/>
        </w:rPr>
        <w:t xml:space="preserve">cy in the public procurement of </w:t>
      </w:r>
      <w:r w:rsidRPr="00663E3B">
        <w:rPr>
          <w:rFonts w:ascii="Times New Roman" w:hAnsi="Times New Roman" w:cs="Times New Roman"/>
          <w:sz w:val="24"/>
          <w:szCs w:val="24"/>
          <w:lang w:val="en-GB"/>
        </w:rPr>
        <w:t xml:space="preserve">pharmaceuticals and medical technology and supplies </w:t>
      </w:r>
      <w:r>
        <w:rPr>
          <w:rFonts w:ascii="Times New Roman" w:hAnsi="Times New Roman" w:cs="Times New Roman"/>
          <w:sz w:val="24"/>
          <w:szCs w:val="24"/>
          <w:lang w:val="en-GB"/>
        </w:rPr>
        <w:t xml:space="preserve">is crucial for providing better </w:t>
      </w:r>
      <w:r w:rsidRPr="00663E3B">
        <w:rPr>
          <w:rFonts w:ascii="Times New Roman" w:hAnsi="Times New Roman" w:cs="Times New Roman"/>
          <w:sz w:val="24"/>
          <w:szCs w:val="24"/>
          <w:lang w:val="en-GB"/>
        </w:rPr>
        <w:t>health services at lower cost.</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Government employment is stable on average but there are important</w:t>
      </w:r>
      <w:r>
        <w:rPr>
          <w:rFonts w:ascii="Times New Roman" w:hAnsi="Times New Roman" w:cs="Times New Roman"/>
          <w:sz w:val="24"/>
          <w:szCs w:val="24"/>
          <w:lang w:val="en-GB"/>
        </w:rPr>
        <w:t xml:space="preserve"> </w:t>
      </w:r>
      <w:r w:rsidRPr="00663E3B">
        <w:rPr>
          <w:rFonts w:ascii="Times New Roman" w:hAnsi="Times New Roman" w:cs="Times New Roman"/>
          <w:sz w:val="24"/>
          <w:szCs w:val="24"/>
          <w:lang w:val="en-GB"/>
        </w:rPr>
        <w:t>variations at the country level</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Although many OECD countries report sizeable r</w:t>
      </w:r>
      <w:r>
        <w:rPr>
          <w:rFonts w:ascii="Times New Roman" w:hAnsi="Times New Roman" w:cs="Times New Roman"/>
          <w:sz w:val="24"/>
          <w:szCs w:val="24"/>
          <w:lang w:val="en-GB"/>
        </w:rPr>
        <w:t xml:space="preserve">eductions in central government </w:t>
      </w:r>
      <w:r w:rsidRPr="00663E3B">
        <w:rPr>
          <w:rFonts w:ascii="Times New Roman" w:hAnsi="Times New Roman" w:cs="Times New Roman"/>
          <w:sz w:val="24"/>
          <w:szCs w:val="24"/>
          <w:lang w:val="en-GB"/>
        </w:rPr>
        <w:t>employment from post-crisis austerity measures, gen</w:t>
      </w:r>
      <w:r>
        <w:rPr>
          <w:rFonts w:ascii="Times New Roman" w:hAnsi="Times New Roman" w:cs="Times New Roman"/>
          <w:sz w:val="24"/>
          <w:szCs w:val="24"/>
          <w:lang w:val="en-GB"/>
        </w:rPr>
        <w:t xml:space="preserve">eral government employment as a </w:t>
      </w:r>
      <w:r w:rsidRPr="00663E3B">
        <w:rPr>
          <w:rFonts w:ascii="Times New Roman" w:hAnsi="Times New Roman" w:cs="Times New Roman"/>
          <w:sz w:val="24"/>
          <w:szCs w:val="24"/>
          <w:lang w:val="en-GB"/>
        </w:rPr>
        <w:t>percentage of total employment across OECD countries</w:t>
      </w:r>
      <w:r>
        <w:rPr>
          <w:rFonts w:ascii="Times New Roman" w:hAnsi="Times New Roman" w:cs="Times New Roman"/>
          <w:sz w:val="24"/>
          <w:szCs w:val="24"/>
          <w:lang w:val="en-GB"/>
        </w:rPr>
        <w:t xml:space="preserve"> rose slightly between 2007 and </w:t>
      </w:r>
      <w:r w:rsidRPr="00663E3B">
        <w:rPr>
          <w:rFonts w:ascii="Times New Roman" w:hAnsi="Times New Roman" w:cs="Times New Roman"/>
          <w:sz w:val="24"/>
          <w:szCs w:val="24"/>
          <w:lang w:val="en-GB"/>
        </w:rPr>
        <w:t>2015, fro</w:t>
      </w:r>
      <w:r>
        <w:rPr>
          <w:rFonts w:ascii="Times New Roman" w:hAnsi="Times New Roman" w:cs="Times New Roman"/>
          <w:sz w:val="24"/>
          <w:szCs w:val="24"/>
          <w:lang w:val="en-GB"/>
        </w:rPr>
        <w:t>m 17,9% to 18,</w:t>
      </w:r>
      <w:r w:rsidRPr="00663E3B">
        <w:rPr>
          <w:rFonts w:ascii="Times New Roman" w:hAnsi="Times New Roman" w:cs="Times New Roman"/>
          <w:sz w:val="24"/>
          <w:szCs w:val="24"/>
          <w:lang w:val="en-GB"/>
        </w:rPr>
        <w:t>1%.</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This average hides variation among countries. In the Uni</w:t>
      </w:r>
      <w:r>
        <w:rPr>
          <w:rFonts w:ascii="Times New Roman" w:hAnsi="Times New Roman" w:cs="Times New Roman"/>
          <w:sz w:val="24"/>
          <w:szCs w:val="24"/>
          <w:lang w:val="en-GB"/>
        </w:rPr>
        <w:t xml:space="preserve">ted kingdom and Israel, general </w:t>
      </w:r>
      <w:r w:rsidRPr="00663E3B">
        <w:rPr>
          <w:rFonts w:ascii="Times New Roman" w:hAnsi="Times New Roman" w:cs="Times New Roman"/>
          <w:sz w:val="24"/>
          <w:szCs w:val="24"/>
          <w:lang w:val="en-GB"/>
        </w:rPr>
        <w:t>government employment as a share of total employment dec</w:t>
      </w:r>
      <w:r>
        <w:rPr>
          <w:rFonts w:ascii="Times New Roman" w:hAnsi="Times New Roman" w:cs="Times New Roman"/>
          <w:sz w:val="24"/>
          <w:szCs w:val="24"/>
          <w:lang w:val="en-GB"/>
        </w:rPr>
        <w:t xml:space="preserve">reased the most (over 2,5 p.p.) </w:t>
      </w:r>
      <w:r w:rsidRPr="00663E3B">
        <w:rPr>
          <w:rFonts w:ascii="Times New Roman" w:hAnsi="Times New Roman" w:cs="Times New Roman"/>
          <w:sz w:val="24"/>
          <w:szCs w:val="24"/>
          <w:lang w:val="en-GB"/>
        </w:rPr>
        <w:lastRenderedPageBreak/>
        <w:t>from 2007-2015. In contrast, the Czech Republic, Eston</w:t>
      </w:r>
      <w:r>
        <w:rPr>
          <w:rFonts w:ascii="Times New Roman" w:hAnsi="Times New Roman" w:cs="Times New Roman"/>
          <w:sz w:val="24"/>
          <w:szCs w:val="24"/>
          <w:lang w:val="en-GB"/>
        </w:rPr>
        <w:t xml:space="preserve">ia, Hungary, Slovenia and Spain </w:t>
      </w:r>
      <w:r w:rsidRPr="00663E3B">
        <w:rPr>
          <w:rFonts w:ascii="Times New Roman" w:hAnsi="Times New Roman" w:cs="Times New Roman"/>
          <w:sz w:val="24"/>
          <w:szCs w:val="24"/>
          <w:lang w:val="en-GB"/>
        </w:rPr>
        <w:t>experienced increases equal to and over 2 p.p. during the same period.</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Furthermore, the ratio (general government employ</w:t>
      </w:r>
      <w:r>
        <w:rPr>
          <w:rFonts w:ascii="Times New Roman" w:hAnsi="Times New Roman" w:cs="Times New Roman"/>
          <w:sz w:val="24"/>
          <w:szCs w:val="24"/>
          <w:lang w:val="en-GB"/>
        </w:rPr>
        <w:t xml:space="preserve">ment to total employment) hides </w:t>
      </w:r>
      <w:r w:rsidRPr="00663E3B">
        <w:rPr>
          <w:rFonts w:ascii="Times New Roman" w:hAnsi="Times New Roman" w:cs="Times New Roman"/>
          <w:sz w:val="24"/>
          <w:szCs w:val="24"/>
          <w:lang w:val="en-GB"/>
        </w:rPr>
        <w:t>changes to absolute a</w:t>
      </w:r>
      <w:r>
        <w:rPr>
          <w:rFonts w:ascii="Times New Roman" w:hAnsi="Times New Roman" w:cs="Times New Roman"/>
          <w:sz w:val="24"/>
          <w:szCs w:val="24"/>
          <w:lang w:val="en-GB"/>
        </w:rPr>
        <w:t xml:space="preserve"> </w:t>
      </w:r>
      <w:r w:rsidRPr="00663E3B">
        <w:rPr>
          <w:rFonts w:ascii="Times New Roman" w:hAnsi="Times New Roman" w:cs="Times New Roman"/>
          <w:sz w:val="24"/>
          <w:szCs w:val="24"/>
          <w:lang w:val="en-GB"/>
        </w:rPr>
        <w:t>public employment. From 2014-15</w:t>
      </w:r>
      <w:r>
        <w:rPr>
          <w:rFonts w:ascii="Times New Roman" w:hAnsi="Times New Roman" w:cs="Times New Roman"/>
          <w:sz w:val="24"/>
          <w:szCs w:val="24"/>
          <w:lang w:val="en-GB"/>
        </w:rPr>
        <w:t>, in Turkey, general government employment grew 3,</w:t>
      </w:r>
      <w:r w:rsidRPr="00663E3B">
        <w:rPr>
          <w:rFonts w:ascii="Times New Roman" w:hAnsi="Times New Roman" w:cs="Times New Roman"/>
          <w:sz w:val="24"/>
          <w:szCs w:val="24"/>
          <w:lang w:val="en-GB"/>
        </w:rPr>
        <w:t>9% while in the Netherlands it</w:t>
      </w:r>
      <w:r>
        <w:rPr>
          <w:rFonts w:ascii="Times New Roman" w:hAnsi="Times New Roman" w:cs="Times New Roman"/>
          <w:sz w:val="24"/>
          <w:szCs w:val="24"/>
          <w:lang w:val="en-GB"/>
        </w:rPr>
        <w:t xml:space="preserve"> dropped more than 3.6%. These </w:t>
      </w:r>
      <w:r w:rsidRPr="00663E3B">
        <w:rPr>
          <w:rFonts w:ascii="Times New Roman" w:hAnsi="Times New Roman" w:cs="Times New Roman"/>
          <w:sz w:val="24"/>
          <w:szCs w:val="24"/>
          <w:lang w:val="en-GB"/>
        </w:rPr>
        <w:t>changes are not apparent in the ratio because genera</w:t>
      </w:r>
      <w:r>
        <w:rPr>
          <w:rFonts w:ascii="Times New Roman" w:hAnsi="Times New Roman" w:cs="Times New Roman"/>
          <w:sz w:val="24"/>
          <w:szCs w:val="24"/>
          <w:lang w:val="en-GB"/>
        </w:rPr>
        <w:t xml:space="preserve">l government employment changed </w:t>
      </w:r>
      <w:r w:rsidRPr="00663E3B">
        <w:rPr>
          <w:rFonts w:ascii="Times New Roman" w:hAnsi="Times New Roman" w:cs="Times New Roman"/>
          <w:sz w:val="24"/>
          <w:szCs w:val="24"/>
          <w:lang w:val="en-GB"/>
        </w:rPr>
        <w:t>at similar rates to total employment.</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 xml:space="preserve">On average, D1 (top-level) managers earn 27% more </w:t>
      </w:r>
      <w:r>
        <w:rPr>
          <w:rFonts w:ascii="Times New Roman" w:hAnsi="Times New Roman" w:cs="Times New Roman"/>
          <w:sz w:val="24"/>
          <w:szCs w:val="24"/>
          <w:lang w:val="en-GB"/>
        </w:rPr>
        <w:t xml:space="preserve">than D2 managers, 72% more than </w:t>
      </w:r>
      <w:r w:rsidRPr="00663E3B">
        <w:rPr>
          <w:rFonts w:ascii="Times New Roman" w:hAnsi="Times New Roman" w:cs="Times New Roman"/>
          <w:sz w:val="24"/>
          <w:szCs w:val="24"/>
          <w:lang w:val="en-GB"/>
        </w:rPr>
        <w:t xml:space="preserve">middle (D3) managers, more than twice as much as </w:t>
      </w:r>
      <w:r>
        <w:rPr>
          <w:rFonts w:ascii="Times New Roman" w:hAnsi="Times New Roman" w:cs="Times New Roman"/>
          <w:sz w:val="24"/>
          <w:szCs w:val="24"/>
          <w:lang w:val="en-GB"/>
        </w:rPr>
        <w:t xml:space="preserve">D4 managers, and 2,6 times more </w:t>
      </w:r>
      <w:r w:rsidRPr="00663E3B">
        <w:rPr>
          <w:rFonts w:ascii="Times New Roman" w:hAnsi="Times New Roman" w:cs="Times New Roman"/>
          <w:sz w:val="24"/>
          <w:szCs w:val="24"/>
          <w:lang w:val="en-GB"/>
        </w:rPr>
        <w:t xml:space="preserve">than senior professionals. This suggests that the premium </w:t>
      </w:r>
      <w:r>
        <w:rPr>
          <w:rFonts w:ascii="Times New Roman" w:hAnsi="Times New Roman" w:cs="Times New Roman"/>
          <w:sz w:val="24"/>
          <w:szCs w:val="24"/>
          <w:lang w:val="en-GB"/>
        </w:rPr>
        <w:t xml:space="preserve">for managerial responsibilities </w:t>
      </w:r>
      <w:r w:rsidRPr="00663E3B">
        <w:rPr>
          <w:rFonts w:ascii="Times New Roman" w:hAnsi="Times New Roman" w:cs="Times New Roman"/>
          <w:sz w:val="24"/>
          <w:szCs w:val="24"/>
          <w:lang w:val="en-GB"/>
        </w:rPr>
        <w:t>is significantly higher than that for technical specialisation. Secretaries earn on average</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four times less than D1 managers.</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Women are underrepresented in government leadership positions</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On average, women make up only 29% of parliamentar</w:t>
      </w:r>
      <w:r>
        <w:rPr>
          <w:rFonts w:ascii="Times New Roman" w:hAnsi="Times New Roman" w:cs="Times New Roman"/>
          <w:sz w:val="24"/>
          <w:szCs w:val="24"/>
          <w:lang w:val="en-GB"/>
        </w:rPr>
        <w:t xml:space="preserve">ians and only 28% of government </w:t>
      </w:r>
      <w:r w:rsidRPr="00663E3B">
        <w:rPr>
          <w:rFonts w:ascii="Times New Roman" w:hAnsi="Times New Roman" w:cs="Times New Roman"/>
          <w:sz w:val="24"/>
          <w:szCs w:val="24"/>
          <w:lang w:val="en-GB"/>
        </w:rPr>
        <w:t>ministers in OECD countries in 2017.</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Similarly, while women represent 58% of the total pub</w:t>
      </w:r>
      <w:r>
        <w:rPr>
          <w:rFonts w:ascii="Times New Roman" w:hAnsi="Times New Roman" w:cs="Times New Roman"/>
          <w:sz w:val="24"/>
          <w:szCs w:val="24"/>
          <w:lang w:val="en-GB"/>
        </w:rPr>
        <w:t xml:space="preserve">lic sector workforce, they hold only </w:t>
      </w:r>
      <w:r w:rsidRPr="00663E3B">
        <w:rPr>
          <w:rFonts w:ascii="Times New Roman" w:hAnsi="Times New Roman" w:cs="Times New Roman"/>
          <w:sz w:val="24"/>
          <w:szCs w:val="24"/>
          <w:lang w:val="en-GB"/>
        </w:rPr>
        <w:t>32% of senior positions.</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Equal representation of women in public life and emplo</w:t>
      </w:r>
      <w:r>
        <w:rPr>
          <w:rFonts w:ascii="Times New Roman" w:hAnsi="Times New Roman" w:cs="Times New Roman"/>
          <w:sz w:val="24"/>
          <w:szCs w:val="24"/>
          <w:lang w:val="en-GB"/>
        </w:rPr>
        <w:t xml:space="preserve">yment at all levels expands the </w:t>
      </w:r>
      <w:r w:rsidRPr="00663E3B">
        <w:rPr>
          <w:rFonts w:ascii="Times New Roman" w:hAnsi="Times New Roman" w:cs="Times New Roman"/>
          <w:sz w:val="24"/>
          <w:szCs w:val="24"/>
          <w:lang w:val="en-GB"/>
        </w:rPr>
        <w:t>pool of talent available to contribute to organisational performance.</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 xml:space="preserve">Performance tools and behavioural </w:t>
      </w:r>
      <w:r>
        <w:rPr>
          <w:rFonts w:ascii="Times New Roman" w:hAnsi="Times New Roman" w:cs="Times New Roman"/>
          <w:sz w:val="24"/>
          <w:szCs w:val="24"/>
          <w:lang w:val="en-GB"/>
        </w:rPr>
        <w:t xml:space="preserve">insights improve the efficiency </w:t>
      </w:r>
      <w:r w:rsidRPr="00663E3B">
        <w:rPr>
          <w:rFonts w:ascii="Times New Roman" w:hAnsi="Times New Roman" w:cs="Times New Roman"/>
          <w:sz w:val="24"/>
          <w:szCs w:val="24"/>
          <w:lang w:val="en-GB"/>
        </w:rPr>
        <w:t>and effectiveness of the public sector</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Almost all countries have mandatory performance ass</w:t>
      </w:r>
      <w:r>
        <w:rPr>
          <w:rFonts w:ascii="Times New Roman" w:hAnsi="Times New Roman" w:cs="Times New Roman"/>
          <w:sz w:val="24"/>
          <w:szCs w:val="24"/>
          <w:lang w:val="en-GB"/>
        </w:rPr>
        <w:t xml:space="preserve">essments for central government </w:t>
      </w:r>
      <w:r w:rsidRPr="00663E3B">
        <w:rPr>
          <w:rFonts w:ascii="Times New Roman" w:hAnsi="Times New Roman" w:cs="Times New Roman"/>
          <w:sz w:val="24"/>
          <w:szCs w:val="24"/>
          <w:lang w:val="en-GB"/>
        </w:rPr>
        <w:t xml:space="preserve">employees. Linking performance to rewards remains a challenge, and </w:t>
      </w:r>
      <w:r>
        <w:rPr>
          <w:rFonts w:ascii="Times New Roman" w:hAnsi="Times New Roman" w:cs="Times New Roman"/>
          <w:sz w:val="24"/>
          <w:szCs w:val="24"/>
          <w:lang w:val="en-GB"/>
        </w:rPr>
        <w:t xml:space="preserve">the use of </w:t>
      </w:r>
      <w:r w:rsidRPr="00663E3B">
        <w:rPr>
          <w:rFonts w:ascii="Times New Roman" w:hAnsi="Times New Roman" w:cs="Times New Roman"/>
          <w:sz w:val="24"/>
          <w:szCs w:val="24"/>
          <w:lang w:val="en-GB"/>
        </w:rPr>
        <w:t>performance-related pay has remained stable since 2010.</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Spending reviews are used increasingly by OECD countrie</w:t>
      </w:r>
      <w:r>
        <w:rPr>
          <w:rFonts w:ascii="Times New Roman" w:hAnsi="Times New Roman" w:cs="Times New Roman"/>
          <w:sz w:val="24"/>
          <w:szCs w:val="24"/>
          <w:lang w:val="en-GB"/>
        </w:rPr>
        <w:t xml:space="preserve">s to better control expenditure </w:t>
      </w:r>
      <w:r w:rsidRPr="00663E3B">
        <w:rPr>
          <w:rFonts w:ascii="Times New Roman" w:hAnsi="Times New Roman" w:cs="Times New Roman"/>
          <w:sz w:val="24"/>
          <w:szCs w:val="24"/>
          <w:lang w:val="en-GB"/>
        </w:rPr>
        <w:t xml:space="preserve">and improve prioritisation. Twenty-two OECD countries </w:t>
      </w:r>
      <w:r>
        <w:rPr>
          <w:rFonts w:ascii="Times New Roman" w:hAnsi="Times New Roman" w:cs="Times New Roman"/>
          <w:sz w:val="24"/>
          <w:szCs w:val="24"/>
          <w:lang w:val="en-GB"/>
        </w:rPr>
        <w:t xml:space="preserve">conducted at least one spending </w:t>
      </w:r>
      <w:r w:rsidRPr="00663E3B">
        <w:rPr>
          <w:rFonts w:ascii="Times New Roman" w:hAnsi="Times New Roman" w:cs="Times New Roman"/>
          <w:sz w:val="24"/>
          <w:szCs w:val="24"/>
          <w:lang w:val="en-GB"/>
        </w:rPr>
        <w:t>review over 2008-2016, compared to only five between 2000-2007.</w:t>
      </w: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The use of behavioural insights is taking root in many OE</w:t>
      </w:r>
      <w:r>
        <w:rPr>
          <w:rFonts w:ascii="Times New Roman" w:hAnsi="Times New Roman" w:cs="Times New Roman"/>
          <w:sz w:val="24"/>
          <w:szCs w:val="24"/>
          <w:lang w:val="en-GB"/>
        </w:rPr>
        <w:t xml:space="preserve">CD countries, mostly to improve </w:t>
      </w:r>
      <w:r w:rsidRPr="00663E3B">
        <w:rPr>
          <w:rFonts w:ascii="Times New Roman" w:hAnsi="Times New Roman" w:cs="Times New Roman"/>
          <w:sz w:val="24"/>
          <w:szCs w:val="24"/>
          <w:lang w:val="en-GB"/>
        </w:rPr>
        <w:t>policy implementation. There is potential for their use</w:t>
      </w:r>
      <w:r>
        <w:rPr>
          <w:rFonts w:ascii="Times New Roman" w:hAnsi="Times New Roman" w:cs="Times New Roman"/>
          <w:sz w:val="24"/>
          <w:szCs w:val="24"/>
          <w:lang w:val="en-GB"/>
        </w:rPr>
        <w:t xml:space="preserve"> across the whole policy cycle, </w:t>
      </w:r>
      <w:r w:rsidRPr="00663E3B">
        <w:rPr>
          <w:rFonts w:ascii="Times New Roman" w:hAnsi="Times New Roman" w:cs="Times New Roman"/>
          <w:sz w:val="24"/>
          <w:szCs w:val="24"/>
          <w:lang w:val="en-GB"/>
        </w:rPr>
        <w:t>especially for designing and evaluating policies.</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Pr="00663E3B"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hAnsi="Times New Roman" w:cs="Times New Roman"/>
          <w:sz w:val="24"/>
          <w:szCs w:val="24"/>
          <w:lang w:val="en-GB"/>
        </w:rPr>
        <w:t>Open government initiatives are gainin</w:t>
      </w:r>
      <w:r>
        <w:rPr>
          <w:rFonts w:ascii="Times New Roman" w:hAnsi="Times New Roman" w:cs="Times New Roman"/>
          <w:sz w:val="24"/>
          <w:szCs w:val="24"/>
          <w:lang w:val="en-GB"/>
        </w:rPr>
        <w:t xml:space="preserve">g momentum, but more evaluation </w:t>
      </w:r>
      <w:r w:rsidRPr="00663E3B">
        <w:rPr>
          <w:rFonts w:ascii="Times New Roman" w:hAnsi="Times New Roman" w:cs="Times New Roman"/>
          <w:sz w:val="24"/>
          <w:szCs w:val="24"/>
          <w:lang w:val="en-GB"/>
        </w:rPr>
        <w:t>is needed</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sidRPr="00663E3B">
        <w:rPr>
          <w:rFonts w:ascii="Times New Roman" w:eastAsia="ZapfDingbatsStd" w:hAnsi="Times New Roman" w:cs="Times New Roman"/>
          <w:sz w:val="24"/>
          <w:szCs w:val="24"/>
          <w:lang w:val="en-GB"/>
        </w:rPr>
        <w:t xml:space="preserve">● </w:t>
      </w:r>
      <w:r w:rsidRPr="00663E3B">
        <w:rPr>
          <w:rFonts w:ascii="Times New Roman" w:hAnsi="Times New Roman" w:cs="Times New Roman"/>
          <w:sz w:val="24"/>
          <w:szCs w:val="24"/>
          <w:lang w:val="en-GB"/>
        </w:rPr>
        <w:t>Countries are increasingly institutionalising th</w:t>
      </w:r>
      <w:r>
        <w:rPr>
          <w:rFonts w:ascii="Times New Roman" w:hAnsi="Times New Roman" w:cs="Times New Roman"/>
          <w:sz w:val="24"/>
          <w:szCs w:val="24"/>
          <w:lang w:val="en-GB"/>
        </w:rPr>
        <w:t xml:space="preserve">e open government principles of </w:t>
      </w:r>
      <w:r w:rsidRPr="00663E3B">
        <w:rPr>
          <w:rFonts w:ascii="Times New Roman" w:hAnsi="Times New Roman" w:cs="Times New Roman"/>
          <w:sz w:val="24"/>
          <w:szCs w:val="24"/>
          <w:lang w:val="en-GB"/>
        </w:rPr>
        <w:t>transparency, accountability and participation. About hal</w:t>
      </w:r>
      <w:r>
        <w:rPr>
          <w:rFonts w:ascii="Times New Roman" w:hAnsi="Times New Roman" w:cs="Times New Roman"/>
          <w:sz w:val="24"/>
          <w:szCs w:val="24"/>
          <w:lang w:val="en-GB"/>
        </w:rPr>
        <w:t xml:space="preserve">f of the OECD countries (17 out </w:t>
      </w:r>
      <w:r w:rsidRPr="00663E3B">
        <w:rPr>
          <w:rFonts w:ascii="Times New Roman" w:hAnsi="Times New Roman" w:cs="Times New Roman"/>
          <w:sz w:val="24"/>
          <w:szCs w:val="24"/>
          <w:lang w:val="en-GB"/>
        </w:rPr>
        <w:t>of 35 countries) have adopted a national strategy on open government.</w:t>
      </w:r>
    </w:p>
    <w:p w:rsidR="00CE087C" w:rsidRPr="00F574A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sz w:val="24"/>
          <w:szCs w:val="24"/>
          <w:lang w:val="en-GB"/>
        </w:rPr>
        <w:t>● Most OECD countries have adopted an “open by default” policy, whereby all government</w:t>
      </w:r>
      <w:r>
        <w:rPr>
          <w:rFonts w:ascii="Times New Roman" w:eastAsia="ZapfDingbatsStd" w:hAnsi="Times New Roman" w:cs="Times New Roman"/>
          <w:sz w:val="24"/>
          <w:szCs w:val="24"/>
          <w:lang w:val="en-GB"/>
        </w:rPr>
        <w:t xml:space="preserve"> </w:t>
      </w:r>
      <w:r w:rsidRPr="00F574A4">
        <w:rPr>
          <w:rFonts w:ascii="Times New Roman" w:eastAsia="ZapfDingbatsStd" w:hAnsi="Times New Roman" w:cs="Times New Roman"/>
          <w:sz w:val="24"/>
          <w:szCs w:val="24"/>
          <w:lang w:val="en-GB"/>
        </w:rPr>
        <w:t>data is open unless there are legitimate justifications for not doing so.</w:t>
      </w:r>
    </w:p>
    <w:p w:rsidR="00CE087C" w:rsidRPr="00F574A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sz w:val="24"/>
          <w:szCs w:val="24"/>
          <w:lang w:val="en-GB"/>
        </w:rPr>
        <w:t>● However, the extent to which countries promote data re-</w:t>
      </w:r>
      <w:r>
        <w:rPr>
          <w:rFonts w:ascii="Times New Roman" w:eastAsia="ZapfDingbatsStd" w:hAnsi="Times New Roman" w:cs="Times New Roman"/>
          <w:sz w:val="24"/>
          <w:szCs w:val="24"/>
          <w:lang w:val="en-GB"/>
        </w:rPr>
        <w:t xml:space="preserve">use outside government (such as </w:t>
      </w:r>
      <w:r w:rsidRPr="00F574A4">
        <w:rPr>
          <w:rFonts w:ascii="Times New Roman" w:eastAsia="ZapfDingbatsStd" w:hAnsi="Times New Roman" w:cs="Times New Roman"/>
          <w:sz w:val="24"/>
          <w:szCs w:val="24"/>
          <w:lang w:val="en-GB"/>
        </w:rPr>
        <w:t>hackathons and co-creation events) and inside governmen</w:t>
      </w:r>
      <w:r>
        <w:rPr>
          <w:rFonts w:ascii="Times New Roman" w:eastAsia="ZapfDingbatsStd" w:hAnsi="Times New Roman" w:cs="Times New Roman"/>
          <w:sz w:val="24"/>
          <w:szCs w:val="24"/>
          <w:lang w:val="en-GB"/>
        </w:rPr>
        <w:t xml:space="preserve">t (via training and information </w:t>
      </w:r>
      <w:r w:rsidRPr="00F574A4">
        <w:rPr>
          <w:rFonts w:ascii="Times New Roman" w:eastAsia="ZapfDingbatsStd" w:hAnsi="Times New Roman" w:cs="Times New Roman"/>
          <w:sz w:val="24"/>
          <w:szCs w:val="24"/>
          <w:lang w:val="en-GB"/>
        </w:rPr>
        <w:t>sessions) varies greatly.</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sz w:val="24"/>
          <w:szCs w:val="24"/>
          <w:lang w:val="en-GB"/>
        </w:rPr>
        <w:t xml:space="preserve">● Few countries evaluate whether open government </w:t>
      </w:r>
      <w:r>
        <w:rPr>
          <w:rFonts w:ascii="Times New Roman" w:eastAsia="ZapfDingbatsStd" w:hAnsi="Times New Roman" w:cs="Times New Roman"/>
          <w:sz w:val="24"/>
          <w:szCs w:val="24"/>
          <w:lang w:val="en-GB"/>
        </w:rPr>
        <w:t xml:space="preserve">initiatives achieve the desired economic, </w:t>
      </w:r>
      <w:r w:rsidRPr="00F574A4">
        <w:rPr>
          <w:rFonts w:ascii="Times New Roman" w:eastAsia="ZapfDingbatsStd" w:hAnsi="Times New Roman" w:cs="Times New Roman"/>
          <w:sz w:val="24"/>
          <w:szCs w:val="24"/>
          <w:lang w:val="en-GB"/>
        </w:rPr>
        <w:t>social, public sector productivity or accountability impacts.</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sz w:val="24"/>
          <w:szCs w:val="24"/>
          <w:lang w:val="en-GB"/>
        </w:rPr>
        <w:lastRenderedPageBreak/>
        <w:t>More is needed to restore trust in government and ensure access to services</w:t>
      </w:r>
    </w:p>
    <w:p w:rsidR="00CE087C" w:rsidRPr="00F574A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Pr="00F574A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sz w:val="24"/>
          <w:szCs w:val="24"/>
          <w:lang w:val="en-GB"/>
        </w:rPr>
        <w:t>● Trust in government remains below pre-crisis levels. On average in OECD countries,</w:t>
      </w:r>
      <w:r>
        <w:rPr>
          <w:rFonts w:ascii="Times New Roman" w:eastAsia="ZapfDingbatsStd" w:hAnsi="Times New Roman" w:cs="Times New Roman"/>
          <w:sz w:val="24"/>
          <w:szCs w:val="24"/>
          <w:lang w:val="en-GB"/>
        </w:rPr>
        <w:t xml:space="preserve"> </w:t>
      </w:r>
      <w:r w:rsidRPr="00F574A4">
        <w:rPr>
          <w:rFonts w:ascii="Times New Roman" w:eastAsia="ZapfDingbatsStd" w:hAnsi="Times New Roman" w:cs="Times New Roman"/>
          <w:sz w:val="24"/>
          <w:szCs w:val="24"/>
          <w:lang w:val="en-GB"/>
        </w:rPr>
        <w:t>42% of citizens reported having confidence in their nation</w:t>
      </w:r>
      <w:r>
        <w:rPr>
          <w:rFonts w:ascii="Times New Roman" w:eastAsia="ZapfDingbatsStd" w:hAnsi="Times New Roman" w:cs="Times New Roman"/>
          <w:sz w:val="24"/>
          <w:szCs w:val="24"/>
          <w:lang w:val="en-GB"/>
        </w:rPr>
        <w:t xml:space="preserve">al government in 2016, compared </w:t>
      </w:r>
      <w:r w:rsidRPr="00F574A4">
        <w:rPr>
          <w:rFonts w:ascii="Times New Roman" w:eastAsia="ZapfDingbatsStd" w:hAnsi="Times New Roman" w:cs="Times New Roman"/>
          <w:sz w:val="24"/>
          <w:szCs w:val="24"/>
          <w:lang w:val="en-GB"/>
        </w:rPr>
        <w:t>to 45% before 2007.</w:t>
      </w:r>
    </w:p>
    <w:p w:rsidR="00CE087C" w:rsidRPr="00F574A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sz w:val="24"/>
          <w:szCs w:val="24"/>
          <w:lang w:val="en-GB"/>
        </w:rPr>
        <w:t>● There are persisting inequalities in access, responsive</w:t>
      </w:r>
      <w:r>
        <w:rPr>
          <w:rFonts w:ascii="Times New Roman" w:eastAsia="ZapfDingbatsStd" w:hAnsi="Times New Roman" w:cs="Times New Roman"/>
          <w:sz w:val="24"/>
          <w:szCs w:val="24"/>
          <w:lang w:val="en-GB"/>
        </w:rPr>
        <w:t xml:space="preserve">ness and quality of services by </w:t>
      </w:r>
      <w:r w:rsidRPr="00F574A4">
        <w:rPr>
          <w:rFonts w:ascii="Times New Roman" w:eastAsia="ZapfDingbatsStd" w:hAnsi="Times New Roman" w:cs="Times New Roman"/>
          <w:sz w:val="24"/>
          <w:szCs w:val="24"/>
          <w:lang w:val="en-GB"/>
        </w:rPr>
        <w:t>population groups. In all OECD countries, low-income peo</w:t>
      </w:r>
      <w:r>
        <w:rPr>
          <w:rFonts w:ascii="Times New Roman" w:eastAsia="ZapfDingbatsStd" w:hAnsi="Times New Roman" w:cs="Times New Roman"/>
          <w:sz w:val="24"/>
          <w:szCs w:val="24"/>
          <w:lang w:val="en-GB"/>
        </w:rPr>
        <w:t xml:space="preserve">ple report higher unmet medical </w:t>
      </w:r>
      <w:r w:rsidRPr="00F574A4">
        <w:rPr>
          <w:rFonts w:ascii="Times New Roman" w:eastAsia="ZapfDingbatsStd" w:hAnsi="Times New Roman" w:cs="Times New Roman"/>
          <w:sz w:val="24"/>
          <w:szCs w:val="24"/>
          <w:lang w:val="en-GB"/>
        </w:rPr>
        <w:t>care needs than people with higher incomes. Similarly, s</w:t>
      </w:r>
      <w:r>
        <w:rPr>
          <w:rFonts w:ascii="Times New Roman" w:eastAsia="ZapfDingbatsStd" w:hAnsi="Times New Roman" w:cs="Times New Roman"/>
          <w:sz w:val="24"/>
          <w:szCs w:val="24"/>
          <w:lang w:val="en-GB"/>
        </w:rPr>
        <w:t xml:space="preserve">ocio-economically disadvantaged </w:t>
      </w:r>
      <w:r w:rsidRPr="00F574A4">
        <w:rPr>
          <w:rFonts w:ascii="Times New Roman" w:eastAsia="ZapfDingbatsStd" w:hAnsi="Times New Roman" w:cs="Times New Roman"/>
          <w:sz w:val="24"/>
          <w:szCs w:val="24"/>
          <w:lang w:val="en-GB"/>
        </w:rPr>
        <w:t>students are almost three times more likely than advant</w:t>
      </w:r>
      <w:r>
        <w:rPr>
          <w:rFonts w:ascii="Times New Roman" w:eastAsia="ZapfDingbatsStd" w:hAnsi="Times New Roman" w:cs="Times New Roman"/>
          <w:sz w:val="24"/>
          <w:szCs w:val="24"/>
          <w:lang w:val="en-GB"/>
        </w:rPr>
        <w:t xml:space="preserve">aged students not to attain the </w:t>
      </w:r>
      <w:r w:rsidRPr="00F574A4">
        <w:rPr>
          <w:rFonts w:ascii="Times New Roman" w:eastAsia="ZapfDingbatsStd" w:hAnsi="Times New Roman" w:cs="Times New Roman"/>
          <w:sz w:val="24"/>
          <w:szCs w:val="24"/>
          <w:lang w:val="en-GB"/>
        </w:rPr>
        <w:t>baseline level of proficiency in science.</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sz w:val="24"/>
          <w:szCs w:val="24"/>
          <w:lang w:val="en-GB"/>
        </w:rPr>
        <w:t>● Governments should also prevent the emergence of ne</w:t>
      </w:r>
      <w:r>
        <w:rPr>
          <w:rFonts w:ascii="Times New Roman" w:eastAsia="ZapfDingbatsStd" w:hAnsi="Times New Roman" w:cs="Times New Roman"/>
          <w:sz w:val="24"/>
          <w:szCs w:val="24"/>
          <w:lang w:val="en-GB"/>
        </w:rPr>
        <w:t xml:space="preserve">w forms of “e-exclusion”. While </w:t>
      </w:r>
      <w:r w:rsidRPr="00F574A4">
        <w:rPr>
          <w:rFonts w:ascii="Times New Roman" w:eastAsia="ZapfDingbatsStd" w:hAnsi="Times New Roman" w:cs="Times New Roman"/>
          <w:sz w:val="24"/>
          <w:szCs w:val="24"/>
          <w:lang w:val="en-GB"/>
        </w:rPr>
        <w:t>a growing share of citizens use digital channels to inte</w:t>
      </w:r>
      <w:r>
        <w:rPr>
          <w:rFonts w:ascii="Times New Roman" w:eastAsia="ZapfDingbatsStd" w:hAnsi="Times New Roman" w:cs="Times New Roman"/>
          <w:sz w:val="24"/>
          <w:szCs w:val="24"/>
          <w:lang w:val="en-GB"/>
        </w:rPr>
        <w:t xml:space="preserve">ract with government, there are </w:t>
      </w:r>
      <w:r w:rsidRPr="00F574A4">
        <w:rPr>
          <w:rFonts w:ascii="Times New Roman" w:eastAsia="ZapfDingbatsStd" w:hAnsi="Times New Roman" w:cs="Times New Roman"/>
          <w:sz w:val="24"/>
          <w:szCs w:val="24"/>
          <w:lang w:val="en-GB"/>
        </w:rPr>
        <w:t>persistent gaps in the level of uptake by education level, living area and age.</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noProof/>
          <w:sz w:val="24"/>
          <w:szCs w:val="24"/>
          <w:lang w:eastAsia="es-ES"/>
        </w:rPr>
        <w:drawing>
          <wp:inline distT="0" distB="0" distL="0" distR="0" wp14:anchorId="39CAF5CA" wp14:editId="3A4406BF">
            <wp:extent cx="5725953" cy="2990850"/>
            <wp:effectExtent l="0" t="0" r="825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299375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noProof/>
          <w:sz w:val="24"/>
          <w:szCs w:val="24"/>
          <w:lang w:eastAsia="es-ES"/>
        </w:rPr>
        <w:drawing>
          <wp:inline distT="0" distB="0" distL="0" distR="0" wp14:anchorId="5EC3A859" wp14:editId="131E4BCE">
            <wp:extent cx="5727700" cy="3054350"/>
            <wp:effectExtent l="0" t="0" r="635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305638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noProof/>
          <w:sz w:val="24"/>
          <w:szCs w:val="24"/>
          <w:lang w:eastAsia="es-ES"/>
        </w:rPr>
        <w:lastRenderedPageBreak/>
        <w:drawing>
          <wp:inline distT="0" distB="0" distL="0" distR="0" wp14:anchorId="0C4EDFC7" wp14:editId="48EB82C6">
            <wp:extent cx="5727306" cy="4152900"/>
            <wp:effectExtent l="0" t="0" r="698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415594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noProof/>
          <w:sz w:val="24"/>
          <w:szCs w:val="24"/>
          <w:lang w:eastAsia="es-ES"/>
        </w:rPr>
        <w:drawing>
          <wp:inline distT="0" distB="0" distL="0" distR="0" wp14:anchorId="0E04C996" wp14:editId="68B6494B">
            <wp:extent cx="5727700" cy="2266950"/>
            <wp:effectExtent l="0" t="0" r="635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226845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F574A4">
        <w:rPr>
          <w:rFonts w:ascii="Times New Roman" w:eastAsia="ZapfDingbatsStd" w:hAnsi="Times New Roman" w:cs="Times New Roman"/>
          <w:noProof/>
          <w:sz w:val="24"/>
          <w:szCs w:val="24"/>
          <w:lang w:eastAsia="es-ES"/>
        </w:rPr>
        <w:drawing>
          <wp:inline distT="0" distB="0" distL="0" distR="0" wp14:anchorId="3426BF3A" wp14:editId="4D82ED02">
            <wp:extent cx="5727893" cy="2413000"/>
            <wp:effectExtent l="0" t="0" r="635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41452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7C6A97">
        <w:rPr>
          <w:rFonts w:ascii="Times New Roman" w:eastAsia="ZapfDingbatsStd" w:hAnsi="Times New Roman" w:cs="Times New Roman"/>
          <w:noProof/>
          <w:sz w:val="24"/>
          <w:szCs w:val="24"/>
          <w:lang w:eastAsia="es-ES"/>
        </w:rPr>
        <w:lastRenderedPageBreak/>
        <w:drawing>
          <wp:inline distT="0" distB="0" distL="0" distR="0" wp14:anchorId="32CB56DF" wp14:editId="3DD06721">
            <wp:extent cx="5667374" cy="632460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668166" cy="6325483"/>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7C6A97">
        <w:rPr>
          <w:rFonts w:ascii="Times New Roman" w:eastAsia="ZapfDingbatsStd" w:hAnsi="Times New Roman" w:cs="Times New Roman"/>
          <w:noProof/>
          <w:sz w:val="24"/>
          <w:szCs w:val="24"/>
          <w:lang w:eastAsia="es-ES"/>
        </w:rPr>
        <w:drawing>
          <wp:inline distT="0" distB="0" distL="0" distR="0" wp14:anchorId="7F1126B7" wp14:editId="5007307E">
            <wp:extent cx="5725243" cy="2451100"/>
            <wp:effectExtent l="0" t="0" r="889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2453783"/>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D43BB4">
        <w:rPr>
          <w:rFonts w:ascii="Times New Roman" w:eastAsia="ZapfDingbatsStd" w:hAnsi="Times New Roman" w:cs="Times New Roman"/>
          <w:noProof/>
          <w:sz w:val="24"/>
          <w:szCs w:val="24"/>
          <w:lang w:eastAsia="es-ES"/>
        </w:rPr>
        <w:drawing>
          <wp:inline distT="0" distB="0" distL="0" distR="0" wp14:anchorId="3EDC2EE9" wp14:editId="20007205">
            <wp:extent cx="5731510" cy="4858924"/>
            <wp:effectExtent l="0" t="0" r="254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485892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Pr>
          <w:rFonts w:ascii="Times New Roman" w:eastAsia="ZapfDingbatsStd" w:hAnsi="Times New Roman" w:cs="Times New Roman"/>
          <w:sz w:val="24"/>
          <w:szCs w:val="24"/>
          <w:lang w:val="en-GB"/>
        </w:rPr>
        <w:t>4</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D43BB4">
        <w:rPr>
          <w:rFonts w:ascii="Times New Roman" w:eastAsia="ZapfDingbatsStd" w:hAnsi="Times New Roman" w:cs="Times New Roman"/>
          <w:noProof/>
          <w:sz w:val="24"/>
          <w:szCs w:val="24"/>
          <w:lang w:eastAsia="es-ES"/>
        </w:rPr>
        <w:drawing>
          <wp:inline distT="0" distB="0" distL="0" distR="0" wp14:anchorId="4C22E755" wp14:editId="72118696">
            <wp:extent cx="5731510" cy="2328732"/>
            <wp:effectExtent l="0" t="0" r="254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232873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D43BB4">
        <w:rPr>
          <w:rFonts w:ascii="Times New Roman" w:eastAsia="ZapfDingbatsStd" w:hAnsi="Times New Roman" w:cs="Times New Roman"/>
          <w:noProof/>
          <w:sz w:val="24"/>
          <w:szCs w:val="24"/>
          <w:lang w:eastAsia="es-ES"/>
        </w:rPr>
        <w:lastRenderedPageBreak/>
        <w:drawing>
          <wp:inline distT="0" distB="0" distL="0" distR="0" wp14:anchorId="2565191D" wp14:editId="32812150">
            <wp:extent cx="5732879" cy="2178050"/>
            <wp:effectExtent l="0" t="0" r="127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217753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D43BB4">
        <w:rPr>
          <w:rFonts w:ascii="Times New Roman" w:eastAsia="ZapfDingbatsStd" w:hAnsi="Times New Roman" w:cs="Times New Roman"/>
          <w:noProof/>
          <w:sz w:val="24"/>
          <w:szCs w:val="24"/>
          <w:lang w:eastAsia="es-ES"/>
        </w:rPr>
        <w:drawing>
          <wp:inline distT="0" distB="0" distL="0" distR="0" wp14:anchorId="1EE7C13F" wp14:editId="3BED56CB">
            <wp:extent cx="5729915" cy="2139950"/>
            <wp:effectExtent l="0" t="0" r="444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2140546"/>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D43BB4">
        <w:rPr>
          <w:rFonts w:ascii="Times New Roman" w:eastAsia="ZapfDingbatsStd" w:hAnsi="Times New Roman" w:cs="Times New Roman"/>
          <w:noProof/>
          <w:sz w:val="24"/>
          <w:szCs w:val="24"/>
          <w:lang w:eastAsia="es-ES"/>
        </w:rPr>
        <w:drawing>
          <wp:inline distT="0" distB="0" distL="0" distR="0" wp14:anchorId="1B277979" wp14:editId="546BD49F">
            <wp:extent cx="5731679" cy="4406900"/>
            <wp:effectExtent l="0" t="0" r="254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440677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D43BB4">
        <w:rPr>
          <w:rFonts w:ascii="Times New Roman" w:eastAsia="ZapfDingbatsStd" w:hAnsi="Times New Roman" w:cs="Times New Roman"/>
          <w:noProof/>
          <w:sz w:val="24"/>
          <w:szCs w:val="24"/>
          <w:lang w:eastAsia="es-ES"/>
        </w:rPr>
        <w:lastRenderedPageBreak/>
        <w:drawing>
          <wp:inline distT="0" distB="0" distL="0" distR="0" wp14:anchorId="47C8C468" wp14:editId="7C23B227">
            <wp:extent cx="5731510" cy="2364248"/>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236424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D43BB4">
        <w:rPr>
          <w:rFonts w:ascii="Times New Roman" w:eastAsia="ZapfDingbatsStd" w:hAnsi="Times New Roman" w:cs="Times New Roman"/>
          <w:noProof/>
          <w:sz w:val="24"/>
          <w:szCs w:val="24"/>
          <w:lang w:eastAsia="es-ES"/>
        </w:rPr>
        <w:drawing>
          <wp:inline distT="0" distB="0" distL="0" distR="0" wp14:anchorId="00768359" wp14:editId="5D99A680">
            <wp:extent cx="5731510" cy="3654450"/>
            <wp:effectExtent l="0" t="0" r="2540" b="317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65445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0679C6">
        <w:rPr>
          <w:rFonts w:ascii="Times New Roman" w:eastAsia="ZapfDingbatsStd" w:hAnsi="Times New Roman" w:cs="Times New Roman"/>
          <w:noProof/>
          <w:sz w:val="24"/>
          <w:szCs w:val="24"/>
          <w:lang w:eastAsia="es-ES"/>
        </w:rPr>
        <w:drawing>
          <wp:inline distT="0" distB="0" distL="0" distR="0" wp14:anchorId="6A956D0B" wp14:editId="01851D8F">
            <wp:extent cx="5731510" cy="2283419"/>
            <wp:effectExtent l="0" t="0" r="2540" b="317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2283419"/>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0679C6">
        <w:rPr>
          <w:rFonts w:ascii="Times New Roman" w:eastAsia="ZapfDingbatsStd" w:hAnsi="Times New Roman" w:cs="Times New Roman"/>
          <w:noProof/>
          <w:sz w:val="24"/>
          <w:szCs w:val="24"/>
          <w:lang w:eastAsia="es-ES"/>
        </w:rPr>
        <w:lastRenderedPageBreak/>
        <w:drawing>
          <wp:inline distT="0" distB="0" distL="0" distR="0" wp14:anchorId="6ACBB344" wp14:editId="23A91A03">
            <wp:extent cx="5731510" cy="2279133"/>
            <wp:effectExtent l="0" t="0" r="2540" b="698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2279133"/>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0679C6">
        <w:rPr>
          <w:rFonts w:ascii="Times New Roman" w:eastAsia="ZapfDingbatsStd" w:hAnsi="Times New Roman" w:cs="Times New Roman"/>
          <w:noProof/>
          <w:sz w:val="24"/>
          <w:szCs w:val="24"/>
          <w:lang w:eastAsia="es-ES"/>
        </w:rPr>
        <w:drawing>
          <wp:inline distT="0" distB="0" distL="0" distR="0" wp14:anchorId="2957B018" wp14:editId="240B5BBE">
            <wp:extent cx="5731510" cy="3358077"/>
            <wp:effectExtent l="0" t="0" r="254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358077"/>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0679C6">
        <w:rPr>
          <w:rFonts w:ascii="Times New Roman" w:eastAsia="ZapfDingbatsStd" w:hAnsi="Times New Roman" w:cs="Times New Roman"/>
          <w:noProof/>
          <w:sz w:val="24"/>
          <w:szCs w:val="24"/>
          <w:lang w:eastAsia="es-ES"/>
        </w:rPr>
        <w:drawing>
          <wp:inline distT="0" distB="0" distL="0" distR="0" wp14:anchorId="62CB4563" wp14:editId="2B31DE1A">
            <wp:extent cx="5731510" cy="2333018"/>
            <wp:effectExtent l="0" t="0" r="254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233301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0679C6">
        <w:rPr>
          <w:rFonts w:ascii="Times New Roman" w:eastAsia="ZapfDingbatsStd" w:hAnsi="Times New Roman" w:cs="Times New Roman"/>
          <w:noProof/>
          <w:sz w:val="24"/>
          <w:szCs w:val="24"/>
          <w:lang w:eastAsia="es-ES"/>
        </w:rPr>
        <w:lastRenderedPageBreak/>
        <w:drawing>
          <wp:inline distT="0" distB="0" distL="0" distR="0" wp14:anchorId="33225DF1" wp14:editId="487ABFDD">
            <wp:extent cx="5728193" cy="2235200"/>
            <wp:effectExtent l="0" t="0" r="6350" b="0"/>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223649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0679C6">
        <w:rPr>
          <w:rFonts w:ascii="Times New Roman" w:eastAsia="ZapfDingbatsStd" w:hAnsi="Times New Roman" w:cs="Times New Roman"/>
          <w:noProof/>
          <w:sz w:val="24"/>
          <w:szCs w:val="24"/>
          <w:lang w:eastAsia="es-ES"/>
        </w:rPr>
        <w:drawing>
          <wp:inline distT="0" distB="0" distL="0" distR="0" wp14:anchorId="281F6EE8" wp14:editId="58EE8A27">
            <wp:extent cx="5727700" cy="4457700"/>
            <wp:effectExtent l="0" t="0" r="6350" b="0"/>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4460665"/>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sectPr w:rsidR="00CE087C">
          <w:pgSz w:w="11906" w:h="16838"/>
          <w:pgMar w:top="1440" w:right="1440" w:bottom="1440" w:left="1440" w:header="708" w:footer="708" w:gutter="0"/>
          <w:cols w:space="708"/>
          <w:docGrid w:linePitch="360"/>
        </w:sectPr>
      </w:pPr>
      <w:r w:rsidRPr="000679C6">
        <w:rPr>
          <w:rFonts w:ascii="Times New Roman" w:eastAsia="ZapfDingbatsStd" w:hAnsi="Times New Roman" w:cs="Times New Roman"/>
          <w:noProof/>
          <w:sz w:val="24"/>
          <w:szCs w:val="24"/>
          <w:lang w:eastAsia="es-ES"/>
        </w:rPr>
        <w:drawing>
          <wp:inline distT="0" distB="0" distL="0" distR="0" wp14:anchorId="5236EC22" wp14:editId="200DB8C2">
            <wp:extent cx="5734050" cy="2089150"/>
            <wp:effectExtent l="0" t="0" r="0" b="6350"/>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088225"/>
                    </a:xfrm>
                    <a:prstGeom prst="rect">
                      <a:avLst/>
                    </a:prstGeom>
                  </pic:spPr>
                </pic:pic>
              </a:graphicData>
            </a:graphic>
          </wp:inline>
        </w:drawing>
      </w:r>
    </w:p>
    <w:p w:rsidR="00CE087C" w:rsidRPr="00CE087C" w:rsidRDefault="00CE087C" w:rsidP="00CE087C">
      <w:pPr>
        <w:autoSpaceDE w:val="0"/>
        <w:autoSpaceDN w:val="0"/>
        <w:adjustRightInd w:val="0"/>
        <w:spacing w:after="0" w:line="240" w:lineRule="auto"/>
        <w:jc w:val="both"/>
        <w:rPr>
          <w:rFonts w:ascii="Times New Roman" w:eastAsia="ZapfDingbatsStd" w:hAnsi="Times New Roman" w:cs="Times New Roman"/>
          <w:b/>
          <w:sz w:val="24"/>
          <w:szCs w:val="24"/>
          <w:lang w:val="en-GB"/>
        </w:rPr>
      </w:pPr>
      <w:r w:rsidRPr="00CE087C">
        <w:rPr>
          <w:rFonts w:ascii="Times New Roman" w:eastAsia="ZapfDingbatsStd" w:hAnsi="Times New Roman" w:cs="Times New Roman"/>
          <w:b/>
          <w:sz w:val="24"/>
          <w:szCs w:val="24"/>
          <w:lang w:val="en-GB"/>
        </w:rPr>
        <w:lastRenderedPageBreak/>
        <w:t>- Eurostat - Agosto 2017</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421D32">
        <w:rPr>
          <w:rFonts w:ascii="Times New Roman" w:eastAsia="ZapfDingbatsStd" w:hAnsi="Times New Roman" w:cs="Times New Roman"/>
          <w:noProof/>
          <w:sz w:val="24"/>
          <w:szCs w:val="24"/>
          <w:lang w:eastAsia="es-ES"/>
        </w:rPr>
        <w:drawing>
          <wp:inline distT="0" distB="0" distL="0" distR="0" wp14:anchorId="2A222C5A" wp14:editId="7C0C36E2">
            <wp:extent cx="7302500" cy="2895600"/>
            <wp:effectExtent l="0" t="0" r="0" b="0"/>
            <wp:docPr id="514" name="Imagen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7302500" cy="289560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421D32">
        <w:rPr>
          <w:rFonts w:ascii="Times New Roman" w:eastAsia="ZapfDingbatsStd" w:hAnsi="Times New Roman" w:cs="Times New Roman"/>
          <w:noProof/>
          <w:sz w:val="24"/>
          <w:szCs w:val="24"/>
          <w:lang w:eastAsia="es-ES"/>
        </w:rPr>
        <w:drawing>
          <wp:inline distT="0" distB="0" distL="0" distR="0" wp14:anchorId="2228DDDD" wp14:editId="14D42567">
            <wp:extent cx="7302500" cy="2279650"/>
            <wp:effectExtent l="0" t="0" r="0" b="6350"/>
            <wp:docPr id="516" name="Imagen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7313531" cy="228309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D720E">
        <w:rPr>
          <w:rFonts w:ascii="Times New Roman" w:eastAsia="ZapfDingbatsStd" w:hAnsi="Times New Roman" w:cs="Times New Roman"/>
          <w:noProof/>
          <w:sz w:val="24"/>
          <w:szCs w:val="24"/>
          <w:lang w:eastAsia="es-ES"/>
        </w:rPr>
        <w:drawing>
          <wp:inline distT="0" distB="0" distL="0" distR="0" wp14:anchorId="275A134C" wp14:editId="45A30C52">
            <wp:extent cx="7416800" cy="3048000"/>
            <wp:effectExtent l="0" t="0" r="0" b="0"/>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7423452" cy="305073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D720E">
        <w:rPr>
          <w:rFonts w:ascii="Times New Roman" w:eastAsia="ZapfDingbatsStd" w:hAnsi="Times New Roman" w:cs="Times New Roman"/>
          <w:noProof/>
          <w:sz w:val="24"/>
          <w:szCs w:val="24"/>
          <w:lang w:eastAsia="es-ES"/>
        </w:rPr>
        <w:drawing>
          <wp:inline distT="0" distB="0" distL="0" distR="0" wp14:anchorId="3110E160" wp14:editId="6FA2E88E">
            <wp:extent cx="7467600" cy="2305050"/>
            <wp:effectExtent l="0" t="0" r="0" b="0"/>
            <wp:docPr id="518" name="Imagen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7467600" cy="230505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D720E">
        <w:rPr>
          <w:rFonts w:ascii="Times New Roman" w:eastAsia="ZapfDingbatsStd" w:hAnsi="Times New Roman" w:cs="Times New Roman"/>
          <w:noProof/>
          <w:sz w:val="24"/>
          <w:szCs w:val="24"/>
          <w:lang w:eastAsia="es-ES"/>
        </w:rPr>
        <w:lastRenderedPageBreak/>
        <w:drawing>
          <wp:inline distT="0" distB="0" distL="0" distR="0" wp14:anchorId="4A07359C" wp14:editId="11A0907E">
            <wp:extent cx="7467600" cy="3185160"/>
            <wp:effectExtent l="0" t="0" r="0" b="0"/>
            <wp:docPr id="519" name="Imagen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7467600" cy="318516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D720E">
        <w:rPr>
          <w:rFonts w:ascii="Times New Roman" w:eastAsia="ZapfDingbatsStd" w:hAnsi="Times New Roman" w:cs="Times New Roman"/>
          <w:noProof/>
          <w:sz w:val="24"/>
          <w:szCs w:val="24"/>
          <w:lang w:eastAsia="es-ES"/>
        </w:rPr>
        <w:drawing>
          <wp:inline distT="0" distB="0" distL="0" distR="0" wp14:anchorId="7AC60F1D" wp14:editId="1B3EB5F0">
            <wp:extent cx="7467600" cy="2438400"/>
            <wp:effectExtent l="0" t="0" r="0" b="0"/>
            <wp:docPr id="520" name="Imagen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7473435" cy="2440305"/>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D720E">
        <w:rPr>
          <w:rFonts w:ascii="Times New Roman" w:eastAsia="ZapfDingbatsStd" w:hAnsi="Times New Roman" w:cs="Times New Roman"/>
          <w:noProof/>
          <w:sz w:val="24"/>
          <w:szCs w:val="24"/>
          <w:lang w:eastAsia="es-ES"/>
        </w:rPr>
        <w:lastRenderedPageBreak/>
        <w:drawing>
          <wp:inline distT="0" distB="0" distL="0" distR="0" wp14:anchorId="6F85AF15" wp14:editId="769AB349">
            <wp:extent cx="7467600" cy="3187700"/>
            <wp:effectExtent l="0" t="0" r="0" b="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7467600" cy="318770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D720E">
        <w:rPr>
          <w:rFonts w:ascii="Times New Roman" w:eastAsia="ZapfDingbatsStd" w:hAnsi="Times New Roman" w:cs="Times New Roman"/>
          <w:noProof/>
          <w:sz w:val="24"/>
          <w:szCs w:val="24"/>
          <w:lang w:eastAsia="es-ES"/>
        </w:rPr>
        <w:drawing>
          <wp:inline distT="0" distB="0" distL="0" distR="0" wp14:anchorId="5F583126" wp14:editId="55625A84">
            <wp:extent cx="7467600" cy="2451100"/>
            <wp:effectExtent l="0" t="0" r="0" b="6350"/>
            <wp:docPr id="522" name="Imagen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7467600" cy="245110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620A14">
        <w:rPr>
          <w:rFonts w:ascii="Times New Roman" w:eastAsia="ZapfDingbatsStd" w:hAnsi="Times New Roman" w:cs="Times New Roman"/>
          <w:noProof/>
          <w:sz w:val="24"/>
          <w:szCs w:val="24"/>
          <w:lang w:eastAsia="es-ES"/>
        </w:rPr>
        <w:lastRenderedPageBreak/>
        <w:drawing>
          <wp:inline distT="0" distB="0" distL="0" distR="0" wp14:anchorId="1C794EB2" wp14:editId="74CCB3E4">
            <wp:extent cx="7397750" cy="3280410"/>
            <wp:effectExtent l="0" t="0" r="0" b="0"/>
            <wp:docPr id="523" name="Imagen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7397750" cy="328041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620A14">
        <w:rPr>
          <w:rFonts w:ascii="Times New Roman" w:eastAsia="ZapfDingbatsStd" w:hAnsi="Times New Roman" w:cs="Times New Roman"/>
          <w:noProof/>
          <w:sz w:val="24"/>
          <w:szCs w:val="24"/>
          <w:lang w:eastAsia="es-ES"/>
        </w:rPr>
        <w:drawing>
          <wp:inline distT="0" distB="0" distL="0" distR="0" wp14:anchorId="59A3BA6B" wp14:editId="7933844B">
            <wp:extent cx="7397750" cy="2260600"/>
            <wp:effectExtent l="0" t="0" r="0" b="6350"/>
            <wp:docPr id="524" name="Imagen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7397750" cy="226060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620A14">
        <w:rPr>
          <w:rFonts w:ascii="Times New Roman" w:eastAsia="ZapfDingbatsStd" w:hAnsi="Times New Roman" w:cs="Times New Roman"/>
          <w:noProof/>
          <w:sz w:val="24"/>
          <w:szCs w:val="24"/>
          <w:lang w:eastAsia="es-ES"/>
        </w:rPr>
        <w:lastRenderedPageBreak/>
        <w:drawing>
          <wp:inline distT="0" distB="0" distL="0" distR="0" wp14:anchorId="4F659D12" wp14:editId="0847A1D2">
            <wp:extent cx="7512050" cy="3276600"/>
            <wp:effectExtent l="0" t="0" r="0" b="0"/>
            <wp:docPr id="525" name="Imagen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7514962" cy="327787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sectPr w:rsidR="00CE087C" w:rsidSect="00CE087C">
          <w:pgSz w:w="16838" w:h="11906" w:orient="landscape"/>
          <w:pgMar w:top="1440" w:right="1440" w:bottom="1440" w:left="1440" w:header="709" w:footer="709" w:gutter="0"/>
          <w:cols w:space="708"/>
          <w:docGrid w:linePitch="360"/>
        </w:sectPr>
      </w:pPr>
      <w:r w:rsidRPr="00620A14">
        <w:rPr>
          <w:rFonts w:ascii="Times New Roman" w:eastAsia="ZapfDingbatsStd" w:hAnsi="Times New Roman" w:cs="Times New Roman"/>
          <w:noProof/>
          <w:sz w:val="24"/>
          <w:szCs w:val="24"/>
          <w:lang w:eastAsia="es-ES"/>
        </w:rPr>
        <w:drawing>
          <wp:inline distT="0" distB="0" distL="0" distR="0" wp14:anchorId="09591CE3" wp14:editId="3AB5F028">
            <wp:extent cx="7550150" cy="2241550"/>
            <wp:effectExtent l="0" t="0" r="0" b="6350"/>
            <wp:docPr id="526" name="Imagen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7552289" cy="2242185"/>
                    </a:xfrm>
                    <a:prstGeom prst="rect">
                      <a:avLst/>
                    </a:prstGeom>
                  </pic:spPr>
                </pic:pic>
              </a:graphicData>
            </a:graphic>
          </wp:inline>
        </w:drawing>
      </w:r>
    </w:p>
    <w:p w:rsidR="00CE087C" w:rsidRPr="00CE087C" w:rsidRDefault="00CE087C" w:rsidP="00CE087C">
      <w:pPr>
        <w:autoSpaceDE w:val="0"/>
        <w:autoSpaceDN w:val="0"/>
        <w:adjustRightInd w:val="0"/>
        <w:spacing w:after="0" w:line="240" w:lineRule="auto"/>
        <w:jc w:val="both"/>
        <w:rPr>
          <w:rFonts w:ascii="Times New Roman" w:eastAsia="ZapfDingbatsStd" w:hAnsi="Times New Roman" w:cs="Times New Roman"/>
          <w:b/>
          <w:sz w:val="24"/>
          <w:szCs w:val="24"/>
        </w:rPr>
      </w:pPr>
      <w:r w:rsidRPr="00CE087C">
        <w:rPr>
          <w:rFonts w:ascii="Times New Roman" w:eastAsia="ZapfDingbatsStd" w:hAnsi="Times New Roman" w:cs="Times New Roman"/>
          <w:b/>
          <w:sz w:val="24"/>
          <w:szCs w:val="24"/>
        </w:rPr>
        <w:lastRenderedPageBreak/>
        <w:t>- Comisión Europea: información sobre la respuesta de la UE a la crisis de 2008 (a confesión de parte, relevo de prueba) - Agosto 2017</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Asuntos económicos y monetarios</w:t>
      </w: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Los países de la UE coordinan sus políticas económicas nac</w:t>
      </w:r>
      <w:r w:rsidR="0028244F">
        <w:rPr>
          <w:rFonts w:ascii="Times New Roman" w:eastAsia="ZapfDingbatsStd" w:hAnsi="Times New Roman" w:cs="Times New Roman"/>
          <w:sz w:val="24"/>
          <w:szCs w:val="24"/>
        </w:rPr>
        <w:t xml:space="preserve">ionales para poder hacer frente </w:t>
      </w:r>
      <w:r w:rsidRPr="00C305F4">
        <w:rPr>
          <w:rFonts w:ascii="Times New Roman" w:eastAsia="ZapfDingbatsStd" w:hAnsi="Times New Roman" w:cs="Times New Roman"/>
          <w:sz w:val="24"/>
          <w:szCs w:val="24"/>
        </w:rPr>
        <w:t>juntos a retos como las crisis económicas y financieras. En los 19 países que han adoptado el euro esta cooperación va incluso más allá.</w:t>
      </w: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Todos los países de la UE (sean o no de la zona del euro) forman parte de la unión económica y monetaria (UEM), marco de cooperación económica creado para fomentar la creación de empleo y el crecimiento sostenible y para coordinar nuestra respuesta a los retos económicos y financieros mundiales.</w:t>
      </w: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Respuesta coordinada a la crisis de 2008</w:t>
      </w: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Desde que comenzó la crisis económica y financiera en octubre de 2008, los gobiernos nacionales, el Banco Central Europeo (BCE) y la Comisión han colaborado para:</w:t>
      </w:r>
    </w:p>
    <w:p w:rsidR="00CE087C" w:rsidRPr="00C305F4" w:rsidRDefault="00CE087C" w:rsidP="00CE087C">
      <w:pPr>
        <w:pStyle w:val="Prrafodelista"/>
        <w:numPr>
          <w:ilvl w:val="0"/>
          <w:numId w:val="12"/>
        </w:num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recuperar la estabilidad financiera y crear las condiciones propicias para el crecimiento y la creación de empleo, coordinando la supervisión y la intervención y apoyando a los bancos</w:t>
      </w:r>
    </w:p>
    <w:p w:rsidR="00CE087C" w:rsidRPr="00C305F4" w:rsidRDefault="00CE087C" w:rsidP="00CE087C">
      <w:pPr>
        <w:pStyle w:val="Prrafodelista"/>
        <w:numPr>
          <w:ilvl w:val="0"/>
          <w:numId w:val="12"/>
        </w:num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proteger los ahorros, elevando las garantías de las cuentas bancarias en los países miembros a un mínimo de 100.000 euros por cliente y por banco</w:t>
      </w:r>
    </w:p>
    <w:p w:rsidR="00CE087C" w:rsidRPr="00C305F4" w:rsidRDefault="00CE087C" w:rsidP="00CE087C">
      <w:pPr>
        <w:pStyle w:val="Prrafodelista"/>
        <w:numPr>
          <w:ilvl w:val="0"/>
          <w:numId w:val="12"/>
        </w:num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mantener un flujo de crédito asequible para las empresas y los hogares</w:t>
      </w:r>
      <w:r>
        <w:rPr>
          <w:rFonts w:ascii="Times New Roman" w:eastAsia="ZapfDingbatsStd" w:hAnsi="Times New Roman" w:cs="Times New Roman"/>
          <w:sz w:val="24"/>
          <w:szCs w:val="24"/>
        </w:rPr>
        <w:t xml:space="preserve"> </w:t>
      </w:r>
      <w:r w:rsidRPr="00C305F4">
        <w:rPr>
          <w:rFonts w:ascii="Times New Roman" w:eastAsia="ZapfDingbatsStd" w:hAnsi="Times New Roman" w:cs="Times New Roman"/>
          <w:sz w:val="24"/>
          <w:szCs w:val="24"/>
        </w:rPr>
        <w:t>implantar un sistema mejor de gobernanza económica y financiera de la UE.</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Para prevenir alteraciones graves del sistema bancario, varios gobiernos de la UE fueron al rescate de sus bancos con una ayuda urgente de dimensiones sin precedentes. Entre 2008 y 201</w:t>
      </w:r>
      <w:r>
        <w:rPr>
          <w:rFonts w:ascii="Times New Roman" w:eastAsia="ZapfDingbatsStd" w:hAnsi="Times New Roman" w:cs="Times New Roman"/>
          <w:sz w:val="24"/>
          <w:szCs w:val="24"/>
        </w:rPr>
        <w:t>1, se inyectaron en el sistema -</w:t>
      </w:r>
      <w:r w:rsidRPr="00C305F4">
        <w:rPr>
          <w:rFonts w:ascii="Times New Roman" w:eastAsia="ZapfDingbatsStd" w:hAnsi="Times New Roman" w:cs="Times New Roman"/>
          <w:sz w:val="24"/>
          <w:szCs w:val="24"/>
        </w:rPr>
        <w:t>a través de garantía</w:t>
      </w:r>
      <w:r>
        <w:rPr>
          <w:rFonts w:ascii="Times New Roman" w:eastAsia="ZapfDingbatsStd" w:hAnsi="Times New Roman" w:cs="Times New Roman"/>
          <w:sz w:val="24"/>
          <w:szCs w:val="24"/>
        </w:rPr>
        <w:t>s o en forma de capital directo-</w:t>
      </w:r>
      <w:r w:rsidRPr="00C305F4">
        <w:rPr>
          <w:rFonts w:ascii="Times New Roman" w:eastAsia="ZapfDingbatsStd" w:hAnsi="Times New Roman" w:cs="Times New Roman"/>
          <w:sz w:val="24"/>
          <w:szCs w:val="24"/>
        </w:rPr>
        <w:t xml:space="preserve"> 1,6 billones, el equivalente al 13% del PIB anual de la UE.</w:t>
      </w: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Para mantener la estabilidad financiera de la UE y resolver las tensiones en los mercados de deuda soberana de la zona del euro, la UE también tendió una red de seguridad para los Estados miembros en dificultad, el Mecanismo Europeo de Estabilidad (MEDE), que sustituía a los instrumentos temporales existentes hasta entonces y que es la mayor institución financiera multilateral del mundo, con una capacidad efectiva de préstamo de hasta 500.000 millones de euros.</w:t>
      </w: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Entre 2011 y 2013 la UE introdujo también normas nuevas y más estrictas (incluso un Tratado internacional) para mantener un control más estrecho de la deuda y el déficit públicos y garantizar que los gobiernos no gastaran por encima de sus posibilidades.</w:t>
      </w: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Se añadió el principal instrumento de la UE para proteger la estabilidad financiera y la disciplina presupuestaria, el Pacto de Estabilidad y Crecimiento, que fortalece exhaustivamente su aplicación:</w:t>
      </w: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Pr="00C305F4" w:rsidRDefault="00CE087C" w:rsidP="00CE087C">
      <w:pPr>
        <w:pStyle w:val="Prrafodelista"/>
        <w:numPr>
          <w:ilvl w:val="0"/>
          <w:numId w:val="12"/>
        </w:num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dando mayor importancia a la reducción de la deuda pública</w:t>
      </w:r>
    </w:p>
    <w:p w:rsidR="00CE087C" w:rsidRPr="00C305F4" w:rsidRDefault="00CE087C" w:rsidP="00CE087C">
      <w:pPr>
        <w:pStyle w:val="Prrafodelista"/>
        <w:numPr>
          <w:ilvl w:val="0"/>
          <w:numId w:val="12"/>
        </w:num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retocando el procedimiento de déficit excesivo</w:t>
      </w:r>
      <w:r>
        <w:rPr>
          <w:rFonts w:ascii="Times New Roman" w:eastAsia="ZapfDingbatsStd" w:hAnsi="Times New Roman" w:cs="Times New Roman"/>
          <w:sz w:val="24"/>
          <w:szCs w:val="24"/>
        </w:rPr>
        <w:t xml:space="preserve"> </w:t>
      </w:r>
      <w:r w:rsidRPr="00C305F4">
        <w:rPr>
          <w:rFonts w:ascii="Times New Roman" w:eastAsia="ZapfDingbatsStd" w:hAnsi="Times New Roman" w:cs="Times New Roman"/>
          <w:sz w:val="24"/>
          <w:szCs w:val="24"/>
        </w:rPr>
        <w:t>de manera que pudiera ponerse en marcha no solo por el déficit en un año dado sino por cambios subyacentes y profundos en la deuda pública</w:t>
      </w:r>
    </w:p>
    <w:p w:rsidR="00CE087C" w:rsidRDefault="00CE087C" w:rsidP="00CE087C">
      <w:pPr>
        <w:pStyle w:val="Prrafodelista"/>
        <w:numPr>
          <w:ilvl w:val="0"/>
          <w:numId w:val="12"/>
        </w:num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lastRenderedPageBreak/>
        <w:t>estableciendo un ciclo anual de coordinación de la política ec</w:t>
      </w:r>
      <w:r>
        <w:rPr>
          <w:rFonts w:ascii="Times New Roman" w:eastAsia="ZapfDingbatsStd" w:hAnsi="Times New Roman" w:cs="Times New Roman"/>
          <w:sz w:val="24"/>
          <w:szCs w:val="24"/>
        </w:rPr>
        <w:t xml:space="preserve">onómica </w:t>
      </w:r>
      <w:r w:rsidRPr="00C305F4">
        <w:rPr>
          <w:rFonts w:ascii="Times New Roman" w:eastAsia="ZapfDingbatsStd" w:hAnsi="Times New Roman" w:cs="Times New Roman"/>
          <w:sz w:val="24"/>
          <w:szCs w:val="24"/>
        </w:rPr>
        <w:t>dirigido por la Comisión, que cada año efectúa un análisis detallado de los planes de reforma económica de los gobiernos de la UE y les da recomendaciones para los 12 o 18 meses siguientes</w:t>
      </w:r>
      <w:r>
        <w:rPr>
          <w:rFonts w:ascii="Times New Roman" w:eastAsia="ZapfDingbatsStd" w:hAnsi="Times New Roman" w:cs="Times New Roman"/>
          <w:sz w:val="24"/>
          <w:szCs w:val="24"/>
        </w:rPr>
        <w:t xml:space="preserve"> </w:t>
      </w:r>
    </w:p>
    <w:p w:rsidR="00CE087C" w:rsidRDefault="00CE087C" w:rsidP="00CE087C">
      <w:pPr>
        <w:pStyle w:val="Prrafodelista"/>
        <w:numPr>
          <w:ilvl w:val="0"/>
          <w:numId w:val="12"/>
        </w:num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obligando a cumplir más estrictamente la normativa presupuestaria, incluso con sanciones significativas a los países de la zona del euro que la incumplen</w:t>
      </w:r>
    </w:p>
    <w:p w:rsidR="00CE087C" w:rsidRDefault="00CE087C" w:rsidP="00CE087C">
      <w:pPr>
        <w:pStyle w:val="Prrafodelista"/>
        <w:numPr>
          <w:ilvl w:val="0"/>
          <w:numId w:val="12"/>
        </w:numPr>
        <w:autoSpaceDE w:val="0"/>
        <w:autoSpaceDN w:val="0"/>
        <w:adjustRightInd w:val="0"/>
        <w:spacing w:after="0" w:line="240" w:lineRule="auto"/>
        <w:jc w:val="both"/>
        <w:rPr>
          <w:rFonts w:ascii="Times New Roman" w:eastAsia="ZapfDingbatsStd" w:hAnsi="Times New Roman" w:cs="Times New Roman"/>
          <w:sz w:val="24"/>
          <w:szCs w:val="24"/>
        </w:rPr>
      </w:pPr>
      <w:r w:rsidRPr="00C305F4">
        <w:rPr>
          <w:rFonts w:ascii="Times New Roman" w:eastAsia="ZapfDingbatsStd" w:hAnsi="Times New Roman" w:cs="Times New Roman"/>
          <w:sz w:val="24"/>
          <w:szCs w:val="24"/>
        </w:rPr>
        <w:t>introduciendo nuevos medios para controlar los desequilibrios económicos, como las burbujas inmobiliarias y la pérdida de competitividad, y abordándolos antes de que constituyan una amenaza para la estabilidad económica de un país o incluso de la zona del euro o la UE.</w:t>
      </w:r>
    </w:p>
    <w:p w:rsidR="00CE087C" w:rsidRPr="00C2394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Pr>
          <w:rFonts w:ascii="Times New Roman" w:eastAsia="ZapfDingbatsStd" w:hAnsi="Times New Roman" w:cs="Times New Roman"/>
          <w:sz w:val="24"/>
          <w:szCs w:val="24"/>
        </w:rPr>
        <w:t>(…)</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Pr="008140A2"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u w:val="single"/>
        </w:rPr>
      </w:pPr>
      <w:r w:rsidRPr="008140A2">
        <w:rPr>
          <w:rFonts w:ascii="Times New Roman" w:eastAsia="ZapfDingbatsStd" w:hAnsi="Times New Roman" w:cs="Times New Roman"/>
          <w:sz w:val="24"/>
          <w:szCs w:val="24"/>
          <w:u w:val="single"/>
        </w:rPr>
        <w:t xml:space="preserve">¿Y para qué sirvió todo este enorme esfuerzo financiero? </w:t>
      </w:r>
    </w:p>
    <w:p w:rsidR="00CE087C" w:rsidRPr="008140A2"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u w:val="single"/>
        </w:rPr>
      </w:pPr>
    </w:p>
    <w:p w:rsidR="00CE087C" w:rsidRPr="00C2394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r>
        <w:rPr>
          <w:rFonts w:ascii="Times New Roman" w:eastAsia="ZapfDingbatsStd" w:hAnsi="Times New Roman" w:cs="Times New Roman"/>
          <w:sz w:val="24"/>
          <w:szCs w:val="24"/>
        </w:rPr>
        <w:t>Para ayudar a los “causantes” de la crisis (bancos) y no a los “perjudicados” por la crisis (trabajadores) -cuando no se puede negar la evidencia (la única verdad, es la realidad)-:</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C305F4">
        <w:rPr>
          <w:rFonts w:ascii="Times New Roman" w:eastAsia="ZapfDingbatsStd" w:hAnsi="Times New Roman" w:cs="Times New Roman"/>
          <w:sz w:val="24"/>
          <w:szCs w:val="24"/>
          <w:lang w:val="en-GB"/>
        </w:rPr>
        <w:t>Euro area unemployment lowest since March 2009</w:t>
      </w: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C305F4">
        <w:rPr>
          <w:rFonts w:ascii="Times New Roman" w:eastAsia="ZapfDingbatsStd" w:hAnsi="Times New Roman" w:cs="Times New Roman"/>
          <w:sz w:val="24"/>
          <w:szCs w:val="24"/>
          <w:lang w:val="en-GB"/>
        </w:rPr>
        <w:t>Among the wide range of data and indicators Eurostat produces regularly, harmonised unemployment rates are published monthly for individual EU Member States, the euro area and the EU.</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Pr="00C305F4"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Pr>
          <w:rFonts w:ascii="Times New Roman" w:eastAsia="ZapfDingbatsStd" w:hAnsi="Times New Roman" w:cs="Times New Roman"/>
          <w:sz w:val="24"/>
          <w:szCs w:val="24"/>
          <w:lang w:val="en-GB"/>
        </w:rPr>
        <w:t xml:space="preserve">           </w:t>
      </w:r>
      <w:r>
        <w:rPr>
          <w:noProof/>
          <w:lang w:eastAsia="es-ES"/>
        </w:rPr>
        <w:drawing>
          <wp:inline distT="0" distB="0" distL="0" distR="0" wp14:anchorId="17950D27" wp14:editId="4C263D73">
            <wp:extent cx="5016500" cy="4635500"/>
            <wp:effectExtent l="0" t="0" r="0" b="0"/>
            <wp:docPr id="527" name="Imagen 527" descr="https://ec.europa.eu/info/sites/info/files/unemploy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c.europa.eu/info/sites/info/files/unemployment.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14278" cy="4633447"/>
                    </a:xfrm>
                    <a:prstGeom prst="rect">
                      <a:avLst/>
                    </a:prstGeom>
                    <a:noFill/>
                    <a:ln>
                      <a:noFill/>
                    </a:ln>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Pr="008140A2" w:rsidRDefault="00CE087C" w:rsidP="00CE087C">
      <w:pPr>
        <w:autoSpaceDE w:val="0"/>
        <w:autoSpaceDN w:val="0"/>
        <w:adjustRightInd w:val="0"/>
        <w:spacing w:after="0" w:line="240" w:lineRule="auto"/>
        <w:jc w:val="both"/>
        <w:rPr>
          <w:rFonts w:ascii="Times New Roman" w:eastAsia="ZapfDingbatsStd" w:hAnsi="Times New Roman" w:cs="Times New Roman"/>
          <w:b/>
          <w:sz w:val="24"/>
          <w:szCs w:val="24"/>
          <w:lang w:val="en-GB"/>
        </w:rPr>
      </w:pPr>
      <w:r w:rsidRPr="008140A2">
        <w:rPr>
          <w:rFonts w:ascii="Times New Roman" w:eastAsia="ZapfDingbatsStd" w:hAnsi="Times New Roman" w:cs="Times New Roman"/>
          <w:b/>
          <w:sz w:val="24"/>
          <w:szCs w:val="24"/>
          <w:lang w:val="en-GB"/>
        </w:rPr>
        <w:lastRenderedPageBreak/>
        <w:t>- Government finance statistics - Summary tables DATA 1995-2016 - Statistical Books - Eurostat - 1/2017</w:t>
      </w:r>
    </w:p>
    <w:p w:rsidR="00CE087C" w:rsidRPr="008140A2" w:rsidRDefault="00CE087C" w:rsidP="00CE087C">
      <w:pPr>
        <w:autoSpaceDE w:val="0"/>
        <w:autoSpaceDN w:val="0"/>
        <w:adjustRightInd w:val="0"/>
        <w:spacing w:after="0" w:line="240" w:lineRule="auto"/>
        <w:jc w:val="both"/>
        <w:rPr>
          <w:rFonts w:ascii="Times New Roman" w:eastAsia="ZapfDingbatsStd" w:hAnsi="Times New Roman" w:cs="Times New Roman"/>
          <w:b/>
          <w:sz w:val="24"/>
          <w:szCs w:val="24"/>
          <w:lang w:val="en-GB"/>
        </w:rPr>
      </w:pPr>
    </w:p>
    <w:p w:rsidR="00CE087C" w:rsidRPr="0090568A"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0568A">
        <w:rPr>
          <w:rFonts w:ascii="Times New Roman" w:hAnsi="Times New Roman" w:cs="Times New Roman"/>
          <w:sz w:val="24"/>
          <w:szCs w:val="24"/>
          <w:lang w:val="en-GB"/>
        </w:rPr>
        <w:t>EU-28 AND EURO AREA REVENUE AND EXPENDITURE</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0568A">
        <w:rPr>
          <w:rFonts w:ascii="Times New Roman" w:eastAsia="ZapfDingbatsStd" w:hAnsi="Times New Roman" w:cs="Times New Roman"/>
          <w:noProof/>
          <w:sz w:val="24"/>
          <w:szCs w:val="24"/>
          <w:lang w:eastAsia="es-ES"/>
        </w:rPr>
        <w:drawing>
          <wp:inline distT="0" distB="0" distL="0" distR="0" wp14:anchorId="22D977A0" wp14:editId="0BCF08E6">
            <wp:extent cx="5594328" cy="2590800"/>
            <wp:effectExtent l="0" t="0" r="6985" b="0"/>
            <wp:docPr id="528" name="Imagen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601482" cy="2594113"/>
                    </a:xfrm>
                    <a:prstGeom prst="rect">
                      <a:avLst/>
                    </a:prstGeom>
                  </pic:spPr>
                </pic:pic>
              </a:graphicData>
            </a:graphic>
          </wp:inline>
        </w:drawing>
      </w:r>
    </w:p>
    <w:p w:rsidR="00CE087C" w:rsidRPr="0090568A"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0568A">
        <w:rPr>
          <w:rFonts w:ascii="Times New Roman" w:hAnsi="Times New Roman" w:cs="Times New Roman"/>
          <w:sz w:val="24"/>
          <w:szCs w:val="24"/>
        </w:rPr>
        <w:t>GOVERNMENT DEFICIT</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0568A">
        <w:rPr>
          <w:rFonts w:ascii="Times New Roman" w:eastAsia="ZapfDingbatsStd" w:hAnsi="Times New Roman" w:cs="Times New Roman"/>
          <w:noProof/>
          <w:sz w:val="24"/>
          <w:szCs w:val="24"/>
          <w:lang w:eastAsia="es-ES"/>
        </w:rPr>
        <w:drawing>
          <wp:inline distT="0" distB="0" distL="0" distR="0" wp14:anchorId="33591E00" wp14:editId="7CE0C275">
            <wp:extent cx="5732045" cy="2419350"/>
            <wp:effectExtent l="0" t="0" r="2540" b="0"/>
            <wp:docPr id="530" name="Imagen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241912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0568A">
        <w:rPr>
          <w:rFonts w:ascii="Times New Roman" w:eastAsia="ZapfDingbatsStd" w:hAnsi="Times New Roman" w:cs="Times New Roman"/>
          <w:sz w:val="24"/>
          <w:szCs w:val="24"/>
          <w:lang w:val="en-GB"/>
        </w:rPr>
        <w:t>GOVERNMENT FINANCING</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0568A">
        <w:rPr>
          <w:rFonts w:ascii="Times New Roman" w:eastAsia="ZapfDingbatsStd" w:hAnsi="Times New Roman" w:cs="Times New Roman"/>
          <w:noProof/>
          <w:sz w:val="24"/>
          <w:szCs w:val="24"/>
          <w:lang w:eastAsia="es-ES"/>
        </w:rPr>
        <w:drawing>
          <wp:inline distT="0" distB="0" distL="0" distR="0" wp14:anchorId="0217C9C5" wp14:editId="65A44A07">
            <wp:extent cx="5726602" cy="2717800"/>
            <wp:effectExtent l="0" t="0" r="7620" b="635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2720129"/>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90568A">
        <w:rPr>
          <w:rFonts w:ascii="Times New Roman" w:eastAsia="ZapfDingbatsStd" w:hAnsi="Times New Roman" w:cs="Times New Roman"/>
          <w:sz w:val="24"/>
          <w:szCs w:val="24"/>
          <w:lang w:val="en-GB"/>
        </w:rPr>
        <w:lastRenderedPageBreak/>
        <w:t>GOVERNMENT BALANCE SHEET</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E44B82">
        <w:rPr>
          <w:rFonts w:ascii="Times New Roman" w:eastAsia="ZapfDingbatsStd" w:hAnsi="Times New Roman" w:cs="Times New Roman"/>
          <w:noProof/>
          <w:sz w:val="24"/>
          <w:szCs w:val="24"/>
          <w:lang w:eastAsia="es-ES"/>
        </w:rPr>
        <w:drawing>
          <wp:inline distT="0" distB="0" distL="0" distR="0" wp14:anchorId="5D10A28E" wp14:editId="6238FA26">
            <wp:extent cx="5732520" cy="2692400"/>
            <wp:effectExtent l="0" t="0" r="1905" b="0"/>
            <wp:docPr id="532" name="Imagen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2691925"/>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E44B82">
        <w:rPr>
          <w:rFonts w:ascii="Times New Roman" w:eastAsia="ZapfDingbatsStd" w:hAnsi="Times New Roman" w:cs="Times New Roman"/>
          <w:noProof/>
          <w:sz w:val="24"/>
          <w:szCs w:val="24"/>
          <w:lang w:eastAsia="es-ES"/>
        </w:rPr>
        <w:drawing>
          <wp:inline distT="0" distB="0" distL="0" distR="0" wp14:anchorId="6AD76650" wp14:editId="647CF948">
            <wp:extent cx="5727605" cy="2755900"/>
            <wp:effectExtent l="0" t="0" r="6985" b="6350"/>
            <wp:docPr id="533" name="Imagen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2757779"/>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E44B82">
        <w:rPr>
          <w:rFonts w:ascii="Times New Roman" w:eastAsia="ZapfDingbatsStd" w:hAnsi="Times New Roman" w:cs="Times New Roman"/>
          <w:sz w:val="24"/>
          <w:szCs w:val="24"/>
          <w:lang w:val="en-GB"/>
        </w:rPr>
        <w:t>GOVERNMENT DEBT AND LINK WITH THE DEFICIT</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E44B82">
        <w:rPr>
          <w:rFonts w:ascii="Times New Roman" w:eastAsia="ZapfDingbatsStd" w:hAnsi="Times New Roman" w:cs="Times New Roman"/>
          <w:noProof/>
          <w:sz w:val="24"/>
          <w:szCs w:val="24"/>
          <w:lang w:eastAsia="es-ES"/>
        </w:rPr>
        <w:drawing>
          <wp:inline distT="0" distB="0" distL="0" distR="0" wp14:anchorId="4D32CD28" wp14:editId="30F544DC">
            <wp:extent cx="5727700" cy="2933700"/>
            <wp:effectExtent l="0" t="0" r="6350" b="0"/>
            <wp:docPr id="534" name="Imagen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27700" cy="2933700"/>
                    </a:xfrm>
                    <a:prstGeom prst="rect">
                      <a:avLst/>
                    </a:prstGeom>
                  </pic:spPr>
                </pic:pic>
              </a:graphicData>
            </a:graphic>
          </wp:inline>
        </w:drawing>
      </w:r>
    </w:p>
    <w:p w:rsidR="00CE087C" w:rsidRPr="008140A2" w:rsidRDefault="00CE087C" w:rsidP="00CE087C">
      <w:pPr>
        <w:autoSpaceDE w:val="0"/>
        <w:autoSpaceDN w:val="0"/>
        <w:adjustRightInd w:val="0"/>
        <w:spacing w:after="0" w:line="240" w:lineRule="auto"/>
        <w:jc w:val="both"/>
        <w:rPr>
          <w:rFonts w:ascii="Times New Roman" w:eastAsia="ZapfDingbatsStd" w:hAnsi="Times New Roman" w:cs="Times New Roman"/>
          <w:b/>
          <w:sz w:val="24"/>
          <w:szCs w:val="24"/>
          <w:lang w:val="en-GB"/>
        </w:rPr>
      </w:pPr>
      <w:r w:rsidRPr="008140A2">
        <w:rPr>
          <w:rFonts w:ascii="Times New Roman" w:eastAsia="ZapfDingbatsStd" w:hAnsi="Times New Roman" w:cs="Times New Roman"/>
          <w:b/>
          <w:sz w:val="24"/>
          <w:szCs w:val="24"/>
          <w:lang w:val="en-GB"/>
        </w:rPr>
        <w:lastRenderedPageBreak/>
        <w:t>- Eurostatistics - Data for short-term economic analysis - Eurostat 08/2017</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181708">
        <w:rPr>
          <w:rFonts w:ascii="Times New Roman" w:eastAsia="ZapfDingbatsStd" w:hAnsi="Times New Roman" w:cs="Times New Roman"/>
          <w:sz w:val="24"/>
          <w:szCs w:val="24"/>
          <w:lang w:val="en-GB"/>
        </w:rPr>
        <w:t>Cyclical indicators for the euro area</w:t>
      </w: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eastAsia="ZapfDingbatsStd" w:hAnsi="Times New Roman" w:cs="Times New Roman"/>
          <w:sz w:val="24"/>
          <w:szCs w:val="24"/>
          <w:lang w:val="en-GB"/>
        </w:rPr>
      </w:pPr>
      <w:r w:rsidRPr="00181708">
        <w:rPr>
          <w:rFonts w:ascii="Times New Roman" w:eastAsia="ZapfDingbatsStd" w:hAnsi="Times New Roman" w:cs="Times New Roman"/>
          <w:noProof/>
          <w:sz w:val="24"/>
          <w:szCs w:val="24"/>
          <w:lang w:eastAsia="es-ES"/>
        </w:rPr>
        <w:drawing>
          <wp:inline distT="0" distB="0" distL="0" distR="0" wp14:anchorId="75B6D0BA" wp14:editId="01725D0B">
            <wp:extent cx="5731510" cy="5177342"/>
            <wp:effectExtent l="0" t="0" r="2540" b="4445"/>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517734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Fuente</w:t>
      </w:r>
      <w:r w:rsidRPr="007B23B2">
        <w:rPr>
          <w:rFonts w:ascii="Times New Roman" w:hAnsi="Times New Roman" w:cs="Times New Roman"/>
          <w:sz w:val="24"/>
          <w:szCs w:val="24"/>
          <w:lang w:val="en-GB"/>
        </w:rPr>
        <w:t xml:space="preserve">: Business Climate Indicator (BCI) - Composite Leading Indicators (CLIs) - IFO Index for the economic climate in the euro area - DZ BANK’s Euroland Indicator </w:t>
      </w: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lang w:val="en-GB"/>
        </w:rPr>
      </w:pPr>
    </w:p>
    <w:p w:rsidR="00CE087C" w:rsidRDefault="00CE087C" w:rsidP="00CE087C">
      <w:pPr>
        <w:pStyle w:val="Default"/>
        <w:rPr>
          <w:rFonts w:ascii="Times New Roman" w:hAnsi="Times New Roman" w:cs="Times New Roman"/>
          <w:color w:val="auto"/>
          <w:lang w:val="en-GB"/>
        </w:rPr>
      </w:pPr>
    </w:p>
    <w:p w:rsidR="00CE087C" w:rsidRPr="008140A2" w:rsidRDefault="00CE087C" w:rsidP="00CE087C">
      <w:pPr>
        <w:pStyle w:val="Default"/>
        <w:rPr>
          <w:rFonts w:ascii="Times New Roman" w:hAnsi="Times New Roman" w:cs="Times New Roman"/>
          <w:b/>
          <w:lang w:val="en-GB"/>
        </w:rPr>
      </w:pPr>
      <w:r w:rsidRPr="008140A2">
        <w:rPr>
          <w:rFonts w:ascii="Times New Roman" w:hAnsi="Times New Roman" w:cs="Times New Roman"/>
          <w:b/>
          <w:lang w:val="en-GB"/>
        </w:rPr>
        <w:lastRenderedPageBreak/>
        <w:t>- “Middle Class Fortunes in Western Europe” - Pew Research Center - April, 2017</w:t>
      </w:r>
    </w:p>
    <w:p w:rsidR="00CE087C" w:rsidRDefault="00CE087C" w:rsidP="00CE087C">
      <w:pPr>
        <w:pStyle w:val="Default"/>
        <w:rPr>
          <w:rFonts w:ascii="Times New Roman" w:hAnsi="Times New Roman" w:cs="Times New Roman"/>
          <w:lang w:val="en-GB"/>
        </w:rPr>
      </w:pPr>
    </w:p>
    <w:p w:rsidR="00CE087C" w:rsidRDefault="00CE087C" w:rsidP="00CE087C">
      <w:pPr>
        <w:autoSpaceDE w:val="0"/>
        <w:autoSpaceDN w:val="0"/>
        <w:adjustRightInd w:val="0"/>
        <w:spacing w:after="0" w:line="240" w:lineRule="auto"/>
        <w:jc w:val="both"/>
        <w:rPr>
          <w:rFonts w:ascii="Times New Roman" w:hAnsi="Times New Roman" w:cs="Times New Roman"/>
          <w:b/>
          <w:color w:val="000000"/>
          <w:sz w:val="24"/>
          <w:szCs w:val="24"/>
          <w:lang w:val="en-GB"/>
        </w:rPr>
      </w:pPr>
      <w:r w:rsidRPr="00492361">
        <w:rPr>
          <w:rFonts w:ascii="Times New Roman" w:hAnsi="Times New Roman" w:cs="Times New Roman"/>
          <w:b/>
          <w:color w:val="000000"/>
          <w:sz w:val="24"/>
          <w:szCs w:val="24"/>
          <w:lang w:val="en-GB"/>
        </w:rPr>
        <w:t>Middle Class Fortunes in Western Europe</w:t>
      </w:r>
    </w:p>
    <w:p w:rsidR="00CE087C" w:rsidRPr="00492361" w:rsidRDefault="00CE087C" w:rsidP="00CE087C">
      <w:pPr>
        <w:autoSpaceDE w:val="0"/>
        <w:autoSpaceDN w:val="0"/>
        <w:adjustRightInd w:val="0"/>
        <w:spacing w:after="0" w:line="240" w:lineRule="auto"/>
        <w:jc w:val="both"/>
        <w:rPr>
          <w:rFonts w:ascii="Times New Roman" w:hAnsi="Times New Roman" w:cs="Times New Roman"/>
          <w:b/>
          <w:color w:val="000000"/>
          <w:sz w:val="24"/>
          <w:szCs w:val="24"/>
          <w:lang w:val="en-GB"/>
        </w:rPr>
      </w:pPr>
      <w:r w:rsidRPr="00492361">
        <w:rPr>
          <w:rFonts w:ascii="Times New Roman" w:hAnsi="Times New Roman" w:cs="Times New Roman"/>
          <w:b/>
          <w:color w:val="000000"/>
          <w:sz w:val="24"/>
          <w:szCs w:val="24"/>
          <w:lang w:val="en-GB"/>
        </w:rPr>
        <w:t xml:space="preserve"> </w:t>
      </w:r>
    </w:p>
    <w:p w:rsidR="00CE087C" w:rsidRPr="0049236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The fortunes of the middle classes in Western Europe’s largest economies are moving in opposite directions. From 1991 to 2010, the shares of adults living in middle-income households increased in France, the Netherlands and the United Kingdom, but shrank in Germany, Italy and Spain.</w:t>
      </w:r>
    </w:p>
    <w:p w:rsidR="00CE087C" w:rsidRPr="0049236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49236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 xml:space="preserve">The divergent trajectories are linked to differences in how the incomes of households overall in these countries have evolved. France, the Netherlands and the UK experienced notable growth in disposable (after-tax) household income from 1991 to 2010. Meanwhile, incomes were either stagnant or falling in Germany, Italy and Spain. </w:t>
      </w:r>
    </w:p>
    <w:p w:rsidR="00CE087C" w:rsidRPr="0049236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pStyle w:val="Default"/>
        <w:jc w:val="both"/>
        <w:rPr>
          <w:rFonts w:ascii="Times New Roman" w:hAnsi="Times New Roman" w:cs="Times New Roman"/>
          <w:lang w:val="en-GB"/>
        </w:rPr>
      </w:pPr>
      <w:r w:rsidRPr="00492361">
        <w:rPr>
          <w:rFonts w:ascii="Times New Roman" w:hAnsi="Times New Roman" w:cs="Times New Roman"/>
          <w:lang w:val="en-GB"/>
        </w:rPr>
        <w:t xml:space="preserve">Among the 11 Western European countries examined in this report, Ireland experienced the most rapid growth in income from 1991 to 2010 </w:t>
      </w:r>
      <w:r w:rsidRPr="00492361">
        <w:rPr>
          <w:rFonts w:ascii="Times New Roman" w:hAnsi="Times New Roman" w:cs="Times New Roman"/>
          <w:i/>
          <w:iCs/>
          <w:lang w:val="en-GB"/>
        </w:rPr>
        <w:t xml:space="preserve">and </w:t>
      </w:r>
      <w:r w:rsidRPr="00492361">
        <w:rPr>
          <w:rFonts w:ascii="Times New Roman" w:hAnsi="Times New Roman" w:cs="Times New Roman"/>
          <w:lang w:val="en-GB"/>
        </w:rPr>
        <w:t xml:space="preserve">the biggest expansion of the middle class. Several other countries in Western Europe also experienced large gains in household income. However, rising incomes did not translate into expanding middle classes in these countries. This group of countries includes Denmark, Luxembourg and Norway. </w:t>
      </w:r>
    </w:p>
    <w:p w:rsidR="00CE087C" w:rsidRPr="00492361" w:rsidRDefault="00CE087C" w:rsidP="00CE087C">
      <w:pPr>
        <w:pStyle w:val="Default"/>
        <w:jc w:val="both"/>
        <w:rPr>
          <w:rFonts w:ascii="Times New Roman" w:hAnsi="Times New Roman" w:cs="Times New Roman"/>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 xml:space="preserve">Overall, the middle-class share of the adult population fell in seven of the 11 Western European countries examined, mirroring the long-term shrinking of the middle class in the United States. In part, the shift out of the middle class is a sign of economic progress, irrespective of changes in household incomes overall. This is because the outward shift is accompanied by a move up the income ladder, into the upper-income tier, in all countries with a shrinking middle class. </w:t>
      </w:r>
    </w:p>
    <w:p w:rsidR="00CE087C" w:rsidRPr="0049236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pStyle w:val="Default"/>
        <w:jc w:val="both"/>
        <w:rPr>
          <w:rFonts w:ascii="Times New Roman" w:hAnsi="Times New Roman" w:cs="Times New Roman"/>
          <w:lang w:val="en-GB"/>
        </w:rPr>
      </w:pPr>
      <w:r w:rsidRPr="00492361">
        <w:rPr>
          <w:rFonts w:ascii="Times New Roman" w:hAnsi="Times New Roman" w:cs="Times New Roman"/>
          <w:lang w:val="en-GB"/>
        </w:rPr>
        <w:t xml:space="preserve">At the same time, there is movement down the income ladder in most countries with a shrinking middle class. Overall, there is a greater movement up the income ladder than downward in most countries from 1991 to 2010, resulting in a general improvement in economic status. But there is also a sharpening of economic divisions across households in many Western European countries and in the U.S. as relatively more adults are in the lower- and upper-income tiers and relatively fewer are in the middle. </w:t>
      </w:r>
    </w:p>
    <w:p w:rsidR="00CE087C" w:rsidRPr="00492361" w:rsidRDefault="00CE087C" w:rsidP="00CE087C">
      <w:pPr>
        <w:pStyle w:val="Default"/>
        <w:jc w:val="both"/>
        <w:rPr>
          <w:rFonts w:ascii="Times New Roman" w:hAnsi="Times New Roman" w:cs="Times New Roman"/>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 xml:space="preserve">These are among the key findings from a new comparative, cross-national analysis by Pew Research Center, using data from the Cross-National Data Center in Luxembourg (LIS), a research center that harmonizes and provides access to data from government surveys and other sources. The study covers the period 1991-2010 for the following countries: Denmark, Finland, France, Germany, Ireland, Italy, Luxembourg, the Netherlands, Norway, Spain, the UK and the U.S. Estimates for 2013 for eight of these countries are presented in Appendix A. </w:t>
      </w:r>
    </w:p>
    <w:p w:rsidR="00CE087C" w:rsidRPr="0049236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pStyle w:val="Default"/>
        <w:jc w:val="both"/>
        <w:rPr>
          <w:rFonts w:ascii="Times New Roman" w:hAnsi="Times New Roman" w:cs="Times New Roman"/>
          <w:color w:val="auto"/>
          <w:lang w:val="en-GB"/>
        </w:rPr>
      </w:pPr>
      <w:r w:rsidRPr="00492361">
        <w:rPr>
          <w:rFonts w:ascii="Times New Roman" w:hAnsi="Times New Roman" w:cs="Times New Roman"/>
          <w:lang w:val="en-GB"/>
        </w:rPr>
        <w:t xml:space="preserve">In this report, “middle-class” adults live in households with disposable incomes ranging from two-thirds to double the national median disposable household income. Disposable income includes earnings from work, interest and dividend income, rental income, and </w:t>
      </w:r>
      <w:hyperlink r:id="rId146" w:history="1">
        <w:r w:rsidRPr="00210742">
          <w:rPr>
            <w:rStyle w:val="Hipervnculo"/>
            <w:rFonts w:ascii="Times New Roman" w:hAnsi="Times New Roman" w:cs="Times New Roman"/>
            <w:color w:val="auto"/>
            <w:lang w:val="en-GB"/>
          </w:rPr>
          <w:t>www.pewresearch.org</w:t>
        </w:r>
      </w:hyperlink>
      <w:r w:rsidRPr="00210742">
        <w:rPr>
          <w:rFonts w:ascii="Times New Roman" w:hAnsi="Times New Roman" w:cs="Times New Roman"/>
          <w:color w:val="auto"/>
          <w:lang w:val="en-GB"/>
        </w:rPr>
        <w:t xml:space="preserve"> transfer income such as government assistance and family transfers,</w:t>
      </w:r>
      <w:r w:rsidRPr="00834058">
        <w:rPr>
          <w:rFonts w:ascii="Times New Roman" w:hAnsi="Times New Roman" w:cs="Times New Roman"/>
          <w:color w:val="auto"/>
          <w:lang w:val="en-GB"/>
        </w:rPr>
        <w:t xml:space="preserve"> </w:t>
      </w:r>
      <w:r w:rsidRPr="00492361">
        <w:rPr>
          <w:rFonts w:ascii="Times New Roman" w:hAnsi="Times New Roman" w:cs="Times New Roman"/>
          <w:color w:val="auto"/>
          <w:lang w:val="en-GB"/>
        </w:rPr>
        <w:t>but subtracts income taxes and social security contributions. It is the only measure of income comparable across all</w:t>
      </w:r>
      <w:r>
        <w:rPr>
          <w:rFonts w:ascii="Times New Roman" w:hAnsi="Times New Roman" w:cs="Times New Roman"/>
          <w:color w:val="auto"/>
          <w:lang w:val="en-GB"/>
        </w:rPr>
        <w:t xml:space="preserve"> countries in the source data.</w:t>
      </w:r>
    </w:p>
    <w:p w:rsidR="00CE087C" w:rsidRPr="00492361" w:rsidRDefault="00CE087C" w:rsidP="00CE087C">
      <w:pPr>
        <w:pStyle w:val="Default"/>
        <w:jc w:val="both"/>
        <w:rPr>
          <w:rFonts w:ascii="Times New Roman" w:hAnsi="Times New Roman" w:cs="Times New Roman"/>
          <w:lang w:val="en-GB"/>
        </w:rPr>
      </w:pPr>
    </w:p>
    <w:p w:rsidR="00CE087C" w:rsidRDefault="00CE087C" w:rsidP="00CE087C">
      <w:pPr>
        <w:pStyle w:val="Default"/>
        <w:jc w:val="both"/>
        <w:rPr>
          <w:rFonts w:ascii="Times New Roman" w:hAnsi="Times New Roman" w:cs="Times New Roman"/>
          <w:color w:val="auto"/>
          <w:lang w:val="en-GB"/>
        </w:rPr>
      </w:pPr>
      <w:r w:rsidRPr="00492361">
        <w:rPr>
          <w:rFonts w:ascii="Times New Roman" w:hAnsi="Times New Roman" w:cs="Times New Roman"/>
          <w:color w:val="auto"/>
          <w:lang w:val="en-GB"/>
        </w:rPr>
        <w:t xml:space="preserve">Estimates of income in this report are adjusted for household size and expressed in 2011 prices and purchasing power parities. This allows for comparisons across households of </w:t>
      </w:r>
      <w:r w:rsidRPr="00492361">
        <w:rPr>
          <w:rFonts w:ascii="Times New Roman" w:hAnsi="Times New Roman" w:cs="Times New Roman"/>
          <w:color w:val="auto"/>
          <w:lang w:val="en-GB"/>
        </w:rPr>
        <w:lastRenderedPageBreak/>
        <w:t xml:space="preserve">different sizes while adjusting for cost-of-living differences over time and across countries. Also, incomes are scaled to reflect a household size of three for reporting purposes. The average size </w:t>
      </w:r>
      <w:r>
        <w:rPr>
          <w:rFonts w:ascii="Times New Roman" w:hAnsi="Times New Roman" w:cs="Times New Roman"/>
          <w:color w:val="auto"/>
          <w:lang w:val="en-GB"/>
        </w:rPr>
        <w:t>of a household in the U.S. is 2,</w:t>
      </w:r>
      <w:r w:rsidRPr="00492361">
        <w:rPr>
          <w:rFonts w:ascii="Times New Roman" w:hAnsi="Times New Roman" w:cs="Times New Roman"/>
          <w:color w:val="auto"/>
          <w:lang w:val="en-GB"/>
        </w:rPr>
        <w:t>5 and is between two and three in the coun</w:t>
      </w:r>
      <w:r>
        <w:rPr>
          <w:rFonts w:ascii="Times New Roman" w:hAnsi="Times New Roman" w:cs="Times New Roman"/>
          <w:color w:val="auto"/>
          <w:lang w:val="en-GB"/>
        </w:rPr>
        <w:t xml:space="preserve">tries in Western Europe. </w:t>
      </w:r>
    </w:p>
    <w:p w:rsidR="00CE087C" w:rsidRPr="00492361" w:rsidRDefault="00CE087C" w:rsidP="00CE087C">
      <w:pPr>
        <w:pStyle w:val="Default"/>
        <w:jc w:val="both"/>
        <w:rPr>
          <w:rFonts w:ascii="Times New Roman" w:hAnsi="Times New Roman" w:cs="Times New Roman"/>
          <w:color w:val="auto"/>
          <w:lang w:val="en-GB"/>
        </w:rPr>
      </w:pPr>
      <w:r w:rsidRPr="00492361">
        <w:rPr>
          <w:rFonts w:ascii="Times New Roman" w:hAnsi="Times New Roman" w:cs="Times New Roman"/>
          <w:color w:val="auto"/>
          <w:lang w:val="en-GB"/>
        </w:rPr>
        <w:t xml:space="preserve"> </w:t>
      </w:r>
    </w:p>
    <w:p w:rsidR="00CE087C" w:rsidRDefault="00CE087C" w:rsidP="00CE087C">
      <w:pPr>
        <w:pStyle w:val="Default"/>
        <w:jc w:val="both"/>
        <w:rPr>
          <w:rFonts w:ascii="Times New Roman" w:hAnsi="Times New Roman" w:cs="Times New Roman"/>
          <w:color w:val="auto"/>
          <w:lang w:val="en-GB"/>
        </w:rPr>
      </w:pPr>
      <w:r w:rsidRPr="00492361">
        <w:rPr>
          <w:rFonts w:ascii="Times New Roman" w:hAnsi="Times New Roman" w:cs="Times New Roman"/>
          <w:color w:val="auto"/>
          <w:lang w:val="en-GB"/>
        </w:rPr>
        <w:t xml:space="preserve">By world standards, the countries featured in this report are all high income. The demarcation of their lower-, middle- and upper-income tiers is based on the relative well-being of households </w:t>
      </w:r>
      <w:r w:rsidRPr="00492361">
        <w:rPr>
          <w:rFonts w:ascii="Times New Roman" w:hAnsi="Times New Roman" w:cs="Times New Roman"/>
          <w:i/>
          <w:iCs/>
          <w:color w:val="auto"/>
          <w:lang w:val="en-GB"/>
        </w:rPr>
        <w:t xml:space="preserve">within </w:t>
      </w:r>
      <w:r w:rsidRPr="00492361">
        <w:rPr>
          <w:rFonts w:ascii="Times New Roman" w:hAnsi="Times New Roman" w:cs="Times New Roman"/>
          <w:color w:val="auto"/>
          <w:lang w:val="en-GB"/>
        </w:rPr>
        <w:t xml:space="preserve">these countries. Middle-income households in Western Europe and in the U.S. are in the highest income tiers globally, and most lower-income households in these countries would be in the global middle class. </w:t>
      </w:r>
    </w:p>
    <w:p w:rsidR="00CE087C" w:rsidRPr="00492361" w:rsidRDefault="00CE087C" w:rsidP="00CE087C">
      <w:pPr>
        <w:pStyle w:val="Default"/>
        <w:jc w:val="both"/>
        <w:rPr>
          <w:rFonts w:ascii="Times New Roman" w:hAnsi="Times New Roman" w:cs="Times New Roman"/>
          <w:color w:val="auto"/>
          <w:lang w:val="en-GB"/>
        </w:rPr>
      </w:pPr>
    </w:p>
    <w:p w:rsidR="00CE087C" w:rsidRDefault="00CE087C" w:rsidP="00CE087C">
      <w:pPr>
        <w:pStyle w:val="Default"/>
        <w:jc w:val="both"/>
        <w:rPr>
          <w:rFonts w:ascii="Times New Roman" w:hAnsi="Times New Roman" w:cs="Times New Roman"/>
          <w:lang w:val="en-GB"/>
        </w:rPr>
      </w:pPr>
      <w:r w:rsidRPr="00492361">
        <w:rPr>
          <w:rFonts w:ascii="Times New Roman" w:hAnsi="Times New Roman" w:cs="Times New Roman"/>
          <w:color w:val="auto"/>
          <w:lang w:val="en-GB"/>
        </w:rPr>
        <w:t xml:space="preserve">Some of the report’s findings may reflect the impact of the Great Recession of 2007-2009 that was felt across the U.S. and Western Europe, perhaps most deeply in Ireland, Italy and Spain. More specifically, it is likely that income levels in 2010 were below what they might have been absent the recession in most countries. </w:t>
      </w:r>
      <w:r w:rsidRPr="00492361">
        <w:rPr>
          <w:rFonts w:ascii="Times New Roman" w:hAnsi="Times New Roman" w:cs="Times New Roman"/>
          <w:lang w:val="en-GB"/>
        </w:rPr>
        <w:t xml:space="preserve">  </w:t>
      </w:r>
    </w:p>
    <w:p w:rsidR="00CE087C" w:rsidRDefault="00CE087C" w:rsidP="00CE087C">
      <w:pPr>
        <w:pStyle w:val="Default"/>
        <w:jc w:val="both"/>
        <w:rPr>
          <w:rFonts w:ascii="Times New Roman" w:hAnsi="Times New Roman" w:cs="Times New Roman"/>
          <w:lang w:val="en-GB"/>
        </w:rPr>
      </w:pPr>
    </w:p>
    <w:p w:rsidR="00CE087C" w:rsidRDefault="00CE087C" w:rsidP="00CE087C">
      <w:pPr>
        <w:pStyle w:val="Default"/>
        <w:jc w:val="both"/>
        <w:rPr>
          <w:rFonts w:ascii="Times New Roman" w:hAnsi="Times New Roman" w:cs="Times New Roman"/>
          <w:lang w:val="en-GB"/>
        </w:rPr>
      </w:pPr>
      <w:r w:rsidRPr="00492361">
        <w:rPr>
          <w:rFonts w:ascii="Times New Roman" w:hAnsi="Times New Roman" w:cs="Times New Roman"/>
          <w:lang w:val="en-GB"/>
        </w:rPr>
        <w:t>Estimates of the shares of people who were middle class in 2010 could also be affected by the Great Recession. But the impact is muted by the fact that the income needed to be included in the middle class changes over time, rising as national income increases and fa</w:t>
      </w:r>
      <w:r>
        <w:rPr>
          <w:rFonts w:ascii="Times New Roman" w:hAnsi="Times New Roman" w:cs="Times New Roman"/>
          <w:lang w:val="en-GB"/>
        </w:rPr>
        <w:t>lling as it decreases</w:t>
      </w:r>
      <w:r w:rsidRPr="00492361">
        <w:rPr>
          <w:rFonts w:ascii="Times New Roman" w:hAnsi="Times New Roman" w:cs="Times New Roman"/>
          <w:lang w:val="en-GB"/>
        </w:rPr>
        <w:t xml:space="preserve">. As the income boundaries adjust to changes in the overall economic environment, the movement of people in or out of the middle is dampened.  </w:t>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492361">
        <w:rPr>
          <w:rFonts w:ascii="Times New Roman" w:hAnsi="Times New Roman" w:cs="Times New Roman"/>
          <w:noProof/>
          <w:lang w:eastAsia="es-ES"/>
        </w:rPr>
        <w:drawing>
          <wp:inline distT="0" distB="0" distL="0" distR="0" wp14:anchorId="1E50F7EF" wp14:editId="23446152">
            <wp:extent cx="4673600" cy="4724400"/>
            <wp:effectExtent l="0" t="0" r="0" b="0"/>
            <wp:docPr id="536" name="Imagen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677428" cy="4728270"/>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sidRPr="00492361">
        <w:rPr>
          <w:rFonts w:ascii="Times New Roman" w:hAnsi="Times New Roman" w:cs="Times New Roman"/>
          <w:noProof/>
          <w:lang w:eastAsia="es-ES"/>
        </w:rPr>
        <w:lastRenderedPageBreak/>
        <w:drawing>
          <wp:inline distT="0" distB="0" distL="0" distR="0" wp14:anchorId="3578E3B1" wp14:editId="79C3DC28">
            <wp:extent cx="5728960" cy="4000500"/>
            <wp:effectExtent l="0" t="0" r="5715" b="0"/>
            <wp:docPr id="537" name="Imagen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4002281"/>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1AB7C2E4" wp14:editId="16BC6CC3">
            <wp:extent cx="4705350" cy="4737100"/>
            <wp:effectExtent l="0" t="0" r="0" b="6350"/>
            <wp:docPr id="538" name="Imagen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4706007" cy="4737762"/>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01EA8">
        <w:rPr>
          <w:rFonts w:ascii="Times New Roman" w:hAnsi="Times New Roman" w:cs="Times New Roman"/>
          <w:noProof/>
          <w:lang w:eastAsia="es-ES"/>
        </w:rPr>
        <w:drawing>
          <wp:inline distT="0" distB="0" distL="0" distR="0" wp14:anchorId="3E306444" wp14:editId="61836C7A">
            <wp:extent cx="2800350" cy="4476750"/>
            <wp:effectExtent l="0" t="0" r="0" b="0"/>
            <wp:docPr id="539" name="Imagen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2800741" cy="4477375"/>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42A456AD" wp14:editId="359DF208">
            <wp:extent cx="3524250" cy="4121150"/>
            <wp:effectExtent l="0" t="0" r="0" b="0"/>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3524742" cy="4121725"/>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01EA8">
        <w:rPr>
          <w:rFonts w:ascii="Times New Roman" w:hAnsi="Times New Roman" w:cs="Times New Roman"/>
          <w:noProof/>
          <w:lang w:eastAsia="es-ES"/>
        </w:rPr>
        <w:drawing>
          <wp:inline distT="0" distB="0" distL="0" distR="0" wp14:anchorId="3DC2D08D" wp14:editId="75C77781">
            <wp:extent cx="3524250" cy="4826000"/>
            <wp:effectExtent l="0" t="0" r="0" b="0"/>
            <wp:docPr id="541" name="Imagen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3524742" cy="4826674"/>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4451970C" wp14:editId="091C8DDE">
            <wp:extent cx="5397500" cy="3803650"/>
            <wp:effectExtent l="0" t="0" r="0" b="6350"/>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401429" cy="3806419"/>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01EA8">
        <w:rPr>
          <w:rFonts w:ascii="Times New Roman" w:hAnsi="Times New Roman" w:cs="Times New Roman"/>
          <w:noProof/>
          <w:lang w:eastAsia="es-ES"/>
        </w:rPr>
        <w:drawing>
          <wp:inline distT="0" distB="0" distL="0" distR="0" wp14:anchorId="0BE4F6E0" wp14:editId="69DFA2A0">
            <wp:extent cx="2597150" cy="4724400"/>
            <wp:effectExtent l="0" t="0" r="0" b="0"/>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2600688" cy="4730836"/>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09791E5F" wp14:editId="068EC941">
            <wp:extent cx="2692400" cy="3937000"/>
            <wp:effectExtent l="0" t="0" r="0" b="6350"/>
            <wp:docPr id="544" name="Imagen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2695951" cy="3942193"/>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p>
    <w:p w:rsidR="00CE087C" w:rsidRDefault="00CE087C" w:rsidP="00CE087C">
      <w:pPr>
        <w:pStyle w:val="Default"/>
        <w:jc w:val="both"/>
        <w:rPr>
          <w:rFonts w:ascii="Times New Roman" w:hAnsi="Times New Roman" w:cs="Times New Roman"/>
          <w:lang w:val="en-GB"/>
        </w:rPr>
      </w:pPr>
      <w:r w:rsidRPr="008B4430">
        <w:rPr>
          <w:rFonts w:ascii="Times New Roman" w:hAnsi="Times New Roman" w:cs="Times New Roman"/>
          <w:noProof/>
          <w:lang w:eastAsia="es-ES"/>
        </w:rPr>
        <w:lastRenderedPageBreak/>
        <w:drawing>
          <wp:inline distT="0" distB="0" distL="0" distR="0" wp14:anchorId="18FECF13" wp14:editId="025AC886">
            <wp:extent cx="5727665" cy="3848100"/>
            <wp:effectExtent l="0" t="0" r="6985" b="0"/>
            <wp:docPr id="545" name="Imagen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3850683"/>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6A4CE3B2" wp14:editId="22C8103D">
            <wp:extent cx="3568700" cy="4813300"/>
            <wp:effectExtent l="0" t="0" r="0" b="6350"/>
            <wp:docPr id="546" name="Imagen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3572374" cy="4818255"/>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77FB49E2" wp14:editId="7E4E5E21">
            <wp:extent cx="5324475" cy="3981450"/>
            <wp:effectExtent l="0" t="0" r="0" b="0"/>
            <wp:docPr id="547" name="Imagen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325218" cy="3982006"/>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44EE507A" wp14:editId="059231CA">
            <wp:extent cx="5333999" cy="4622800"/>
            <wp:effectExtent l="0" t="0" r="635" b="6350"/>
            <wp:docPr id="548" name="Imagen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334744" cy="4623445"/>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p>
    <w:p w:rsidR="00CE087C" w:rsidRDefault="00CE087C" w:rsidP="00CE087C">
      <w:pPr>
        <w:pStyle w:val="Default"/>
        <w:jc w:val="both"/>
        <w:rPr>
          <w:rFonts w:ascii="Times New Roman" w:hAnsi="Times New Roman" w:cs="Times New Roman"/>
          <w:lang w:val="en-GB"/>
        </w:rPr>
      </w:pPr>
      <w:r w:rsidRPr="008B4430">
        <w:rPr>
          <w:rFonts w:ascii="Times New Roman" w:hAnsi="Times New Roman" w:cs="Times New Roman"/>
          <w:noProof/>
          <w:lang w:eastAsia="es-ES"/>
        </w:rPr>
        <w:lastRenderedPageBreak/>
        <w:drawing>
          <wp:inline distT="0" distB="0" distL="0" distR="0" wp14:anchorId="5C85AD63" wp14:editId="0F598C54">
            <wp:extent cx="5346700" cy="4419600"/>
            <wp:effectExtent l="0" t="0" r="6350" b="0"/>
            <wp:docPr id="549" name="Imagen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344271" cy="4417592"/>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53C07D7A" wp14:editId="1A9A9128">
            <wp:extent cx="3657600" cy="4305300"/>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3658111" cy="4305902"/>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68812C51" wp14:editId="3E8E0B9F">
            <wp:extent cx="2819400" cy="4095750"/>
            <wp:effectExtent l="0" t="0" r="0" b="0"/>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2819794" cy="4096323"/>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1B73CE7B" wp14:editId="44C4FB9B">
            <wp:extent cx="3543300" cy="4356100"/>
            <wp:effectExtent l="0" t="0" r="0" b="6350"/>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3543795" cy="4356709"/>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p>
    <w:p w:rsidR="00CE087C" w:rsidRDefault="00CE087C" w:rsidP="00CE087C">
      <w:pPr>
        <w:pStyle w:val="Default"/>
        <w:jc w:val="both"/>
        <w:rPr>
          <w:rFonts w:ascii="Times New Roman" w:hAnsi="Times New Roman" w:cs="Times New Roman"/>
          <w:lang w:val="en-GB"/>
        </w:rPr>
      </w:pP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27821A25" wp14:editId="4531D4A8">
            <wp:extent cx="5340350" cy="4470400"/>
            <wp:effectExtent l="0" t="0" r="0" b="6350"/>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344271" cy="4473682"/>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68FE423B" wp14:editId="7D3FB8E8">
            <wp:extent cx="5334000" cy="4330700"/>
            <wp:effectExtent l="0" t="0" r="0" b="0"/>
            <wp:docPr id="554" name="Imagen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334744" cy="4331304"/>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3B8DFCF0" wp14:editId="512D48DF">
            <wp:extent cx="5257800" cy="4095750"/>
            <wp:effectExtent l="0" t="0" r="0" b="0"/>
            <wp:docPr id="555" name="Imagen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258534" cy="4096322"/>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3B5C7DC8" wp14:editId="66523E31">
            <wp:extent cx="5359400" cy="4699000"/>
            <wp:effectExtent l="0" t="0" r="0" b="6350"/>
            <wp:docPr id="556" name="Imagen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363323" cy="4702440"/>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42F9EAA7" wp14:editId="08ABE475">
            <wp:extent cx="5270227" cy="5099050"/>
            <wp:effectExtent l="0" t="0" r="6985" b="6350"/>
            <wp:docPr id="557" name="Imagen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268060" cy="5096953"/>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4728201A" wp14:editId="69645D69">
            <wp:extent cx="5016500" cy="3498850"/>
            <wp:effectExtent l="0" t="0" r="0" b="6350"/>
            <wp:docPr id="558" name="Imagen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020376" cy="3501553"/>
                    </a:xfrm>
                    <a:prstGeom prst="rect">
                      <a:avLst/>
                    </a:prstGeom>
                  </pic:spPr>
                </pic:pic>
              </a:graphicData>
            </a:graphic>
          </wp:inline>
        </w:drawing>
      </w:r>
    </w:p>
    <w:p w:rsidR="00CE087C" w:rsidRDefault="00CE087C" w:rsidP="00CE087C">
      <w:pPr>
        <w:pStyle w:val="Default"/>
        <w:jc w:val="both"/>
        <w:rPr>
          <w:rFonts w:ascii="Times New Roman" w:hAnsi="Times New Roman" w:cs="Times New Roman"/>
          <w:lang w:val="en-GB"/>
        </w:rPr>
      </w:pPr>
    </w:p>
    <w:p w:rsidR="00CE087C" w:rsidRDefault="00CE087C" w:rsidP="00CE087C">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9E381B">
        <w:rPr>
          <w:rFonts w:ascii="Times New Roman" w:hAnsi="Times New Roman" w:cs="Times New Roman"/>
          <w:noProof/>
          <w:lang w:eastAsia="es-ES"/>
        </w:rPr>
        <w:drawing>
          <wp:inline distT="0" distB="0" distL="0" distR="0" wp14:anchorId="724B4AF4" wp14:editId="4D877025">
            <wp:extent cx="5277587" cy="4286848"/>
            <wp:effectExtent l="0" t="0" r="0" b="0"/>
            <wp:docPr id="559" name="Imagen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277587" cy="4286848"/>
                    </a:xfrm>
                    <a:prstGeom prst="rect">
                      <a:avLst/>
                    </a:prstGeom>
                  </pic:spPr>
                </pic:pic>
              </a:graphicData>
            </a:graphic>
          </wp:inline>
        </w:drawing>
      </w:r>
    </w:p>
    <w:p w:rsidR="00CE087C" w:rsidRPr="00716F7D" w:rsidRDefault="00CE087C" w:rsidP="00CE087C">
      <w:pPr>
        <w:pStyle w:val="Default"/>
        <w:jc w:val="both"/>
        <w:rPr>
          <w:rFonts w:ascii="Times New Roman" w:hAnsi="Times New Roman" w:cs="Times New Roman"/>
        </w:rPr>
      </w:pPr>
      <w:r w:rsidRPr="00716F7D">
        <w:rPr>
          <w:rFonts w:ascii="Times New Roman" w:hAnsi="Times New Roman" w:cs="Times New Roman"/>
        </w:rPr>
        <w:t xml:space="preserve">           </w:t>
      </w:r>
      <w:r w:rsidRPr="009E381B">
        <w:rPr>
          <w:rFonts w:ascii="Times New Roman" w:hAnsi="Times New Roman" w:cs="Times New Roman"/>
          <w:noProof/>
          <w:lang w:eastAsia="es-ES"/>
        </w:rPr>
        <w:drawing>
          <wp:inline distT="0" distB="0" distL="0" distR="0" wp14:anchorId="1A3B2C47" wp14:editId="6B1E5C68">
            <wp:extent cx="5277587" cy="4296375"/>
            <wp:effectExtent l="0" t="0" r="0" b="9525"/>
            <wp:docPr id="560" name="Imagen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277587" cy="4296375"/>
                    </a:xfrm>
                    <a:prstGeom prst="rect">
                      <a:avLst/>
                    </a:prstGeom>
                  </pic:spPr>
                </pic:pic>
              </a:graphicData>
            </a:graphic>
          </wp:inline>
        </w:drawing>
      </w:r>
    </w:p>
    <w:p w:rsidR="00CE087C" w:rsidRPr="00716F7D" w:rsidRDefault="00CE087C" w:rsidP="00CE087C">
      <w:pPr>
        <w:pStyle w:val="Default"/>
        <w:jc w:val="both"/>
        <w:rPr>
          <w:rFonts w:ascii="Times New Roman" w:hAnsi="Times New Roman" w:cs="Times New Roman"/>
        </w:rPr>
      </w:pPr>
    </w:p>
    <w:p w:rsidR="00CE087C" w:rsidRPr="008140A2" w:rsidRDefault="00CE087C" w:rsidP="00CE087C">
      <w:pPr>
        <w:pStyle w:val="Default"/>
        <w:rPr>
          <w:rFonts w:ascii="Times New Roman" w:hAnsi="Times New Roman" w:cs="Times New Roman"/>
          <w:b/>
        </w:rPr>
      </w:pPr>
      <w:r w:rsidRPr="008140A2">
        <w:rPr>
          <w:rFonts w:ascii="Times New Roman" w:hAnsi="Times New Roman" w:cs="Times New Roman"/>
          <w:b/>
        </w:rPr>
        <w:lastRenderedPageBreak/>
        <w:t xml:space="preserve">- Índice de Progreso Social 2017 - </w:t>
      </w:r>
      <w:r w:rsidRPr="008140A2">
        <w:rPr>
          <w:rFonts w:ascii="Times New Roman" w:hAnsi="Times New Roman" w:cs="Times New Roman"/>
          <w:b/>
          <w:color w:val="auto"/>
        </w:rPr>
        <w:t>socialprogressimperative.org</w:t>
      </w: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r w:rsidRPr="006541C7">
        <w:rPr>
          <w:rFonts w:ascii="Times New Roman" w:hAnsi="Times New Roman" w:cs="Times New Roman"/>
        </w:rPr>
        <w:t>El Índice de Progreso Social mide rigurosamente el desempeño de los países en un amplio rango de aspectos de desempeño social y ambiental, los cuales son relevantes para países en todos los niveles de desarrollo económico. Facilita una evaluación no solo del desempeño absoluto del país, sino también de su desempeño relativo en comparación con sus pares económicos. Gobiernos y empresas tienen las herra</w:t>
      </w:r>
      <w:r w:rsidRPr="006541C7">
        <w:rPr>
          <w:rFonts w:ascii="Times New Roman" w:hAnsi="Times New Roman" w:cs="Times New Roman"/>
        </w:rPr>
        <w:softHyphen/>
        <w:t>mientas para monitorear el desempeño social y ambi</w:t>
      </w:r>
      <w:r w:rsidRPr="006541C7">
        <w:rPr>
          <w:rFonts w:ascii="Times New Roman" w:hAnsi="Times New Roman" w:cs="Times New Roman"/>
        </w:rPr>
        <w:softHyphen/>
        <w:t>ental de forma rigurosa, y tomar mejores dediciones en cuanto a inversión y política pública. El índice de Progreso Social además evalúa el éxito de un país a la hora de transformar el progreso económico en mejores resultados sociales; ayuda a traducir las ganancias económicas en un mejor desempeño social y ambiental en formas que son esenciales para lograr un éxito económico todavía mayor. El Índice de Progreso Social provee un marco concreto para entender y después priorizar una agenda de acciones que impulsen tanto el desempeño social como el económico.</w:t>
      </w: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r w:rsidRPr="006541C7">
        <w:rPr>
          <w:rFonts w:ascii="Times New Roman" w:hAnsi="Times New Roman" w:cs="Times New Roman"/>
          <w:noProof/>
          <w:lang w:eastAsia="es-ES"/>
        </w:rPr>
        <w:drawing>
          <wp:inline distT="0" distB="0" distL="0" distR="0" wp14:anchorId="7417B5C2" wp14:editId="4CA4BE06">
            <wp:extent cx="5731510" cy="1685162"/>
            <wp:effectExtent l="0" t="0" r="2540" b="0"/>
            <wp:docPr id="561" name="Imagen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1685162"/>
                    </a:xfrm>
                    <a:prstGeom prst="rect">
                      <a:avLst/>
                    </a:prstGeom>
                  </pic:spPr>
                </pic:pic>
              </a:graphicData>
            </a:graphic>
          </wp:inline>
        </w:drawing>
      </w:r>
    </w:p>
    <w:p w:rsidR="00CE087C" w:rsidRDefault="00CE087C" w:rsidP="00CE087C">
      <w:pPr>
        <w:pStyle w:val="Default"/>
        <w:jc w:val="both"/>
        <w:rPr>
          <w:rFonts w:ascii="Times New Roman" w:hAnsi="Times New Roman" w:cs="Times New Roman"/>
          <w:bCs/>
          <w:iCs/>
        </w:rPr>
      </w:pPr>
      <w:r w:rsidRPr="006541C7">
        <w:rPr>
          <w:rFonts w:ascii="Times New Roman" w:hAnsi="Times New Roman" w:cs="Times New Roman"/>
          <w:bCs/>
          <w:iCs/>
        </w:rPr>
        <w:t>El progreso social es la capacidad de una sociedad de satisfacer las necesidades humanas fundamen</w:t>
      </w:r>
      <w:r w:rsidRPr="006541C7">
        <w:rPr>
          <w:rFonts w:ascii="Times New Roman" w:hAnsi="Times New Roman" w:cs="Times New Roman"/>
          <w:bCs/>
          <w:iCs/>
        </w:rPr>
        <w:softHyphen/>
        <w:t>tales de sus ciudadanos, de establecer cimientos que permitan mejorar y mantener la calidad de vida de sus ciudadanos y comunidades, y de crear las condiciones para que todos los individuos alcancen su pleno potencial.</w:t>
      </w:r>
    </w:p>
    <w:p w:rsidR="00CE087C" w:rsidRDefault="00CE087C" w:rsidP="00CE087C">
      <w:pPr>
        <w:pStyle w:val="Default"/>
        <w:jc w:val="both"/>
        <w:rPr>
          <w:rFonts w:ascii="Times New Roman" w:hAnsi="Times New Roman" w:cs="Times New Roman"/>
          <w:bCs/>
          <w:iCs/>
        </w:rPr>
      </w:pPr>
      <w:r>
        <w:rPr>
          <w:rFonts w:ascii="Times New Roman" w:hAnsi="Times New Roman" w:cs="Times New Roman"/>
          <w:bCs/>
          <w:iCs/>
        </w:rPr>
        <w:t xml:space="preserve">             </w:t>
      </w:r>
      <w:r w:rsidRPr="006541C7">
        <w:rPr>
          <w:rFonts w:ascii="Times New Roman" w:hAnsi="Times New Roman" w:cs="Times New Roman"/>
          <w:bCs/>
          <w:iCs/>
          <w:noProof/>
          <w:lang w:eastAsia="es-ES"/>
        </w:rPr>
        <w:drawing>
          <wp:inline distT="0" distB="0" distL="0" distR="0" wp14:anchorId="5E95972E" wp14:editId="2BD5A085">
            <wp:extent cx="5568950" cy="3556000"/>
            <wp:effectExtent l="0" t="0" r="0" b="6350"/>
            <wp:docPr id="563" name="Imagen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572903" cy="3558524"/>
                    </a:xfrm>
                    <a:prstGeom prst="rect">
                      <a:avLst/>
                    </a:prstGeom>
                  </pic:spPr>
                </pic:pic>
              </a:graphicData>
            </a:graphic>
          </wp:inline>
        </w:drawing>
      </w:r>
    </w:p>
    <w:p w:rsidR="00CE087C" w:rsidRDefault="00CE087C" w:rsidP="00CE087C">
      <w:pPr>
        <w:pStyle w:val="Default"/>
        <w:jc w:val="both"/>
        <w:rPr>
          <w:rFonts w:ascii="Times New Roman" w:hAnsi="Times New Roman" w:cs="Times New Roman"/>
          <w:bCs/>
          <w:iCs/>
        </w:rPr>
      </w:pPr>
    </w:p>
    <w:p w:rsidR="00CE087C" w:rsidRPr="006541C7" w:rsidRDefault="00CE087C" w:rsidP="00CE087C">
      <w:pPr>
        <w:pStyle w:val="Default"/>
        <w:jc w:val="both"/>
        <w:rPr>
          <w:rFonts w:ascii="Times New Roman" w:hAnsi="Times New Roman" w:cs="Times New Roman"/>
        </w:rPr>
      </w:pPr>
      <w:r w:rsidRPr="006541C7">
        <w:rPr>
          <w:rFonts w:ascii="Times New Roman" w:hAnsi="Times New Roman" w:cs="Times New Roman"/>
          <w:noProof/>
          <w:lang w:eastAsia="es-ES"/>
        </w:rPr>
        <w:drawing>
          <wp:inline distT="0" distB="0" distL="0" distR="0" wp14:anchorId="6F3F8635" wp14:editId="730CA320">
            <wp:extent cx="5058481" cy="6420746"/>
            <wp:effectExtent l="0" t="0" r="8890" b="0"/>
            <wp:docPr id="562" name="Imagen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058481" cy="6420746"/>
                    </a:xfrm>
                    <a:prstGeom prst="rect">
                      <a:avLst/>
                    </a:prstGeom>
                  </pic:spPr>
                </pic:pic>
              </a:graphicData>
            </a:graphic>
          </wp:inline>
        </w:drawing>
      </w:r>
    </w:p>
    <w:p w:rsidR="00CE087C" w:rsidRPr="006541C7" w:rsidRDefault="00CE087C" w:rsidP="00CE087C">
      <w:pPr>
        <w:pStyle w:val="Default"/>
        <w:jc w:val="both"/>
        <w:rPr>
          <w:rFonts w:ascii="Times New Roman" w:hAnsi="Times New Roman" w:cs="Times New Roman"/>
        </w:rPr>
      </w:pPr>
      <w:r w:rsidRPr="00F26450">
        <w:rPr>
          <w:rFonts w:ascii="Times New Roman" w:hAnsi="Times New Roman" w:cs="Times New Roman"/>
          <w:noProof/>
          <w:lang w:eastAsia="es-ES"/>
        </w:rPr>
        <w:lastRenderedPageBreak/>
        <w:drawing>
          <wp:inline distT="0" distB="0" distL="0" distR="0" wp14:anchorId="593C6574" wp14:editId="7D0CFAB0">
            <wp:extent cx="5732060" cy="3448050"/>
            <wp:effectExtent l="0" t="0" r="2540" b="0"/>
            <wp:docPr id="564" name="Imagen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3447719"/>
                    </a:xfrm>
                    <a:prstGeom prst="rect">
                      <a:avLst/>
                    </a:prstGeom>
                  </pic:spPr>
                </pic:pic>
              </a:graphicData>
            </a:graphic>
          </wp:inline>
        </w:drawing>
      </w:r>
    </w:p>
    <w:p w:rsidR="00CE087C" w:rsidRPr="006541C7"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r>
        <w:rPr>
          <w:rFonts w:ascii="Times New Roman" w:hAnsi="Times New Roman" w:cs="Times New Roman"/>
        </w:rPr>
        <w:t xml:space="preserve">                 </w:t>
      </w:r>
      <w:r w:rsidRPr="006541C7">
        <w:rPr>
          <w:rFonts w:ascii="Times New Roman" w:hAnsi="Times New Roman" w:cs="Times New Roman"/>
        </w:rPr>
        <w:t xml:space="preserve">  </w:t>
      </w:r>
      <w:r w:rsidRPr="00F26450">
        <w:rPr>
          <w:rFonts w:ascii="Times New Roman" w:hAnsi="Times New Roman" w:cs="Times New Roman"/>
          <w:noProof/>
          <w:lang w:eastAsia="es-ES"/>
        </w:rPr>
        <w:drawing>
          <wp:inline distT="0" distB="0" distL="0" distR="0" wp14:anchorId="5303298E" wp14:editId="3B5E02E7">
            <wp:extent cx="4734586" cy="5058481"/>
            <wp:effectExtent l="0" t="0" r="8890" b="8890"/>
            <wp:docPr id="565" name="Imagen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4734586" cy="5058481"/>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r w:rsidRPr="00F26450">
        <w:rPr>
          <w:rFonts w:ascii="Times New Roman" w:hAnsi="Times New Roman" w:cs="Times New Roman"/>
          <w:noProof/>
          <w:lang w:eastAsia="es-ES"/>
        </w:rPr>
        <w:lastRenderedPageBreak/>
        <w:drawing>
          <wp:inline distT="0" distB="0" distL="0" distR="0" wp14:anchorId="0ACBA099" wp14:editId="40DCCA33">
            <wp:extent cx="5537200" cy="8178800"/>
            <wp:effectExtent l="0" t="0" r="6350" b="0"/>
            <wp:docPr id="566" name="Imagen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537973" cy="8179942"/>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r>
        <w:rPr>
          <w:rFonts w:ascii="Times New Roman" w:hAnsi="Times New Roman" w:cs="Times New Roman"/>
        </w:rPr>
        <w:t>(…)</w:t>
      </w: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Pr="008140A2" w:rsidRDefault="00CE087C" w:rsidP="00CE087C">
      <w:pPr>
        <w:pStyle w:val="Default"/>
        <w:jc w:val="both"/>
        <w:rPr>
          <w:rFonts w:ascii="Times New Roman" w:hAnsi="Times New Roman" w:cs="Times New Roman"/>
          <w:b/>
        </w:rPr>
      </w:pPr>
      <w:r w:rsidRPr="008140A2">
        <w:rPr>
          <w:rFonts w:ascii="Times New Roman" w:hAnsi="Times New Roman" w:cs="Times New Roman"/>
          <w:b/>
        </w:rPr>
        <w:lastRenderedPageBreak/>
        <w:t>- Informe sobre perspectivas sociales y del empleo en el mundo 2016 - Transformar el empleo para erradicar la pobreza - OIT - 2016</w:t>
      </w:r>
    </w:p>
    <w:p w:rsidR="00CE087C" w:rsidRPr="008140A2" w:rsidRDefault="00CE087C" w:rsidP="00CE087C">
      <w:pPr>
        <w:pStyle w:val="Default"/>
        <w:jc w:val="both"/>
        <w:rPr>
          <w:rFonts w:ascii="Times New Roman" w:hAnsi="Times New Roman" w:cs="Times New Roman"/>
          <w:b/>
        </w:rPr>
      </w:pPr>
    </w:p>
    <w:p w:rsidR="00CE087C" w:rsidRPr="00E543E4" w:rsidRDefault="00CE087C" w:rsidP="00CE087C">
      <w:pPr>
        <w:pStyle w:val="Default"/>
        <w:jc w:val="both"/>
        <w:rPr>
          <w:rFonts w:ascii="Times New Roman" w:hAnsi="Times New Roman" w:cs="Times New Roman"/>
          <w:b/>
        </w:rPr>
      </w:pPr>
      <w:r w:rsidRPr="00E543E4">
        <w:rPr>
          <w:rFonts w:ascii="Times New Roman" w:hAnsi="Times New Roman" w:cs="Times New Roman"/>
          <w:b/>
        </w:rPr>
        <w:t xml:space="preserve">Resumen ejecutivo </w:t>
      </w:r>
    </w:p>
    <w:p w:rsidR="00CE087C" w:rsidRPr="00E543E4" w:rsidRDefault="00CE087C" w:rsidP="00CE087C">
      <w:pPr>
        <w:pStyle w:val="Default"/>
        <w:jc w:val="both"/>
        <w:rPr>
          <w:rFonts w:ascii="Times New Roman" w:hAnsi="Times New Roman" w:cs="Times New Roman"/>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CF1334">
        <w:rPr>
          <w:rFonts w:ascii="Times New Roman" w:hAnsi="Times New Roman" w:cs="Times New Roman"/>
          <w:b/>
          <w:bCs/>
          <w:color w:val="000000"/>
          <w:sz w:val="24"/>
          <w:szCs w:val="24"/>
        </w:rPr>
        <w:t>En las dos últimas décadas, la pobreza se ha reducido en la mayoría de los países…</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A lo largo de las últimas dos décadas, la mayoría de los países han logrado avances significativos en materia de reducción de la pobreza. En el conjunto de los países emergentes y en desarrollo, se estima que cerca de 2000 millones de personas viven con menos de 3,10 dólares de los Estados Unidos diarios (una cifra que incluye el ajuste por las diferencias en el coste d</w:t>
      </w:r>
      <w:r>
        <w:rPr>
          <w:rFonts w:ascii="Times New Roman" w:hAnsi="Times New Roman" w:cs="Times New Roman"/>
          <w:color w:val="000000"/>
          <w:sz w:val="24"/>
          <w:szCs w:val="24"/>
        </w:rPr>
        <w:t>e vida entre países). Esto equi</w:t>
      </w:r>
      <w:r w:rsidRPr="00CF1334">
        <w:rPr>
          <w:rFonts w:ascii="Times New Roman" w:hAnsi="Times New Roman" w:cs="Times New Roman"/>
          <w:color w:val="000000"/>
          <w:sz w:val="24"/>
          <w:szCs w:val="24"/>
        </w:rPr>
        <w:t>vale al 36 por ciento de la población del mundo emergente y en desarrollo, a saber, casi la mitad de la tasa registrada en 1990, cuando fueron contraídos los primeros compromisos centrados en reducir la pobreza. Durante el mismo período, la pobreza extrema (es decir, el número de personas que viven con menos de 1,90 dólares de los Estados Unidos diarios) cayó a un ritmo todavía más acelerado, hasta alcanzar al 15 por ciento de la población total de los países emergentes y en desarrollo en 2012 (último año con información disponible).</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CF1334">
        <w:rPr>
          <w:rFonts w:ascii="Times New Roman" w:hAnsi="Times New Roman" w:cs="Times New Roman"/>
          <w:b/>
          <w:bCs/>
          <w:color w:val="000000"/>
          <w:sz w:val="24"/>
          <w:szCs w:val="24"/>
        </w:rPr>
        <w:t>… pero se ha observado un desequilibrio y una fragilidad en las ganancias, sobre todo, en los países desarrollados, donde se ha incrementado la pobreza</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Sin embargo, ha habido un desequilibrio en los avances. Si bien se observan mejoras considerables en varios países, como en China y en la mayoría de los países de América Latina, la incidencia de la pobreza sigue siendo importante en África y en algunas partes de As</w:t>
      </w:r>
      <w:r w:rsidRPr="00E543E4">
        <w:rPr>
          <w:rFonts w:ascii="Times New Roman" w:hAnsi="Times New Roman" w:cs="Times New Roman"/>
          <w:color w:val="000000"/>
          <w:sz w:val="24"/>
          <w:szCs w:val="24"/>
        </w:rPr>
        <w:t>ia. Además, también se ha regis</w:t>
      </w:r>
      <w:r w:rsidRPr="00CF1334">
        <w:rPr>
          <w:rFonts w:ascii="Times New Roman" w:hAnsi="Times New Roman" w:cs="Times New Roman"/>
          <w:color w:val="000000"/>
          <w:sz w:val="24"/>
          <w:szCs w:val="24"/>
        </w:rPr>
        <w:t>trado un aumento de la pobreza en los países desarrollados, sobre todo en Europa. Se estima que en 2012 más de 300 millones de personas en los países desarrollados vivían en situación de pobreza (es decir, sus ingresos eran inferiores al 60 por ciento del ingreso medio).</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Asimismo, se observan desequilibrios en las ganancias entre los grupos demográficos, pues la pobreza afecta de manera desproporcionada a las mujeres e, incluso en mayor medida, a los niños. En los países emergentes y en desarrollo, más de la mitad de los niños menores de 15 años viven en situación de pobreza extrema o moderada. En los países desarrollados, el 36 por ciento de los niños viven por debajo del umbral de pobreza relativa.</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Incluso en los países donde se han logrado avances, las ganancias son</w:t>
      </w:r>
      <w:r w:rsidRPr="00E543E4">
        <w:rPr>
          <w:rFonts w:ascii="Times New Roman" w:hAnsi="Times New Roman" w:cs="Times New Roman"/>
          <w:color w:val="000000"/>
          <w:sz w:val="24"/>
          <w:szCs w:val="24"/>
        </w:rPr>
        <w:t xml:space="preserve"> frágiles. Una proporción consi</w:t>
      </w:r>
      <w:r w:rsidRPr="00CF1334">
        <w:rPr>
          <w:rFonts w:ascii="Times New Roman" w:hAnsi="Times New Roman" w:cs="Times New Roman"/>
          <w:color w:val="000000"/>
          <w:sz w:val="24"/>
          <w:szCs w:val="24"/>
        </w:rPr>
        <w:t>derable de las personas que salieron de la pobreza sigue viviendo con apenas algunos dólares diarios. Esto suele limitar el acceso a servicios básicos y a la protección social, dos elementos que podrían permitirles dejar atrás condiciones de vida precarias de manera permanente. Además, en los países desarrollados donde escasean los empleos de calidad, las familias de clase media están cada vez más preocupadas por su capacidad para conservar su actual posición económica.</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pStyle w:val="Default"/>
        <w:jc w:val="both"/>
        <w:rPr>
          <w:rFonts w:ascii="Times New Roman" w:hAnsi="Times New Roman" w:cs="Times New Roman"/>
        </w:rPr>
      </w:pPr>
      <w:r w:rsidRPr="00E543E4">
        <w:rPr>
          <w:rFonts w:ascii="Times New Roman" w:hAnsi="Times New Roman" w:cs="Times New Roman"/>
        </w:rPr>
        <w:t xml:space="preserve">Del mismo modo, en Asia, América Latina y los Estados Árabes el reciente deterioro de las perspectivas económicas ha empezado a revelar la fragilidad de los avances sociales y en materia de empleo alcanzados en los últimos años. En varios de estos países, la desigualdad de ingresos ha empezado a incrementarse, después de varias décadas a la baja, por lo que es posible que se reviertan algunos de los logros alcanzados hasta la fecha en materia de </w:t>
      </w:r>
      <w:r w:rsidRPr="00E543E4">
        <w:rPr>
          <w:rFonts w:ascii="Times New Roman" w:hAnsi="Times New Roman" w:cs="Times New Roman"/>
        </w:rPr>
        <w:lastRenderedPageBreak/>
        <w:t>reducción de la pobreza. Asimismo, las últimas tendencias apuntan a un mayor incremento en los niveles de pobreza relativa en Europa y en otros países desarrollados.</w:t>
      </w:r>
    </w:p>
    <w:p w:rsidR="00CE087C" w:rsidRPr="00E543E4" w:rsidRDefault="00CE087C" w:rsidP="00CE087C">
      <w:pPr>
        <w:pStyle w:val="Default"/>
        <w:jc w:val="both"/>
        <w:rPr>
          <w:rFonts w:ascii="Times New Roman" w:hAnsi="Times New Roman" w:cs="Times New Roman"/>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CF1334">
        <w:rPr>
          <w:rFonts w:ascii="Times New Roman" w:hAnsi="Times New Roman" w:cs="Times New Roman"/>
          <w:b/>
          <w:bCs/>
          <w:color w:val="000000"/>
          <w:sz w:val="24"/>
          <w:szCs w:val="24"/>
        </w:rPr>
        <w:t>Sin una mayor creación de empleos de calidad, no se alcanzará el objetivo de p</w:t>
      </w:r>
      <w:r w:rsidRPr="00E543E4">
        <w:rPr>
          <w:rFonts w:ascii="Times New Roman" w:hAnsi="Times New Roman" w:cs="Times New Roman"/>
          <w:b/>
          <w:bCs/>
          <w:color w:val="000000"/>
          <w:sz w:val="24"/>
          <w:szCs w:val="24"/>
        </w:rPr>
        <w:t>oner fin a la pobreza para 2030</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Si la reducción de la pobreza sigue este avance desigual y frágil, es posible que no se alcance ni el Objetivo de Desarrollo Sostenible (ODS) 1 de poner fin a la pobreza en todas sus formas y en todo el mundo antes de 2030, ni el resto de los ODS adoptados por las Naciones Unidas en septiembre de 2015. Además, las personas que viven en situación de pobreza podrí</w:t>
      </w:r>
      <w:r w:rsidRPr="00E543E4">
        <w:rPr>
          <w:rFonts w:ascii="Times New Roman" w:hAnsi="Times New Roman" w:cs="Times New Roman"/>
          <w:color w:val="000000"/>
          <w:sz w:val="24"/>
          <w:szCs w:val="24"/>
        </w:rPr>
        <w:t>an no beneficiarse de la revolu</w:t>
      </w:r>
      <w:r w:rsidRPr="00CF1334">
        <w:rPr>
          <w:rFonts w:ascii="Times New Roman" w:hAnsi="Times New Roman" w:cs="Times New Roman"/>
          <w:color w:val="000000"/>
          <w:sz w:val="24"/>
          <w:szCs w:val="24"/>
        </w:rPr>
        <w:t>ción tecnológica que está transformando las economías y las sociedades actuales. Hoy en día, aunque el porcentaje de personas en situación de pobreza equivale al 30 por ciento de la población mundial, reciben menos del 2 por ciento del ingreso mundial. Por lo tanto, a menos que se tomen medidas para aliviarla, la pobreza podría perpetuarse de generación en generación, exacerbando la inestabilidad socioeconómica y erosionando el apoyo a las políticas en favor del crecimiento.</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Una de las conclusiones más importantes del estudio es que no será posible reducir la pobreza de manera duradera sin trabajo decente. En otras palabras, el trabajo decente es una condición necesaria (aunque no suficiente) para erradicar la pobreza. Según estimaciones de la OIT, hacen falta unos 10 billones de dólares de los Estados Unidos para erradicar la pobreza extrema y moderada para 2030. Sin embargo, no es realista considerar que se puede alcanzar este objetivo únicamente con transferencias de ingresos. La solución a este problema exige más que la disponibilidad de recursos. En efecto, será necesario reforzar la capacidad de las personas de mantenerse a sí mismas mediante empleos de calidad. En realidad, casi un tercio de las personas que viven en situación de pobreza extrema y moderada en los países emergentes y en desarrollo tienen un empleo. Sin embargo, se trata de empleos vulnerables, pues, en algunas ocasiones, no son remunerados; se concentran en ocupaciones que requieren de pocas cualificaciones; y, ante la ausencia de protección social, los trabajadores dependen casi exclusivamente del ingreso laboral. Además, dos tercios de los empleos corresponden a actividades agrícolas de baja productividad.</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En los países desarrollados, si bien la proporción de trabajadores asalariados y a sueldo es más alta, no están exentos del riesgo de caer en una situación de pobreza. De hecho, más del 80 por ciento de los trabajadores pobres de los países desarrollados tienen un empleo asalariado y a sueldo. Sin una oferta adecuada de oportunidades de empleo decente, los trabajadores pobres tendrán dificultades para mejorar sus condiciones de trabajo, tener una carrera profesional y, de este modo, salir de la pobreza.</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CF1334">
        <w:rPr>
          <w:rFonts w:ascii="Times New Roman" w:hAnsi="Times New Roman" w:cs="Times New Roman"/>
          <w:b/>
          <w:bCs/>
          <w:color w:val="000000"/>
          <w:sz w:val="24"/>
          <w:szCs w:val="24"/>
        </w:rPr>
        <w:t>Por lo tanto, es esencial afrontar los obstáculos necesarios para acabar con la pobreza mediante una transformación de los empleos</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El informe destaca que varios obstáculos estructurales claves impiden la creación de empleos de calidad y, a su vez, la reducción de la pobreza.</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 xml:space="preserve">Por un lado, una estrecha base económica ha ralentizado el ritmo de reducción de la pobreza. De hecho, las mayores limitaciones en materia de reducción de la pobreza se observan en los países cuyas exportaciones dependen de los recursos naturales y de los bienes primarios. En algunos de estos países, el crecimiento económico parece haber exacerbado la pobreza, principalmente porque la exportación de productos primarios (y, en particular, de los </w:t>
      </w:r>
      <w:r w:rsidRPr="00CF1334">
        <w:rPr>
          <w:rFonts w:ascii="Times New Roman" w:hAnsi="Times New Roman" w:cs="Times New Roman"/>
          <w:color w:val="000000"/>
          <w:sz w:val="24"/>
          <w:szCs w:val="24"/>
        </w:rPr>
        <w:lastRenderedPageBreak/>
        <w:t>productos procedentes del sector extractivo) suele tener un escaso efecto indirecto sobre el resto de la economía. Por consiguiente, el impacto de este tipo de exportaciones en la creación de empleo y la reducción de la pobreza, si se observa, suele ser limitado. El crecimiento económico poco diversificado también agrava la desigualdad de ingresos, pues los beneficios se concentran en grupos pequeños de personas que están mejor situadas para capturar las ganancias. La presencia de grandes economías informales y rurales agrava el problema del débil vínculo que existe entre la explotación de recursos naturales y la reducción de la pobreza.</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CF1334">
        <w:rPr>
          <w:rFonts w:ascii="Times New Roman" w:hAnsi="Times New Roman" w:cs="Times New Roman"/>
          <w:color w:val="000000"/>
          <w:sz w:val="24"/>
          <w:szCs w:val="24"/>
        </w:rPr>
        <w:t>Por otro lado, el continuo aumento en la desigualdad de ingresos (resultado de diversos factores, además de los ya mencionados) ha socavado con frecuencia el creci</w:t>
      </w:r>
      <w:r w:rsidRPr="00E543E4">
        <w:rPr>
          <w:rFonts w:ascii="Times New Roman" w:hAnsi="Times New Roman" w:cs="Times New Roman"/>
          <w:color w:val="000000"/>
          <w:sz w:val="24"/>
          <w:szCs w:val="24"/>
        </w:rPr>
        <w:t>miento y su impacto en la reduc</w:t>
      </w:r>
      <w:r w:rsidRPr="00CF1334">
        <w:rPr>
          <w:rFonts w:ascii="Times New Roman" w:hAnsi="Times New Roman" w:cs="Times New Roman"/>
          <w:color w:val="000000"/>
          <w:sz w:val="24"/>
          <w:szCs w:val="24"/>
        </w:rPr>
        <w:t>ción de la pobreza. Más concretamente, considerando que los recursos son limitados, a medida que los ricos reciben más ganancias gracias al crecimiento, se limita la posibilidad de reducir la pobreza. Esta conclusión pone de relieve el hecho de que los ricos deben asumir cierta responsabilidad en la perpetuación de la pobreza.</w:t>
      </w:r>
    </w:p>
    <w:p w:rsidR="00CE087C" w:rsidRPr="00CF133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pStyle w:val="Default"/>
        <w:jc w:val="both"/>
        <w:rPr>
          <w:rFonts w:ascii="Times New Roman" w:hAnsi="Times New Roman" w:cs="Times New Roman"/>
        </w:rPr>
      </w:pPr>
      <w:r w:rsidRPr="00E543E4">
        <w:rPr>
          <w:rFonts w:ascii="Times New Roman" w:hAnsi="Times New Roman" w:cs="Times New Roman"/>
        </w:rPr>
        <w:t>Por último, la pobreza suele ser el resultado de un marco institucional débil que margina a los grupos vulnerables. Entre las debilidades del marco institucional destacan las limitaciones en los derechos de los trabajadores, los avances insuficientes a la hora de crear instituciones del mercado de trabajo sólidas, la existencia de entornos inadecuados para el desarrollo de las empresas y la presencia de mecanismos de gobernanza ineficaces o corruptos. Debido a la ausencia de una capacidad adecuada de implementación, muchos de los programas sociales y de empleo no han logrado reducir considerablemente la pobreza pues no pudieron llegar hasta la población con mayor necesidad. En algunos países desarrollados, este también es un problema cada vez más importante.</w:t>
      </w:r>
    </w:p>
    <w:p w:rsidR="00CE087C" w:rsidRPr="00E543E4" w:rsidRDefault="00CE087C" w:rsidP="00CE087C">
      <w:pPr>
        <w:pStyle w:val="Default"/>
        <w:jc w:val="both"/>
        <w:rPr>
          <w:rFonts w:ascii="Times New Roman" w:hAnsi="Times New Roman" w:cs="Times New Roman"/>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El informe demuestra que es posible afrontar estos tres obstáculos con trabajo decente y mejorando la capacidad de las empresas de crear empleos de calidad.</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E543E4">
        <w:rPr>
          <w:rFonts w:ascii="Times New Roman" w:hAnsi="Times New Roman" w:cs="Times New Roman"/>
          <w:b/>
          <w:bCs/>
          <w:color w:val="000000"/>
          <w:sz w:val="24"/>
          <w:szCs w:val="24"/>
        </w:rPr>
        <w:t>En primer lugar, ampliando la base productiva mediante la promoción de empresas sostenibles</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Para que el crecimiento económico facilite la reducción de la pobreza, debe tener una base amplia y evitar descuidar los sectores rezagados (sobre todo, la agricultura) como lo han hecho algunas políticas anteriores. Si se desea resolver este problema, es necesario aumentar la productividad de los pequeños agricultores independientes implementando una serie de intervenciones centradas en la investigación y el desarrollo, el suministro de insumos agrícolas y en mejorar el acceso a servicios crediticios, redes de transporte y mercados. En este sentido, las cooperativas agrícolas pueden aportar contribuciones importantes. En Etiopía y Nicaragua, este tipo de medidas han mejorado el vínculo entre la agricultura y el resto de la economía y han consolidado la posición de los agricultores en el marco de las negociaciones para el acceso a los mercados.</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 xml:space="preserve">También es necesario estimular el crecimiento de la economía rural no agrícola. Muchos hogares en situación de pobreza extrema no cuentan con los recursos necesarios para aprovechar oportunidades resultantes del crecimiento de la productividad agrícola, pero podrían diversificar sus medios de vida mediante la creación de pequeños negocios no agrícolas. Es necesario poner en marcha una combi-nación de iniciativas para estimular la creación de empresas en el ámbito rural, sobre todo, ayudando a los pequeños negocios a crecer y mejorar sus actividades. Gran parte de los avances en materia de reducción de la </w:t>
      </w:r>
      <w:r w:rsidRPr="00E543E4">
        <w:rPr>
          <w:rFonts w:ascii="Times New Roman" w:hAnsi="Times New Roman" w:cs="Times New Roman"/>
          <w:color w:val="000000"/>
          <w:sz w:val="24"/>
          <w:szCs w:val="24"/>
        </w:rPr>
        <w:lastRenderedPageBreak/>
        <w:t>pobreza observados en China son el resultado de este enfoque aplicado al desarrollo rural. Obviamente, a menos que estas medidas se complementen con mejoras en las condiciones de trabajo en general y, en particular, en la economía rural, la reducción de la pobreza tendrá un carácter incompleto y frágil.</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El apoyo a la transición a la economía formal y los acuerdos de empleo formales es una condición sine qua non para acabar con la pobreza. De esta manera, se garantiza que los individuos tengan acceso a la protección social, a salarios mínimos y a otras prestaciones labo</w:t>
      </w:r>
      <w:r>
        <w:rPr>
          <w:rFonts w:ascii="Times New Roman" w:hAnsi="Times New Roman" w:cs="Times New Roman"/>
          <w:color w:val="000000"/>
          <w:sz w:val="24"/>
          <w:szCs w:val="24"/>
        </w:rPr>
        <w:t>rales y económicas, que son ele</w:t>
      </w:r>
      <w:r w:rsidRPr="00E543E4">
        <w:rPr>
          <w:rFonts w:ascii="Times New Roman" w:hAnsi="Times New Roman" w:cs="Times New Roman"/>
          <w:color w:val="000000"/>
          <w:sz w:val="24"/>
          <w:szCs w:val="24"/>
        </w:rPr>
        <w:t>mentos esenciales para la reducción de la pobreza. Esta transición también ayudará a consolidar el vínculo entre los sectores exportadores en crecimiento y el resto de la economía.</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 xml:space="preserve">En general, es muy importante estimular la creación de empresas sostenibles. Para ello es necesario hacer ajustes importantes a las normas en materia de negocios y fomentar un entorno sólido para facilitar la creación de nuevas empresas y el crecimiento de las que ya existen. Además, al formalizar las actividades económicas y el empleo, se ampliará la base imponible, </w:t>
      </w:r>
      <w:r>
        <w:rPr>
          <w:rFonts w:ascii="Times New Roman" w:hAnsi="Times New Roman" w:cs="Times New Roman"/>
          <w:color w:val="000000"/>
          <w:sz w:val="24"/>
          <w:szCs w:val="24"/>
        </w:rPr>
        <w:t>lo cual permitirá financiar pro</w:t>
      </w:r>
      <w:r w:rsidRPr="00E543E4">
        <w:rPr>
          <w:rFonts w:ascii="Times New Roman" w:hAnsi="Times New Roman" w:cs="Times New Roman"/>
          <w:color w:val="000000"/>
          <w:sz w:val="24"/>
          <w:szCs w:val="24"/>
        </w:rPr>
        <w:t>gramas centrados en la reducción de la pobreza. El informe presenta ejemplos de iniciativas de este tipo llevadas a cabo en algunos países de Europa Central y Oriental, Ghana y Uruguay.</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E543E4">
        <w:rPr>
          <w:rFonts w:ascii="Times New Roman" w:hAnsi="Times New Roman" w:cs="Times New Roman"/>
          <w:b/>
          <w:bCs/>
          <w:color w:val="000000"/>
          <w:sz w:val="24"/>
          <w:szCs w:val="24"/>
        </w:rPr>
        <w:t>En segundo lugar, consolidando los derechos laborales…</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pStyle w:val="Default"/>
        <w:jc w:val="both"/>
        <w:rPr>
          <w:rFonts w:ascii="Times New Roman" w:hAnsi="Times New Roman" w:cs="Times New Roman"/>
        </w:rPr>
      </w:pPr>
      <w:r w:rsidRPr="00E543E4">
        <w:rPr>
          <w:rFonts w:ascii="Times New Roman" w:hAnsi="Times New Roman" w:cs="Times New Roman"/>
        </w:rPr>
        <w:t>Si bien el crecimiento económico diversificado provee los fundamentos económicos necesarios para mejorar los ingresos de las personas en situación de pobreza, no puede reducir la pobreza por sí mismo. Los grupos pobres y vulnerables deben poder aprovechar estas oportunidades de la manera que mejor satisfaga sus necesidades y aspiraciones. A nivel individual, las personas deberían poder escoger el tipo de trabajo que llevan a cabo y, en particular, deberían poder rechazar formas de trabajo inaceptables. En el ámbito colectivo, las personas en situación de pobreza y vulnerabilidad deberían tener voz y capacidad de influenciar la puesta en marcha de políticas que promuevan una mejora en sus condiciones de vida centrándose, por ejemplo, en el desarrollo de competencias, la salud y la seguridad, la negociación colectiva, los umbrales de protección social y la lucha contra la discriminación. En pocas palabras, para luchar contra la pobreza es necesario tener capacidades individuales y colectivas.</w:t>
      </w:r>
    </w:p>
    <w:p w:rsidR="00CE087C" w:rsidRPr="00E543E4" w:rsidRDefault="00CE087C" w:rsidP="00CE087C">
      <w:pPr>
        <w:pStyle w:val="Default"/>
        <w:jc w:val="both"/>
        <w:rPr>
          <w:rFonts w:ascii="Times New Roman" w:hAnsi="Times New Roman" w:cs="Times New Roman"/>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 xml:space="preserve">En este sentido, las normas internacionales del trabajo son de suma importancia, pues su objetivo es otorgar a los trabajadores derechos que los faculten para reclamar una parte justa del crecimiento económico y, de esta manera, dejar de ser trabajadores pobres y acabar con la desigualdad. El informe identifica una serie de normas claves que tienen una relevancia particular en el marco de la lucha contra la pobreza, como, entre otras, los ocho convenios fundamentales de la OIT, que estipulan condiciones marco para una distribución justa de los ingresos, y la Declaración de las Naciones Unidas sobre los Derechos de los Pueblos Indígenas, que, si se instrumenta correctamente, puede facultar a las comunidades locales. Las normas también son necesarias para el diálogo social, ya que, gracias a ellas, las organizaciones de trabajadores y de empleadores pueden expresar sus opiniones y ayudar a elaborar políticas eficaces para acabar con la pobreza. </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 xml:space="preserve">Sin embargo, el informe pone de relieve las brechas en materia de ratificación y aplicación de algunos de los convenios más esenciales, tanto en los países en desarrollo como en los países desarrollados. En algunos casos, ciertos grupos de trabajadores y empresas (por ejemplo, los </w:t>
      </w:r>
      <w:r w:rsidRPr="00E543E4">
        <w:rPr>
          <w:rFonts w:ascii="Times New Roman" w:hAnsi="Times New Roman" w:cs="Times New Roman"/>
          <w:color w:val="000000"/>
          <w:sz w:val="24"/>
          <w:szCs w:val="24"/>
        </w:rPr>
        <w:lastRenderedPageBreak/>
        <w:t>trabajadores familiares no remunerados y los negocios informales) tienen una cobertura limitada, lo cual tiene consecuencias sobre la eficacia de la reducción de la pobreza.</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Por lo tanto, con miras a reducir la pobreza es esencial garantizar que las normas cubran a las personas en situación de pobreza. El recientemente adoptado Convenio sobre las trabajadoras y los trabajadores domésticos (núm. 189) de la OIT ejemplifica qué se puede hacer en este sentido. Los negocios privados también pueden tener un papel importante con miras a mejorar las normas centradas en reducir la pobreza. Cabe señalar que existe un margen para colaborar con estos negocios de manera más activa. Además, los gobiernos pueden ampliar el alcance de los derechos mejorando la capacidad de los organismos encargados de las inspecciones de trabajo y promoviendo la colaboración entre las instituciones de aplicación y otros servicios gubernamentales y entidades privadas.</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E543E4">
        <w:rPr>
          <w:rFonts w:ascii="Times New Roman" w:hAnsi="Times New Roman" w:cs="Times New Roman"/>
          <w:b/>
          <w:bCs/>
          <w:color w:val="000000"/>
          <w:sz w:val="24"/>
          <w:szCs w:val="24"/>
        </w:rPr>
        <w:t>… y las instituciones del mercado de trabajo</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Las instituciones del mercado de trabajo son esenciales para que las normas internacionales del trabajo puedan alcanzar a las personas en situación de pobreza. Es necesario apoyar estos esfuerzos con administraciones e inspecciones de trabajo eficientes y con un acceso mejorado a la justicia. Varios países han cubierto a grupos tradicionalmente vulnerables instrumentando legislaciones acordes con las normas internacionales del trabajo, como, por ejemplo, en el caso de los trabajadores familiares no remunerados en Honduras. En Mozambique, el órgano encargado de las inspecciones laborales trabaja estrechamente con los servicios de asistencia jurídica del Gobierno, y en el Brasil, la Fiscalía del Trabajo trabaja para mejorar el acceso de las personas más vulnerables al sistema judicial. Además, los órganos encargados de las inspecciones laborales pueden establecer vínculos con servicios técnicos para brindar orientación a empresas con miras a mejorar su productividad, como en el marco del proyecto WIND en Tailandia.</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También es posible crear un entorno que faculte a las organizaciones de empleadores y de trabaja-dores. Para ello, es esencial garantizar la libertad sindical y de asociación, que también puede ayudar a alcanzar de una manera más eficaz e inclusiva los Objetivos de Desarrollo Sostenible, pues la presencia de unos interlocutores sociales fuertes puede contribuir a mejorar la rendición de cuentas de las políticas gubernamentales. Si amplían su alcance a las formas emergentes de trabajo, las organizaciones de trabajadores y de empleadores pueden tener un papel esencial en la elaboración de estrategias para la erradicación de la pobreza. En Túnez es posible observar un ejemplo reciente del papel estratégico que pueden tener los interlocutores sociales en la elaboración de estrategias de empleo destinadas a los jóvenes, y que resultan esenciales para acabar con la pobreza.</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E543E4">
        <w:rPr>
          <w:rFonts w:ascii="Times New Roman" w:hAnsi="Times New Roman" w:cs="Times New Roman"/>
          <w:b/>
          <w:bCs/>
          <w:color w:val="000000"/>
          <w:sz w:val="24"/>
          <w:szCs w:val="24"/>
        </w:rPr>
        <w:t>En tercer lugar, mejorando la eficacia de las políticas sociales y de empleo y ampliando su alcance…</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pStyle w:val="Default"/>
        <w:jc w:val="both"/>
        <w:rPr>
          <w:rFonts w:ascii="Times New Roman" w:hAnsi="Times New Roman" w:cs="Times New Roman"/>
        </w:rPr>
      </w:pPr>
      <w:r w:rsidRPr="00E543E4">
        <w:rPr>
          <w:rFonts w:ascii="Times New Roman" w:hAnsi="Times New Roman" w:cs="Times New Roman"/>
        </w:rPr>
        <w:t>Las políticas sociales y de empleo pueden ayudar a los individuos a encontrar un empleo, mejorar sus condiciones de trabajo e ingresos actuales y facilitar su transición a nuevos (y mejores) empleos. El informe incluye varios ejemplos de este tipo de políticas llevadas a cabo en países desarrollados y en desarrollo. Una lección general que se desprende es que es esencial formular estas políticas como parte de una estrategia centrada en mejorar las sinergias entre las distintas herramientas.</w:t>
      </w:r>
    </w:p>
    <w:p w:rsidR="00CE087C" w:rsidRPr="00E543E4" w:rsidRDefault="00CE087C" w:rsidP="00CE087C">
      <w:pPr>
        <w:pStyle w:val="Default"/>
        <w:jc w:val="both"/>
        <w:rPr>
          <w:rFonts w:ascii="Times New Roman" w:hAnsi="Times New Roman" w:cs="Times New Roman"/>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lastRenderedPageBreak/>
        <w:t>En Chile, por ejemplo, el Ingreso Ético Familiar es un componente clave de la estrategia para erradicar la pobreza para 2018. Este programa tiene como objetivo ampliar la cobertura e incrementar los montos de las transferencias. Asimismo, mediante la inclusión de nuevas formas de apoyo al empleo, el Ingreso Ético Familiar reconoce la importancia de aumentar la capacidad de los hogares para salir por sí mismos de la pobreza y mantenerse fuera de la misma de manera autónoma. Algunos países desarrollados (por ejemplo, el Japón y algunos países del norte de Europa) también han alca</w:t>
      </w:r>
      <w:r>
        <w:rPr>
          <w:rFonts w:ascii="Times New Roman" w:hAnsi="Times New Roman" w:cs="Times New Roman"/>
          <w:color w:val="000000"/>
          <w:sz w:val="24"/>
          <w:szCs w:val="24"/>
        </w:rPr>
        <w:t>nzado tasas de pobreza relativa</w:t>
      </w:r>
      <w:r w:rsidRPr="00E543E4">
        <w:rPr>
          <w:rFonts w:ascii="Times New Roman" w:hAnsi="Times New Roman" w:cs="Times New Roman"/>
          <w:color w:val="000000"/>
          <w:sz w:val="24"/>
          <w:szCs w:val="24"/>
        </w:rPr>
        <w:t xml:space="preserve">mente bajas gracias a la puesta en marcha de paquetes de políticas sociales y de empleo bien diseñados. Estas políticas suelen caracterizarse por incluir componentes de focalización (por ejemplo, hacia familias monoparentales) con la finalidad de atender a grupos desproporcionadamente afectados por la pobreza. </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El diálogo social también puede consolidar las sinergias entre políticas. Por un lado, el diálogo social puede contribuir a la puesta en marcha y aplicación de las políticas necesarias para garantizar que haya una responsabilidad compartida y que los distintos actores delimiten la rendición de cuentas. Por otro lado, el diálogo social puede ayudar a aplacar la corrupción y a promover estructuras sólidas de gobernabilidad.</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E543E4">
        <w:rPr>
          <w:rFonts w:ascii="Times New Roman" w:hAnsi="Times New Roman" w:cs="Times New Roman"/>
          <w:b/>
          <w:bCs/>
          <w:color w:val="000000"/>
          <w:sz w:val="24"/>
          <w:szCs w:val="24"/>
        </w:rPr>
        <w:t>… y, finalmente, dedicando los recursos suficientes para implementar la estrategia</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Varios de los instrumentos de política en este informe no requieren recursos adicionales, sino que necesitan ser reorientados. Puede que parezca complejo centrar las políticas en la creación de empleos decentes y productivos, mejorar las herramientas normativas y de implementación y hacer que el comercio y la inversión internacionales sean más inclusivos socialmente para reducir las desigualdades; no obstante, para ejecutar estas medidas, no hace falta una cantidad considerable de recursos públicos.</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En algunos casos es necesario recurrir a los fondos públicos como, por ejemplo, para ampliar los umbrales de protección social y reforzar las instituciones del mercado de trabajo. En muchos otros casos, se pueden ejecutar medidas fiscalmente neutras e, incluso, positivas. Por ejemplo, la formalización de la economía informal puede ampliar la base imponible. En algunos países de América Latina, la introducción de un esquema simplificado de recaudación de impuestos (conocido como monotributo) ha demostrado ser una medida eficaz para promover la formalización de pequeñas empresas y microempresas, lo que, a su vez, ha contribuido considerablemente a la creación de empleos formales y a la ampliación de la cobertura de la seguridad social. Este proceso incrementa los ingresos públicos y permite poner en marcha esfuerzos adicionales para reducir la pobreza.</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En los países en desarrollo, este enfoque puede no ser suficiente para reducir la pobreza. De ahí que emerja un nuevo papel para la ayuda al desarrollo, que debería centrarse más bien en programas cuyo objetivo sea generar trabajo decente. La lucha contra la competencia fiscal internacional y las prácticas de evasión fiscal también debe ser considerada como una oportunidad de financiar programas centrados en la lucha contra la pobreza. Además, se debe concienciar a las personas que se beneficien de este tipo de prácticas de la gravedad de sus acciones.</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b/>
          <w:bCs/>
          <w:color w:val="000000"/>
          <w:sz w:val="24"/>
          <w:szCs w:val="24"/>
        </w:rPr>
      </w:pPr>
      <w:r w:rsidRPr="00E543E4">
        <w:rPr>
          <w:rFonts w:ascii="Times New Roman" w:hAnsi="Times New Roman" w:cs="Times New Roman"/>
          <w:b/>
          <w:bCs/>
          <w:color w:val="000000"/>
          <w:sz w:val="24"/>
          <w:szCs w:val="24"/>
        </w:rPr>
        <w:t>El futuro del trabajo y el final de la pobreza: las dos caras de la misma moneda</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E543E4">
        <w:rPr>
          <w:rFonts w:ascii="Times New Roman" w:hAnsi="Times New Roman" w:cs="Times New Roman"/>
          <w:color w:val="000000"/>
          <w:sz w:val="24"/>
          <w:szCs w:val="24"/>
        </w:rPr>
        <w:t xml:space="preserve">Por último, la lucha contra la pobreza debe tomar en cuenta los eventos que le están dando forma al mundo del trabajo. Tanto el rápido cambio tecnológico como el surgimiento de </w:t>
      </w:r>
      <w:r w:rsidRPr="00E543E4">
        <w:rPr>
          <w:rFonts w:ascii="Times New Roman" w:hAnsi="Times New Roman" w:cs="Times New Roman"/>
          <w:color w:val="000000"/>
          <w:sz w:val="24"/>
          <w:szCs w:val="24"/>
        </w:rPr>
        <w:lastRenderedPageBreak/>
        <w:t>nuevos patrones de globalización (como la ampliación de las cadenas globales de valor) brindan nuevas oportunidades para llegar a zonas remotas, elaborar herramientas de política más reactivas y mejorar los marcos institucionales. En África, la proliferación de los dispositivos móviles y su uso en el desarrollo empresarial son motivo de esperanza respecto de la lucha contra la pobreza.</w:t>
      </w:r>
    </w:p>
    <w:p w:rsidR="00CE087C" w:rsidRPr="00E543E4"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pStyle w:val="Default"/>
        <w:jc w:val="both"/>
        <w:rPr>
          <w:rFonts w:ascii="Times New Roman" w:hAnsi="Times New Roman" w:cs="Times New Roman"/>
        </w:rPr>
      </w:pPr>
      <w:r w:rsidRPr="00E543E4">
        <w:rPr>
          <w:rFonts w:ascii="Times New Roman" w:hAnsi="Times New Roman" w:cs="Times New Roman"/>
        </w:rPr>
        <w:t>Sin embargo, la concretización de estos beneficios potenciales no será automática y generará nuevos riesgos, sobre todo en el caso de los grupos vulnerables, que en ciertos casos no cuentan con las cualificaciones necesarias ni con la fuerza de negociación suficiente como para participar de las ganancias. Por lo tanto, es urgente que los países pongan en acción el tipo de estrategias que este informe promueve y que lo adapten a las transformaciones actuales del mundo del trabajo. Si se sigue este camino, la dinámica del futuro del trabajo podría constituir uno de los principales ejes impulsores para acabar con la pobreza y, por lo tanto, podría aportar una contribución esencial para la concretización de la Agenda 2030 para el Desarrollo Sostenible.</w:t>
      </w: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r>
        <w:rPr>
          <w:rFonts w:ascii="Times New Roman" w:hAnsi="Times New Roman" w:cs="Times New Roman"/>
        </w:rPr>
        <w:t>(…)</w:t>
      </w: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r w:rsidRPr="00E543E4">
        <w:rPr>
          <w:rFonts w:ascii="Times New Roman" w:hAnsi="Times New Roman" w:cs="Times New Roman"/>
          <w:noProof/>
          <w:lang w:eastAsia="es-ES"/>
        </w:rPr>
        <w:drawing>
          <wp:inline distT="0" distB="0" distL="0" distR="0" wp14:anchorId="17AB14D3" wp14:editId="194A8FC3">
            <wp:extent cx="5731510" cy="4782994"/>
            <wp:effectExtent l="0" t="0" r="2540" b="0"/>
            <wp:docPr id="567" name="Imagen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4782994"/>
                    </a:xfrm>
                    <a:prstGeom prst="rect">
                      <a:avLst/>
                    </a:prstGeom>
                  </pic:spPr>
                </pic:pic>
              </a:graphicData>
            </a:graphic>
          </wp:inline>
        </w:drawing>
      </w:r>
    </w:p>
    <w:p w:rsidR="00CE087C" w:rsidRPr="00E543E4" w:rsidRDefault="00CE087C" w:rsidP="00CE087C">
      <w:pPr>
        <w:pStyle w:val="Default"/>
        <w:jc w:val="both"/>
        <w:rPr>
          <w:rFonts w:ascii="Times New Roman" w:hAnsi="Times New Roman" w:cs="Times New Roman"/>
        </w:rPr>
      </w:pPr>
    </w:p>
    <w:p w:rsidR="00CE087C" w:rsidRPr="00E543E4" w:rsidRDefault="00CE087C" w:rsidP="00CE087C">
      <w:pPr>
        <w:autoSpaceDE w:val="0"/>
        <w:autoSpaceDN w:val="0"/>
        <w:adjustRightInd w:val="0"/>
        <w:spacing w:after="0" w:line="240" w:lineRule="auto"/>
        <w:rPr>
          <w:rFonts w:ascii="Times New Roman" w:hAnsi="Times New Roman" w:cs="Times New Roman"/>
          <w:b/>
          <w:bCs/>
          <w:color w:val="000000"/>
          <w:sz w:val="24"/>
          <w:szCs w:val="24"/>
        </w:rPr>
      </w:pPr>
      <w:r w:rsidRPr="00E543E4">
        <w:rPr>
          <w:rFonts w:ascii="Times New Roman" w:hAnsi="Times New Roman" w:cs="Times New Roman"/>
          <w:b/>
          <w:bCs/>
          <w:color w:val="000000"/>
          <w:sz w:val="24"/>
          <w:szCs w:val="24"/>
        </w:rPr>
        <w:t>La pobreza ha aumentado en los países desarrollados</w:t>
      </w:r>
    </w:p>
    <w:p w:rsidR="00CE087C" w:rsidRPr="00E543E4" w:rsidRDefault="00CE087C" w:rsidP="00CE087C">
      <w:pPr>
        <w:autoSpaceDE w:val="0"/>
        <w:autoSpaceDN w:val="0"/>
        <w:adjustRightInd w:val="0"/>
        <w:spacing w:after="0" w:line="240" w:lineRule="auto"/>
        <w:rPr>
          <w:rFonts w:ascii="Times New Roman" w:hAnsi="Times New Roman" w:cs="Times New Roman"/>
          <w:color w:val="000000"/>
          <w:sz w:val="24"/>
          <w:szCs w:val="24"/>
        </w:rPr>
      </w:pPr>
    </w:p>
    <w:p w:rsidR="00CE087C" w:rsidRDefault="00CE087C" w:rsidP="00CE087C">
      <w:pPr>
        <w:pStyle w:val="Default"/>
        <w:jc w:val="both"/>
        <w:rPr>
          <w:rFonts w:ascii="Times New Roman" w:hAnsi="Times New Roman" w:cs="Times New Roman"/>
        </w:rPr>
      </w:pPr>
      <w:r w:rsidRPr="00E543E4">
        <w:rPr>
          <w:rFonts w:ascii="Times New Roman" w:hAnsi="Times New Roman" w:cs="Times New Roman"/>
        </w:rPr>
        <w:t xml:space="preserve">Entre tanto y, según estimaciones de la OIT basadas en datos de encuestas de hogares, la tasa de pobreza (definida como la proporción de personas cuyos ingresos son inferiores al 60 por </w:t>
      </w:r>
      <w:r w:rsidRPr="00E543E4">
        <w:rPr>
          <w:rFonts w:ascii="Times New Roman" w:hAnsi="Times New Roman" w:cs="Times New Roman"/>
        </w:rPr>
        <w:lastRenderedPageBreak/>
        <w:t>ciento de la mediana nacional de los ingresos per cápita) fue del 22 por ciento en 2012 (lo que representa más de 300 millones de personas) en una muestra de 37 países desarrollados. Del mismo modo, la tasa de pobreza relativa en los países desarrollados</w:t>
      </w:r>
      <w:r>
        <w:rPr>
          <w:rFonts w:ascii="Times New Roman" w:hAnsi="Times New Roman" w:cs="Times New Roman"/>
        </w:rPr>
        <w:t>,</w:t>
      </w:r>
      <w:r w:rsidRPr="00E543E4">
        <w:rPr>
          <w:rFonts w:ascii="Times New Roman" w:hAnsi="Times New Roman" w:cs="Times New Roman"/>
        </w:rPr>
        <w:t xml:space="preserve"> obtenida a partir de otras fuentes (definida como el porcentaje de la población con unos ingresos inferiores al 60 por ciento de la mediana de los ingresos equivalentes), que en 2012 era del 20,1 por ciento, ha permanecido relativamente estable en los últimos años (véase el cuadro 1.1). La tasa de riesgo de pobreza en la Unión Europea (UE) (definida como la proporción de la población con unos ingresos inferiores al 60 por ciento de la mediana de los ingresos disponibles equivalentes) se mantuvo bastante estable, situándose en torno al 16,5 por ciento en los años que precedieron la crisis financiera mundial de 2008. Desde entonces, se observa una tendencia al alza de esta tasa, que llegó a ser del 17,2 por ciento de la población de la UE en 2014 (véase el cuadro 1.1)</w:t>
      </w:r>
      <w:r>
        <w:rPr>
          <w:rFonts w:ascii="Times New Roman" w:hAnsi="Times New Roman" w:cs="Times New Roman"/>
        </w:rPr>
        <w:t>…</w:t>
      </w: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r>
        <w:rPr>
          <w:rFonts w:ascii="Times New Roman" w:hAnsi="Times New Roman" w:cs="Times New Roman"/>
        </w:rPr>
        <w:t xml:space="preserve">             </w:t>
      </w:r>
      <w:r w:rsidRPr="00E543E4">
        <w:rPr>
          <w:rFonts w:ascii="Times New Roman" w:hAnsi="Times New Roman" w:cs="Times New Roman"/>
          <w:noProof/>
          <w:lang w:eastAsia="es-ES"/>
        </w:rPr>
        <w:drawing>
          <wp:inline distT="0" distB="0" distL="0" distR="0" wp14:anchorId="5EAE59BA" wp14:editId="61B51287">
            <wp:extent cx="5110673" cy="3194050"/>
            <wp:effectExtent l="0" t="0" r="0" b="6350"/>
            <wp:docPr id="568" name="Imagen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115639" cy="3197153"/>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r>
        <w:rPr>
          <w:rFonts w:ascii="Times New Roman" w:hAnsi="Times New Roman" w:cs="Times New Roman"/>
        </w:rPr>
        <w:t xml:space="preserve">                          </w:t>
      </w:r>
      <w:r w:rsidRPr="00F83569">
        <w:rPr>
          <w:rFonts w:ascii="Times New Roman" w:hAnsi="Times New Roman" w:cs="Times New Roman"/>
          <w:noProof/>
          <w:lang w:eastAsia="es-ES"/>
        </w:rPr>
        <w:drawing>
          <wp:inline distT="0" distB="0" distL="0" distR="0" wp14:anchorId="3718224D" wp14:editId="33E8C6CE">
            <wp:extent cx="4197101" cy="3244850"/>
            <wp:effectExtent l="0" t="0" r="0" b="0"/>
            <wp:docPr id="569" name="Imagen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4201111" cy="3247950"/>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r>
        <w:rPr>
          <w:rFonts w:ascii="Times New Roman" w:hAnsi="Times New Roman" w:cs="Times New Roman"/>
        </w:rPr>
        <w:lastRenderedPageBreak/>
        <w:t xml:space="preserve">                         </w:t>
      </w:r>
      <w:r w:rsidRPr="00F83569">
        <w:rPr>
          <w:rFonts w:ascii="Times New Roman" w:hAnsi="Times New Roman" w:cs="Times New Roman"/>
          <w:noProof/>
          <w:lang w:eastAsia="es-ES"/>
        </w:rPr>
        <w:drawing>
          <wp:inline distT="0" distB="0" distL="0" distR="0" wp14:anchorId="4AE5C811" wp14:editId="6C3908FE">
            <wp:extent cx="4182059" cy="2457793"/>
            <wp:effectExtent l="0" t="0" r="9525" b="0"/>
            <wp:docPr id="570" name="Imagen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4182059" cy="2457793"/>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r w:rsidRPr="00716F7D">
        <w:rPr>
          <w:rFonts w:ascii="Times New Roman" w:hAnsi="Times New Roman" w:cs="Times New Roman"/>
        </w:rPr>
        <w:t>Apéndice B. Brechas agregadas de pobreza por país: nivel y composición (pobreza extrema y moderada), 2012</w:t>
      </w:r>
      <w:r>
        <w:rPr>
          <w:rFonts w:ascii="Times New Roman" w:hAnsi="Times New Roman" w:cs="Times New Roman"/>
        </w:rPr>
        <w:t xml:space="preserve"> - Gráfico 2B.1 </w:t>
      </w:r>
      <w:r w:rsidRPr="00716F7D">
        <w:rPr>
          <w:rFonts w:ascii="Times New Roman" w:hAnsi="Times New Roman" w:cs="Times New Roman"/>
        </w:rPr>
        <w:t>Brecha de ingresos (en porcentaje del PIB) y distribución de la brecha de ingresos (en porcentaje), 2012</w:t>
      </w:r>
    </w:p>
    <w:p w:rsidR="00CE087C" w:rsidRDefault="00CE087C" w:rsidP="00CE087C">
      <w:pPr>
        <w:pStyle w:val="Default"/>
        <w:jc w:val="both"/>
        <w:rPr>
          <w:rFonts w:ascii="Times New Roman" w:hAnsi="Times New Roman" w:cs="Times New Roman"/>
        </w:rPr>
      </w:pPr>
      <w:r>
        <w:rPr>
          <w:rFonts w:ascii="Times New Roman" w:hAnsi="Times New Roman" w:cs="Times New Roman"/>
        </w:rPr>
        <w:t xml:space="preserve">          </w:t>
      </w:r>
      <w:r w:rsidRPr="00716F7D">
        <w:rPr>
          <w:rFonts w:ascii="Times New Roman" w:hAnsi="Times New Roman" w:cs="Times New Roman"/>
          <w:noProof/>
          <w:lang w:eastAsia="es-ES"/>
        </w:rPr>
        <w:drawing>
          <wp:inline distT="0" distB="0" distL="0" distR="0" wp14:anchorId="443A6822" wp14:editId="0FB9AC2F">
            <wp:extent cx="5086350" cy="5537200"/>
            <wp:effectExtent l="0" t="0" r="0" b="6350"/>
            <wp:docPr id="571" name="Imagen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087060" cy="5537973"/>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r w:rsidRPr="00716F7D">
        <w:rPr>
          <w:rFonts w:ascii="Times New Roman" w:hAnsi="Times New Roman" w:cs="Times New Roman"/>
        </w:rPr>
        <w:lastRenderedPageBreak/>
        <w:t xml:space="preserve">Apéndice D. Impacto de la protección social en la reducción y prevención </w:t>
      </w:r>
      <w:r>
        <w:rPr>
          <w:rFonts w:ascii="Times New Roman" w:hAnsi="Times New Roman" w:cs="Times New Roman"/>
        </w:rPr>
        <w:t xml:space="preserve">de la pobreza, datos por países - Gráfico 2D.1 </w:t>
      </w:r>
      <w:r w:rsidRPr="00716F7D">
        <w:rPr>
          <w:rFonts w:ascii="Times New Roman" w:hAnsi="Times New Roman" w:cs="Times New Roman"/>
        </w:rPr>
        <w:t>Impacto de la protección social en la reducción y prevención de la pobreza por grupos de edad y situación económica, datos por países, último año para el que se dispone de datos (en porcentaje)</w:t>
      </w: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noProof/>
          <w:lang w:eastAsia="es-ES"/>
        </w:rPr>
      </w:pPr>
      <w:r w:rsidRPr="00716F7D">
        <w:rPr>
          <w:noProof/>
          <w:lang w:eastAsia="es-ES"/>
        </w:rPr>
        <w:t xml:space="preserve"> </w:t>
      </w:r>
      <w:r w:rsidRPr="00716F7D">
        <w:rPr>
          <w:rFonts w:ascii="Times New Roman" w:hAnsi="Times New Roman" w:cs="Times New Roman"/>
          <w:noProof/>
          <w:lang w:eastAsia="es-ES"/>
        </w:rPr>
        <w:drawing>
          <wp:inline distT="0" distB="0" distL="0" distR="0" wp14:anchorId="6CA470DC" wp14:editId="7B8AAA25">
            <wp:extent cx="3524742" cy="200053"/>
            <wp:effectExtent l="0" t="0" r="0" b="9525"/>
            <wp:docPr id="576" name="Imagen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3524742" cy="200053"/>
                    </a:xfrm>
                    <a:prstGeom prst="rect">
                      <a:avLst/>
                    </a:prstGeom>
                  </pic:spPr>
                </pic:pic>
              </a:graphicData>
            </a:graphic>
          </wp:inline>
        </w:drawing>
      </w:r>
    </w:p>
    <w:p w:rsidR="00CE087C" w:rsidRDefault="00CE087C" w:rsidP="00CE087C">
      <w:pPr>
        <w:pStyle w:val="Default"/>
        <w:jc w:val="both"/>
        <w:rPr>
          <w:noProof/>
          <w:lang w:eastAsia="es-ES"/>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r w:rsidRPr="00716F7D">
        <w:rPr>
          <w:rFonts w:ascii="Times New Roman" w:hAnsi="Times New Roman" w:cs="Times New Roman"/>
          <w:noProof/>
          <w:lang w:eastAsia="es-ES"/>
        </w:rPr>
        <w:drawing>
          <wp:inline distT="0" distB="0" distL="0" distR="0" wp14:anchorId="02023216" wp14:editId="2948280C">
            <wp:extent cx="2686050" cy="4146550"/>
            <wp:effectExtent l="0" t="0" r="0" b="6350"/>
            <wp:docPr id="573" name="Imagen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2689039" cy="4151163"/>
                    </a:xfrm>
                    <a:prstGeom prst="rect">
                      <a:avLst/>
                    </a:prstGeom>
                  </pic:spPr>
                </pic:pic>
              </a:graphicData>
            </a:graphic>
          </wp:inline>
        </w:drawing>
      </w:r>
      <w:r w:rsidRPr="00716F7D">
        <w:rPr>
          <w:rFonts w:ascii="Times New Roman" w:hAnsi="Times New Roman" w:cs="Times New Roman"/>
          <w:noProof/>
          <w:lang w:eastAsia="es-ES"/>
        </w:rPr>
        <w:drawing>
          <wp:inline distT="0" distB="0" distL="0" distR="0" wp14:anchorId="503514B9" wp14:editId="1F68EF2D">
            <wp:extent cx="2863850" cy="4152900"/>
            <wp:effectExtent l="0" t="0" r="0" b="0"/>
            <wp:docPr id="574" name="Imagen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2866331" cy="4156498"/>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p>
    <w:p w:rsidR="00CE087C" w:rsidRDefault="00CE087C" w:rsidP="00CE087C">
      <w:pPr>
        <w:pStyle w:val="Default"/>
        <w:jc w:val="both"/>
        <w:rPr>
          <w:rFonts w:ascii="Times New Roman" w:hAnsi="Times New Roman" w:cs="Times New Roman"/>
        </w:rPr>
      </w:pPr>
      <w:r w:rsidRPr="00716F7D">
        <w:rPr>
          <w:rFonts w:ascii="Times New Roman" w:hAnsi="Times New Roman" w:cs="Times New Roman"/>
          <w:noProof/>
          <w:lang w:eastAsia="es-ES"/>
        </w:rPr>
        <w:lastRenderedPageBreak/>
        <w:drawing>
          <wp:inline distT="0" distB="0" distL="0" distR="0" wp14:anchorId="73EE9879" wp14:editId="235C440F">
            <wp:extent cx="2705100" cy="177800"/>
            <wp:effectExtent l="0" t="0" r="0" b="0"/>
            <wp:docPr id="577" name="Imagen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2753786" cy="181000"/>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r w:rsidRPr="00401372">
        <w:rPr>
          <w:rFonts w:ascii="Times New Roman" w:hAnsi="Times New Roman" w:cs="Times New Roman"/>
          <w:noProof/>
          <w:lang w:eastAsia="es-ES"/>
        </w:rPr>
        <w:drawing>
          <wp:inline distT="0" distB="0" distL="0" distR="0" wp14:anchorId="465A9652" wp14:editId="1C459A96">
            <wp:extent cx="2817875" cy="4267200"/>
            <wp:effectExtent l="0" t="0" r="1905" b="0"/>
            <wp:docPr id="579" name="Imagen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2822585" cy="4274332"/>
                    </a:xfrm>
                    <a:prstGeom prst="rect">
                      <a:avLst/>
                    </a:prstGeom>
                  </pic:spPr>
                </pic:pic>
              </a:graphicData>
            </a:graphic>
          </wp:inline>
        </w:drawing>
      </w:r>
      <w:r w:rsidRPr="00401372">
        <w:rPr>
          <w:rFonts w:ascii="Times New Roman" w:hAnsi="Times New Roman" w:cs="Times New Roman"/>
          <w:noProof/>
          <w:lang w:eastAsia="es-ES"/>
        </w:rPr>
        <w:drawing>
          <wp:inline distT="0" distB="0" distL="0" distR="0" wp14:anchorId="35483B51" wp14:editId="2F186F90">
            <wp:extent cx="2851150" cy="4260850"/>
            <wp:effectExtent l="0" t="0" r="6350" b="6350"/>
            <wp:docPr id="580" name="Imagen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2851150" cy="4260850"/>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r w:rsidRPr="00401372">
        <w:rPr>
          <w:rFonts w:ascii="Times New Roman" w:hAnsi="Times New Roman" w:cs="Times New Roman"/>
          <w:noProof/>
          <w:lang w:eastAsia="es-ES"/>
        </w:rPr>
        <w:drawing>
          <wp:inline distT="0" distB="0" distL="0" distR="0" wp14:anchorId="66C5F574" wp14:editId="536641D9">
            <wp:extent cx="2819400" cy="4146550"/>
            <wp:effectExtent l="0" t="0" r="0" b="6350"/>
            <wp:docPr id="581" name="Imagen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819794" cy="4147129"/>
                    </a:xfrm>
                    <a:prstGeom prst="rect">
                      <a:avLst/>
                    </a:prstGeom>
                  </pic:spPr>
                </pic:pic>
              </a:graphicData>
            </a:graphic>
          </wp:inline>
        </w:drawing>
      </w:r>
      <w:r w:rsidRPr="00401372">
        <w:rPr>
          <w:rFonts w:ascii="Times New Roman" w:hAnsi="Times New Roman" w:cs="Times New Roman"/>
          <w:noProof/>
          <w:lang w:eastAsia="es-ES"/>
        </w:rPr>
        <w:drawing>
          <wp:inline distT="0" distB="0" distL="0" distR="0" wp14:anchorId="14F91274" wp14:editId="32459FD8">
            <wp:extent cx="2889250" cy="4146550"/>
            <wp:effectExtent l="0" t="0" r="6350" b="6350"/>
            <wp:docPr id="582" name="Imagen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2892449" cy="4151141"/>
                    </a:xfrm>
                    <a:prstGeom prst="rect">
                      <a:avLst/>
                    </a:prstGeom>
                  </pic:spPr>
                </pic:pic>
              </a:graphicData>
            </a:graphic>
          </wp:inline>
        </w:drawing>
      </w:r>
    </w:p>
    <w:p w:rsidR="00CE087C" w:rsidRDefault="00CE087C" w:rsidP="00CE087C">
      <w:pPr>
        <w:pStyle w:val="Default"/>
        <w:jc w:val="both"/>
        <w:rPr>
          <w:rFonts w:ascii="Times New Roman" w:hAnsi="Times New Roman" w:cs="Times New Roman"/>
        </w:rPr>
      </w:pPr>
    </w:p>
    <w:p w:rsidR="00CE087C" w:rsidRPr="008140A2" w:rsidRDefault="00CE087C" w:rsidP="00CE087C">
      <w:pPr>
        <w:pStyle w:val="Default"/>
        <w:jc w:val="both"/>
        <w:rPr>
          <w:rFonts w:ascii="Times New Roman" w:hAnsi="Times New Roman" w:cs="Times New Roman"/>
          <w:b/>
          <w:color w:val="auto"/>
        </w:rPr>
      </w:pPr>
      <w:r w:rsidRPr="008140A2">
        <w:rPr>
          <w:rFonts w:ascii="Times New Roman" w:hAnsi="Times New Roman" w:cs="Times New Roman"/>
          <w:b/>
          <w:color w:val="auto"/>
        </w:rPr>
        <w:lastRenderedPageBreak/>
        <w:t>- Informe sobre perspectivas sociales y del empleo en el mundo 2016 - Jóvenes - OIT - 2016</w:t>
      </w:r>
    </w:p>
    <w:p w:rsidR="00CE087C" w:rsidRPr="00AA56E3" w:rsidRDefault="00CE087C" w:rsidP="00CE087C">
      <w:pPr>
        <w:pStyle w:val="Default"/>
        <w:jc w:val="both"/>
        <w:rPr>
          <w:rFonts w:ascii="Times New Roman" w:hAnsi="Times New Roman" w:cs="Times New Roman"/>
          <w:color w:val="auto"/>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Al mismo tiempo que se reavivan las preocupaciones sobre el crecimiento económico mundial, el desempleo entre los jóvenes aumenta después de varios años de mejoras…</w:t>
      </w: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Se estima que en 2016 el crecimiento económico mundial será de un 3,2 por ciento, a saber, 0,4 puntos porcentuales menos de lo que se había previsto a finales de 2015. Esta revisión a la baja tiene origen en las recesiones registradas, cuyo impacto fue más profundo de lo que se esperaba en algunos de los principales países exportadores de productos básicos como la Argentina, Brasil y Federación de Rusia. Además, en los países en desarrollo el crecimiento ha registrado el nivel más bajo desde 2003 (4,2 por ciento en 2016). Pese a que se espera que el crecimiento mundial mejore ligeramente en 2017, en todo el mundo las decisiones en materia de inversión y contratación siguen restringidas debido a la incertidumbre provocada por un entorno en rápida evolución.</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Por consiguiente, después de reducirse durante varios años, la tasa de desempleo de los jóvenes está aumentando, y se espera que entre 2015 y 2016 pase del 12,9 al 13,1 por ciento, respectivamente. La cifra es bastante cercana al máximo histórico registrado en 2013 (13,2 por ciento) y se espera que se mantenga así durante 2017. Esto quiere decir que tras registrar una reducción de 3 millones entre 2012 y 2015, en 2016 habrá medio millón más de jóvenes en situación de desempleo en todo el mundo, es decir, un total de 71 millones. Esta cifra se mantendrá en 2017.</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Se observa un deterioro particularmente agudo en los países emergentes, donde se espera que la tasa de desempleo pase del 13,3 al 13,7 por ciento entre 2015 y 2017, es decir, de 52,9 millones de jóvenes en situación de desempleo a 53,5 millones. Si bien se estima que la tasa de desempleo de los jóvenes en los países en desarrollo se mantendrá estable (en torno al 9,5 por ciento en 2016), en términos absolutos se espera que la cantidad de jóvenes en situación de desempleo aumente en 0,2 millones en 2016 y que alcance los 7,9 millones en 2017, sobre todo debido al crecimiento de la mano de obra. Por último, se prevé que en 2016 los países desarrollados registren la mayor tasa de desempleo de los jóvenes en todo el mundo (14,5 por ciento o 9,8 millones). Pese a que se esperan incrementos continuos a lo largo de 2017, el ritmo de la mejora será lento (se estima que la tasa caerá apenas al 14,3 por ciento en 2017).</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 además, la calidad del empleo sigue siendo una de las principales preocupaciones de los jóvenes, sobre todo en los países emergentes y en desarrollo…</w:t>
      </w: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Las cifras del desempleo no ponen plenamente de manifiesto los desafíos del mercado de trabajo de los jóvenes. En efecto, pese a que una buena cantidad de jóvenes trabaja, no tiene ingresos suficientes para salir de la pobreza. De hecho, en los países emergentes y en desarrollo unos 156 millones de jóvenes con empleo viven en situación de pobreza extrema (es decir, con menos de 1,90 dólares de los Estados Unidos diarios) o moderada (a saber, con entre 1,90 y 3,10 dólares de los Estados Unidos diarios). Además, la proporción de trabajadores pobres es mayor entre los jóvenes que entre los adultos. En 2016, el 37,7 por ciento de los jóvenes con empleo viven en situación de pobreza extrema o moderada, mientras que entre los adultos con empleo la proporción es del 26 por ciento.</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 xml:space="preserve">En los países desarrollados con información disponible, el riesgo de estar en pobreza relativa (a saber, de vivir con menos del 60 por ciento del ingreso medio) es mayor entre los jóvenes, </w:t>
      </w:r>
      <w:r w:rsidRPr="00AA56E3">
        <w:rPr>
          <w:rFonts w:ascii="Times New Roman" w:hAnsi="Times New Roman" w:cs="Times New Roman"/>
          <w:sz w:val="24"/>
          <w:szCs w:val="24"/>
        </w:rPr>
        <w:lastRenderedPageBreak/>
        <w:t>aunque tengan un empleo. Por ejemplo, en 2014 se consideraba que el 12,7 por ciento de los jóvenes de la UE-28 corría el riesgo de entrar en situación de pobreza, mientras que entre los adultos la proporción era del 9,6 por ciento. Además de recibir salarios bajos, muchas veces los jóvenes trabajan de manera involuntaria en empleos in</w:t>
      </w:r>
      <w:r>
        <w:rPr>
          <w:rFonts w:ascii="Times New Roman" w:hAnsi="Times New Roman" w:cs="Times New Roman"/>
          <w:sz w:val="24"/>
          <w:szCs w:val="24"/>
        </w:rPr>
        <w:t xml:space="preserve">formales, temporales, o a tiempo </w:t>
      </w:r>
      <w:r w:rsidRPr="00AA56E3">
        <w:rPr>
          <w:rFonts w:ascii="Times New Roman" w:hAnsi="Times New Roman" w:cs="Times New Roman"/>
          <w:sz w:val="24"/>
          <w:szCs w:val="24"/>
        </w:rPr>
        <w:t>parcial. En 2014, aproximadamente el 29 por ciento de los jóvenes que trabajaban a tiempo parcial y el 37 por ciento de aquellos que tenían empleos temporales en la UE-28 trabajaban de manera involuntaria.</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 lo cual ha incrementado la inclinación a migrar</w:t>
      </w: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Ante las perspectivas de desempleo, de ser trabajadores pobres y/o de obtener empleos vulnerables, los jóvenes tienden a buscar mejores oportunidades de educación y de empleo en el extranjero. En 2015, casi 51 millones de migrantes internacionales tenían entre 15 y 29 años de edad. De este grupo, poco más de la mitad residía en economías desarrolladas. Además, en 2015, el 20 por ciento de la población del mundo en esta franja etaria se mostraba dispuesta a mudarse permanentemente a otro país. En el ámbito regional, se observa una mayor inclinación a migrar entre los jóvenes del África Subsahariana y de América Latina y el Caribe (38 por ciento en 2015), seguidos de cerca por los jóvenes de Europa Oriental (37 por ciento). En África del Norte, la proporción de jóvenes dispuestos a migrar es elevada (35 por ciento), al igual que en los países árabes, donde la cifra pasó del 21 al 28 por ciento entre 2009 y 2015. Las proporciones más reducidas de jóvenes dispuestos a migrar se observan en Asia del Sur y en América del Norte, donde solo el 17 y el 15 por ciento de los jóvenes, respectivamente, se muestra dispuesto a dejar su país (los datos de América del Norte corresponden a 2014). En cada región, y particularmente en el África Subsahariana y en Europa Septentrional, Meridional y Occidental, se observan considerables diferencias entre los países, pues los jóvenes de los países más pobres suelen mostrar una mayor inclinación a migrar.</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Aunque se han logrado avances respecto de los niveles educativos, muchos jóvenes no tienen empleo ni cursan estudios o capacitaciones…</w:t>
      </w: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La tasa mundial de actividad de la mano de obra de los jóvenes experimenta una tendencia a la baja desde hace ya cierto tiempo: entre 2000 y 2016 pasó del 53,6 al 45</w:t>
      </w:r>
      <w:r>
        <w:rPr>
          <w:rFonts w:ascii="Times New Roman" w:hAnsi="Times New Roman" w:cs="Times New Roman"/>
          <w:sz w:val="24"/>
          <w:szCs w:val="24"/>
        </w:rPr>
        <w:t xml:space="preserve">,8 por ciento, respectivamente. </w:t>
      </w:r>
      <w:r w:rsidRPr="00AA56E3">
        <w:rPr>
          <w:rFonts w:ascii="Times New Roman" w:hAnsi="Times New Roman" w:cs="Times New Roman"/>
          <w:sz w:val="24"/>
          <w:szCs w:val="24"/>
        </w:rPr>
        <w:t>Cabe resaltar que entre los jóvenes de entre 15 y 19 años de edad, la principal causa de esta caída es el aumento de las oportunidades de cursar estudios de educación secundaria superior (la tasa mundial bruta de inscripciones asciende a casi un 75 por ciento). Esta tendencia debe ser considerada como un avance positivo, pues la educación permite a los jóvenes ampliar sus competencias y conocimientos con miras a obtener mejores empleos en el futuro. No obstante, un porcentaje considerable de los jóvenes no tiene la oportunidad de cursar estudios, sobre todo en los países en desarrollo (por ejemplo, porque se ven obligados a trabajar por necesidad económica para complementar los ingresos de sus hogares). Esta situación los pone en riesgo de permanecer atrapados en la pobreza, pues complica su acceso a mejores empleos.</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 xml:space="preserve">Entre los jóvenes de entre 20 y 29 años de edad, la principal causa de disuasión de participar en el mercado de trabajo es la falta de oportunidades de empleo viables. Habida cuenta de que las tasas de desempleo se mantienen elevadas y de que la complejidad de la transición de los estudios al empleo sigue en aumento, cada vez más jóvenes se encuentran en una situación en la que ni trabajan ni cursan estudios o capacitaciones (Ni-Ni). Esta condición puede acarrear un deterioro de las competencias, subempleo y disuasión. Los datos de una </w:t>
      </w:r>
      <w:r w:rsidRPr="00AA56E3">
        <w:rPr>
          <w:rFonts w:ascii="Times New Roman" w:hAnsi="Times New Roman" w:cs="Times New Roman"/>
          <w:sz w:val="24"/>
          <w:szCs w:val="24"/>
        </w:rPr>
        <w:lastRenderedPageBreak/>
        <w:t>encuesta aplicada en 28 países de todo el mundo muestran que casi el 25 por ciento de los jóvenes de entre 15 y 29 años de edad entra en la categoría de los Ni-Ni. Además, los resultados indican que la proporción de Ni-Ni crece radicalmente a medida que la edad de los jóvenes aumenta. Se trata de un problema particularmente agudo en los países desarrollados, donde, pese al acceso generalizado a oportunidades de educación superior, se observan proporciones de Ni-Ni sistemáticamente más elevadas entre los jóvenes de más de 20 años de edad, que superan por un amplio margen a las de los jóvenes de entre 15 y 19 años de edad.</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 y las persistentes brechas de género socavan los avances sociales</w:t>
      </w: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En la mayoría de los indicadores del mercado de trabajo de los jóvenes se observan disparidades considerables entre hombres y mujeres, que apuntalan e incrementan las desigualdades durante la transición a la edad adulta. Estas disparidades pueden poner de manifiesto desigualdades en materia de oportunidades y reflejar problemas socioeconómicos y culturales profundamente arraigados que suelen poner en desventaja de manera desproporcionada a las mujeres.</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Si bien se han alcanzado algunos logros modestos en varias áreas y regiones, los avances son lentos. Por ejemplo, en 2016 la tasa de actividad de la mano de obra entre los hombres jóvenes es del 53,9 por ciento, mientras que entre las mujeres jóvenes la tasa asciende al 37,3 por ciento, lo cual implica una brecha de 16,6 puntos porcentuales. En 2000, la misma brecha era de 17,8 puntos porcentuales (el 62 por ciento de los hombres jóvenes en comparación con el 44,2 por ciento de las mujeres jóvenes). La diferencia es particularmente marcada en Asia del Sur, los países árabes y África del Norte, donde en 2016 las tasas de actividad de las mujeres jóvenes son 32,9, 32,3 y 30,2 puntos porcentuales inferiores a las de los hombres jóvenes, respectivamente.</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Asimismo, las mujeres jóvenes padecen de una tasa mundial de desempleo superior a la de sus homólogos masculinos. En 2016, el 13,7 por ciento de las mujeres jóvenes de la fuerza de trabajo se encuentra en situación de desempleo. Esta cifra supera por un punto porcentual a la de los hombres jóvenes. Los países árabes y de África del Norte registran las brechas más amplias en materia de tasas de desempleo entre hombres y mujeres de entre 15 y 24 años, a saber, 27,6 y 20,3 puntos porcentuales, respectivamente, a pesar del aumento del nivel educativo de las mujeres en estas regiones.</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Sin embargo, cabe resaltar que las tasas de desempleo de las mujeres jóvenes no son más altas que las de los hombres jóvenes en todos los países. Por ejemplo, en 2016, se observa que en varias regiones (Europa Septentrional, Meridional y Occidental, Asia Oriental y América del Norte) las tasas de desempleo de las mujeres jóvenes son inferiores a las de sus homólogos varones.</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Con vistas al futuro y para alcanzar los Objetivos de Desarrollo Sostenible (ODS), será necesario resolver los déficits de trabajo decente y las desigualdades del mercado de trabajo, sobre todo entre los jóvenes, pues son los agentes y las consecuencias de mayores desigualdades.</w:t>
      </w:r>
    </w:p>
    <w:p w:rsidR="008140A2" w:rsidRDefault="008140A2" w:rsidP="00CE087C">
      <w:pPr>
        <w:autoSpaceDE w:val="0"/>
        <w:autoSpaceDN w:val="0"/>
        <w:adjustRightInd w:val="0"/>
        <w:spacing w:after="0" w:line="240" w:lineRule="auto"/>
        <w:jc w:val="both"/>
        <w:rPr>
          <w:rFonts w:ascii="Times New Roman" w:hAnsi="Times New Roman" w:cs="Times New Roman"/>
          <w:sz w:val="24"/>
          <w:szCs w:val="24"/>
        </w:rPr>
      </w:pPr>
    </w:p>
    <w:p w:rsidR="008140A2" w:rsidRDefault="008140A2" w:rsidP="00CE087C">
      <w:pPr>
        <w:autoSpaceDE w:val="0"/>
        <w:autoSpaceDN w:val="0"/>
        <w:adjustRightInd w:val="0"/>
        <w:spacing w:after="0" w:line="240" w:lineRule="auto"/>
        <w:jc w:val="both"/>
        <w:rPr>
          <w:rFonts w:ascii="Times New Roman" w:hAnsi="Times New Roman" w:cs="Times New Roman"/>
          <w:sz w:val="24"/>
          <w:szCs w:val="24"/>
        </w:rPr>
      </w:pPr>
    </w:p>
    <w:p w:rsidR="008140A2" w:rsidRPr="00AA56E3" w:rsidRDefault="008140A2" w:rsidP="00CE087C">
      <w:pPr>
        <w:autoSpaceDE w:val="0"/>
        <w:autoSpaceDN w:val="0"/>
        <w:adjustRightInd w:val="0"/>
        <w:spacing w:after="0" w:line="240" w:lineRule="auto"/>
        <w:jc w:val="both"/>
        <w:rPr>
          <w:rFonts w:ascii="Times New Roman" w:hAnsi="Times New Roman" w:cs="Times New Roman"/>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lastRenderedPageBreak/>
        <w:t>Para construir sociedades inclusivas y sostenibles, es esencial mejorar los resultados de los jóvenes</w:t>
      </w:r>
    </w:p>
    <w:p w:rsidR="00CE087C" w:rsidRPr="00AA56E3" w:rsidRDefault="00CE087C" w:rsidP="00CE087C">
      <w:pPr>
        <w:autoSpaceDE w:val="0"/>
        <w:autoSpaceDN w:val="0"/>
        <w:adjustRightInd w:val="0"/>
        <w:spacing w:after="0" w:line="240" w:lineRule="auto"/>
        <w:jc w:val="both"/>
        <w:rPr>
          <w:rFonts w:ascii="Times New Roman" w:hAnsi="Times New Roman" w:cs="Times New Roman"/>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r w:rsidRPr="00AA56E3">
        <w:rPr>
          <w:rFonts w:ascii="Times New Roman" w:hAnsi="Times New Roman" w:cs="Times New Roman"/>
          <w:sz w:val="24"/>
          <w:szCs w:val="24"/>
        </w:rPr>
        <w:t>La Agenda 2030 para el Desarrollo Sostenible supone una oportunidad única de incorporar políticas destinadas a los jóvenes en estrategias globales de desarrollo sostenible. No hay que olvidar que es esencial mejorar los resultados de los jóvenes mediante políticas sociales y de empleo apropiadas para garantizar sociedades inclusivas y sostenibles, y para alcanzar los ODS. En este sentido, los cuatro objetivos estratégicos de la Declaración de la OIT sobre la justicia social para una globalización equitativa (adoptada en 2008 y evaluada en 2016) pueden ayudar a elaborar y moldear estrategias nacionales para el empleo de los jóvenes, resolver los déficits de trabajo decente para los jóvenes, remediar la pobreza y las desigualdades y equipar a los jóvenes con medios para alcanzar un futuro más equitativo y próspero</w:t>
      </w:r>
      <w:r w:rsidRPr="00AA56E3">
        <w:rPr>
          <w:rFonts w:ascii="Times New Roman" w:hAnsi="Times New Roman" w:cs="Times New Roman"/>
          <w:color w:val="000000"/>
          <w:sz w:val="24"/>
          <w:szCs w:val="24"/>
        </w:rPr>
        <w:t>.</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Pr="008140A2" w:rsidRDefault="008140A2" w:rsidP="00CE087C">
      <w:pPr>
        <w:autoSpaceDE w:val="0"/>
        <w:autoSpaceDN w:val="0"/>
        <w:adjustRightInd w:val="0"/>
        <w:spacing w:after="0" w:line="240" w:lineRule="auto"/>
        <w:jc w:val="both"/>
        <w:rPr>
          <w:rFonts w:ascii="Times New Roman" w:hAnsi="Times New Roman" w:cs="Times New Roman"/>
          <w:b/>
          <w:color w:val="000000"/>
          <w:sz w:val="24"/>
          <w:szCs w:val="24"/>
          <w:lang w:val="en-GB"/>
        </w:rPr>
      </w:pPr>
      <w:r w:rsidRPr="008140A2">
        <w:rPr>
          <w:rFonts w:ascii="Times New Roman" w:hAnsi="Times New Roman" w:cs="Times New Roman"/>
          <w:b/>
          <w:color w:val="000000"/>
          <w:sz w:val="24"/>
          <w:szCs w:val="24"/>
          <w:lang w:val="en-GB"/>
        </w:rPr>
        <w:t xml:space="preserve">- </w:t>
      </w:r>
      <w:r w:rsidR="00CE087C" w:rsidRPr="008140A2">
        <w:rPr>
          <w:rFonts w:ascii="Times New Roman" w:hAnsi="Times New Roman" w:cs="Times New Roman"/>
          <w:b/>
          <w:color w:val="000000"/>
          <w:sz w:val="24"/>
          <w:szCs w:val="24"/>
          <w:lang w:val="en-GB"/>
        </w:rPr>
        <w:t>Informe: Employment and Social Developments in Europe Annual Review 2017 - European Comission - June 2017</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3559FD">
        <w:rPr>
          <w:rFonts w:ascii="Times New Roman" w:hAnsi="Times New Roman" w:cs="Times New Roman"/>
          <w:color w:val="000000"/>
          <w:sz w:val="24"/>
          <w:szCs w:val="24"/>
          <w:lang w:val="en-GB"/>
        </w:rPr>
        <w:t>Executive Summary</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3559FD"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1. </w:t>
      </w:r>
      <w:r w:rsidRPr="003559FD">
        <w:rPr>
          <w:rFonts w:ascii="Times New Roman" w:hAnsi="Times New Roman" w:cs="Times New Roman"/>
          <w:color w:val="000000"/>
          <w:sz w:val="24"/>
          <w:szCs w:val="24"/>
          <w:lang w:val="en-GB"/>
        </w:rPr>
        <w:t>Main employment and social developments</w:t>
      </w: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In 2016 and early 2017, the EU ec</w:t>
      </w:r>
      <w:r>
        <w:rPr>
          <w:rFonts w:ascii="Times New Roman" w:hAnsi="Times New Roman" w:cs="Times New Roman"/>
          <w:color w:val="000000"/>
          <w:sz w:val="24"/>
          <w:szCs w:val="24"/>
          <w:lang w:val="en-GB"/>
        </w:rPr>
        <w:t xml:space="preserve">onomy continued to perform well </w:t>
      </w:r>
      <w:r w:rsidRPr="00AA56E3">
        <w:rPr>
          <w:rFonts w:ascii="Times New Roman" w:hAnsi="Times New Roman" w:cs="Times New Roman"/>
          <w:color w:val="000000"/>
          <w:sz w:val="24"/>
          <w:szCs w:val="24"/>
          <w:lang w:val="en-GB"/>
        </w:rPr>
        <w:t>despite internal and external challenges. It recorded c</w:t>
      </w:r>
      <w:r>
        <w:rPr>
          <w:rFonts w:ascii="Times New Roman" w:hAnsi="Times New Roman" w:cs="Times New Roman"/>
          <w:color w:val="000000"/>
          <w:sz w:val="24"/>
          <w:szCs w:val="24"/>
          <w:lang w:val="en-GB"/>
        </w:rPr>
        <w:t xml:space="preserve">ontinued, albeit </w:t>
      </w:r>
      <w:r w:rsidRPr="00AA56E3">
        <w:rPr>
          <w:rFonts w:ascii="Times New Roman" w:hAnsi="Times New Roman" w:cs="Times New Roman"/>
          <w:color w:val="000000"/>
          <w:sz w:val="24"/>
          <w:szCs w:val="24"/>
          <w:lang w:val="en-GB"/>
        </w:rPr>
        <w:t xml:space="preserve">slightly slower, real GDP growth (1.9 % </w:t>
      </w:r>
      <w:r>
        <w:rPr>
          <w:rFonts w:ascii="Times New Roman" w:hAnsi="Times New Roman" w:cs="Times New Roman"/>
          <w:color w:val="000000"/>
          <w:sz w:val="24"/>
          <w:szCs w:val="24"/>
          <w:lang w:val="en-GB"/>
        </w:rPr>
        <w:t xml:space="preserve">in the EU and 1.8 % in the euro </w:t>
      </w:r>
      <w:r w:rsidRPr="00AA56E3">
        <w:rPr>
          <w:rFonts w:ascii="Times New Roman" w:hAnsi="Times New Roman" w:cs="Times New Roman"/>
          <w:color w:val="000000"/>
          <w:sz w:val="24"/>
          <w:szCs w:val="24"/>
          <w:lang w:val="en-GB"/>
        </w:rPr>
        <w:t>area in 2016), which was accompanie</w:t>
      </w:r>
      <w:r>
        <w:rPr>
          <w:rFonts w:ascii="Times New Roman" w:hAnsi="Times New Roman" w:cs="Times New Roman"/>
          <w:color w:val="000000"/>
          <w:sz w:val="24"/>
          <w:szCs w:val="24"/>
          <w:lang w:val="en-GB"/>
        </w:rPr>
        <w:t xml:space="preserve">d by further job creation and a </w:t>
      </w:r>
      <w:r w:rsidRPr="00AA56E3">
        <w:rPr>
          <w:rFonts w:ascii="Times New Roman" w:hAnsi="Times New Roman" w:cs="Times New Roman"/>
          <w:color w:val="000000"/>
          <w:sz w:val="24"/>
          <w:szCs w:val="24"/>
          <w:lang w:val="en-GB"/>
        </w:rPr>
        <w:t>continued decrease in unemployment. Du</w:t>
      </w:r>
      <w:r>
        <w:rPr>
          <w:rFonts w:ascii="Times New Roman" w:hAnsi="Times New Roman" w:cs="Times New Roman"/>
          <w:color w:val="000000"/>
          <w:sz w:val="24"/>
          <w:szCs w:val="24"/>
          <w:lang w:val="en-GB"/>
        </w:rPr>
        <w:t xml:space="preserve">ring the four years of recovery </w:t>
      </w:r>
      <w:r w:rsidRPr="00AA56E3">
        <w:rPr>
          <w:rFonts w:ascii="Times New Roman" w:hAnsi="Times New Roman" w:cs="Times New Roman"/>
          <w:color w:val="000000"/>
          <w:sz w:val="24"/>
          <w:szCs w:val="24"/>
          <w:lang w:val="en-GB"/>
        </w:rPr>
        <w:t>following the recent crisis, econom</w:t>
      </w:r>
      <w:r>
        <w:rPr>
          <w:rFonts w:ascii="Times New Roman" w:hAnsi="Times New Roman" w:cs="Times New Roman"/>
          <w:color w:val="000000"/>
          <w:sz w:val="24"/>
          <w:szCs w:val="24"/>
          <w:lang w:val="en-GB"/>
        </w:rPr>
        <w:t xml:space="preserve">ic growth has been moderate but </w:t>
      </w:r>
      <w:r w:rsidRPr="00AA56E3">
        <w:rPr>
          <w:rFonts w:ascii="Times New Roman" w:hAnsi="Times New Roman" w:cs="Times New Roman"/>
          <w:color w:val="000000"/>
          <w:sz w:val="24"/>
          <w:szCs w:val="24"/>
          <w:lang w:val="en-GB"/>
        </w:rPr>
        <w:t>steady. It has mostly been driven by co</w:t>
      </w:r>
      <w:r>
        <w:rPr>
          <w:rFonts w:ascii="Times New Roman" w:hAnsi="Times New Roman" w:cs="Times New Roman"/>
          <w:color w:val="000000"/>
          <w:sz w:val="24"/>
          <w:szCs w:val="24"/>
          <w:lang w:val="en-GB"/>
        </w:rPr>
        <w:t xml:space="preserve">nsumption, while investment has </w:t>
      </w:r>
      <w:r w:rsidRPr="00AA56E3">
        <w:rPr>
          <w:rFonts w:ascii="Times New Roman" w:hAnsi="Times New Roman" w:cs="Times New Roman"/>
          <w:color w:val="000000"/>
          <w:sz w:val="24"/>
          <w:szCs w:val="24"/>
          <w:lang w:val="en-GB"/>
        </w:rPr>
        <w:t>so far failed to recover significantly.</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This economic growth has brought about solid net job creation since mid-2013. Employment growth has been strong relative to the pace of GDP growth over the last two years. In the first quarter of 2017, 234.2 million people were </w:t>
      </w:r>
      <w:r w:rsidRPr="00AA56E3">
        <w:rPr>
          <w:rFonts w:ascii="Times New Roman" w:hAnsi="Times New Roman" w:cs="Times New Roman"/>
          <w:color w:val="000000"/>
          <w:sz w:val="24"/>
          <w:szCs w:val="24"/>
          <w:lang w:val="en-GB"/>
        </w:rPr>
        <w:t>in employment in the EU. This relativ</w:t>
      </w:r>
      <w:r>
        <w:rPr>
          <w:rFonts w:ascii="Times New Roman" w:hAnsi="Times New Roman" w:cs="Times New Roman"/>
          <w:color w:val="000000"/>
          <w:sz w:val="24"/>
          <w:szCs w:val="24"/>
          <w:lang w:val="en-GB"/>
        </w:rPr>
        <w:t xml:space="preserve">ely strong employment growth is </w:t>
      </w:r>
      <w:r w:rsidRPr="00AA56E3">
        <w:rPr>
          <w:rFonts w:ascii="Times New Roman" w:hAnsi="Times New Roman" w:cs="Times New Roman"/>
          <w:color w:val="000000"/>
          <w:sz w:val="24"/>
          <w:szCs w:val="24"/>
          <w:lang w:val="en-GB"/>
        </w:rPr>
        <w:t>accompanied by a lower expansion of hours worked per person employed.</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The relatively strong employment ex</w:t>
      </w:r>
      <w:r>
        <w:rPr>
          <w:rFonts w:ascii="Times New Roman" w:hAnsi="Times New Roman" w:cs="Times New Roman"/>
          <w:color w:val="000000"/>
          <w:sz w:val="24"/>
          <w:szCs w:val="24"/>
          <w:lang w:val="en-GB"/>
        </w:rPr>
        <w:t xml:space="preserve">pansion in conjunction with the </w:t>
      </w:r>
      <w:r w:rsidRPr="00AA56E3">
        <w:rPr>
          <w:rFonts w:ascii="Times New Roman" w:hAnsi="Times New Roman" w:cs="Times New Roman"/>
          <w:color w:val="000000"/>
          <w:sz w:val="24"/>
          <w:szCs w:val="24"/>
          <w:lang w:val="en-GB"/>
        </w:rPr>
        <w:t>modest GDP growth has resulted in on</w:t>
      </w:r>
      <w:r>
        <w:rPr>
          <w:rFonts w:ascii="Times New Roman" w:hAnsi="Times New Roman" w:cs="Times New Roman"/>
          <w:color w:val="000000"/>
          <w:sz w:val="24"/>
          <w:szCs w:val="24"/>
          <w:lang w:val="en-GB"/>
        </w:rPr>
        <w:t xml:space="preserve">ly subdued productivity growth, </w:t>
      </w:r>
      <w:r w:rsidRPr="00AA56E3">
        <w:rPr>
          <w:rFonts w:ascii="Times New Roman" w:hAnsi="Times New Roman" w:cs="Times New Roman"/>
          <w:color w:val="000000"/>
          <w:sz w:val="24"/>
          <w:szCs w:val="24"/>
          <w:lang w:val="en-GB"/>
        </w:rPr>
        <w:t xml:space="preserve">with productivity per person having risen </w:t>
      </w:r>
      <w:r>
        <w:rPr>
          <w:rFonts w:ascii="Times New Roman" w:hAnsi="Times New Roman" w:cs="Times New Roman"/>
          <w:color w:val="000000"/>
          <w:sz w:val="24"/>
          <w:szCs w:val="24"/>
          <w:lang w:val="en-GB"/>
        </w:rPr>
        <w:t xml:space="preserve">by 0.6 % in 2016. Together with </w:t>
      </w:r>
      <w:r w:rsidRPr="00AA56E3">
        <w:rPr>
          <w:rFonts w:ascii="Times New Roman" w:hAnsi="Times New Roman" w:cs="Times New Roman"/>
          <w:color w:val="000000"/>
          <w:sz w:val="24"/>
          <w:szCs w:val="24"/>
          <w:lang w:val="en-GB"/>
        </w:rPr>
        <w:t>the slightly higher but still slow growth</w:t>
      </w:r>
      <w:r>
        <w:rPr>
          <w:rFonts w:ascii="Times New Roman" w:hAnsi="Times New Roman" w:cs="Times New Roman"/>
          <w:color w:val="000000"/>
          <w:sz w:val="24"/>
          <w:szCs w:val="24"/>
          <w:lang w:val="en-GB"/>
        </w:rPr>
        <w:t xml:space="preserve"> in nominal compensation per </w:t>
      </w:r>
      <w:r w:rsidRPr="00AA56E3">
        <w:rPr>
          <w:rFonts w:ascii="Times New Roman" w:hAnsi="Times New Roman" w:cs="Times New Roman"/>
          <w:color w:val="000000"/>
          <w:sz w:val="24"/>
          <w:szCs w:val="24"/>
          <w:lang w:val="en-GB"/>
        </w:rPr>
        <w:t>employee, this led to a modest increase in nominal labour cost.</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Labour market participation in the EU continu</w:t>
      </w:r>
      <w:r>
        <w:rPr>
          <w:rFonts w:ascii="Times New Roman" w:hAnsi="Times New Roman" w:cs="Times New Roman"/>
          <w:color w:val="000000"/>
          <w:sz w:val="24"/>
          <w:szCs w:val="24"/>
          <w:lang w:val="en-GB"/>
        </w:rPr>
        <w:t xml:space="preserve">ed to increase in 2016, in line </w:t>
      </w:r>
      <w:r w:rsidRPr="00AA56E3">
        <w:rPr>
          <w:rFonts w:ascii="Times New Roman" w:hAnsi="Times New Roman" w:cs="Times New Roman"/>
          <w:color w:val="000000"/>
          <w:sz w:val="24"/>
          <w:szCs w:val="24"/>
          <w:lang w:val="en-GB"/>
        </w:rPr>
        <w:t>with the observed longer-term trend. In 20</w:t>
      </w:r>
      <w:r>
        <w:rPr>
          <w:rFonts w:ascii="Times New Roman" w:hAnsi="Times New Roman" w:cs="Times New Roman"/>
          <w:color w:val="000000"/>
          <w:sz w:val="24"/>
          <w:szCs w:val="24"/>
          <w:lang w:val="en-GB"/>
        </w:rPr>
        <w:t xml:space="preserve">15 the EU reached a higher rate </w:t>
      </w:r>
      <w:r w:rsidRPr="00AA56E3">
        <w:rPr>
          <w:rFonts w:ascii="Times New Roman" w:hAnsi="Times New Roman" w:cs="Times New Roman"/>
          <w:color w:val="000000"/>
          <w:sz w:val="24"/>
          <w:szCs w:val="24"/>
          <w:lang w:val="en-GB"/>
        </w:rPr>
        <w:t>of participation in the labour market t</w:t>
      </w:r>
      <w:r>
        <w:rPr>
          <w:rFonts w:ascii="Times New Roman" w:hAnsi="Times New Roman" w:cs="Times New Roman"/>
          <w:color w:val="000000"/>
          <w:sz w:val="24"/>
          <w:szCs w:val="24"/>
          <w:lang w:val="en-GB"/>
        </w:rPr>
        <w:t xml:space="preserve">han the US. This was the result </w:t>
      </w:r>
      <w:r w:rsidRPr="00AA56E3">
        <w:rPr>
          <w:rFonts w:ascii="Times New Roman" w:hAnsi="Times New Roman" w:cs="Times New Roman"/>
          <w:color w:val="000000"/>
          <w:sz w:val="24"/>
          <w:szCs w:val="24"/>
          <w:lang w:val="en-GB"/>
        </w:rPr>
        <w:t>principally of older workers delayi</w:t>
      </w:r>
      <w:r>
        <w:rPr>
          <w:rFonts w:ascii="Times New Roman" w:hAnsi="Times New Roman" w:cs="Times New Roman"/>
          <w:color w:val="000000"/>
          <w:sz w:val="24"/>
          <w:szCs w:val="24"/>
          <w:lang w:val="en-GB"/>
        </w:rPr>
        <w:t xml:space="preserve">ng their retirement and women's </w:t>
      </w:r>
      <w:r w:rsidRPr="00AA56E3">
        <w:rPr>
          <w:rFonts w:ascii="Times New Roman" w:hAnsi="Times New Roman" w:cs="Times New Roman"/>
          <w:color w:val="000000"/>
          <w:sz w:val="24"/>
          <w:szCs w:val="24"/>
          <w:lang w:val="en-GB"/>
        </w:rPr>
        <w:t>increased labour force participation. E</w:t>
      </w:r>
      <w:r>
        <w:rPr>
          <w:rFonts w:ascii="Times New Roman" w:hAnsi="Times New Roman" w:cs="Times New Roman"/>
          <w:color w:val="000000"/>
          <w:sz w:val="24"/>
          <w:szCs w:val="24"/>
          <w:lang w:val="en-GB"/>
        </w:rPr>
        <w:t xml:space="preserve">mployment demand in the EU also </w:t>
      </w:r>
      <w:r w:rsidRPr="00AA56E3">
        <w:rPr>
          <w:rFonts w:ascii="Times New Roman" w:hAnsi="Times New Roman" w:cs="Times New Roman"/>
          <w:color w:val="000000"/>
          <w:sz w:val="24"/>
          <w:szCs w:val="24"/>
          <w:lang w:val="en-GB"/>
        </w:rPr>
        <w:t>became more dynamic in 2016.</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 xml:space="preserve">Consequently, the employment rate in the </w:t>
      </w:r>
      <w:r>
        <w:rPr>
          <w:rFonts w:ascii="Times New Roman" w:hAnsi="Times New Roman" w:cs="Times New Roman"/>
          <w:color w:val="000000"/>
          <w:sz w:val="24"/>
          <w:szCs w:val="24"/>
          <w:lang w:val="en-GB"/>
        </w:rPr>
        <w:t xml:space="preserve">EU reached its highest value on </w:t>
      </w:r>
      <w:r w:rsidRPr="00AA56E3">
        <w:rPr>
          <w:rFonts w:ascii="Times New Roman" w:hAnsi="Times New Roman" w:cs="Times New Roman"/>
          <w:color w:val="000000"/>
          <w:sz w:val="24"/>
          <w:szCs w:val="24"/>
          <w:lang w:val="en-GB"/>
        </w:rPr>
        <w:t xml:space="preserve">record in 2016, although the dynamics </w:t>
      </w:r>
      <w:r>
        <w:rPr>
          <w:rFonts w:ascii="Times New Roman" w:hAnsi="Times New Roman" w:cs="Times New Roman"/>
          <w:color w:val="000000"/>
          <w:sz w:val="24"/>
          <w:szCs w:val="24"/>
          <w:lang w:val="en-GB"/>
        </w:rPr>
        <w:t xml:space="preserve">differed strongly across Member </w:t>
      </w:r>
      <w:r w:rsidRPr="00AA56E3">
        <w:rPr>
          <w:rFonts w:ascii="Times New Roman" w:hAnsi="Times New Roman" w:cs="Times New Roman"/>
          <w:color w:val="000000"/>
          <w:sz w:val="24"/>
          <w:szCs w:val="24"/>
          <w:lang w:val="en-GB"/>
        </w:rPr>
        <w:t>States. As a result of the latest increase</w:t>
      </w:r>
      <w:r>
        <w:rPr>
          <w:rFonts w:ascii="Times New Roman" w:hAnsi="Times New Roman" w:cs="Times New Roman"/>
          <w:color w:val="000000"/>
          <w:sz w:val="24"/>
          <w:szCs w:val="24"/>
          <w:lang w:val="en-GB"/>
        </w:rPr>
        <w:t>s, the 75 % employment rate set as the “Europe 2020”</w:t>
      </w:r>
      <w:r w:rsidRPr="00AA56E3">
        <w:rPr>
          <w:rFonts w:ascii="Times New Roman" w:hAnsi="Times New Roman" w:cs="Times New Roman"/>
          <w:color w:val="000000"/>
          <w:sz w:val="24"/>
          <w:szCs w:val="24"/>
          <w:lang w:val="en-GB"/>
        </w:rPr>
        <w:t xml:space="preserve"> target is still achievable, assuming that the re</w:t>
      </w:r>
      <w:r>
        <w:rPr>
          <w:rFonts w:ascii="Times New Roman" w:hAnsi="Times New Roman" w:cs="Times New Roman"/>
          <w:color w:val="000000"/>
          <w:sz w:val="24"/>
          <w:szCs w:val="24"/>
          <w:lang w:val="en-GB"/>
        </w:rPr>
        <w:t xml:space="preserve">cent </w:t>
      </w:r>
      <w:r w:rsidRPr="00AA56E3">
        <w:rPr>
          <w:rFonts w:ascii="Times New Roman" w:hAnsi="Times New Roman" w:cs="Times New Roman"/>
          <w:color w:val="000000"/>
          <w:sz w:val="24"/>
          <w:szCs w:val="24"/>
          <w:lang w:val="en-GB"/>
        </w:rPr>
        <w:t>trend continues. At the same time t</w:t>
      </w:r>
      <w:r>
        <w:rPr>
          <w:rFonts w:ascii="Times New Roman" w:hAnsi="Times New Roman" w:cs="Times New Roman"/>
          <w:color w:val="000000"/>
          <w:sz w:val="24"/>
          <w:szCs w:val="24"/>
          <w:lang w:val="en-GB"/>
        </w:rPr>
        <w:t xml:space="preserve">he crisis and the recovery have </w:t>
      </w:r>
      <w:r w:rsidRPr="00AA56E3">
        <w:rPr>
          <w:rFonts w:ascii="Times New Roman" w:hAnsi="Times New Roman" w:cs="Times New Roman"/>
          <w:color w:val="000000"/>
          <w:sz w:val="24"/>
          <w:szCs w:val="24"/>
          <w:lang w:val="en-GB"/>
        </w:rPr>
        <w:t>changed the structure of employment in</w:t>
      </w:r>
      <w:r>
        <w:rPr>
          <w:rFonts w:ascii="Times New Roman" w:hAnsi="Times New Roman" w:cs="Times New Roman"/>
          <w:color w:val="000000"/>
          <w:sz w:val="24"/>
          <w:szCs w:val="24"/>
          <w:lang w:val="en-GB"/>
        </w:rPr>
        <w:t xml:space="preserve"> the EU, particularly through a </w:t>
      </w:r>
      <w:r w:rsidRPr="00AA56E3">
        <w:rPr>
          <w:rFonts w:ascii="Times New Roman" w:hAnsi="Times New Roman" w:cs="Times New Roman"/>
          <w:color w:val="000000"/>
          <w:sz w:val="24"/>
          <w:szCs w:val="24"/>
          <w:lang w:val="en-GB"/>
        </w:rPr>
        <w:t xml:space="preserve">shift of employment </w:t>
      </w:r>
      <w:r w:rsidRPr="00AA56E3">
        <w:rPr>
          <w:rFonts w:ascii="Times New Roman" w:hAnsi="Times New Roman" w:cs="Times New Roman"/>
          <w:color w:val="000000"/>
          <w:sz w:val="24"/>
          <w:szCs w:val="24"/>
          <w:lang w:val="en-GB"/>
        </w:rPr>
        <w:lastRenderedPageBreak/>
        <w:t>towards service activit</w:t>
      </w:r>
      <w:r>
        <w:rPr>
          <w:rFonts w:ascii="Times New Roman" w:hAnsi="Times New Roman" w:cs="Times New Roman"/>
          <w:color w:val="000000"/>
          <w:sz w:val="24"/>
          <w:szCs w:val="24"/>
          <w:lang w:val="en-GB"/>
        </w:rPr>
        <w:t xml:space="preserve">ies and an increase in part-time </w:t>
      </w:r>
      <w:r w:rsidRPr="00AA56E3">
        <w:rPr>
          <w:rFonts w:ascii="Times New Roman" w:hAnsi="Times New Roman" w:cs="Times New Roman"/>
          <w:color w:val="000000"/>
          <w:sz w:val="24"/>
          <w:szCs w:val="24"/>
          <w:lang w:val="en-GB"/>
        </w:rPr>
        <w:t>jobs, including a rise in involuntary part-time work.</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Des</w:t>
      </w:r>
      <w:r>
        <w:rPr>
          <w:rFonts w:ascii="Times New Roman" w:hAnsi="Times New Roman" w:cs="Times New Roman"/>
          <w:color w:val="000000"/>
          <w:sz w:val="24"/>
          <w:szCs w:val="24"/>
          <w:lang w:val="en-GB"/>
        </w:rPr>
        <w:t xml:space="preserve">pite recent improvements in the labour market, unemployment and very long-term unemployment remain among the most important </w:t>
      </w:r>
      <w:r w:rsidRPr="00AA56E3">
        <w:rPr>
          <w:rFonts w:ascii="Times New Roman" w:hAnsi="Times New Roman" w:cs="Times New Roman"/>
          <w:color w:val="000000"/>
          <w:sz w:val="24"/>
          <w:szCs w:val="24"/>
          <w:lang w:val="en-GB"/>
        </w:rPr>
        <w:t>ch</w:t>
      </w:r>
      <w:r>
        <w:rPr>
          <w:rFonts w:ascii="Times New Roman" w:hAnsi="Times New Roman" w:cs="Times New Roman"/>
          <w:color w:val="000000"/>
          <w:sz w:val="24"/>
          <w:szCs w:val="24"/>
          <w:lang w:val="en-GB"/>
        </w:rPr>
        <w:t xml:space="preserve">allenges in the EU. In 2016 the unemployment rate fell by 0,9 </w:t>
      </w:r>
      <w:r w:rsidRPr="00AA56E3">
        <w:rPr>
          <w:rFonts w:ascii="Times New Roman" w:hAnsi="Times New Roman" w:cs="Times New Roman"/>
          <w:color w:val="000000"/>
          <w:sz w:val="24"/>
          <w:szCs w:val="24"/>
          <w:lang w:val="en-GB"/>
        </w:rPr>
        <w:t>per</w:t>
      </w:r>
      <w:r>
        <w:rPr>
          <w:rFonts w:ascii="Times New Roman" w:hAnsi="Times New Roman" w:cs="Times New Roman"/>
          <w:color w:val="000000"/>
          <w:sz w:val="24"/>
          <w:szCs w:val="24"/>
          <w:lang w:val="en-GB"/>
        </w:rPr>
        <w:t xml:space="preserve">centage point (pp), the biggest </w:t>
      </w:r>
      <w:r w:rsidRPr="00AA56E3">
        <w:rPr>
          <w:rFonts w:ascii="Times New Roman" w:hAnsi="Times New Roman" w:cs="Times New Roman"/>
          <w:color w:val="000000"/>
          <w:sz w:val="24"/>
          <w:szCs w:val="24"/>
          <w:lang w:val="en-GB"/>
        </w:rPr>
        <w:t>reduction since the beginning of the recovery, and decreased further to</w:t>
      </w:r>
      <w:r>
        <w:rPr>
          <w:rFonts w:ascii="Times New Roman" w:hAnsi="Times New Roman" w:cs="Times New Roman"/>
          <w:color w:val="000000"/>
          <w:sz w:val="24"/>
          <w:szCs w:val="24"/>
          <w:lang w:val="en-GB"/>
        </w:rPr>
        <w:t xml:space="preserve"> 7,</w:t>
      </w:r>
      <w:r w:rsidRPr="00AA56E3">
        <w:rPr>
          <w:rFonts w:ascii="Times New Roman" w:hAnsi="Times New Roman" w:cs="Times New Roman"/>
          <w:color w:val="000000"/>
          <w:sz w:val="24"/>
          <w:szCs w:val="24"/>
          <w:lang w:val="en-GB"/>
        </w:rPr>
        <w:t>8 % o</w:t>
      </w:r>
      <w:r>
        <w:rPr>
          <w:rFonts w:ascii="Times New Roman" w:hAnsi="Times New Roman" w:cs="Times New Roman"/>
          <w:color w:val="000000"/>
          <w:sz w:val="24"/>
          <w:szCs w:val="24"/>
          <w:lang w:val="en-GB"/>
        </w:rPr>
        <w:t>f the labour force or around 19,</w:t>
      </w:r>
      <w:r w:rsidRPr="00AA56E3">
        <w:rPr>
          <w:rFonts w:ascii="Times New Roman" w:hAnsi="Times New Roman" w:cs="Times New Roman"/>
          <w:color w:val="000000"/>
          <w:sz w:val="24"/>
          <w:szCs w:val="24"/>
          <w:lang w:val="en-GB"/>
        </w:rPr>
        <w:t>1 million people in May 2017.</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However, despite the steady decline sin</w:t>
      </w:r>
      <w:r>
        <w:rPr>
          <w:rFonts w:ascii="Times New Roman" w:hAnsi="Times New Roman" w:cs="Times New Roman"/>
          <w:color w:val="000000"/>
          <w:sz w:val="24"/>
          <w:szCs w:val="24"/>
          <w:lang w:val="en-GB"/>
        </w:rPr>
        <w:t xml:space="preserve">ce 2014, long-term unemployment </w:t>
      </w:r>
      <w:r w:rsidRPr="00AA56E3">
        <w:rPr>
          <w:rFonts w:ascii="Times New Roman" w:hAnsi="Times New Roman" w:cs="Times New Roman"/>
          <w:color w:val="000000"/>
          <w:sz w:val="24"/>
          <w:szCs w:val="24"/>
          <w:lang w:val="en-GB"/>
        </w:rPr>
        <w:t>still stood at 4 % of the labour force in 20</w:t>
      </w:r>
      <w:r>
        <w:rPr>
          <w:rFonts w:ascii="Times New Roman" w:hAnsi="Times New Roman" w:cs="Times New Roman"/>
          <w:color w:val="000000"/>
          <w:sz w:val="24"/>
          <w:szCs w:val="24"/>
          <w:lang w:val="en-GB"/>
        </w:rPr>
        <w:t xml:space="preserve">16, almost half of total </w:t>
      </w:r>
      <w:r w:rsidRPr="00AA56E3">
        <w:rPr>
          <w:rFonts w:ascii="Times New Roman" w:hAnsi="Times New Roman" w:cs="Times New Roman"/>
          <w:color w:val="000000"/>
          <w:sz w:val="24"/>
          <w:szCs w:val="24"/>
          <w:lang w:val="en-GB"/>
        </w:rPr>
        <w:t xml:space="preserve">unemployment. Disparities across Member </w:t>
      </w:r>
      <w:r>
        <w:rPr>
          <w:rFonts w:ascii="Times New Roman" w:hAnsi="Times New Roman" w:cs="Times New Roman"/>
          <w:color w:val="000000"/>
          <w:sz w:val="24"/>
          <w:szCs w:val="24"/>
          <w:lang w:val="en-GB"/>
        </w:rPr>
        <w:t xml:space="preserve">States remain significant, with </w:t>
      </w:r>
      <w:r w:rsidRPr="00AA56E3">
        <w:rPr>
          <w:rFonts w:ascii="Times New Roman" w:hAnsi="Times New Roman" w:cs="Times New Roman"/>
          <w:color w:val="000000"/>
          <w:sz w:val="24"/>
          <w:szCs w:val="24"/>
          <w:lang w:val="en-GB"/>
        </w:rPr>
        <w:t>unemployment rates and supplementary ind</w:t>
      </w:r>
      <w:r>
        <w:rPr>
          <w:rFonts w:ascii="Times New Roman" w:hAnsi="Times New Roman" w:cs="Times New Roman"/>
          <w:color w:val="000000"/>
          <w:sz w:val="24"/>
          <w:szCs w:val="24"/>
          <w:lang w:val="en-GB"/>
        </w:rPr>
        <w:t xml:space="preserve">icators pointing to substantial </w:t>
      </w:r>
      <w:r w:rsidRPr="00AA56E3">
        <w:rPr>
          <w:rFonts w:ascii="Times New Roman" w:hAnsi="Times New Roman" w:cs="Times New Roman"/>
          <w:color w:val="000000"/>
          <w:sz w:val="24"/>
          <w:szCs w:val="24"/>
          <w:lang w:val="en-GB"/>
        </w:rPr>
        <w:t>remaining slack in some labour markets</w:t>
      </w:r>
      <w:r>
        <w:rPr>
          <w:rFonts w:ascii="Times New Roman" w:hAnsi="Times New Roman" w:cs="Times New Roman"/>
          <w:color w:val="000000"/>
          <w:sz w:val="24"/>
          <w:szCs w:val="24"/>
          <w:lang w:val="en-GB"/>
        </w:rPr>
        <w:t xml:space="preserve"> while tightening is evident in </w:t>
      </w:r>
      <w:r w:rsidRPr="00AA56E3">
        <w:rPr>
          <w:rFonts w:ascii="Times New Roman" w:hAnsi="Times New Roman" w:cs="Times New Roman"/>
          <w:color w:val="000000"/>
          <w:sz w:val="24"/>
          <w:szCs w:val="24"/>
          <w:lang w:val="en-GB"/>
        </w:rPr>
        <w:t>others.</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The employment rate of women reach</w:t>
      </w:r>
      <w:r>
        <w:rPr>
          <w:rFonts w:ascii="Times New Roman" w:hAnsi="Times New Roman" w:cs="Times New Roman"/>
          <w:color w:val="000000"/>
          <w:sz w:val="24"/>
          <w:szCs w:val="24"/>
          <w:lang w:val="en-GB"/>
        </w:rPr>
        <w:t xml:space="preserve">ed another record high in 2016. </w:t>
      </w:r>
      <w:r w:rsidRPr="00AA56E3">
        <w:rPr>
          <w:rFonts w:ascii="Times New Roman" w:hAnsi="Times New Roman" w:cs="Times New Roman"/>
          <w:color w:val="000000"/>
          <w:sz w:val="24"/>
          <w:szCs w:val="24"/>
          <w:lang w:val="en-GB"/>
        </w:rPr>
        <w:t xml:space="preserve">Despite this, and although half of the </w:t>
      </w:r>
      <w:r>
        <w:rPr>
          <w:rFonts w:ascii="Times New Roman" w:hAnsi="Times New Roman" w:cs="Times New Roman"/>
          <w:color w:val="000000"/>
          <w:sz w:val="24"/>
          <w:szCs w:val="24"/>
          <w:lang w:val="en-GB"/>
        </w:rPr>
        <w:t xml:space="preserve">Member States have succeeded in </w:t>
      </w:r>
      <w:r w:rsidRPr="00AA56E3">
        <w:rPr>
          <w:rFonts w:ascii="Times New Roman" w:hAnsi="Times New Roman" w:cs="Times New Roman"/>
          <w:color w:val="000000"/>
          <w:sz w:val="24"/>
          <w:szCs w:val="24"/>
          <w:lang w:val="en-GB"/>
        </w:rPr>
        <w:t>further closing the gap with employment rates for men, the gender</w:t>
      </w:r>
      <w:r>
        <w:rPr>
          <w:rFonts w:ascii="Times New Roman" w:hAnsi="Times New Roman" w:cs="Times New Roman"/>
          <w:color w:val="000000"/>
          <w:sz w:val="24"/>
          <w:szCs w:val="24"/>
          <w:lang w:val="en-GB"/>
        </w:rPr>
        <w:t xml:space="preserve"> </w:t>
      </w:r>
      <w:r w:rsidRPr="00AA56E3">
        <w:rPr>
          <w:rFonts w:ascii="Times New Roman" w:hAnsi="Times New Roman" w:cs="Times New Roman"/>
          <w:color w:val="000000"/>
          <w:sz w:val="24"/>
          <w:szCs w:val="24"/>
          <w:lang w:val="en-GB"/>
        </w:rPr>
        <w:t>employment gap at the EU level remained</w:t>
      </w:r>
      <w:r>
        <w:rPr>
          <w:rFonts w:ascii="Times New Roman" w:hAnsi="Times New Roman" w:cs="Times New Roman"/>
          <w:color w:val="000000"/>
          <w:sz w:val="24"/>
          <w:szCs w:val="24"/>
          <w:lang w:val="en-GB"/>
        </w:rPr>
        <w:t xml:space="preserve"> unchanged, at close to 12 pps. </w:t>
      </w:r>
      <w:r w:rsidRPr="00AA56E3">
        <w:rPr>
          <w:rFonts w:ascii="Times New Roman" w:hAnsi="Times New Roman" w:cs="Times New Roman"/>
          <w:color w:val="000000"/>
          <w:sz w:val="24"/>
          <w:szCs w:val="24"/>
          <w:lang w:val="en-GB"/>
        </w:rPr>
        <w:t>Alongside that, strong gender diffe</w:t>
      </w:r>
      <w:r>
        <w:rPr>
          <w:rFonts w:ascii="Times New Roman" w:hAnsi="Times New Roman" w:cs="Times New Roman"/>
          <w:color w:val="000000"/>
          <w:sz w:val="24"/>
          <w:szCs w:val="24"/>
          <w:lang w:val="en-GB"/>
        </w:rPr>
        <w:t xml:space="preserve">rences in pay persist across EU </w:t>
      </w:r>
      <w:r w:rsidRPr="00AA56E3">
        <w:rPr>
          <w:rFonts w:ascii="Times New Roman" w:hAnsi="Times New Roman" w:cs="Times New Roman"/>
          <w:color w:val="000000"/>
          <w:sz w:val="24"/>
          <w:szCs w:val="24"/>
          <w:lang w:val="en-GB"/>
        </w:rPr>
        <w:t>Member States.</w:t>
      </w: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The labour market situation of young pe</w:t>
      </w:r>
      <w:r>
        <w:rPr>
          <w:rFonts w:ascii="Times New Roman" w:hAnsi="Times New Roman" w:cs="Times New Roman"/>
          <w:color w:val="000000"/>
          <w:sz w:val="24"/>
          <w:szCs w:val="24"/>
          <w:lang w:val="en-GB"/>
        </w:rPr>
        <w:t xml:space="preserve">ople aged 15 - 24 has continued </w:t>
      </w:r>
      <w:r w:rsidRPr="00AA56E3">
        <w:rPr>
          <w:rFonts w:ascii="Times New Roman" w:hAnsi="Times New Roman" w:cs="Times New Roman"/>
          <w:color w:val="000000"/>
          <w:sz w:val="24"/>
          <w:szCs w:val="24"/>
          <w:lang w:val="en-GB"/>
        </w:rPr>
        <w:t>to improve in 2016; the unemploymen</w:t>
      </w:r>
      <w:r>
        <w:rPr>
          <w:rFonts w:ascii="Times New Roman" w:hAnsi="Times New Roman" w:cs="Times New Roman"/>
          <w:color w:val="000000"/>
          <w:sz w:val="24"/>
          <w:szCs w:val="24"/>
          <w:lang w:val="en-GB"/>
        </w:rPr>
        <w:t xml:space="preserve">t rate and the numbers of those </w:t>
      </w:r>
      <w:r w:rsidRPr="00AA56E3">
        <w:rPr>
          <w:rFonts w:ascii="Times New Roman" w:hAnsi="Times New Roman" w:cs="Times New Roman"/>
          <w:color w:val="000000"/>
          <w:sz w:val="24"/>
          <w:szCs w:val="24"/>
          <w:lang w:val="en-GB"/>
        </w:rPr>
        <w:t xml:space="preserve">who are not in education, employment or </w:t>
      </w:r>
      <w:r>
        <w:rPr>
          <w:rFonts w:ascii="Times New Roman" w:hAnsi="Times New Roman" w:cs="Times New Roman"/>
          <w:color w:val="000000"/>
          <w:sz w:val="24"/>
          <w:szCs w:val="24"/>
          <w:lang w:val="en-GB"/>
        </w:rPr>
        <w:t xml:space="preserve">training (NEETs) are decreasing </w:t>
      </w:r>
      <w:r w:rsidRPr="00AA56E3">
        <w:rPr>
          <w:rFonts w:ascii="Times New Roman" w:hAnsi="Times New Roman" w:cs="Times New Roman"/>
          <w:color w:val="000000"/>
          <w:sz w:val="24"/>
          <w:szCs w:val="24"/>
          <w:lang w:val="en-GB"/>
        </w:rPr>
        <w:t>and the proportion of young people in employment continues to increase.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 xml:space="preserve">Developments in education have been </w:t>
      </w:r>
      <w:r>
        <w:rPr>
          <w:rFonts w:ascii="Times New Roman" w:hAnsi="Times New Roman" w:cs="Times New Roman"/>
          <w:color w:val="000000"/>
          <w:sz w:val="24"/>
          <w:szCs w:val="24"/>
          <w:lang w:val="en-GB"/>
        </w:rPr>
        <w:t xml:space="preserve">encouraging, as higher rates of </w:t>
      </w:r>
      <w:r w:rsidRPr="00AA56E3">
        <w:rPr>
          <w:rFonts w:ascii="Times New Roman" w:hAnsi="Times New Roman" w:cs="Times New Roman"/>
          <w:color w:val="000000"/>
          <w:sz w:val="24"/>
          <w:szCs w:val="24"/>
          <w:lang w:val="en-GB"/>
        </w:rPr>
        <w:t>enrolment stabilise and the 2020 e</w:t>
      </w:r>
      <w:r>
        <w:rPr>
          <w:rFonts w:ascii="Times New Roman" w:hAnsi="Times New Roman" w:cs="Times New Roman"/>
          <w:color w:val="000000"/>
          <w:sz w:val="24"/>
          <w:szCs w:val="24"/>
          <w:lang w:val="en-GB"/>
        </w:rPr>
        <w:t xml:space="preserve">ducational attainment goals for </w:t>
      </w:r>
      <w:r w:rsidRPr="00AA56E3">
        <w:rPr>
          <w:rFonts w:ascii="Times New Roman" w:hAnsi="Times New Roman" w:cs="Times New Roman"/>
          <w:color w:val="000000"/>
          <w:sz w:val="24"/>
          <w:szCs w:val="24"/>
          <w:lang w:val="en-GB"/>
        </w:rPr>
        <w:t>reducing early school leaving and more w</w:t>
      </w:r>
      <w:r>
        <w:rPr>
          <w:rFonts w:ascii="Times New Roman" w:hAnsi="Times New Roman" w:cs="Times New Roman"/>
          <w:color w:val="000000"/>
          <w:sz w:val="24"/>
          <w:szCs w:val="24"/>
          <w:lang w:val="en-GB"/>
        </w:rPr>
        <w:t xml:space="preserve">idespread third level education </w:t>
      </w:r>
      <w:r w:rsidRPr="00AA56E3">
        <w:rPr>
          <w:rFonts w:ascii="Times New Roman" w:hAnsi="Times New Roman" w:cs="Times New Roman"/>
          <w:color w:val="000000"/>
          <w:sz w:val="24"/>
          <w:szCs w:val="24"/>
          <w:lang w:val="en-GB"/>
        </w:rPr>
        <w:t>appear within reach. Similarly, older worker</w:t>
      </w:r>
      <w:r>
        <w:rPr>
          <w:rFonts w:ascii="Times New Roman" w:hAnsi="Times New Roman" w:cs="Times New Roman"/>
          <w:color w:val="000000"/>
          <w:sz w:val="24"/>
          <w:szCs w:val="24"/>
          <w:lang w:val="en-GB"/>
        </w:rPr>
        <w:t xml:space="preserve">s' (aged 55 - 64) participation </w:t>
      </w:r>
      <w:r w:rsidRPr="00AA56E3">
        <w:rPr>
          <w:rFonts w:ascii="Times New Roman" w:hAnsi="Times New Roman" w:cs="Times New Roman"/>
          <w:color w:val="000000"/>
          <w:sz w:val="24"/>
          <w:szCs w:val="24"/>
          <w:lang w:val="en-GB"/>
        </w:rPr>
        <w:t>in the labour market continued to increase in 2016.</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AA56E3"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Clearer signs of a general improveme</w:t>
      </w:r>
      <w:r>
        <w:rPr>
          <w:rFonts w:ascii="Times New Roman" w:hAnsi="Times New Roman" w:cs="Times New Roman"/>
          <w:color w:val="000000"/>
          <w:sz w:val="24"/>
          <w:szCs w:val="24"/>
          <w:lang w:val="en-GB"/>
        </w:rPr>
        <w:t xml:space="preserve">nt in the social situation have </w:t>
      </w:r>
      <w:r w:rsidRPr="00AA56E3">
        <w:rPr>
          <w:rFonts w:ascii="Times New Roman" w:hAnsi="Times New Roman" w:cs="Times New Roman"/>
          <w:color w:val="000000"/>
          <w:sz w:val="24"/>
          <w:szCs w:val="24"/>
          <w:lang w:val="en-GB"/>
        </w:rPr>
        <w:t>emerged. Economic growth overall has b</w:t>
      </w:r>
      <w:r>
        <w:rPr>
          <w:rFonts w:ascii="Times New Roman" w:hAnsi="Times New Roman" w:cs="Times New Roman"/>
          <w:color w:val="000000"/>
          <w:sz w:val="24"/>
          <w:szCs w:val="24"/>
          <w:lang w:val="en-GB"/>
        </w:rPr>
        <w:t xml:space="preserve">enefited EU households over the </w:t>
      </w:r>
      <w:r w:rsidRPr="00AA56E3">
        <w:rPr>
          <w:rFonts w:ascii="Times New Roman" w:hAnsi="Times New Roman" w:cs="Times New Roman"/>
          <w:color w:val="000000"/>
          <w:sz w:val="24"/>
          <w:szCs w:val="24"/>
          <w:lang w:val="en-GB"/>
        </w:rPr>
        <w:t>last three years. Disposable household i</w:t>
      </w:r>
      <w:r>
        <w:rPr>
          <w:rFonts w:ascii="Times New Roman" w:hAnsi="Times New Roman" w:cs="Times New Roman"/>
          <w:color w:val="000000"/>
          <w:sz w:val="24"/>
          <w:szCs w:val="24"/>
          <w:lang w:val="en-GB"/>
        </w:rPr>
        <w:t xml:space="preserve">ncome reached the level of 2008 </w:t>
      </w:r>
      <w:r w:rsidRPr="00AA56E3">
        <w:rPr>
          <w:rFonts w:ascii="Times New Roman" w:hAnsi="Times New Roman" w:cs="Times New Roman"/>
          <w:color w:val="000000"/>
          <w:sz w:val="24"/>
          <w:szCs w:val="24"/>
          <w:lang w:val="en-GB"/>
        </w:rPr>
        <w:t>by 2015 in the EU and in 2016 in the eur</w:t>
      </w:r>
      <w:r>
        <w:rPr>
          <w:rFonts w:ascii="Times New Roman" w:hAnsi="Times New Roman" w:cs="Times New Roman"/>
          <w:color w:val="000000"/>
          <w:sz w:val="24"/>
          <w:szCs w:val="24"/>
          <w:lang w:val="en-GB"/>
        </w:rPr>
        <w:t xml:space="preserve">o area and its growth continued </w:t>
      </w:r>
      <w:r w:rsidRPr="00AA56E3">
        <w:rPr>
          <w:rFonts w:ascii="Times New Roman" w:hAnsi="Times New Roman" w:cs="Times New Roman"/>
          <w:color w:val="000000"/>
          <w:sz w:val="24"/>
          <w:szCs w:val="24"/>
          <w:lang w:val="en-GB"/>
        </w:rPr>
        <w:t>to strengthen in 2016. Higher income from wo</w:t>
      </w:r>
      <w:r>
        <w:rPr>
          <w:rFonts w:ascii="Times New Roman" w:hAnsi="Times New Roman" w:cs="Times New Roman"/>
          <w:color w:val="000000"/>
          <w:sz w:val="24"/>
          <w:szCs w:val="24"/>
          <w:lang w:val="en-GB"/>
        </w:rPr>
        <w:t xml:space="preserve">rk (wages and profits of the </w:t>
      </w:r>
      <w:r w:rsidRPr="00AA56E3">
        <w:rPr>
          <w:rFonts w:ascii="Times New Roman" w:hAnsi="Times New Roman" w:cs="Times New Roman"/>
          <w:color w:val="000000"/>
          <w:sz w:val="24"/>
          <w:szCs w:val="24"/>
          <w:lang w:val="en-GB"/>
        </w:rPr>
        <w:t>self-employed), supported by the imp</w:t>
      </w:r>
      <w:r>
        <w:rPr>
          <w:rFonts w:ascii="Times New Roman" w:hAnsi="Times New Roman" w:cs="Times New Roman"/>
          <w:color w:val="000000"/>
          <w:sz w:val="24"/>
          <w:szCs w:val="24"/>
          <w:lang w:val="en-GB"/>
        </w:rPr>
        <w:t xml:space="preserve">roved labour market conditions, </w:t>
      </w:r>
      <w:r w:rsidRPr="00AA56E3">
        <w:rPr>
          <w:rFonts w:ascii="Times New Roman" w:hAnsi="Times New Roman" w:cs="Times New Roman"/>
          <w:color w:val="000000"/>
          <w:sz w:val="24"/>
          <w:szCs w:val="24"/>
          <w:lang w:val="en-GB"/>
        </w:rPr>
        <w:t>continued to play a key role in strength</w:t>
      </w:r>
      <w:r>
        <w:rPr>
          <w:rFonts w:ascii="Times New Roman" w:hAnsi="Times New Roman" w:cs="Times New Roman"/>
          <w:color w:val="000000"/>
          <w:sz w:val="24"/>
          <w:szCs w:val="24"/>
          <w:lang w:val="en-GB"/>
        </w:rPr>
        <w:t xml:space="preserve">ening household incomes. Social </w:t>
      </w:r>
      <w:r w:rsidRPr="00AA56E3">
        <w:rPr>
          <w:rFonts w:ascii="Times New Roman" w:hAnsi="Times New Roman" w:cs="Times New Roman"/>
          <w:color w:val="000000"/>
          <w:sz w:val="24"/>
          <w:szCs w:val="24"/>
          <w:lang w:val="en-GB"/>
        </w:rPr>
        <w:t>protection also continued to suppo</w:t>
      </w:r>
      <w:r>
        <w:rPr>
          <w:rFonts w:ascii="Times New Roman" w:hAnsi="Times New Roman" w:cs="Times New Roman"/>
          <w:color w:val="000000"/>
          <w:sz w:val="24"/>
          <w:szCs w:val="24"/>
          <w:lang w:val="en-GB"/>
        </w:rPr>
        <w:t xml:space="preserve">rt income growth, mainly due to </w:t>
      </w:r>
      <w:r w:rsidRPr="00AA56E3">
        <w:rPr>
          <w:rFonts w:ascii="Times New Roman" w:hAnsi="Times New Roman" w:cs="Times New Roman"/>
          <w:color w:val="000000"/>
          <w:sz w:val="24"/>
          <w:szCs w:val="24"/>
          <w:lang w:val="en-GB"/>
        </w:rPr>
        <w:t>increases in old-age pensions and in health-related expenditure.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3559FD">
        <w:rPr>
          <w:rFonts w:ascii="Times New Roman" w:hAnsi="Times New Roman" w:cs="Times New Roman"/>
          <w:noProof/>
          <w:color w:val="000000"/>
          <w:sz w:val="24"/>
          <w:szCs w:val="24"/>
          <w:lang w:eastAsia="es-ES"/>
        </w:rPr>
        <w:drawing>
          <wp:inline distT="0" distB="0" distL="0" distR="0" wp14:anchorId="3C491817" wp14:editId="5B2E0DA2">
            <wp:extent cx="5734049" cy="2178050"/>
            <wp:effectExtent l="0" t="0" r="635" b="0"/>
            <wp:docPr id="583" name="Imagen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4049" cy="217805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T</w:t>
      </w:r>
      <w:r>
        <w:rPr>
          <w:rFonts w:ascii="Times New Roman" w:hAnsi="Times New Roman" w:cs="Times New Roman"/>
          <w:color w:val="000000"/>
          <w:sz w:val="24"/>
          <w:szCs w:val="24"/>
          <w:lang w:val="en-GB"/>
        </w:rPr>
        <w:t xml:space="preserve">he job-rich recovery has helped </w:t>
      </w:r>
      <w:r w:rsidRPr="00AA56E3">
        <w:rPr>
          <w:rFonts w:ascii="Times New Roman" w:hAnsi="Times New Roman" w:cs="Times New Roman"/>
          <w:color w:val="000000"/>
          <w:sz w:val="24"/>
          <w:szCs w:val="24"/>
          <w:lang w:val="en-GB"/>
        </w:rPr>
        <w:t xml:space="preserve">to </w:t>
      </w:r>
      <w:r>
        <w:rPr>
          <w:rFonts w:ascii="Times New Roman" w:hAnsi="Times New Roman" w:cs="Times New Roman"/>
          <w:color w:val="000000"/>
          <w:sz w:val="24"/>
          <w:szCs w:val="24"/>
          <w:lang w:val="en-GB"/>
        </w:rPr>
        <w:t xml:space="preserve">reduce significantly the number </w:t>
      </w:r>
      <w:r w:rsidRPr="00AA56E3">
        <w:rPr>
          <w:rFonts w:ascii="Times New Roman" w:hAnsi="Times New Roman" w:cs="Times New Roman"/>
          <w:color w:val="000000"/>
          <w:sz w:val="24"/>
          <w:szCs w:val="24"/>
          <w:lang w:val="en-GB"/>
        </w:rPr>
        <w:t>o</w:t>
      </w:r>
      <w:r>
        <w:rPr>
          <w:rFonts w:ascii="Times New Roman" w:hAnsi="Times New Roman" w:cs="Times New Roman"/>
          <w:color w:val="000000"/>
          <w:sz w:val="24"/>
          <w:szCs w:val="24"/>
          <w:lang w:val="en-GB"/>
        </w:rPr>
        <w:t xml:space="preserve">f people at risk of poverty and </w:t>
      </w:r>
      <w:r w:rsidRPr="00AA56E3">
        <w:rPr>
          <w:rFonts w:ascii="Times New Roman" w:hAnsi="Times New Roman" w:cs="Times New Roman"/>
          <w:color w:val="000000"/>
          <w:sz w:val="24"/>
          <w:szCs w:val="24"/>
          <w:lang w:val="en-GB"/>
        </w:rPr>
        <w:t>soc</w:t>
      </w:r>
      <w:r>
        <w:rPr>
          <w:rFonts w:ascii="Times New Roman" w:hAnsi="Times New Roman" w:cs="Times New Roman"/>
          <w:color w:val="000000"/>
          <w:sz w:val="24"/>
          <w:szCs w:val="24"/>
          <w:lang w:val="en-GB"/>
        </w:rPr>
        <w:t xml:space="preserve">ial exclusion in the EU, by 4,8 million between 2012 and 2015. Improvements have mainly been </w:t>
      </w:r>
      <w:r w:rsidRPr="00AA56E3">
        <w:rPr>
          <w:rFonts w:ascii="Times New Roman" w:hAnsi="Times New Roman" w:cs="Times New Roman"/>
          <w:color w:val="000000"/>
          <w:sz w:val="24"/>
          <w:szCs w:val="24"/>
          <w:lang w:val="en-GB"/>
        </w:rPr>
        <w:t>ref</w:t>
      </w:r>
      <w:r>
        <w:rPr>
          <w:rFonts w:ascii="Times New Roman" w:hAnsi="Times New Roman" w:cs="Times New Roman"/>
          <w:color w:val="000000"/>
          <w:sz w:val="24"/>
          <w:szCs w:val="24"/>
          <w:lang w:val="en-GB"/>
        </w:rPr>
        <w:t xml:space="preserve">lected in the decline in severe </w:t>
      </w:r>
      <w:r w:rsidRPr="00AA56E3">
        <w:rPr>
          <w:rFonts w:ascii="Times New Roman" w:hAnsi="Times New Roman" w:cs="Times New Roman"/>
          <w:color w:val="000000"/>
          <w:sz w:val="24"/>
          <w:szCs w:val="24"/>
          <w:lang w:val="en-GB"/>
        </w:rPr>
        <w:t xml:space="preserve">material deprivation and fewer jobless </w:t>
      </w:r>
      <w:r>
        <w:rPr>
          <w:rFonts w:ascii="Times New Roman" w:hAnsi="Times New Roman" w:cs="Times New Roman"/>
          <w:color w:val="000000"/>
          <w:sz w:val="24"/>
          <w:szCs w:val="24"/>
          <w:lang w:val="en-GB"/>
        </w:rPr>
        <w:t xml:space="preserve">households. Still the number of </w:t>
      </w:r>
      <w:r w:rsidRPr="00AA56E3">
        <w:rPr>
          <w:rFonts w:ascii="Times New Roman" w:hAnsi="Times New Roman" w:cs="Times New Roman"/>
          <w:color w:val="000000"/>
          <w:sz w:val="24"/>
          <w:szCs w:val="24"/>
          <w:lang w:val="en-GB"/>
        </w:rPr>
        <w:t>people at risk of poverty, at almost 119</w:t>
      </w:r>
      <w:r>
        <w:rPr>
          <w:rFonts w:ascii="Times New Roman" w:hAnsi="Times New Roman" w:cs="Times New Roman"/>
          <w:color w:val="000000"/>
          <w:sz w:val="24"/>
          <w:szCs w:val="24"/>
          <w:lang w:val="en-GB"/>
        </w:rPr>
        <w:t xml:space="preserve"> million in 2015, remained well </w:t>
      </w:r>
      <w:r w:rsidRPr="00AA56E3">
        <w:rPr>
          <w:rFonts w:ascii="Times New Roman" w:hAnsi="Times New Roman" w:cs="Times New Roman"/>
          <w:color w:val="000000"/>
          <w:sz w:val="24"/>
          <w:szCs w:val="24"/>
          <w:lang w:val="en-GB"/>
        </w:rPr>
        <w:t>above the Europe2020 target. Income in</w:t>
      </w:r>
      <w:r>
        <w:rPr>
          <w:rFonts w:ascii="Times New Roman" w:hAnsi="Times New Roman" w:cs="Times New Roman"/>
          <w:color w:val="000000"/>
          <w:sz w:val="24"/>
          <w:szCs w:val="24"/>
          <w:lang w:val="en-GB"/>
        </w:rPr>
        <w:t xml:space="preserve">equality stopped rising only in </w:t>
      </w:r>
      <w:r w:rsidRPr="00AA56E3">
        <w:rPr>
          <w:rFonts w:ascii="Times New Roman" w:hAnsi="Times New Roman" w:cs="Times New Roman"/>
          <w:color w:val="000000"/>
          <w:sz w:val="24"/>
          <w:szCs w:val="24"/>
          <w:lang w:val="en-GB"/>
        </w:rPr>
        <w:t>2015 and around ten Member States r</w:t>
      </w:r>
      <w:r>
        <w:rPr>
          <w:rFonts w:ascii="Times New Roman" w:hAnsi="Times New Roman" w:cs="Times New Roman"/>
          <w:color w:val="000000"/>
          <w:sz w:val="24"/>
          <w:szCs w:val="24"/>
          <w:lang w:val="en-GB"/>
        </w:rPr>
        <w:t xml:space="preserve">egistered a notable increase in </w:t>
      </w:r>
      <w:r w:rsidRPr="00AA56E3">
        <w:rPr>
          <w:rFonts w:ascii="Times New Roman" w:hAnsi="Times New Roman" w:cs="Times New Roman"/>
          <w:color w:val="000000"/>
          <w:sz w:val="24"/>
          <w:szCs w:val="24"/>
          <w:lang w:val="en-GB"/>
        </w:rPr>
        <w:t>inequality between 2012 and 2015.</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2. Intergenerational fairness and solidarity today and challenges ahead</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Considerations of intergenerational fa</w:t>
      </w:r>
      <w:r>
        <w:rPr>
          <w:rFonts w:ascii="Times New Roman" w:hAnsi="Times New Roman" w:cs="Times New Roman"/>
          <w:color w:val="000000"/>
          <w:sz w:val="24"/>
          <w:szCs w:val="24"/>
          <w:lang w:val="en-GB"/>
        </w:rPr>
        <w:t xml:space="preserve">irness underlie a long-standing </w:t>
      </w:r>
      <w:r w:rsidRPr="00FB7C1E">
        <w:rPr>
          <w:rFonts w:ascii="Times New Roman" w:hAnsi="Times New Roman" w:cs="Times New Roman"/>
          <w:color w:val="000000"/>
          <w:sz w:val="24"/>
          <w:szCs w:val="24"/>
          <w:lang w:val="en-GB"/>
        </w:rPr>
        <w:t>implicit societal contract under which ev</w:t>
      </w:r>
      <w:r>
        <w:rPr>
          <w:rFonts w:ascii="Times New Roman" w:hAnsi="Times New Roman" w:cs="Times New Roman"/>
          <w:color w:val="000000"/>
          <w:sz w:val="24"/>
          <w:szCs w:val="24"/>
          <w:lang w:val="en-GB"/>
        </w:rPr>
        <w:t xml:space="preserve">ery generation during its prime </w:t>
      </w:r>
      <w:r w:rsidRPr="00FB7C1E">
        <w:rPr>
          <w:rFonts w:ascii="Times New Roman" w:hAnsi="Times New Roman" w:cs="Times New Roman"/>
          <w:color w:val="000000"/>
          <w:sz w:val="24"/>
          <w:szCs w:val="24"/>
          <w:lang w:val="en-GB"/>
        </w:rPr>
        <w:t>age has a responsibility to provide for bot</w:t>
      </w:r>
      <w:r>
        <w:rPr>
          <w:rFonts w:ascii="Times New Roman" w:hAnsi="Times New Roman" w:cs="Times New Roman"/>
          <w:color w:val="000000"/>
          <w:sz w:val="24"/>
          <w:szCs w:val="24"/>
          <w:lang w:val="en-GB"/>
        </w:rPr>
        <w:t xml:space="preserve">h the elderly and the young. In </w:t>
      </w:r>
      <w:r w:rsidRPr="00FB7C1E">
        <w:rPr>
          <w:rFonts w:ascii="Times New Roman" w:hAnsi="Times New Roman" w:cs="Times New Roman"/>
          <w:color w:val="000000"/>
          <w:sz w:val="24"/>
          <w:szCs w:val="24"/>
          <w:lang w:val="en-GB"/>
        </w:rPr>
        <w:t xml:space="preserve">addition, there is a certain expectation that every </w:t>
      </w:r>
      <w:r>
        <w:rPr>
          <w:rFonts w:ascii="Times New Roman" w:hAnsi="Times New Roman" w:cs="Times New Roman"/>
          <w:color w:val="000000"/>
          <w:sz w:val="24"/>
          <w:szCs w:val="24"/>
          <w:lang w:val="en-GB"/>
        </w:rPr>
        <w:t xml:space="preserve">generation will provide </w:t>
      </w:r>
      <w:r w:rsidRPr="00FB7C1E">
        <w:rPr>
          <w:rFonts w:ascii="Times New Roman" w:hAnsi="Times New Roman" w:cs="Times New Roman"/>
          <w:color w:val="000000"/>
          <w:sz w:val="24"/>
          <w:szCs w:val="24"/>
          <w:lang w:val="en-GB"/>
        </w:rPr>
        <w:t>its successors with an improved starting position.</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Decades of economic growth have indeed</w:t>
      </w:r>
      <w:r>
        <w:rPr>
          <w:rFonts w:ascii="Times New Roman" w:hAnsi="Times New Roman" w:cs="Times New Roman"/>
          <w:color w:val="000000"/>
          <w:sz w:val="24"/>
          <w:szCs w:val="24"/>
          <w:lang w:val="en-GB"/>
        </w:rPr>
        <w:t xml:space="preserve"> brought steady improvements in </w:t>
      </w:r>
      <w:r w:rsidRPr="00FB7C1E">
        <w:rPr>
          <w:rFonts w:ascii="Times New Roman" w:hAnsi="Times New Roman" w:cs="Times New Roman"/>
          <w:color w:val="000000"/>
          <w:sz w:val="24"/>
          <w:szCs w:val="24"/>
          <w:lang w:val="en-GB"/>
        </w:rPr>
        <w:t>living standards in the EU. However, the</w:t>
      </w:r>
      <w:r>
        <w:rPr>
          <w:rFonts w:ascii="Times New Roman" w:hAnsi="Times New Roman" w:cs="Times New Roman"/>
          <w:color w:val="000000"/>
          <w:sz w:val="24"/>
          <w:szCs w:val="24"/>
          <w:lang w:val="en-GB"/>
        </w:rPr>
        <w:t xml:space="preserve">re are increasing concerns that </w:t>
      </w:r>
      <w:r w:rsidRPr="00FB7C1E">
        <w:rPr>
          <w:rFonts w:ascii="Times New Roman" w:hAnsi="Times New Roman" w:cs="Times New Roman"/>
          <w:color w:val="000000"/>
          <w:sz w:val="24"/>
          <w:szCs w:val="24"/>
          <w:lang w:val="en-GB"/>
        </w:rPr>
        <w:t xml:space="preserve">today's young people and their children </w:t>
      </w:r>
      <w:r>
        <w:rPr>
          <w:rFonts w:ascii="Times New Roman" w:hAnsi="Times New Roman" w:cs="Times New Roman"/>
          <w:color w:val="000000"/>
          <w:sz w:val="24"/>
          <w:szCs w:val="24"/>
          <w:lang w:val="en-GB"/>
        </w:rPr>
        <w:t xml:space="preserve">may end up worse off than their </w:t>
      </w:r>
      <w:r w:rsidRPr="00FB7C1E">
        <w:rPr>
          <w:rFonts w:ascii="Times New Roman" w:hAnsi="Times New Roman" w:cs="Times New Roman"/>
          <w:color w:val="000000"/>
          <w:sz w:val="24"/>
          <w:szCs w:val="24"/>
          <w:lang w:val="en-GB"/>
        </w:rPr>
        <w:t>parents. These concerns are linked to l</w:t>
      </w:r>
      <w:r>
        <w:rPr>
          <w:rFonts w:ascii="Times New Roman" w:hAnsi="Times New Roman" w:cs="Times New Roman"/>
          <w:color w:val="000000"/>
          <w:sz w:val="24"/>
          <w:szCs w:val="24"/>
          <w:lang w:val="en-GB"/>
        </w:rPr>
        <w:t xml:space="preserve">ong-term demographic as well as </w:t>
      </w:r>
      <w:r w:rsidRPr="00FB7C1E">
        <w:rPr>
          <w:rFonts w:ascii="Times New Roman" w:hAnsi="Times New Roman" w:cs="Times New Roman"/>
          <w:color w:val="000000"/>
          <w:sz w:val="24"/>
          <w:szCs w:val="24"/>
          <w:lang w:val="en-GB"/>
        </w:rPr>
        <w:t>economic trends and technological cha</w:t>
      </w:r>
      <w:r>
        <w:rPr>
          <w:rFonts w:ascii="Times New Roman" w:hAnsi="Times New Roman" w:cs="Times New Roman"/>
          <w:color w:val="000000"/>
          <w:sz w:val="24"/>
          <w:szCs w:val="24"/>
          <w:lang w:val="en-GB"/>
        </w:rPr>
        <w:t xml:space="preserve">nge, which have been compounded </w:t>
      </w:r>
      <w:r w:rsidRPr="00FB7C1E">
        <w:rPr>
          <w:rFonts w:ascii="Times New Roman" w:hAnsi="Times New Roman" w:cs="Times New Roman"/>
          <w:color w:val="000000"/>
          <w:sz w:val="24"/>
          <w:szCs w:val="24"/>
          <w:lang w:val="en-GB"/>
        </w:rPr>
        <w:t>by more acute crisis-related challenges. Th</w:t>
      </w:r>
      <w:r>
        <w:rPr>
          <w:rFonts w:ascii="Times New Roman" w:hAnsi="Times New Roman" w:cs="Times New Roman"/>
          <w:color w:val="000000"/>
          <w:sz w:val="24"/>
          <w:szCs w:val="24"/>
          <w:lang w:val="en-GB"/>
        </w:rPr>
        <w:t xml:space="preserve">is underlines the importance of </w:t>
      </w:r>
      <w:r w:rsidRPr="00FB7C1E">
        <w:rPr>
          <w:rFonts w:ascii="Times New Roman" w:hAnsi="Times New Roman" w:cs="Times New Roman"/>
          <w:color w:val="000000"/>
          <w:sz w:val="24"/>
          <w:szCs w:val="24"/>
          <w:lang w:val="en-GB"/>
        </w:rPr>
        <w:t>policy efforts to improve the collective prospects of society.</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Over the past decade, the income positi</w:t>
      </w:r>
      <w:r>
        <w:rPr>
          <w:rFonts w:ascii="Times New Roman" w:hAnsi="Times New Roman" w:cs="Times New Roman"/>
          <w:color w:val="000000"/>
          <w:sz w:val="24"/>
          <w:szCs w:val="24"/>
          <w:lang w:val="en-GB"/>
        </w:rPr>
        <w:t xml:space="preserve">on of older people has improved </w:t>
      </w:r>
      <w:r w:rsidRPr="00FB7C1E">
        <w:rPr>
          <w:rFonts w:ascii="Times New Roman" w:hAnsi="Times New Roman" w:cs="Times New Roman"/>
          <w:color w:val="000000"/>
          <w:sz w:val="24"/>
          <w:szCs w:val="24"/>
          <w:lang w:val="en-GB"/>
        </w:rPr>
        <w:t>when compared with the total populati</w:t>
      </w:r>
      <w:r>
        <w:rPr>
          <w:rFonts w:ascii="Times New Roman" w:hAnsi="Times New Roman" w:cs="Times New Roman"/>
          <w:color w:val="000000"/>
          <w:sz w:val="24"/>
          <w:szCs w:val="24"/>
          <w:lang w:val="en-GB"/>
        </w:rPr>
        <w:t xml:space="preserve">on in the EU. Data from several </w:t>
      </w:r>
      <w:r w:rsidRPr="00FB7C1E">
        <w:rPr>
          <w:rFonts w:ascii="Times New Roman" w:hAnsi="Times New Roman" w:cs="Times New Roman"/>
          <w:color w:val="000000"/>
          <w:sz w:val="24"/>
          <w:szCs w:val="24"/>
          <w:lang w:val="en-GB"/>
        </w:rPr>
        <w:t>Member States suggest that this is in</w:t>
      </w:r>
      <w:r>
        <w:rPr>
          <w:rFonts w:ascii="Times New Roman" w:hAnsi="Times New Roman" w:cs="Times New Roman"/>
          <w:color w:val="000000"/>
          <w:sz w:val="24"/>
          <w:szCs w:val="24"/>
          <w:lang w:val="en-GB"/>
        </w:rPr>
        <w:t xml:space="preserve"> line with a longer-term trend. </w:t>
      </w:r>
      <w:r w:rsidRPr="00FB7C1E">
        <w:rPr>
          <w:rFonts w:ascii="Times New Roman" w:hAnsi="Times New Roman" w:cs="Times New Roman"/>
          <w:color w:val="000000"/>
          <w:sz w:val="24"/>
          <w:szCs w:val="24"/>
          <w:lang w:val="en-GB"/>
        </w:rPr>
        <w:t xml:space="preserve">However, the more recent improvement </w:t>
      </w:r>
      <w:r>
        <w:rPr>
          <w:rFonts w:ascii="Times New Roman" w:hAnsi="Times New Roman" w:cs="Times New Roman"/>
          <w:color w:val="000000"/>
          <w:sz w:val="24"/>
          <w:szCs w:val="24"/>
          <w:lang w:val="en-GB"/>
        </w:rPr>
        <w:t xml:space="preserve">in the income position of older </w:t>
      </w:r>
      <w:r w:rsidRPr="00FB7C1E">
        <w:rPr>
          <w:rFonts w:ascii="Times New Roman" w:hAnsi="Times New Roman" w:cs="Times New Roman"/>
          <w:color w:val="000000"/>
          <w:sz w:val="24"/>
          <w:szCs w:val="24"/>
          <w:lang w:val="en-GB"/>
        </w:rPr>
        <w:t>people was to a large extent relative: wor</w:t>
      </w:r>
      <w:r>
        <w:rPr>
          <w:rFonts w:ascii="Times New Roman" w:hAnsi="Times New Roman" w:cs="Times New Roman"/>
          <w:color w:val="000000"/>
          <w:sz w:val="24"/>
          <w:szCs w:val="24"/>
          <w:lang w:val="en-GB"/>
        </w:rPr>
        <w:t xml:space="preserve">king age adults (and indirectly </w:t>
      </w:r>
      <w:r w:rsidRPr="00FB7C1E">
        <w:rPr>
          <w:rFonts w:ascii="Times New Roman" w:hAnsi="Times New Roman" w:cs="Times New Roman"/>
          <w:color w:val="000000"/>
          <w:sz w:val="24"/>
          <w:szCs w:val="24"/>
          <w:lang w:val="en-GB"/>
        </w:rPr>
        <w:t>their children) experienced a stagnation of i</w:t>
      </w:r>
      <w:r>
        <w:rPr>
          <w:rFonts w:ascii="Times New Roman" w:hAnsi="Times New Roman" w:cs="Times New Roman"/>
          <w:color w:val="000000"/>
          <w:sz w:val="24"/>
          <w:szCs w:val="24"/>
          <w:lang w:val="en-GB"/>
        </w:rPr>
        <w:t xml:space="preserve">ncomes during the crisis years. </w:t>
      </w:r>
      <w:r w:rsidRPr="00FB7C1E">
        <w:rPr>
          <w:rFonts w:ascii="Times New Roman" w:hAnsi="Times New Roman" w:cs="Times New Roman"/>
          <w:color w:val="000000"/>
          <w:sz w:val="24"/>
          <w:szCs w:val="24"/>
          <w:lang w:val="en-GB"/>
        </w:rPr>
        <w:t>In contrast, old age pensions were relat</w:t>
      </w:r>
      <w:r>
        <w:rPr>
          <w:rFonts w:ascii="Times New Roman" w:hAnsi="Times New Roman" w:cs="Times New Roman"/>
          <w:color w:val="000000"/>
          <w:sz w:val="24"/>
          <w:szCs w:val="24"/>
          <w:lang w:val="en-GB"/>
        </w:rPr>
        <w:t xml:space="preserve">ively well protected during the </w:t>
      </w:r>
      <w:r w:rsidRPr="00FB7C1E">
        <w:rPr>
          <w:rFonts w:ascii="Times New Roman" w:hAnsi="Times New Roman" w:cs="Times New Roman"/>
          <w:color w:val="000000"/>
          <w:sz w:val="24"/>
          <w:szCs w:val="24"/>
          <w:lang w:val="en-GB"/>
        </w:rPr>
        <w:t>recession. The economic recovery may t</w:t>
      </w:r>
      <w:r>
        <w:rPr>
          <w:rFonts w:ascii="Times New Roman" w:hAnsi="Times New Roman" w:cs="Times New Roman"/>
          <w:color w:val="000000"/>
          <w:sz w:val="24"/>
          <w:szCs w:val="24"/>
          <w:lang w:val="en-GB"/>
        </w:rPr>
        <w:t xml:space="preserve">hus bring renewed opportunities </w:t>
      </w:r>
      <w:r w:rsidRPr="00FB7C1E">
        <w:rPr>
          <w:rFonts w:ascii="Times New Roman" w:hAnsi="Times New Roman" w:cs="Times New Roman"/>
          <w:color w:val="000000"/>
          <w:sz w:val="24"/>
          <w:szCs w:val="24"/>
          <w:lang w:val="en-GB"/>
        </w:rPr>
        <w:t>for greater income growth amo</w:t>
      </w:r>
      <w:r>
        <w:rPr>
          <w:rFonts w:ascii="Times New Roman" w:hAnsi="Times New Roman" w:cs="Times New Roman"/>
          <w:color w:val="000000"/>
          <w:sz w:val="24"/>
          <w:szCs w:val="24"/>
          <w:lang w:val="en-GB"/>
        </w:rPr>
        <w:t xml:space="preserve">ng the younger age groups while </w:t>
      </w:r>
      <w:r w:rsidRPr="00FB7C1E">
        <w:rPr>
          <w:rFonts w:ascii="Times New Roman" w:hAnsi="Times New Roman" w:cs="Times New Roman"/>
          <w:color w:val="000000"/>
          <w:sz w:val="24"/>
          <w:szCs w:val="24"/>
          <w:lang w:val="en-GB"/>
        </w:rPr>
        <w:t>potentially also benefiting older people</w:t>
      </w:r>
      <w:r>
        <w:rPr>
          <w:rFonts w:ascii="Times New Roman" w:hAnsi="Times New Roman" w:cs="Times New Roman"/>
          <w:color w:val="000000"/>
          <w:sz w:val="24"/>
          <w:szCs w:val="24"/>
          <w:lang w:val="en-GB"/>
        </w:rPr>
        <w:t xml:space="preserve"> in Member States where old age </w:t>
      </w:r>
      <w:r w:rsidRPr="00FB7C1E">
        <w:rPr>
          <w:rFonts w:ascii="Times New Roman" w:hAnsi="Times New Roman" w:cs="Times New Roman"/>
          <w:color w:val="000000"/>
          <w:sz w:val="24"/>
          <w:szCs w:val="24"/>
          <w:lang w:val="en-GB"/>
        </w:rPr>
        <w:t>poverty remains a challenge.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There has been a gradual shift in the</w:t>
      </w:r>
      <w:r>
        <w:rPr>
          <w:rFonts w:ascii="Times New Roman" w:hAnsi="Times New Roman" w:cs="Times New Roman"/>
          <w:color w:val="000000"/>
          <w:sz w:val="24"/>
          <w:szCs w:val="24"/>
          <w:lang w:val="en-GB"/>
        </w:rPr>
        <w:t xml:space="preserve"> patterns of age-related social </w:t>
      </w:r>
      <w:r w:rsidRPr="00FB7C1E">
        <w:rPr>
          <w:rFonts w:ascii="Times New Roman" w:hAnsi="Times New Roman" w:cs="Times New Roman"/>
          <w:color w:val="000000"/>
          <w:sz w:val="24"/>
          <w:szCs w:val="24"/>
          <w:lang w:val="en-GB"/>
        </w:rPr>
        <w:t>protection spending since the 2000s, whic</w:t>
      </w:r>
      <w:r>
        <w:rPr>
          <w:rFonts w:ascii="Times New Roman" w:hAnsi="Times New Roman" w:cs="Times New Roman"/>
          <w:color w:val="000000"/>
          <w:sz w:val="24"/>
          <w:szCs w:val="24"/>
          <w:lang w:val="en-GB"/>
        </w:rPr>
        <w:t xml:space="preserve">h is not fully explained by the </w:t>
      </w:r>
      <w:r w:rsidRPr="00FB7C1E">
        <w:rPr>
          <w:rFonts w:ascii="Times New Roman" w:hAnsi="Times New Roman" w:cs="Times New Roman"/>
          <w:color w:val="000000"/>
          <w:sz w:val="24"/>
          <w:szCs w:val="24"/>
          <w:lang w:val="en-GB"/>
        </w:rPr>
        <w:t>effect of changes in the size of a</w:t>
      </w:r>
      <w:r>
        <w:rPr>
          <w:rFonts w:ascii="Times New Roman" w:hAnsi="Times New Roman" w:cs="Times New Roman"/>
          <w:color w:val="000000"/>
          <w:sz w:val="24"/>
          <w:szCs w:val="24"/>
          <w:lang w:val="en-GB"/>
        </w:rPr>
        <w:t xml:space="preserve">ge groups. Old age pensions and </w:t>
      </w:r>
      <w:r w:rsidRPr="00FB7C1E">
        <w:rPr>
          <w:rFonts w:ascii="Times New Roman" w:hAnsi="Times New Roman" w:cs="Times New Roman"/>
          <w:color w:val="000000"/>
          <w:sz w:val="24"/>
          <w:szCs w:val="24"/>
          <w:lang w:val="en-GB"/>
        </w:rPr>
        <w:t>healthcare constitute a growing proportion o</w:t>
      </w:r>
      <w:r>
        <w:rPr>
          <w:rFonts w:ascii="Times New Roman" w:hAnsi="Times New Roman" w:cs="Times New Roman"/>
          <w:color w:val="000000"/>
          <w:sz w:val="24"/>
          <w:szCs w:val="24"/>
          <w:lang w:val="en-GB"/>
        </w:rPr>
        <w:t xml:space="preserve">f social expenditure, while the </w:t>
      </w:r>
      <w:r w:rsidRPr="00FB7C1E">
        <w:rPr>
          <w:rFonts w:ascii="Times New Roman" w:hAnsi="Times New Roman" w:cs="Times New Roman"/>
          <w:color w:val="000000"/>
          <w:sz w:val="24"/>
          <w:szCs w:val="24"/>
          <w:lang w:val="en-GB"/>
        </w:rPr>
        <w:t>proportion devoted to family and unemp</w:t>
      </w:r>
      <w:r>
        <w:rPr>
          <w:rFonts w:ascii="Times New Roman" w:hAnsi="Times New Roman" w:cs="Times New Roman"/>
          <w:color w:val="000000"/>
          <w:sz w:val="24"/>
          <w:szCs w:val="24"/>
          <w:lang w:val="en-GB"/>
        </w:rPr>
        <w:t xml:space="preserve">loyment benefits, which benefit </w:t>
      </w:r>
      <w:r w:rsidRPr="00FB7C1E">
        <w:rPr>
          <w:rFonts w:ascii="Times New Roman" w:hAnsi="Times New Roman" w:cs="Times New Roman"/>
          <w:color w:val="000000"/>
          <w:sz w:val="24"/>
          <w:szCs w:val="24"/>
          <w:lang w:val="en-GB"/>
        </w:rPr>
        <w:t>younger age groups more, has tended to</w:t>
      </w:r>
      <w:r>
        <w:rPr>
          <w:rFonts w:ascii="Times New Roman" w:hAnsi="Times New Roman" w:cs="Times New Roman"/>
          <w:color w:val="000000"/>
          <w:sz w:val="24"/>
          <w:szCs w:val="24"/>
          <w:lang w:val="en-GB"/>
        </w:rPr>
        <w:t xml:space="preserve"> decrease. Even if young adults </w:t>
      </w:r>
      <w:r w:rsidRPr="00FB7C1E">
        <w:rPr>
          <w:rFonts w:ascii="Times New Roman" w:hAnsi="Times New Roman" w:cs="Times New Roman"/>
          <w:color w:val="000000"/>
          <w:sz w:val="24"/>
          <w:szCs w:val="24"/>
          <w:lang w:val="en-GB"/>
        </w:rPr>
        <w:t xml:space="preserve">and children in multigenerational households have </w:t>
      </w:r>
      <w:r>
        <w:rPr>
          <w:rFonts w:ascii="Times New Roman" w:hAnsi="Times New Roman" w:cs="Times New Roman"/>
          <w:color w:val="000000"/>
          <w:sz w:val="24"/>
          <w:szCs w:val="24"/>
          <w:lang w:val="en-GB"/>
        </w:rPr>
        <w:t xml:space="preserve">been (indirect) co-beneficiaries </w:t>
      </w:r>
      <w:r w:rsidRPr="00FB7C1E">
        <w:rPr>
          <w:rFonts w:ascii="Times New Roman" w:hAnsi="Times New Roman" w:cs="Times New Roman"/>
          <w:color w:val="000000"/>
          <w:sz w:val="24"/>
          <w:szCs w:val="24"/>
          <w:lang w:val="en-GB"/>
        </w:rPr>
        <w:t>of old age pensions, particularly in certain Southern</w:t>
      </w:r>
      <w:r>
        <w:rPr>
          <w:rFonts w:ascii="Times New Roman" w:hAnsi="Times New Roman" w:cs="Times New Roman"/>
          <w:color w:val="000000"/>
          <w:sz w:val="24"/>
          <w:szCs w:val="24"/>
          <w:lang w:val="en-GB"/>
        </w:rPr>
        <w:t xml:space="preserve"> </w:t>
      </w:r>
      <w:r w:rsidRPr="00FB7C1E">
        <w:rPr>
          <w:rFonts w:ascii="Times New Roman" w:hAnsi="Times New Roman" w:cs="Times New Roman"/>
          <w:color w:val="000000"/>
          <w:sz w:val="24"/>
          <w:szCs w:val="24"/>
          <w:lang w:val="en-GB"/>
        </w:rPr>
        <w:t>European countries, this raises questions about interge</w:t>
      </w:r>
      <w:r>
        <w:rPr>
          <w:rFonts w:ascii="Times New Roman" w:hAnsi="Times New Roman" w:cs="Times New Roman"/>
          <w:color w:val="000000"/>
          <w:sz w:val="24"/>
          <w:szCs w:val="24"/>
          <w:lang w:val="en-GB"/>
        </w:rPr>
        <w:t xml:space="preserve">nerational fairness. </w:t>
      </w:r>
      <w:r w:rsidRPr="00FB7C1E">
        <w:rPr>
          <w:rFonts w:ascii="Times New Roman" w:hAnsi="Times New Roman" w:cs="Times New Roman"/>
          <w:color w:val="000000"/>
          <w:sz w:val="24"/>
          <w:szCs w:val="24"/>
          <w:lang w:val="en-GB"/>
        </w:rPr>
        <w:t>Improving the fairness and efficiency of tax system</w:t>
      </w:r>
      <w:r>
        <w:rPr>
          <w:rFonts w:ascii="Times New Roman" w:hAnsi="Times New Roman" w:cs="Times New Roman"/>
          <w:color w:val="000000"/>
          <w:sz w:val="24"/>
          <w:szCs w:val="24"/>
          <w:lang w:val="en-GB"/>
        </w:rPr>
        <w:t xml:space="preserve">s can also play a role </w:t>
      </w:r>
      <w:r w:rsidRPr="00FB7C1E">
        <w:rPr>
          <w:rFonts w:ascii="Times New Roman" w:hAnsi="Times New Roman" w:cs="Times New Roman"/>
          <w:color w:val="000000"/>
          <w:sz w:val="24"/>
          <w:szCs w:val="24"/>
          <w:lang w:val="en-GB"/>
        </w:rPr>
        <w:t>in supporting intergenerational fairness.</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Loo</w:t>
      </w:r>
      <w:r>
        <w:rPr>
          <w:rFonts w:ascii="Times New Roman" w:hAnsi="Times New Roman" w:cs="Times New Roman"/>
          <w:color w:val="000000"/>
          <w:sz w:val="24"/>
          <w:szCs w:val="24"/>
          <w:lang w:val="en-GB"/>
        </w:rPr>
        <w:t xml:space="preserve">king forward, population ageing has the potential to change the </w:t>
      </w:r>
      <w:r w:rsidRPr="00FB7C1E">
        <w:rPr>
          <w:rFonts w:ascii="Times New Roman" w:hAnsi="Times New Roman" w:cs="Times New Roman"/>
          <w:color w:val="000000"/>
          <w:sz w:val="24"/>
          <w:szCs w:val="24"/>
          <w:lang w:val="en-GB"/>
        </w:rPr>
        <w:t>re</w:t>
      </w:r>
      <w:r>
        <w:rPr>
          <w:rFonts w:ascii="Times New Roman" w:hAnsi="Times New Roman" w:cs="Times New Roman"/>
          <w:color w:val="000000"/>
          <w:sz w:val="24"/>
          <w:szCs w:val="24"/>
          <w:lang w:val="en-GB"/>
        </w:rPr>
        <w:t xml:space="preserve">lative situation of generations significantly and poses major challenges to intergenerational </w:t>
      </w:r>
      <w:r w:rsidRPr="00FB7C1E">
        <w:rPr>
          <w:rFonts w:ascii="Times New Roman" w:hAnsi="Times New Roman" w:cs="Times New Roman"/>
          <w:color w:val="000000"/>
          <w:sz w:val="24"/>
          <w:szCs w:val="24"/>
          <w:lang w:val="en-GB"/>
        </w:rPr>
        <w:t>fairness, unless policy meas</w:t>
      </w:r>
      <w:r>
        <w:rPr>
          <w:rFonts w:ascii="Times New Roman" w:hAnsi="Times New Roman" w:cs="Times New Roman"/>
          <w:color w:val="000000"/>
          <w:sz w:val="24"/>
          <w:szCs w:val="24"/>
          <w:lang w:val="en-GB"/>
        </w:rPr>
        <w:t xml:space="preserve">ures </w:t>
      </w:r>
      <w:r w:rsidRPr="00FB7C1E">
        <w:rPr>
          <w:rFonts w:ascii="Times New Roman" w:hAnsi="Times New Roman" w:cs="Times New Roman"/>
          <w:color w:val="000000"/>
          <w:sz w:val="24"/>
          <w:szCs w:val="24"/>
          <w:lang w:val="en-GB"/>
        </w:rPr>
        <w:t>a</w:t>
      </w:r>
      <w:r>
        <w:rPr>
          <w:rFonts w:ascii="Times New Roman" w:hAnsi="Times New Roman" w:cs="Times New Roman"/>
          <w:color w:val="000000"/>
          <w:sz w:val="24"/>
          <w:szCs w:val="24"/>
          <w:lang w:val="en-GB"/>
        </w:rPr>
        <w:t xml:space="preserve">re taken to counterbalance some </w:t>
      </w:r>
      <w:r w:rsidRPr="00FB7C1E">
        <w:rPr>
          <w:rFonts w:ascii="Times New Roman" w:hAnsi="Times New Roman" w:cs="Times New Roman"/>
          <w:color w:val="000000"/>
          <w:sz w:val="24"/>
          <w:szCs w:val="24"/>
          <w:lang w:val="en-GB"/>
        </w:rPr>
        <w:t>of these effects. Updated demographic pr</w:t>
      </w:r>
      <w:r>
        <w:rPr>
          <w:rFonts w:ascii="Times New Roman" w:hAnsi="Times New Roman" w:cs="Times New Roman"/>
          <w:color w:val="000000"/>
          <w:sz w:val="24"/>
          <w:szCs w:val="24"/>
          <w:lang w:val="en-GB"/>
        </w:rPr>
        <w:t xml:space="preserve">ojections for the EU until 2060 </w:t>
      </w:r>
      <w:r w:rsidRPr="00FB7C1E">
        <w:rPr>
          <w:rFonts w:ascii="Times New Roman" w:hAnsi="Times New Roman" w:cs="Times New Roman"/>
          <w:color w:val="000000"/>
          <w:sz w:val="24"/>
          <w:szCs w:val="24"/>
          <w:lang w:val="en-GB"/>
        </w:rPr>
        <w:t>show that the working-age populatio</w:t>
      </w:r>
      <w:r>
        <w:rPr>
          <w:rFonts w:ascii="Times New Roman" w:hAnsi="Times New Roman" w:cs="Times New Roman"/>
          <w:color w:val="000000"/>
          <w:sz w:val="24"/>
          <w:szCs w:val="24"/>
          <w:lang w:val="en-GB"/>
        </w:rPr>
        <w:t xml:space="preserve">n (aged 20 - 64) is expected to </w:t>
      </w:r>
      <w:r w:rsidRPr="00FB7C1E">
        <w:rPr>
          <w:rFonts w:ascii="Times New Roman" w:hAnsi="Times New Roman" w:cs="Times New Roman"/>
          <w:color w:val="000000"/>
          <w:sz w:val="24"/>
          <w:szCs w:val="24"/>
          <w:lang w:val="en-GB"/>
        </w:rPr>
        <w:t>decline</w:t>
      </w:r>
      <w:r>
        <w:rPr>
          <w:rFonts w:ascii="Times New Roman" w:hAnsi="Times New Roman" w:cs="Times New Roman"/>
          <w:color w:val="000000"/>
          <w:sz w:val="24"/>
          <w:szCs w:val="24"/>
          <w:lang w:val="en-GB"/>
        </w:rPr>
        <w:t xml:space="preserve"> by an average annual rate of 0,3 %, while the number of people </w:t>
      </w:r>
      <w:r w:rsidRPr="00FB7C1E">
        <w:rPr>
          <w:rFonts w:ascii="Times New Roman" w:hAnsi="Times New Roman" w:cs="Times New Roman"/>
          <w:color w:val="000000"/>
          <w:sz w:val="24"/>
          <w:szCs w:val="24"/>
          <w:lang w:val="en-GB"/>
        </w:rPr>
        <w:t>aged 65 and older is projected to inc</w:t>
      </w:r>
      <w:r>
        <w:rPr>
          <w:rFonts w:ascii="Times New Roman" w:hAnsi="Times New Roman" w:cs="Times New Roman"/>
          <w:color w:val="000000"/>
          <w:sz w:val="24"/>
          <w:szCs w:val="24"/>
          <w:lang w:val="en-GB"/>
        </w:rPr>
        <w:t xml:space="preserve">rease by 1 % annually. These EU </w:t>
      </w:r>
      <w:r w:rsidRPr="00FB7C1E">
        <w:rPr>
          <w:rFonts w:ascii="Times New Roman" w:hAnsi="Times New Roman" w:cs="Times New Roman"/>
          <w:color w:val="000000"/>
          <w:sz w:val="24"/>
          <w:szCs w:val="24"/>
          <w:lang w:val="en-GB"/>
        </w:rPr>
        <w:t>level figures hide considerable differ</w:t>
      </w:r>
      <w:r>
        <w:rPr>
          <w:rFonts w:ascii="Times New Roman" w:hAnsi="Times New Roman" w:cs="Times New Roman"/>
          <w:color w:val="000000"/>
          <w:sz w:val="24"/>
          <w:szCs w:val="24"/>
          <w:lang w:val="en-GB"/>
        </w:rPr>
        <w:t xml:space="preserve">ences among Member States. Some </w:t>
      </w:r>
      <w:r w:rsidRPr="00FB7C1E">
        <w:rPr>
          <w:rFonts w:ascii="Times New Roman" w:hAnsi="Times New Roman" w:cs="Times New Roman"/>
          <w:color w:val="000000"/>
          <w:sz w:val="24"/>
          <w:szCs w:val="24"/>
          <w:lang w:val="en-GB"/>
        </w:rPr>
        <w:t>will be under more pressure than others.</w:t>
      </w:r>
      <w:r>
        <w:rPr>
          <w:rFonts w:ascii="Times New Roman" w:hAnsi="Times New Roman" w:cs="Times New Roman"/>
          <w:color w:val="000000"/>
          <w:sz w:val="24"/>
          <w:szCs w:val="24"/>
          <w:lang w:val="en-GB"/>
        </w:rPr>
        <w:t xml:space="preserve"> With a </w:t>
      </w:r>
      <w:r>
        <w:rPr>
          <w:rFonts w:ascii="Times New Roman" w:hAnsi="Times New Roman" w:cs="Times New Roman"/>
          <w:color w:val="000000"/>
          <w:sz w:val="24"/>
          <w:szCs w:val="24"/>
          <w:lang w:val="en-GB"/>
        </w:rPr>
        <w:lastRenderedPageBreak/>
        <w:t xml:space="preserve">broadly unchanged total </w:t>
      </w:r>
      <w:r w:rsidRPr="00FB7C1E">
        <w:rPr>
          <w:rFonts w:ascii="Times New Roman" w:hAnsi="Times New Roman" w:cs="Times New Roman"/>
          <w:color w:val="000000"/>
          <w:sz w:val="24"/>
          <w:szCs w:val="24"/>
          <w:lang w:val="en-GB"/>
        </w:rPr>
        <w:t>population but more older people and fewer yo</w:t>
      </w:r>
      <w:r>
        <w:rPr>
          <w:rFonts w:ascii="Times New Roman" w:hAnsi="Times New Roman" w:cs="Times New Roman"/>
          <w:color w:val="000000"/>
          <w:sz w:val="24"/>
          <w:szCs w:val="24"/>
          <w:lang w:val="en-GB"/>
        </w:rPr>
        <w:t xml:space="preserve">unger people in all Member </w:t>
      </w:r>
      <w:r w:rsidRPr="00FB7C1E">
        <w:rPr>
          <w:rFonts w:ascii="Times New Roman" w:hAnsi="Times New Roman" w:cs="Times New Roman"/>
          <w:color w:val="000000"/>
          <w:sz w:val="24"/>
          <w:szCs w:val="24"/>
          <w:lang w:val="en-GB"/>
        </w:rPr>
        <w:t>States, it will be more difficult to distribut</w:t>
      </w:r>
      <w:r>
        <w:rPr>
          <w:rFonts w:ascii="Times New Roman" w:hAnsi="Times New Roman" w:cs="Times New Roman"/>
          <w:color w:val="000000"/>
          <w:sz w:val="24"/>
          <w:szCs w:val="24"/>
          <w:lang w:val="en-GB"/>
        </w:rPr>
        <w:t xml:space="preserve">e societal income fairly, given </w:t>
      </w:r>
      <w:r w:rsidRPr="00FB7C1E">
        <w:rPr>
          <w:rFonts w:ascii="Times New Roman" w:hAnsi="Times New Roman" w:cs="Times New Roman"/>
          <w:color w:val="000000"/>
          <w:sz w:val="24"/>
          <w:szCs w:val="24"/>
          <w:lang w:val="en-GB"/>
        </w:rPr>
        <w:t>that society's income (GDP) depend</w:t>
      </w:r>
      <w:r>
        <w:rPr>
          <w:rFonts w:ascii="Times New Roman" w:hAnsi="Times New Roman" w:cs="Times New Roman"/>
          <w:color w:val="000000"/>
          <w:sz w:val="24"/>
          <w:szCs w:val="24"/>
          <w:lang w:val="en-GB"/>
        </w:rPr>
        <w:t xml:space="preserve">s on the size of the population </w:t>
      </w:r>
      <w:r w:rsidRPr="00FB7C1E">
        <w:rPr>
          <w:rFonts w:ascii="Times New Roman" w:hAnsi="Times New Roman" w:cs="Times New Roman"/>
          <w:color w:val="000000"/>
          <w:sz w:val="24"/>
          <w:szCs w:val="24"/>
          <w:lang w:val="en-GB"/>
        </w:rPr>
        <w:t>producing it and its productivity.</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Given projected demographic trends, productivity g</w:t>
      </w:r>
      <w:r>
        <w:rPr>
          <w:rFonts w:ascii="Times New Roman" w:hAnsi="Times New Roman" w:cs="Times New Roman"/>
          <w:color w:val="000000"/>
          <w:sz w:val="24"/>
          <w:szCs w:val="24"/>
          <w:lang w:val="en-GB"/>
        </w:rPr>
        <w:t xml:space="preserve">rowth will become the </w:t>
      </w:r>
      <w:r w:rsidRPr="00FB7C1E">
        <w:rPr>
          <w:rFonts w:ascii="Times New Roman" w:hAnsi="Times New Roman" w:cs="Times New Roman"/>
          <w:color w:val="000000"/>
          <w:sz w:val="24"/>
          <w:szCs w:val="24"/>
          <w:lang w:val="en-GB"/>
        </w:rPr>
        <w:t>EU's main source of economic expansion i</w:t>
      </w:r>
      <w:r>
        <w:rPr>
          <w:rFonts w:ascii="Times New Roman" w:hAnsi="Times New Roman" w:cs="Times New Roman"/>
          <w:color w:val="000000"/>
          <w:sz w:val="24"/>
          <w:szCs w:val="24"/>
          <w:lang w:val="en-GB"/>
        </w:rPr>
        <w:t xml:space="preserve">n the long run. If productivity </w:t>
      </w:r>
      <w:r w:rsidRPr="00FB7C1E">
        <w:rPr>
          <w:rFonts w:ascii="Times New Roman" w:hAnsi="Times New Roman" w:cs="Times New Roman"/>
          <w:color w:val="000000"/>
          <w:sz w:val="24"/>
          <w:szCs w:val="24"/>
          <w:lang w:val="en-GB"/>
        </w:rPr>
        <w:t>growth failed to compensate for th</w:t>
      </w:r>
      <w:r>
        <w:rPr>
          <w:rFonts w:ascii="Times New Roman" w:hAnsi="Times New Roman" w:cs="Times New Roman"/>
          <w:color w:val="000000"/>
          <w:sz w:val="24"/>
          <w:szCs w:val="24"/>
          <w:lang w:val="en-GB"/>
        </w:rPr>
        <w:t xml:space="preserve">e lower employment growth which </w:t>
      </w:r>
      <w:r w:rsidRPr="00FB7C1E">
        <w:rPr>
          <w:rFonts w:ascii="Times New Roman" w:hAnsi="Times New Roman" w:cs="Times New Roman"/>
          <w:color w:val="000000"/>
          <w:sz w:val="24"/>
          <w:szCs w:val="24"/>
          <w:lang w:val="en-GB"/>
        </w:rPr>
        <w:t>results from the shrinking working age population over the long run, GDP</w:t>
      </w:r>
      <w:r>
        <w:rPr>
          <w:rFonts w:ascii="Times New Roman" w:hAnsi="Times New Roman" w:cs="Times New Roman"/>
          <w:color w:val="000000"/>
          <w:sz w:val="24"/>
          <w:szCs w:val="24"/>
          <w:lang w:val="en-GB"/>
        </w:rPr>
        <w:t xml:space="preserve"> </w:t>
      </w:r>
      <w:r w:rsidRPr="00FB7C1E">
        <w:rPr>
          <w:rFonts w:ascii="Times New Roman" w:hAnsi="Times New Roman" w:cs="Times New Roman"/>
          <w:color w:val="000000"/>
          <w:sz w:val="24"/>
          <w:szCs w:val="24"/>
          <w:lang w:val="en-GB"/>
        </w:rPr>
        <w:t>growth would be lower in the futu</w:t>
      </w:r>
      <w:r>
        <w:rPr>
          <w:rFonts w:ascii="Times New Roman" w:hAnsi="Times New Roman" w:cs="Times New Roman"/>
          <w:color w:val="000000"/>
          <w:sz w:val="24"/>
          <w:szCs w:val="24"/>
          <w:lang w:val="en-GB"/>
        </w:rPr>
        <w:t xml:space="preserve">re. Lower GDP growth would make </w:t>
      </w:r>
      <w:r w:rsidRPr="00FB7C1E">
        <w:rPr>
          <w:rFonts w:ascii="Times New Roman" w:hAnsi="Times New Roman" w:cs="Times New Roman"/>
          <w:color w:val="000000"/>
          <w:sz w:val="24"/>
          <w:szCs w:val="24"/>
          <w:lang w:val="en-GB"/>
        </w:rPr>
        <w:t>redistribution from one group in society to</w:t>
      </w:r>
      <w:r>
        <w:rPr>
          <w:rFonts w:ascii="Times New Roman" w:hAnsi="Times New Roman" w:cs="Times New Roman"/>
          <w:color w:val="000000"/>
          <w:sz w:val="24"/>
          <w:szCs w:val="24"/>
          <w:lang w:val="en-GB"/>
        </w:rPr>
        <w:t xml:space="preserve"> another more controversial and </w:t>
      </w:r>
      <w:r w:rsidRPr="00FB7C1E">
        <w:rPr>
          <w:rFonts w:ascii="Times New Roman" w:hAnsi="Times New Roman" w:cs="Times New Roman"/>
          <w:color w:val="000000"/>
          <w:sz w:val="24"/>
          <w:szCs w:val="24"/>
          <w:lang w:val="en-GB"/>
        </w:rPr>
        <w:t>would inevitably complicate the task</w:t>
      </w:r>
      <w:r>
        <w:rPr>
          <w:rFonts w:ascii="Times New Roman" w:hAnsi="Times New Roman" w:cs="Times New Roman"/>
          <w:color w:val="000000"/>
          <w:sz w:val="24"/>
          <w:szCs w:val="24"/>
          <w:lang w:val="en-GB"/>
        </w:rPr>
        <w:t xml:space="preserve"> of achieving intergenerational </w:t>
      </w:r>
      <w:r w:rsidRPr="00FB7C1E">
        <w:rPr>
          <w:rFonts w:ascii="Times New Roman" w:hAnsi="Times New Roman" w:cs="Times New Roman"/>
          <w:color w:val="000000"/>
          <w:sz w:val="24"/>
          <w:szCs w:val="24"/>
          <w:lang w:val="en-GB"/>
        </w:rPr>
        <w:t>fairness. Achieving higher productivity growth r</w:t>
      </w:r>
      <w:r>
        <w:rPr>
          <w:rFonts w:ascii="Times New Roman" w:hAnsi="Times New Roman" w:cs="Times New Roman"/>
          <w:color w:val="000000"/>
          <w:sz w:val="24"/>
          <w:szCs w:val="24"/>
          <w:lang w:val="en-GB"/>
        </w:rPr>
        <w:t xml:space="preserve">equires more investment in </w:t>
      </w:r>
      <w:r w:rsidRPr="00FB7C1E">
        <w:rPr>
          <w:rFonts w:ascii="Times New Roman" w:hAnsi="Times New Roman" w:cs="Times New Roman"/>
          <w:color w:val="000000"/>
          <w:sz w:val="24"/>
          <w:szCs w:val="24"/>
          <w:lang w:val="en-GB"/>
        </w:rPr>
        <w:t>both physical and human capital, which ma</w:t>
      </w:r>
      <w:r>
        <w:rPr>
          <w:rFonts w:ascii="Times New Roman" w:hAnsi="Times New Roman" w:cs="Times New Roman"/>
          <w:color w:val="000000"/>
          <w:sz w:val="24"/>
          <w:szCs w:val="24"/>
          <w:lang w:val="en-GB"/>
        </w:rPr>
        <w:t xml:space="preserve">y be more difficult to generate </w:t>
      </w:r>
      <w:r w:rsidRPr="00FB7C1E">
        <w:rPr>
          <w:rFonts w:ascii="Times New Roman" w:hAnsi="Times New Roman" w:cs="Times New Roman"/>
          <w:color w:val="000000"/>
          <w:sz w:val="24"/>
          <w:szCs w:val="24"/>
          <w:lang w:val="en-GB"/>
        </w:rPr>
        <w:t>in an ageing society because older ag</w:t>
      </w:r>
      <w:r>
        <w:rPr>
          <w:rFonts w:ascii="Times New Roman" w:hAnsi="Times New Roman" w:cs="Times New Roman"/>
          <w:color w:val="000000"/>
          <w:sz w:val="24"/>
          <w:szCs w:val="24"/>
          <w:lang w:val="en-GB"/>
        </w:rPr>
        <w:t xml:space="preserve">e groups may be less willing to </w:t>
      </w:r>
      <w:r w:rsidRPr="00FB7C1E">
        <w:rPr>
          <w:rFonts w:ascii="Times New Roman" w:hAnsi="Times New Roman" w:cs="Times New Roman"/>
          <w:color w:val="000000"/>
          <w:sz w:val="24"/>
          <w:szCs w:val="24"/>
          <w:lang w:val="en-GB"/>
        </w:rPr>
        <w:t>invest in innovation.</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An ageing Europe may thus face new challenges to all generations’</w:t>
      </w:r>
      <w:r>
        <w:rPr>
          <w:rFonts w:ascii="Times New Roman" w:hAnsi="Times New Roman" w:cs="Times New Roman"/>
          <w:color w:val="000000"/>
          <w:sz w:val="24"/>
          <w:szCs w:val="24"/>
          <w:lang w:val="en-GB"/>
        </w:rPr>
        <w:t xml:space="preserve"> </w:t>
      </w:r>
      <w:r w:rsidRPr="00FB7C1E">
        <w:rPr>
          <w:rFonts w:ascii="Times New Roman" w:hAnsi="Times New Roman" w:cs="Times New Roman"/>
          <w:color w:val="000000"/>
          <w:sz w:val="24"/>
          <w:szCs w:val="24"/>
          <w:lang w:val="en-GB"/>
        </w:rPr>
        <w:t>welfare, unless (1) the impact of a shri</w:t>
      </w:r>
      <w:r>
        <w:rPr>
          <w:rFonts w:ascii="Times New Roman" w:hAnsi="Times New Roman" w:cs="Times New Roman"/>
          <w:color w:val="000000"/>
          <w:sz w:val="24"/>
          <w:szCs w:val="24"/>
          <w:lang w:val="en-GB"/>
        </w:rPr>
        <w:t xml:space="preserve">nking working-age population is </w:t>
      </w:r>
      <w:r w:rsidRPr="00FB7C1E">
        <w:rPr>
          <w:rFonts w:ascii="Times New Roman" w:hAnsi="Times New Roman" w:cs="Times New Roman"/>
          <w:color w:val="000000"/>
          <w:sz w:val="24"/>
          <w:szCs w:val="24"/>
          <w:lang w:val="en-GB"/>
        </w:rPr>
        <w:t>cushioned by helping a higher perce</w:t>
      </w:r>
      <w:r>
        <w:rPr>
          <w:rFonts w:ascii="Times New Roman" w:hAnsi="Times New Roman" w:cs="Times New Roman"/>
          <w:color w:val="000000"/>
          <w:sz w:val="24"/>
          <w:szCs w:val="24"/>
          <w:lang w:val="en-GB"/>
        </w:rPr>
        <w:t xml:space="preserve">ntage of potential workers into </w:t>
      </w:r>
      <w:r w:rsidRPr="00FB7C1E">
        <w:rPr>
          <w:rFonts w:ascii="Times New Roman" w:hAnsi="Times New Roman" w:cs="Times New Roman"/>
          <w:color w:val="000000"/>
          <w:sz w:val="24"/>
          <w:szCs w:val="24"/>
          <w:lang w:val="en-GB"/>
        </w:rPr>
        <w:t>employment and the length of working lives</w:t>
      </w:r>
      <w:r>
        <w:rPr>
          <w:rFonts w:ascii="Times New Roman" w:hAnsi="Times New Roman" w:cs="Times New Roman"/>
          <w:color w:val="000000"/>
          <w:sz w:val="24"/>
          <w:szCs w:val="24"/>
          <w:lang w:val="en-GB"/>
        </w:rPr>
        <w:t xml:space="preserve"> is extended, (2) increased net </w:t>
      </w:r>
      <w:r w:rsidRPr="00FB7C1E">
        <w:rPr>
          <w:rFonts w:ascii="Times New Roman" w:hAnsi="Times New Roman" w:cs="Times New Roman"/>
          <w:color w:val="000000"/>
          <w:sz w:val="24"/>
          <w:szCs w:val="24"/>
          <w:lang w:val="en-GB"/>
        </w:rPr>
        <w:t>immigration and higher fertility help sust</w:t>
      </w:r>
      <w:r>
        <w:rPr>
          <w:rFonts w:ascii="Times New Roman" w:hAnsi="Times New Roman" w:cs="Times New Roman"/>
          <w:color w:val="000000"/>
          <w:sz w:val="24"/>
          <w:szCs w:val="24"/>
          <w:lang w:val="en-GB"/>
        </w:rPr>
        <w:t xml:space="preserve">ain population growth and (3) </w:t>
      </w:r>
      <w:r w:rsidRPr="00FB7C1E">
        <w:rPr>
          <w:rFonts w:ascii="Times New Roman" w:hAnsi="Times New Roman" w:cs="Times New Roman"/>
          <w:color w:val="000000"/>
          <w:sz w:val="24"/>
          <w:szCs w:val="24"/>
          <w:lang w:val="en-GB"/>
        </w:rPr>
        <w:t>sustained investment is made, notably in people to increase productivity.</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Simulations show that efforts to incre</w:t>
      </w:r>
      <w:r>
        <w:rPr>
          <w:rFonts w:ascii="Times New Roman" w:hAnsi="Times New Roman" w:cs="Times New Roman"/>
          <w:color w:val="000000"/>
          <w:sz w:val="24"/>
          <w:szCs w:val="24"/>
          <w:lang w:val="en-GB"/>
        </w:rPr>
        <w:t xml:space="preserve">ase labour market participation </w:t>
      </w:r>
      <w:r w:rsidRPr="00FB7C1E">
        <w:rPr>
          <w:rFonts w:ascii="Times New Roman" w:hAnsi="Times New Roman" w:cs="Times New Roman"/>
          <w:color w:val="000000"/>
          <w:sz w:val="24"/>
          <w:szCs w:val="24"/>
          <w:lang w:val="en-GB"/>
        </w:rPr>
        <w:t>further, especially that of older w</w:t>
      </w:r>
      <w:r>
        <w:rPr>
          <w:rFonts w:ascii="Times New Roman" w:hAnsi="Times New Roman" w:cs="Times New Roman"/>
          <w:color w:val="000000"/>
          <w:sz w:val="24"/>
          <w:szCs w:val="24"/>
          <w:lang w:val="en-GB"/>
        </w:rPr>
        <w:t xml:space="preserve">orkers and women, together with </w:t>
      </w:r>
      <w:r w:rsidRPr="00FB7C1E">
        <w:rPr>
          <w:rFonts w:ascii="Times New Roman" w:hAnsi="Times New Roman" w:cs="Times New Roman"/>
          <w:color w:val="000000"/>
          <w:sz w:val="24"/>
          <w:szCs w:val="24"/>
          <w:lang w:val="en-GB"/>
        </w:rPr>
        <w:t>continued educational progress which ha</w:t>
      </w:r>
      <w:r>
        <w:rPr>
          <w:rFonts w:ascii="Times New Roman" w:hAnsi="Times New Roman" w:cs="Times New Roman"/>
          <w:color w:val="000000"/>
          <w:sz w:val="24"/>
          <w:szCs w:val="24"/>
          <w:lang w:val="en-GB"/>
        </w:rPr>
        <w:t xml:space="preserve">s a positive impact on activity </w:t>
      </w:r>
      <w:r w:rsidRPr="00FB7C1E">
        <w:rPr>
          <w:rFonts w:ascii="Times New Roman" w:hAnsi="Times New Roman" w:cs="Times New Roman"/>
          <w:color w:val="000000"/>
          <w:sz w:val="24"/>
          <w:szCs w:val="24"/>
          <w:lang w:val="en-GB"/>
        </w:rPr>
        <w:t>rates, can postpone the dampening ef</w:t>
      </w:r>
      <w:r>
        <w:rPr>
          <w:rFonts w:ascii="Times New Roman" w:hAnsi="Times New Roman" w:cs="Times New Roman"/>
          <w:color w:val="000000"/>
          <w:sz w:val="24"/>
          <w:szCs w:val="24"/>
          <w:lang w:val="en-GB"/>
        </w:rPr>
        <w:t xml:space="preserve">fect of shrinking employment on </w:t>
      </w:r>
      <w:r w:rsidRPr="00FB7C1E">
        <w:rPr>
          <w:rFonts w:ascii="Times New Roman" w:hAnsi="Times New Roman" w:cs="Times New Roman"/>
          <w:color w:val="000000"/>
          <w:sz w:val="24"/>
          <w:szCs w:val="24"/>
          <w:lang w:val="en-GB"/>
        </w:rPr>
        <w:t>economic growth. If the EU makes effective</w:t>
      </w:r>
      <w:r>
        <w:rPr>
          <w:rFonts w:ascii="Times New Roman" w:hAnsi="Times New Roman" w:cs="Times New Roman"/>
          <w:color w:val="000000"/>
          <w:sz w:val="24"/>
          <w:szCs w:val="24"/>
          <w:lang w:val="en-GB"/>
        </w:rPr>
        <w:t xml:space="preserve"> use of all its human resources </w:t>
      </w:r>
      <w:r w:rsidRPr="00FB7C1E">
        <w:rPr>
          <w:rFonts w:ascii="Times New Roman" w:hAnsi="Times New Roman" w:cs="Times New Roman"/>
          <w:color w:val="000000"/>
          <w:sz w:val="24"/>
          <w:szCs w:val="24"/>
          <w:lang w:val="en-GB"/>
        </w:rPr>
        <w:t>also by better incorporating un</w:t>
      </w:r>
      <w:r>
        <w:rPr>
          <w:rFonts w:ascii="Times New Roman" w:hAnsi="Times New Roman" w:cs="Times New Roman"/>
          <w:color w:val="000000"/>
          <w:sz w:val="24"/>
          <w:szCs w:val="24"/>
          <w:lang w:val="en-GB"/>
        </w:rPr>
        <w:t xml:space="preserve">derrepresented groups, positive </w:t>
      </w:r>
      <w:r w:rsidRPr="00FB7C1E">
        <w:rPr>
          <w:rFonts w:ascii="Times New Roman" w:hAnsi="Times New Roman" w:cs="Times New Roman"/>
          <w:color w:val="000000"/>
          <w:sz w:val="24"/>
          <w:szCs w:val="24"/>
          <w:lang w:val="en-GB"/>
        </w:rPr>
        <w:t>employment growth could continue for a</w:t>
      </w:r>
      <w:r>
        <w:rPr>
          <w:rFonts w:ascii="Times New Roman" w:hAnsi="Times New Roman" w:cs="Times New Roman"/>
          <w:color w:val="000000"/>
          <w:sz w:val="24"/>
          <w:szCs w:val="24"/>
          <w:lang w:val="en-GB"/>
        </w:rPr>
        <w:t xml:space="preserve">nother decade. Measures such as </w:t>
      </w:r>
      <w:r w:rsidRPr="00FB7C1E">
        <w:rPr>
          <w:rFonts w:ascii="Times New Roman" w:hAnsi="Times New Roman" w:cs="Times New Roman"/>
          <w:color w:val="000000"/>
          <w:sz w:val="24"/>
          <w:szCs w:val="24"/>
          <w:lang w:val="en-GB"/>
        </w:rPr>
        <w:t>proper incentives for second earners t</w:t>
      </w:r>
      <w:r>
        <w:rPr>
          <w:rFonts w:ascii="Times New Roman" w:hAnsi="Times New Roman" w:cs="Times New Roman"/>
          <w:color w:val="000000"/>
          <w:sz w:val="24"/>
          <w:szCs w:val="24"/>
          <w:lang w:val="en-GB"/>
        </w:rPr>
        <w:t xml:space="preserve">hrough tax and benefit systems, </w:t>
      </w:r>
      <w:r w:rsidRPr="00FB7C1E">
        <w:rPr>
          <w:rFonts w:ascii="Times New Roman" w:hAnsi="Times New Roman" w:cs="Times New Roman"/>
          <w:color w:val="000000"/>
          <w:sz w:val="24"/>
          <w:szCs w:val="24"/>
          <w:lang w:val="en-GB"/>
        </w:rPr>
        <w:t>minimum wage policies as well as comprehensive integr</w:t>
      </w:r>
      <w:r>
        <w:rPr>
          <w:rFonts w:ascii="Times New Roman" w:hAnsi="Times New Roman" w:cs="Times New Roman"/>
          <w:color w:val="000000"/>
          <w:sz w:val="24"/>
          <w:szCs w:val="24"/>
          <w:lang w:val="en-GB"/>
        </w:rPr>
        <w:t xml:space="preserve">ation strategies </w:t>
      </w:r>
      <w:r w:rsidRPr="00FB7C1E">
        <w:rPr>
          <w:rFonts w:ascii="Times New Roman" w:hAnsi="Times New Roman" w:cs="Times New Roman"/>
          <w:color w:val="000000"/>
          <w:sz w:val="24"/>
          <w:szCs w:val="24"/>
          <w:lang w:val="en-GB"/>
        </w:rPr>
        <w:t>could improve the employment rate.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Raising effective retirement ages by 2</w:t>
      </w:r>
      <w:r>
        <w:rPr>
          <w:rFonts w:ascii="Times New Roman" w:hAnsi="Times New Roman" w:cs="Times New Roman"/>
          <w:color w:val="000000"/>
          <w:sz w:val="24"/>
          <w:szCs w:val="24"/>
          <w:lang w:val="en-GB"/>
        </w:rPr>
        <w:t xml:space="preserve">030 would not reverse the trend </w:t>
      </w:r>
      <w:r w:rsidRPr="00FB7C1E">
        <w:rPr>
          <w:rFonts w:ascii="Times New Roman" w:hAnsi="Times New Roman" w:cs="Times New Roman"/>
          <w:color w:val="000000"/>
          <w:sz w:val="24"/>
          <w:szCs w:val="24"/>
          <w:lang w:val="en-GB"/>
        </w:rPr>
        <w:t>towards a declining workforce in the lo</w:t>
      </w:r>
      <w:r>
        <w:rPr>
          <w:rFonts w:ascii="Times New Roman" w:hAnsi="Times New Roman" w:cs="Times New Roman"/>
          <w:color w:val="000000"/>
          <w:sz w:val="24"/>
          <w:szCs w:val="24"/>
          <w:lang w:val="en-GB"/>
        </w:rPr>
        <w:t xml:space="preserve">ng run. However, in addition to </w:t>
      </w:r>
      <w:r w:rsidRPr="00FB7C1E">
        <w:rPr>
          <w:rFonts w:ascii="Times New Roman" w:hAnsi="Times New Roman" w:cs="Times New Roman"/>
          <w:color w:val="000000"/>
          <w:sz w:val="24"/>
          <w:szCs w:val="24"/>
          <w:lang w:val="en-GB"/>
        </w:rPr>
        <w:t>being crucial for ensuring the sustainability of pension system</w:t>
      </w:r>
      <w:r>
        <w:rPr>
          <w:rFonts w:ascii="Times New Roman" w:hAnsi="Times New Roman" w:cs="Times New Roman"/>
          <w:color w:val="000000"/>
          <w:sz w:val="24"/>
          <w:szCs w:val="24"/>
          <w:lang w:val="en-GB"/>
        </w:rPr>
        <w:t xml:space="preserve">s it would </w:t>
      </w:r>
      <w:r w:rsidRPr="00FB7C1E">
        <w:rPr>
          <w:rFonts w:ascii="Times New Roman" w:hAnsi="Times New Roman" w:cs="Times New Roman"/>
          <w:color w:val="000000"/>
          <w:sz w:val="24"/>
          <w:szCs w:val="24"/>
          <w:lang w:val="en-GB"/>
        </w:rPr>
        <w:t>help safeguard higher potential emp</w:t>
      </w:r>
      <w:r>
        <w:rPr>
          <w:rFonts w:ascii="Times New Roman" w:hAnsi="Times New Roman" w:cs="Times New Roman"/>
          <w:color w:val="000000"/>
          <w:sz w:val="24"/>
          <w:szCs w:val="24"/>
          <w:lang w:val="en-GB"/>
        </w:rPr>
        <w:t xml:space="preserve">loyment growth through the next </w:t>
      </w:r>
      <w:r w:rsidRPr="00FB7C1E">
        <w:rPr>
          <w:rFonts w:ascii="Times New Roman" w:hAnsi="Times New Roman" w:cs="Times New Roman"/>
          <w:color w:val="000000"/>
          <w:sz w:val="24"/>
          <w:szCs w:val="24"/>
          <w:lang w:val="en-GB"/>
        </w:rPr>
        <w:t>decade. Policies ensuring that people can</w:t>
      </w:r>
      <w:r>
        <w:rPr>
          <w:rFonts w:ascii="Times New Roman" w:hAnsi="Times New Roman" w:cs="Times New Roman"/>
          <w:color w:val="000000"/>
          <w:sz w:val="24"/>
          <w:szCs w:val="24"/>
          <w:lang w:val="en-GB"/>
        </w:rPr>
        <w:t xml:space="preserve"> effectively work longer are an </w:t>
      </w:r>
      <w:r w:rsidRPr="00FB7C1E">
        <w:rPr>
          <w:rFonts w:ascii="Times New Roman" w:hAnsi="Times New Roman" w:cs="Times New Roman"/>
          <w:color w:val="000000"/>
          <w:sz w:val="24"/>
          <w:szCs w:val="24"/>
          <w:lang w:val="en-GB"/>
        </w:rPr>
        <w:t>important complement to raising retireme</w:t>
      </w:r>
      <w:r>
        <w:rPr>
          <w:rFonts w:ascii="Times New Roman" w:hAnsi="Times New Roman" w:cs="Times New Roman"/>
          <w:color w:val="000000"/>
          <w:sz w:val="24"/>
          <w:szCs w:val="24"/>
          <w:lang w:val="en-GB"/>
        </w:rPr>
        <w:t xml:space="preserve">nt ages. This includes ensuring </w:t>
      </w:r>
      <w:r w:rsidRPr="00FB7C1E">
        <w:rPr>
          <w:rFonts w:ascii="Times New Roman" w:hAnsi="Times New Roman" w:cs="Times New Roman"/>
          <w:color w:val="000000"/>
          <w:sz w:val="24"/>
          <w:szCs w:val="24"/>
          <w:lang w:val="en-GB"/>
        </w:rPr>
        <w:t>adequate working conditions in terms of health and safety at work.</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Moreover, increased fertility and effic</w:t>
      </w:r>
      <w:r>
        <w:rPr>
          <w:rFonts w:ascii="Times New Roman" w:hAnsi="Times New Roman" w:cs="Times New Roman"/>
          <w:color w:val="000000"/>
          <w:sz w:val="24"/>
          <w:szCs w:val="24"/>
          <w:lang w:val="en-GB"/>
        </w:rPr>
        <w:t xml:space="preserve">ient immigration management can </w:t>
      </w:r>
      <w:r w:rsidRPr="00FB7C1E">
        <w:rPr>
          <w:rFonts w:ascii="Times New Roman" w:hAnsi="Times New Roman" w:cs="Times New Roman"/>
          <w:color w:val="000000"/>
          <w:sz w:val="24"/>
          <w:szCs w:val="24"/>
          <w:lang w:val="en-GB"/>
        </w:rPr>
        <w:t>make a difference to the size of th</w:t>
      </w:r>
      <w:r>
        <w:rPr>
          <w:rFonts w:ascii="Times New Roman" w:hAnsi="Times New Roman" w:cs="Times New Roman"/>
          <w:color w:val="000000"/>
          <w:sz w:val="24"/>
          <w:szCs w:val="24"/>
          <w:lang w:val="en-GB"/>
        </w:rPr>
        <w:t xml:space="preserve">e working-age population in the </w:t>
      </w:r>
      <w:r w:rsidRPr="00FB7C1E">
        <w:rPr>
          <w:rFonts w:ascii="Times New Roman" w:hAnsi="Times New Roman" w:cs="Times New Roman"/>
          <w:color w:val="000000"/>
          <w:sz w:val="24"/>
          <w:szCs w:val="24"/>
          <w:lang w:val="en-GB"/>
        </w:rPr>
        <w:t>medium to long run. This highlights the importance of corresponding policy</w:t>
      </w:r>
      <w:r>
        <w:rPr>
          <w:rFonts w:ascii="Times New Roman" w:hAnsi="Times New Roman" w:cs="Times New Roman"/>
          <w:color w:val="000000"/>
          <w:sz w:val="24"/>
          <w:szCs w:val="24"/>
          <w:lang w:val="en-GB"/>
        </w:rPr>
        <w:t xml:space="preserve"> </w:t>
      </w:r>
      <w:r w:rsidRPr="00FB7C1E">
        <w:rPr>
          <w:rFonts w:ascii="Times New Roman" w:hAnsi="Times New Roman" w:cs="Times New Roman"/>
          <w:color w:val="000000"/>
          <w:sz w:val="24"/>
          <w:szCs w:val="24"/>
          <w:lang w:val="en-GB"/>
        </w:rPr>
        <w:t>action (including the reconciliation of fa</w:t>
      </w:r>
      <w:r>
        <w:rPr>
          <w:rFonts w:ascii="Times New Roman" w:hAnsi="Times New Roman" w:cs="Times New Roman"/>
          <w:color w:val="000000"/>
          <w:sz w:val="24"/>
          <w:szCs w:val="24"/>
          <w:lang w:val="en-GB"/>
        </w:rPr>
        <w:t xml:space="preserve">mily and work responsibilities, </w:t>
      </w:r>
      <w:r w:rsidRPr="00FB7C1E">
        <w:rPr>
          <w:rFonts w:ascii="Times New Roman" w:hAnsi="Times New Roman" w:cs="Times New Roman"/>
          <w:color w:val="000000"/>
          <w:sz w:val="24"/>
          <w:szCs w:val="24"/>
          <w:lang w:val="en-GB"/>
        </w:rPr>
        <w:t>childcare, etc.).</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At the same time, fostering productivity gr</w:t>
      </w:r>
      <w:r>
        <w:rPr>
          <w:rFonts w:ascii="Times New Roman" w:hAnsi="Times New Roman" w:cs="Times New Roman"/>
          <w:color w:val="000000"/>
          <w:sz w:val="24"/>
          <w:szCs w:val="24"/>
          <w:lang w:val="en-GB"/>
        </w:rPr>
        <w:t xml:space="preserve">owth is vital for improving the </w:t>
      </w:r>
      <w:r w:rsidRPr="00FB7C1E">
        <w:rPr>
          <w:rFonts w:ascii="Times New Roman" w:hAnsi="Times New Roman" w:cs="Times New Roman"/>
          <w:color w:val="000000"/>
          <w:sz w:val="24"/>
          <w:szCs w:val="24"/>
          <w:lang w:val="en-GB"/>
        </w:rPr>
        <w:t>collective prospects of society and producti</w:t>
      </w:r>
      <w:r>
        <w:rPr>
          <w:rFonts w:ascii="Times New Roman" w:hAnsi="Times New Roman" w:cs="Times New Roman"/>
          <w:color w:val="000000"/>
          <w:sz w:val="24"/>
          <w:szCs w:val="24"/>
          <w:lang w:val="en-GB"/>
        </w:rPr>
        <w:t xml:space="preserve">vity-enhancing reforms are thus </w:t>
      </w:r>
      <w:r w:rsidRPr="00FB7C1E">
        <w:rPr>
          <w:rFonts w:ascii="Times New Roman" w:hAnsi="Times New Roman" w:cs="Times New Roman"/>
          <w:color w:val="000000"/>
          <w:sz w:val="24"/>
          <w:szCs w:val="24"/>
          <w:lang w:val="en-GB"/>
        </w:rPr>
        <w:t>imperative. This means supporting innovati</w:t>
      </w:r>
      <w:r>
        <w:rPr>
          <w:rFonts w:ascii="Times New Roman" w:hAnsi="Times New Roman" w:cs="Times New Roman"/>
          <w:color w:val="000000"/>
          <w:sz w:val="24"/>
          <w:szCs w:val="24"/>
          <w:lang w:val="en-GB"/>
        </w:rPr>
        <w:t xml:space="preserve">on and major efficient spending </w:t>
      </w:r>
      <w:r w:rsidRPr="00FB7C1E">
        <w:rPr>
          <w:rFonts w:ascii="Times New Roman" w:hAnsi="Times New Roman" w:cs="Times New Roman"/>
          <w:color w:val="000000"/>
          <w:sz w:val="24"/>
          <w:szCs w:val="24"/>
          <w:lang w:val="en-GB"/>
        </w:rPr>
        <w:t>on investment in young and old people's skill</w:t>
      </w:r>
      <w:r>
        <w:rPr>
          <w:rFonts w:ascii="Times New Roman" w:hAnsi="Times New Roman" w:cs="Times New Roman"/>
          <w:color w:val="000000"/>
          <w:sz w:val="24"/>
          <w:szCs w:val="24"/>
          <w:lang w:val="en-GB"/>
        </w:rPr>
        <w:t xml:space="preserve">s, in line with the EU's social </w:t>
      </w:r>
      <w:r w:rsidRPr="00FB7C1E">
        <w:rPr>
          <w:rFonts w:ascii="Times New Roman" w:hAnsi="Times New Roman" w:cs="Times New Roman"/>
          <w:color w:val="000000"/>
          <w:sz w:val="24"/>
          <w:szCs w:val="24"/>
          <w:lang w:val="en-GB"/>
        </w:rPr>
        <w:t xml:space="preserve">investment strategy and Principle 1 of </w:t>
      </w:r>
      <w:r>
        <w:rPr>
          <w:rFonts w:ascii="Times New Roman" w:hAnsi="Times New Roman" w:cs="Times New Roman"/>
          <w:color w:val="000000"/>
          <w:sz w:val="24"/>
          <w:szCs w:val="24"/>
          <w:lang w:val="en-GB"/>
        </w:rPr>
        <w:t xml:space="preserve">the proposed European Pillar of </w:t>
      </w:r>
      <w:r w:rsidRPr="00FB7C1E">
        <w:rPr>
          <w:rFonts w:ascii="Times New Roman" w:hAnsi="Times New Roman" w:cs="Times New Roman"/>
          <w:color w:val="000000"/>
          <w:sz w:val="24"/>
          <w:szCs w:val="24"/>
          <w:lang w:val="en-GB"/>
        </w:rPr>
        <w:t xml:space="preserve">Social Rights. In addition to fostering social mobility </w:t>
      </w:r>
      <w:r>
        <w:rPr>
          <w:rFonts w:ascii="Times New Roman" w:hAnsi="Times New Roman" w:cs="Times New Roman"/>
          <w:color w:val="000000"/>
          <w:sz w:val="24"/>
          <w:szCs w:val="24"/>
          <w:lang w:val="en-GB"/>
        </w:rPr>
        <w:t xml:space="preserve">and supporting living </w:t>
      </w:r>
      <w:r w:rsidRPr="00FB7C1E">
        <w:rPr>
          <w:rFonts w:ascii="Times New Roman" w:hAnsi="Times New Roman" w:cs="Times New Roman"/>
          <w:color w:val="000000"/>
          <w:sz w:val="24"/>
          <w:szCs w:val="24"/>
          <w:lang w:val="en-GB"/>
        </w:rPr>
        <w:t>conditions, these policies improve peopl</w:t>
      </w:r>
      <w:r>
        <w:rPr>
          <w:rFonts w:ascii="Times New Roman" w:hAnsi="Times New Roman" w:cs="Times New Roman"/>
          <w:color w:val="000000"/>
          <w:sz w:val="24"/>
          <w:szCs w:val="24"/>
          <w:lang w:val="en-GB"/>
        </w:rPr>
        <w:t xml:space="preserve">e's employment prospects across </w:t>
      </w:r>
      <w:r w:rsidRPr="00FB7C1E">
        <w:rPr>
          <w:rFonts w:ascii="Times New Roman" w:hAnsi="Times New Roman" w:cs="Times New Roman"/>
          <w:color w:val="000000"/>
          <w:sz w:val="24"/>
          <w:szCs w:val="24"/>
          <w:lang w:val="en-GB"/>
        </w:rPr>
        <w:t>generations, thus contributing to better ut</w:t>
      </w:r>
      <w:r>
        <w:rPr>
          <w:rFonts w:ascii="Times New Roman" w:hAnsi="Times New Roman" w:cs="Times New Roman"/>
          <w:color w:val="000000"/>
          <w:sz w:val="24"/>
          <w:szCs w:val="24"/>
          <w:lang w:val="en-GB"/>
        </w:rPr>
        <w:t xml:space="preserve">ilising the existing workforce, </w:t>
      </w:r>
      <w:r w:rsidRPr="00FB7C1E">
        <w:rPr>
          <w:rFonts w:ascii="Times New Roman" w:hAnsi="Times New Roman" w:cs="Times New Roman"/>
          <w:color w:val="000000"/>
          <w:sz w:val="24"/>
          <w:szCs w:val="24"/>
          <w:lang w:val="en-GB"/>
        </w:rPr>
        <w:t>and to generating higher productivity gro</w:t>
      </w:r>
      <w:r>
        <w:rPr>
          <w:rFonts w:ascii="Times New Roman" w:hAnsi="Times New Roman" w:cs="Times New Roman"/>
          <w:color w:val="000000"/>
          <w:sz w:val="24"/>
          <w:szCs w:val="24"/>
          <w:lang w:val="en-GB"/>
        </w:rPr>
        <w:t xml:space="preserve">wth. This complementarity would </w:t>
      </w:r>
      <w:r w:rsidRPr="00FB7C1E">
        <w:rPr>
          <w:rFonts w:ascii="Times New Roman" w:hAnsi="Times New Roman" w:cs="Times New Roman"/>
          <w:color w:val="000000"/>
          <w:sz w:val="24"/>
          <w:szCs w:val="24"/>
          <w:lang w:val="en-GB"/>
        </w:rPr>
        <w:t>thus underpin productivity as a main driver</w:t>
      </w:r>
      <w:r>
        <w:rPr>
          <w:rFonts w:ascii="Times New Roman" w:hAnsi="Times New Roman" w:cs="Times New Roman"/>
          <w:color w:val="000000"/>
          <w:sz w:val="24"/>
          <w:szCs w:val="24"/>
          <w:lang w:val="en-GB"/>
        </w:rPr>
        <w:t xml:space="preserve"> of economic growth also </w:t>
      </w:r>
      <w:r>
        <w:rPr>
          <w:rFonts w:ascii="Times New Roman" w:hAnsi="Times New Roman" w:cs="Times New Roman"/>
          <w:color w:val="000000"/>
          <w:sz w:val="24"/>
          <w:szCs w:val="24"/>
          <w:lang w:val="en-GB"/>
        </w:rPr>
        <w:lastRenderedPageBreak/>
        <w:t xml:space="preserve">in the </w:t>
      </w:r>
      <w:r w:rsidRPr="00FB7C1E">
        <w:rPr>
          <w:rFonts w:ascii="Times New Roman" w:hAnsi="Times New Roman" w:cs="Times New Roman"/>
          <w:color w:val="000000"/>
          <w:sz w:val="24"/>
          <w:szCs w:val="24"/>
          <w:lang w:val="en-GB"/>
        </w:rPr>
        <w:t>long run and help sustain income gr</w:t>
      </w:r>
      <w:r>
        <w:rPr>
          <w:rFonts w:ascii="Times New Roman" w:hAnsi="Times New Roman" w:cs="Times New Roman"/>
          <w:color w:val="000000"/>
          <w:sz w:val="24"/>
          <w:szCs w:val="24"/>
          <w:lang w:val="en-GB"/>
        </w:rPr>
        <w:t xml:space="preserve">owth as well as welfare systems </w:t>
      </w:r>
      <w:r w:rsidRPr="00FB7C1E">
        <w:rPr>
          <w:rFonts w:ascii="Times New Roman" w:hAnsi="Times New Roman" w:cs="Times New Roman"/>
          <w:color w:val="000000"/>
          <w:sz w:val="24"/>
          <w:szCs w:val="24"/>
          <w:lang w:val="en-GB"/>
        </w:rPr>
        <w:t>embodying inter-generational solidarity.</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3. Working lives: the foundation of prosperity for all generations</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All g</w:t>
      </w:r>
      <w:r>
        <w:rPr>
          <w:rFonts w:ascii="Times New Roman" w:hAnsi="Times New Roman" w:cs="Times New Roman"/>
          <w:color w:val="000000"/>
          <w:sz w:val="24"/>
          <w:szCs w:val="24"/>
          <w:lang w:val="en-GB"/>
        </w:rPr>
        <w:t xml:space="preserve">enerations benefit from working </w:t>
      </w:r>
      <w:r w:rsidRPr="00FB7C1E">
        <w:rPr>
          <w:rFonts w:ascii="Times New Roman" w:hAnsi="Times New Roman" w:cs="Times New Roman"/>
          <w:color w:val="000000"/>
          <w:sz w:val="24"/>
          <w:szCs w:val="24"/>
          <w:lang w:val="en-GB"/>
        </w:rPr>
        <w:t>age pe</w:t>
      </w:r>
      <w:r>
        <w:rPr>
          <w:rFonts w:ascii="Times New Roman" w:hAnsi="Times New Roman" w:cs="Times New Roman"/>
          <w:color w:val="000000"/>
          <w:sz w:val="24"/>
          <w:szCs w:val="24"/>
          <w:lang w:val="en-GB"/>
        </w:rPr>
        <w:t xml:space="preserve">ople being active in the labour </w:t>
      </w:r>
      <w:r w:rsidRPr="00FB7C1E">
        <w:rPr>
          <w:rFonts w:ascii="Times New Roman" w:hAnsi="Times New Roman" w:cs="Times New Roman"/>
          <w:color w:val="000000"/>
          <w:sz w:val="24"/>
          <w:szCs w:val="24"/>
          <w:lang w:val="en-GB"/>
        </w:rPr>
        <w:t>market</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Still, young</w:t>
      </w:r>
      <w:r>
        <w:rPr>
          <w:rFonts w:ascii="Times New Roman" w:hAnsi="Times New Roman" w:cs="Times New Roman"/>
          <w:color w:val="000000"/>
          <w:sz w:val="24"/>
          <w:szCs w:val="24"/>
          <w:lang w:val="en-GB"/>
        </w:rPr>
        <w:t xml:space="preserve">er people are more likely to </w:t>
      </w:r>
      <w:r w:rsidRPr="00FB7C1E">
        <w:rPr>
          <w:rFonts w:ascii="Times New Roman" w:hAnsi="Times New Roman" w:cs="Times New Roman"/>
          <w:color w:val="000000"/>
          <w:sz w:val="24"/>
          <w:szCs w:val="24"/>
          <w:lang w:val="en-GB"/>
        </w:rPr>
        <w:t>be unemployed…</w:t>
      </w:r>
    </w:p>
    <w:p w:rsidR="00CE087C" w:rsidRPr="00FB7C1E"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…or in non-standard work</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Youn</w:t>
      </w:r>
      <w:r>
        <w:rPr>
          <w:rFonts w:ascii="Times New Roman" w:hAnsi="Times New Roman" w:cs="Times New Roman"/>
          <w:color w:val="000000"/>
          <w:sz w:val="24"/>
          <w:szCs w:val="24"/>
          <w:lang w:val="en-GB"/>
        </w:rPr>
        <w:t xml:space="preserve">ger workers are more frequently </w:t>
      </w:r>
      <w:r w:rsidRPr="00F15D01">
        <w:rPr>
          <w:rFonts w:ascii="Times New Roman" w:hAnsi="Times New Roman" w:cs="Times New Roman"/>
          <w:color w:val="000000"/>
          <w:sz w:val="24"/>
          <w:szCs w:val="24"/>
          <w:lang w:val="en-GB"/>
        </w:rPr>
        <w:t>affected by temporary contracts…</w:t>
      </w: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 xml:space="preserve">… and </w:t>
      </w:r>
      <w:r>
        <w:rPr>
          <w:rFonts w:ascii="Times New Roman" w:hAnsi="Times New Roman" w:cs="Times New Roman"/>
          <w:color w:val="000000"/>
          <w:sz w:val="24"/>
          <w:szCs w:val="24"/>
          <w:lang w:val="en-GB"/>
        </w:rPr>
        <w:t xml:space="preserve">precarious employment, and they </w:t>
      </w:r>
      <w:r w:rsidRPr="00F15D01">
        <w:rPr>
          <w:rFonts w:ascii="Times New Roman" w:hAnsi="Times New Roman" w:cs="Times New Roman"/>
          <w:color w:val="000000"/>
          <w:sz w:val="24"/>
          <w:szCs w:val="24"/>
          <w:lang w:val="en-GB"/>
        </w:rPr>
        <w:t>may a</w:t>
      </w:r>
      <w:r>
        <w:rPr>
          <w:rFonts w:ascii="Times New Roman" w:hAnsi="Times New Roman" w:cs="Times New Roman"/>
          <w:color w:val="000000"/>
          <w:sz w:val="24"/>
          <w:szCs w:val="24"/>
          <w:lang w:val="en-GB"/>
        </w:rPr>
        <w:t xml:space="preserve">lso face less social protection </w:t>
      </w:r>
      <w:r w:rsidRPr="00F15D01">
        <w:rPr>
          <w:rFonts w:ascii="Times New Roman" w:hAnsi="Times New Roman" w:cs="Times New Roman"/>
          <w:color w:val="000000"/>
          <w:sz w:val="24"/>
          <w:szCs w:val="24"/>
          <w:lang w:val="en-GB"/>
        </w:rPr>
        <w:t>coverage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The income share from work of young</w:t>
      </w:r>
      <w:r>
        <w:rPr>
          <w:rFonts w:ascii="Times New Roman" w:hAnsi="Times New Roman" w:cs="Times New Roman"/>
          <w:color w:val="000000"/>
          <w:sz w:val="24"/>
          <w:szCs w:val="24"/>
          <w:lang w:val="en-GB"/>
        </w:rPr>
        <w:t xml:space="preserve">er </w:t>
      </w:r>
      <w:r w:rsidRPr="00F15D01">
        <w:rPr>
          <w:rFonts w:ascii="Times New Roman" w:hAnsi="Times New Roman" w:cs="Times New Roman"/>
          <w:color w:val="000000"/>
          <w:sz w:val="24"/>
          <w:szCs w:val="24"/>
          <w:lang w:val="en-GB"/>
        </w:rPr>
        <w:t>people has decreased over time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Younger people's labour market </w:t>
      </w:r>
      <w:r w:rsidRPr="00F15D01">
        <w:rPr>
          <w:rFonts w:ascii="Times New Roman" w:hAnsi="Times New Roman" w:cs="Times New Roman"/>
          <w:color w:val="000000"/>
          <w:sz w:val="24"/>
          <w:szCs w:val="24"/>
          <w:lang w:val="en-GB"/>
        </w:rPr>
        <w:t>situati</w:t>
      </w:r>
      <w:r>
        <w:rPr>
          <w:rFonts w:ascii="Times New Roman" w:hAnsi="Times New Roman" w:cs="Times New Roman"/>
          <w:color w:val="000000"/>
          <w:sz w:val="24"/>
          <w:szCs w:val="24"/>
          <w:lang w:val="en-GB"/>
        </w:rPr>
        <w:t xml:space="preserve">on is affecting their household decisions, including as regards </w:t>
      </w:r>
      <w:r w:rsidRPr="00F15D01">
        <w:rPr>
          <w:rFonts w:ascii="Times New Roman" w:hAnsi="Times New Roman" w:cs="Times New Roman"/>
          <w:color w:val="000000"/>
          <w:sz w:val="24"/>
          <w:szCs w:val="24"/>
          <w:lang w:val="en-GB"/>
        </w:rPr>
        <w:t>parenthood and house ownership</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Educ</w:t>
      </w:r>
      <w:r>
        <w:rPr>
          <w:rFonts w:ascii="Times New Roman" w:hAnsi="Times New Roman" w:cs="Times New Roman"/>
          <w:color w:val="000000"/>
          <w:sz w:val="24"/>
          <w:szCs w:val="24"/>
          <w:lang w:val="en-GB"/>
        </w:rPr>
        <w:t xml:space="preserve">ational attainment has improved </w:t>
      </w:r>
      <w:r w:rsidRPr="00F15D01">
        <w:rPr>
          <w:rFonts w:ascii="Times New Roman" w:hAnsi="Times New Roman" w:cs="Times New Roman"/>
          <w:color w:val="000000"/>
          <w:sz w:val="24"/>
          <w:szCs w:val="24"/>
          <w:lang w:val="en-GB"/>
        </w:rPr>
        <w:t>over t</w:t>
      </w:r>
      <w:r>
        <w:rPr>
          <w:rFonts w:ascii="Times New Roman" w:hAnsi="Times New Roman" w:cs="Times New Roman"/>
          <w:color w:val="000000"/>
          <w:sz w:val="24"/>
          <w:szCs w:val="24"/>
          <w:lang w:val="en-GB"/>
        </w:rPr>
        <w:t xml:space="preserve">ime and parental background has </w:t>
      </w:r>
      <w:r w:rsidRPr="00F15D01">
        <w:rPr>
          <w:rFonts w:ascii="Times New Roman" w:hAnsi="Times New Roman" w:cs="Times New Roman"/>
          <w:color w:val="000000"/>
          <w:sz w:val="24"/>
          <w:szCs w:val="24"/>
          <w:lang w:val="en-GB"/>
        </w:rPr>
        <w:t>become slightly less important for it</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The E</w:t>
      </w:r>
      <w:r>
        <w:rPr>
          <w:rFonts w:ascii="Times New Roman" w:hAnsi="Times New Roman" w:cs="Times New Roman"/>
          <w:color w:val="000000"/>
          <w:sz w:val="24"/>
          <w:szCs w:val="24"/>
          <w:lang w:val="en-GB"/>
        </w:rPr>
        <w:t xml:space="preserve">uropean Pillar of Social Rights </w:t>
      </w:r>
      <w:r w:rsidRPr="00F15D01">
        <w:rPr>
          <w:rFonts w:ascii="Times New Roman" w:hAnsi="Times New Roman" w:cs="Times New Roman"/>
          <w:color w:val="000000"/>
          <w:sz w:val="24"/>
          <w:szCs w:val="24"/>
          <w:lang w:val="en-GB"/>
        </w:rPr>
        <w:t>pr</w:t>
      </w:r>
      <w:r>
        <w:rPr>
          <w:rFonts w:ascii="Times New Roman" w:hAnsi="Times New Roman" w:cs="Times New Roman"/>
          <w:color w:val="000000"/>
          <w:sz w:val="24"/>
          <w:szCs w:val="24"/>
          <w:lang w:val="en-GB"/>
        </w:rPr>
        <w:t xml:space="preserve">ovides a framework for adapting </w:t>
      </w:r>
      <w:r w:rsidRPr="00F15D01">
        <w:rPr>
          <w:rFonts w:ascii="Times New Roman" w:hAnsi="Times New Roman" w:cs="Times New Roman"/>
          <w:color w:val="000000"/>
          <w:sz w:val="24"/>
          <w:szCs w:val="24"/>
          <w:lang w:val="en-GB"/>
        </w:rPr>
        <w:t xml:space="preserve">labour </w:t>
      </w:r>
      <w:r>
        <w:rPr>
          <w:rFonts w:ascii="Times New Roman" w:hAnsi="Times New Roman" w:cs="Times New Roman"/>
          <w:color w:val="000000"/>
          <w:sz w:val="24"/>
          <w:szCs w:val="24"/>
          <w:lang w:val="en-GB"/>
        </w:rPr>
        <w:t xml:space="preserve">markets to new challenges while </w:t>
      </w:r>
      <w:r w:rsidRPr="00F15D01">
        <w:rPr>
          <w:rFonts w:ascii="Times New Roman" w:hAnsi="Times New Roman" w:cs="Times New Roman"/>
          <w:color w:val="000000"/>
          <w:sz w:val="24"/>
          <w:szCs w:val="24"/>
          <w:lang w:val="en-GB"/>
        </w:rPr>
        <w:t>promoting intergenerational fairness</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4. Securing good living standards in retirement also in the future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Overall, older people fa</w:t>
      </w:r>
      <w:r>
        <w:rPr>
          <w:rFonts w:ascii="Times New Roman" w:hAnsi="Times New Roman" w:cs="Times New Roman"/>
          <w:color w:val="000000"/>
          <w:sz w:val="24"/>
          <w:szCs w:val="24"/>
          <w:lang w:val="en-GB"/>
        </w:rPr>
        <w:t xml:space="preserve">re relatively well </w:t>
      </w:r>
      <w:r w:rsidRPr="00F15D01">
        <w:rPr>
          <w:rFonts w:ascii="Times New Roman" w:hAnsi="Times New Roman" w:cs="Times New Roman"/>
          <w:color w:val="000000"/>
          <w:sz w:val="24"/>
          <w:szCs w:val="24"/>
          <w:lang w:val="en-GB"/>
        </w:rPr>
        <w:t>in the EU today…</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 xml:space="preserve">…but </w:t>
      </w:r>
      <w:r>
        <w:rPr>
          <w:rFonts w:ascii="Times New Roman" w:hAnsi="Times New Roman" w:cs="Times New Roman"/>
          <w:color w:val="000000"/>
          <w:sz w:val="24"/>
          <w:szCs w:val="24"/>
          <w:lang w:val="en-GB"/>
        </w:rPr>
        <w:t xml:space="preserve">demographic change results in a </w:t>
      </w:r>
      <w:r w:rsidRPr="00F15D01">
        <w:rPr>
          <w:rFonts w:ascii="Times New Roman" w:hAnsi="Times New Roman" w:cs="Times New Roman"/>
          <w:color w:val="000000"/>
          <w:sz w:val="24"/>
          <w:szCs w:val="24"/>
          <w:lang w:val="en-GB"/>
        </w:rPr>
        <w:t>double</w:t>
      </w:r>
      <w:r>
        <w:rPr>
          <w:rFonts w:ascii="Times New Roman" w:hAnsi="Times New Roman" w:cs="Times New Roman"/>
          <w:color w:val="000000"/>
          <w:sz w:val="24"/>
          <w:szCs w:val="24"/>
          <w:lang w:val="en-GB"/>
        </w:rPr>
        <w:t xml:space="preserve"> burden on younger cohorts that </w:t>
      </w:r>
      <w:r w:rsidRPr="00F15D01">
        <w:rPr>
          <w:rFonts w:ascii="Times New Roman" w:hAnsi="Times New Roman" w:cs="Times New Roman"/>
          <w:color w:val="000000"/>
          <w:sz w:val="24"/>
          <w:szCs w:val="24"/>
          <w:lang w:val="en-GB"/>
        </w:rPr>
        <w:t>challen</w:t>
      </w:r>
      <w:r>
        <w:rPr>
          <w:rFonts w:ascii="Times New Roman" w:hAnsi="Times New Roman" w:cs="Times New Roman"/>
          <w:color w:val="000000"/>
          <w:sz w:val="24"/>
          <w:szCs w:val="24"/>
          <w:lang w:val="en-GB"/>
        </w:rPr>
        <w:t xml:space="preserve">ges the social contract between </w:t>
      </w:r>
      <w:r w:rsidRPr="00F15D01">
        <w:rPr>
          <w:rFonts w:ascii="Times New Roman" w:hAnsi="Times New Roman" w:cs="Times New Roman"/>
          <w:color w:val="000000"/>
          <w:sz w:val="24"/>
          <w:szCs w:val="24"/>
          <w:lang w:val="en-GB"/>
        </w:rPr>
        <w:t>generations</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There</w:t>
      </w:r>
      <w:r>
        <w:rPr>
          <w:rFonts w:ascii="Times New Roman" w:hAnsi="Times New Roman" w:cs="Times New Roman"/>
          <w:color w:val="000000"/>
          <w:sz w:val="24"/>
          <w:szCs w:val="24"/>
          <w:lang w:val="en-GB"/>
        </w:rPr>
        <w:t xml:space="preserve"> has been progress in reforming </w:t>
      </w:r>
      <w:r w:rsidRPr="00F15D01">
        <w:rPr>
          <w:rFonts w:ascii="Times New Roman" w:hAnsi="Times New Roman" w:cs="Times New Roman"/>
          <w:color w:val="000000"/>
          <w:sz w:val="24"/>
          <w:szCs w:val="24"/>
          <w:lang w:val="en-GB"/>
        </w:rPr>
        <w:t>pension systems in the EU…</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 bu</w:t>
      </w:r>
      <w:r>
        <w:rPr>
          <w:rFonts w:ascii="Times New Roman" w:hAnsi="Times New Roman" w:cs="Times New Roman"/>
          <w:color w:val="000000"/>
          <w:sz w:val="24"/>
          <w:szCs w:val="24"/>
          <w:lang w:val="en-GB"/>
        </w:rPr>
        <w:t xml:space="preserve">t more efforts may be needed to </w:t>
      </w:r>
      <w:r w:rsidRPr="00F15D01">
        <w:rPr>
          <w:rFonts w:ascii="Times New Roman" w:hAnsi="Times New Roman" w:cs="Times New Roman"/>
          <w:color w:val="000000"/>
          <w:sz w:val="24"/>
          <w:szCs w:val="24"/>
          <w:lang w:val="en-GB"/>
        </w:rPr>
        <w:t>balance</w:t>
      </w:r>
      <w:r>
        <w:rPr>
          <w:rFonts w:ascii="Times New Roman" w:hAnsi="Times New Roman" w:cs="Times New Roman"/>
          <w:color w:val="000000"/>
          <w:sz w:val="24"/>
          <w:szCs w:val="24"/>
          <w:lang w:val="en-GB"/>
        </w:rPr>
        <w:t xml:space="preserve"> burdens between generations in </w:t>
      </w:r>
      <w:r w:rsidRPr="00F15D01">
        <w:rPr>
          <w:rFonts w:ascii="Times New Roman" w:hAnsi="Times New Roman" w:cs="Times New Roman"/>
          <w:color w:val="000000"/>
          <w:sz w:val="24"/>
          <w:szCs w:val="24"/>
          <w:lang w:val="en-GB"/>
        </w:rPr>
        <w:t>a fair way</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Lin</w:t>
      </w:r>
      <w:r>
        <w:rPr>
          <w:rFonts w:ascii="Times New Roman" w:hAnsi="Times New Roman" w:cs="Times New Roman"/>
          <w:color w:val="000000"/>
          <w:sz w:val="24"/>
          <w:szCs w:val="24"/>
          <w:lang w:val="en-GB"/>
        </w:rPr>
        <w:t xml:space="preserve">king retirement age and pension </w:t>
      </w:r>
      <w:r w:rsidRPr="00F15D01">
        <w:rPr>
          <w:rFonts w:ascii="Times New Roman" w:hAnsi="Times New Roman" w:cs="Times New Roman"/>
          <w:color w:val="000000"/>
          <w:sz w:val="24"/>
          <w:szCs w:val="24"/>
          <w:lang w:val="en-GB"/>
        </w:rPr>
        <w:t>index</w:t>
      </w:r>
      <w:r>
        <w:rPr>
          <w:rFonts w:ascii="Times New Roman" w:hAnsi="Times New Roman" w:cs="Times New Roman"/>
          <w:color w:val="000000"/>
          <w:sz w:val="24"/>
          <w:szCs w:val="24"/>
          <w:lang w:val="en-GB"/>
        </w:rPr>
        <w:t xml:space="preserve">ation to higher life expectancy </w:t>
      </w:r>
      <w:r w:rsidRPr="00F15D01">
        <w:rPr>
          <w:rFonts w:ascii="Times New Roman" w:hAnsi="Times New Roman" w:cs="Times New Roman"/>
          <w:color w:val="000000"/>
          <w:sz w:val="24"/>
          <w:szCs w:val="24"/>
          <w:lang w:val="en-GB"/>
        </w:rPr>
        <w:t>reduces pressure on the pension system</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Fost</w:t>
      </w:r>
      <w:r>
        <w:rPr>
          <w:rFonts w:ascii="Times New Roman" w:hAnsi="Times New Roman" w:cs="Times New Roman"/>
          <w:color w:val="000000"/>
          <w:sz w:val="24"/>
          <w:szCs w:val="24"/>
          <w:lang w:val="en-GB"/>
        </w:rPr>
        <w:t xml:space="preserve">ering older workers' employment </w:t>
      </w:r>
      <w:r w:rsidRPr="00F15D01">
        <w:rPr>
          <w:rFonts w:ascii="Times New Roman" w:hAnsi="Times New Roman" w:cs="Times New Roman"/>
          <w:color w:val="000000"/>
          <w:sz w:val="24"/>
          <w:szCs w:val="24"/>
          <w:lang w:val="en-GB"/>
        </w:rPr>
        <w:t>would benefit them whil</w:t>
      </w:r>
      <w:r>
        <w:rPr>
          <w:rFonts w:ascii="Times New Roman" w:hAnsi="Times New Roman" w:cs="Times New Roman"/>
          <w:color w:val="000000"/>
          <w:sz w:val="24"/>
          <w:szCs w:val="24"/>
          <w:lang w:val="en-GB"/>
        </w:rPr>
        <w:t xml:space="preserve">e contributing to </w:t>
      </w:r>
      <w:r w:rsidRPr="00F15D01">
        <w:rPr>
          <w:rFonts w:ascii="Times New Roman" w:hAnsi="Times New Roman" w:cs="Times New Roman"/>
          <w:color w:val="000000"/>
          <w:sz w:val="24"/>
          <w:szCs w:val="24"/>
          <w:lang w:val="en-GB"/>
        </w:rPr>
        <w:t>burden sharing</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lastRenderedPageBreak/>
        <w:t>Reform options improving labour market</w:t>
      </w:r>
      <w:r>
        <w:rPr>
          <w:rFonts w:ascii="Times New Roman" w:hAnsi="Times New Roman" w:cs="Times New Roman"/>
          <w:color w:val="000000"/>
          <w:sz w:val="24"/>
          <w:szCs w:val="24"/>
          <w:lang w:val="en-GB"/>
        </w:rPr>
        <w:t xml:space="preserve"> </w:t>
      </w:r>
      <w:r w:rsidRPr="00F15D01">
        <w:rPr>
          <w:rFonts w:ascii="Times New Roman" w:hAnsi="Times New Roman" w:cs="Times New Roman"/>
          <w:color w:val="000000"/>
          <w:sz w:val="24"/>
          <w:szCs w:val="24"/>
          <w:lang w:val="en-GB"/>
        </w:rPr>
        <w:t>prospects and sustaining growth</w:t>
      </w:r>
      <w:r>
        <w:rPr>
          <w:rFonts w:ascii="Times New Roman" w:hAnsi="Times New Roman" w:cs="Times New Roman"/>
          <w:color w:val="000000"/>
          <w:sz w:val="24"/>
          <w:szCs w:val="24"/>
          <w:lang w:val="en-GB"/>
        </w:rPr>
        <w:t xml:space="preserve"> </w:t>
      </w:r>
      <w:r w:rsidRPr="00F15D01">
        <w:rPr>
          <w:rFonts w:ascii="Times New Roman" w:hAnsi="Times New Roman" w:cs="Times New Roman"/>
          <w:color w:val="000000"/>
          <w:sz w:val="24"/>
          <w:szCs w:val="24"/>
          <w:lang w:val="en-GB"/>
        </w:rPr>
        <w:t>facilitate intergenerational solidarity</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5. Fostering intergenerational fairness through social dialogue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 xml:space="preserve">Social </w:t>
      </w:r>
      <w:r>
        <w:rPr>
          <w:rFonts w:ascii="Times New Roman" w:hAnsi="Times New Roman" w:cs="Times New Roman"/>
          <w:color w:val="000000"/>
          <w:sz w:val="24"/>
          <w:szCs w:val="24"/>
          <w:lang w:val="en-GB"/>
        </w:rPr>
        <w:t xml:space="preserve">partners have an important role </w:t>
      </w:r>
      <w:r w:rsidRPr="00F15D01">
        <w:rPr>
          <w:rFonts w:ascii="Times New Roman" w:hAnsi="Times New Roman" w:cs="Times New Roman"/>
          <w:color w:val="000000"/>
          <w:sz w:val="24"/>
          <w:szCs w:val="24"/>
          <w:lang w:val="en-GB"/>
        </w:rPr>
        <w:t>in promoting intergenerational fairness…</w:t>
      </w: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…a</w:t>
      </w:r>
      <w:r>
        <w:rPr>
          <w:rFonts w:ascii="Times New Roman" w:hAnsi="Times New Roman" w:cs="Times New Roman"/>
          <w:color w:val="000000"/>
          <w:sz w:val="24"/>
          <w:szCs w:val="24"/>
          <w:lang w:val="en-GB"/>
        </w:rPr>
        <w:t xml:space="preserve">lthough age-related differences </w:t>
      </w:r>
      <w:r w:rsidRPr="00F15D01">
        <w:rPr>
          <w:rFonts w:ascii="Times New Roman" w:hAnsi="Times New Roman" w:cs="Times New Roman"/>
          <w:color w:val="000000"/>
          <w:sz w:val="24"/>
          <w:szCs w:val="24"/>
          <w:lang w:val="en-GB"/>
        </w:rPr>
        <w:t>including</w:t>
      </w:r>
      <w:r>
        <w:rPr>
          <w:rFonts w:ascii="Times New Roman" w:hAnsi="Times New Roman" w:cs="Times New Roman"/>
          <w:color w:val="000000"/>
          <w:sz w:val="24"/>
          <w:szCs w:val="24"/>
          <w:lang w:val="en-GB"/>
        </w:rPr>
        <w:t xml:space="preserve"> in social partners' membership </w:t>
      </w:r>
      <w:r w:rsidRPr="00F15D01">
        <w:rPr>
          <w:rFonts w:ascii="Times New Roman" w:hAnsi="Times New Roman" w:cs="Times New Roman"/>
          <w:color w:val="000000"/>
          <w:sz w:val="24"/>
          <w:szCs w:val="24"/>
          <w:lang w:val="en-GB"/>
        </w:rPr>
        <w:t>and colle</w:t>
      </w:r>
      <w:r>
        <w:rPr>
          <w:rFonts w:ascii="Times New Roman" w:hAnsi="Times New Roman" w:cs="Times New Roman"/>
          <w:color w:val="000000"/>
          <w:sz w:val="24"/>
          <w:szCs w:val="24"/>
          <w:lang w:val="en-GB"/>
        </w:rPr>
        <w:t xml:space="preserve">ctive bargaining coverage are a </w:t>
      </w:r>
      <w:r w:rsidRPr="00F15D01">
        <w:rPr>
          <w:rFonts w:ascii="Times New Roman" w:hAnsi="Times New Roman" w:cs="Times New Roman"/>
          <w:color w:val="000000"/>
          <w:sz w:val="24"/>
          <w:szCs w:val="24"/>
          <w:lang w:val="en-GB"/>
        </w:rPr>
        <w:t>challenge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Despite</w:t>
      </w:r>
      <w:r>
        <w:rPr>
          <w:rFonts w:ascii="Times New Roman" w:hAnsi="Times New Roman" w:cs="Times New Roman"/>
          <w:color w:val="000000"/>
          <w:sz w:val="24"/>
          <w:szCs w:val="24"/>
          <w:lang w:val="en-GB"/>
        </w:rPr>
        <w:t xml:space="preserve"> the existence of controversial </w:t>
      </w:r>
      <w:r w:rsidRPr="00F15D01">
        <w:rPr>
          <w:rFonts w:ascii="Times New Roman" w:hAnsi="Times New Roman" w:cs="Times New Roman"/>
          <w:color w:val="000000"/>
          <w:sz w:val="24"/>
          <w:szCs w:val="24"/>
          <w:lang w:val="en-GB"/>
        </w:rPr>
        <w:t>issues …</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…social partners have used key </w:t>
      </w:r>
      <w:r w:rsidRPr="00F15D01">
        <w:rPr>
          <w:rFonts w:ascii="Times New Roman" w:hAnsi="Times New Roman" w:cs="Times New Roman"/>
          <w:color w:val="000000"/>
          <w:sz w:val="24"/>
          <w:szCs w:val="24"/>
          <w:lang w:val="en-GB"/>
        </w:rPr>
        <w:t>approaches to tackling</w:t>
      </w:r>
      <w:r>
        <w:rPr>
          <w:rFonts w:ascii="Times New Roman" w:hAnsi="Times New Roman" w:cs="Times New Roman"/>
          <w:color w:val="000000"/>
          <w:sz w:val="24"/>
          <w:szCs w:val="24"/>
          <w:lang w:val="en-GB"/>
        </w:rPr>
        <w:t xml:space="preserve"> intergenerational </w:t>
      </w:r>
      <w:r w:rsidRPr="00F15D01">
        <w:rPr>
          <w:rFonts w:ascii="Times New Roman" w:hAnsi="Times New Roman" w:cs="Times New Roman"/>
          <w:color w:val="000000"/>
          <w:sz w:val="24"/>
          <w:szCs w:val="24"/>
          <w:lang w:val="en-GB"/>
        </w:rPr>
        <w:t>concerns</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 xml:space="preserve">Social </w:t>
      </w:r>
      <w:r>
        <w:rPr>
          <w:rFonts w:ascii="Times New Roman" w:hAnsi="Times New Roman" w:cs="Times New Roman"/>
          <w:color w:val="000000"/>
          <w:sz w:val="24"/>
          <w:szCs w:val="24"/>
          <w:lang w:val="en-GB"/>
        </w:rPr>
        <w:t xml:space="preserve">partners have an important role </w:t>
      </w:r>
      <w:r w:rsidRPr="00F15D01">
        <w:rPr>
          <w:rFonts w:ascii="Times New Roman" w:hAnsi="Times New Roman" w:cs="Times New Roman"/>
          <w:color w:val="000000"/>
          <w:sz w:val="24"/>
          <w:szCs w:val="24"/>
          <w:lang w:val="en-GB"/>
        </w:rPr>
        <w:t>in promoting intergenerational fairness…</w:t>
      </w: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…a</w:t>
      </w:r>
      <w:r>
        <w:rPr>
          <w:rFonts w:ascii="Times New Roman" w:hAnsi="Times New Roman" w:cs="Times New Roman"/>
          <w:color w:val="000000"/>
          <w:sz w:val="24"/>
          <w:szCs w:val="24"/>
          <w:lang w:val="en-GB"/>
        </w:rPr>
        <w:t xml:space="preserve">lthough age-related differences </w:t>
      </w:r>
      <w:r w:rsidRPr="00F15D01">
        <w:rPr>
          <w:rFonts w:ascii="Times New Roman" w:hAnsi="Times New Roman" w:cs="Times New Roman"/>
          <w:color w:val="000000"/>
          <w:sz w:val="24"/>
          <w:szCs w:val="24"/>
          <w:lang w:val="en-GB"/>
        </w:rPr>
        <w:t>including</w:t>
      </w:r>
      <w:r>
        <w:rPr>
          <w:rFonts w:ascii="Times New Roman" w:hAnsi="Times New Roman" w:cs="Times New Roman"/>
          <w:color w:val="000000"/>
          <w:sz w:val="24"/>
          <w:szCs w:val="24"/>
          <w:lang w:val="en-GB"/>
        </w:rPr>
        <w:t xml:space="preserve"> in social partners' membership </w:t>
      </w:r>
      <w:r w:rsidRPr="00F15D01">
        <w:rPr>
          <w:rFonts w:ascii="Times New Roman" w:hAnsi="Times New Roman" w:cs="Times New Roman"/>
          <w:color w:val="000000"/>
          <w:sz w:val="24"/>
          <w:szCs w:val="24"/>
          <w:lang w:val="en-GB"/>
        </w:rPr>
        <w:t>and colle</w:t>
      </w:r>
      <w:r>
        <w:rPr>
          <w:rFonts w:ascii="Times New Roman" w:hAnsi="Times New Roman" w:cs="Times New Roman"/>
          <w:color w:val="000000"/>
          <w:sz w:val="24"/>
          <w:szCs w:val="24"/>
          <w:lang w:val="en-GB"/>
        </w:rPr>
        <w:t xml:space="preserve">ctive bargaining coverage are a </w:t>
      </w:r>
      <w:r w:rsidRPr="00F15D01">
        <w:rPr>
          <w:rFonts w:ascii="Times New Roman" w:hAnsi="Times New Roman" w:cs="Times New Roman"/>
          <w:color w:val="000000"/>
          <w:sz w:val="24"/>
          <w:szCs w:val="24"/>
          <w:lang w:val="en-GB"/>
        </w:rPr>
        <w:t>challenge</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F15D01"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Despite</w:t>
      </w:r>
      <w:r>
        <w:rPr>
          <w:rFonts w:ascii="Times New Roman" w:hAnsi="Times New Roman" w:cs="Times New Roman"/>
          <w:color w:val="000000"/>
          <w:sz w:val="24"/>
          <w:szCs w:val="24"/>
          <w:lang w:val="en-GB"/>
        </w:rPr>
        <w:t xml:space="preserve"> the existence of controversial </w:t>
      </w:r>
      <w:r w:rsidRPr="00F15D01">
        <w:rPr>
          <w:rFonts w:ascii="Times New Roman" w:hAnsi="Times New Roman" w:cs="Times New Roman"/>
          <w:color w:val="000000"/>
          <w:sz w:val="24"/>
          <w:szCs w:val="24"/>
          <w:lang w:val="en-GB"/>
        </w:rPr>
        <w:t>issues …</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…social partners have used key </w:t>
      </w:r>
      <w:r w:rsidRPr="00F15D01">
        <w:rPr>
          <w:rFonts w:ascii="Times New Roman" w:hAnsi="Times New Roman" w:cs="Times New Roman"/>
          <w:color w:val="000000"/>
          <w:sz w:val="24"/>
          <w:szCs w:val="24"/>
          <w:lang w:val="en-GB"/>
        </w:rPr>
        <w:t>approache</w:t>
      </w:r>
      <w:r>
        <w:rPr>
          <w:rFonts w:ascii="Times New Roman" w:hAnsi="Times New Roman" w:cs="Times New Roman"/>
          <w:color w:val="000000"/>
          <w:sz w:val="24"/>
          <w:szCs w:val="24"/>
          <w:lang w:val="en-GB"/>
        </w:rPr>
        <w:t xml:space="preserve">s to tackling intergenerational </w:t>
      </w:r>
      <w:r w:rsidRPr="00F15D01">
        <w:rPr>
          <w:rFonts w:ascii="Times New Roman" w:hAnsi="Times New Roman" w:cs="Times New Roman"/>
          <w:color w:val="000000"/>
          <w:sz w:val="24"/>
          <w:szCs w:val="24"/>
          <w:lang w:val="en-GB"/>
        </w:rPr>
        <w:t>concerns</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noProof/>
          <w:color w:val="000000"/>
          <w:sz w:val="24"/>
          <w:szCs w:val="24"/>
          <w:lang w:eastAsia="es-ES"/>
        </w:rPr>
        <w:drawing>
          <wp:inline distT="0" distB="0" distL="0" distR="0" wp14:anchorId="6B31C926" wp14:editId="6FFEA1E0">
            <wp:extent cx="5732681" cy="3111500"/>
            <wp:effectExtent l="0" t="0" r="1905" b="0"/>
            <wp:docPr id="584" name="Imagen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311086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lastRenderedPageBreak/>
        <w:t xml:space="preserve">                        </w:t>
      </w:r>
      <w:r w:rsidRPr="00E924E9">
        <w:rPr>
          <w:rFonts w:ascii="Times New Roman" w:hAnsi="Times New Roman" w:cs="Times New Roman"/>
          <w:noProof/>
          <w:color w:val="000000"/>
          <w:sz w:val="24"/>
          <w:szCs w:val="24"/>
          <w:lang w:eastAsia="es-ES"/>
        </w:rPr>
        <w:drawing>
          <wp:inline distT="0" distB="0" distL="0" distR="0" wp14:anchorId="6CDEF238" wp14:editId="3FFF4F39">
            <wp:extent cx="4216400" cy="2578100"/>
            <wp:effectExtent l="0" t="0" r="0" b="0"/>
            <wp:docPr id="585" name="Imagen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4220164" cy="2580401"/>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E924E9">
        <w:rPr>
          <w:rFonts w:ascii="Times New Roman" w:hAnsi="Times New Roman" w:cs="Times New Roman"/>
          <w:noProof/>
          <w:color w:val="000000"/>
          <w:sz w:val="24"/>
          <w:szCs w:val="24"/>
          <w:lang w:eastAsia="es-ES"/>
        </w:rPr>
        <w:drawing>
          <wp:inline distT="0" distB="0" distL="0" distR="0" wp14:anchorId="49344DD0" wp14:editId="7699F628">
            <wp:extent cx="5731510" cy="2666744"/>
            <wp:effectExtent l="0" t="0" r="2540" b="635"/>
            <wp:docPr id="586" name="Imagen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731510" cy="266674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E924E9">
        <w:rPr>
          <w:rFonts w:ascii="Times New Roman" w:hAnsi="Times New Roman" w:cs="Times New Roman"/>
          <w:noProof/>
          <w:color w:val="000000"/>
          <w:sz w:val="24"/>
          <w:szCs w:val="24"/>
          <w:lang w:eastAsia="es-ES"/>
        </w:rPr>
        <w:drawing>
          <wp:inline distT="0" distB="0" distL="0" distR="0" wp14:anchorId="1526D6C6" wp14:editId="0E0A3550">
            <wp:extent cx="5731510" cy="3188459"/>
            <wp:effectExtent l="0" t="0" r="2540" b="0"/>
            <wp:docPr id="587"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3188459"/>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E924E9">
        <w:rPr>
          <w:rFonts w:ascii="Times New Roman" w:hAnsi="Times New Roman" w:cs="Times New Roman"/>
          <w:noProof/>
          <w:color w:val="000000"/>
          <w:sz w:val="24"/>
          <w:szCs w:val="24"/>
          <w:lang w:eastAsia="es-ES"/>
        </w:rPr>
        <w:lastRenderedPageBreak/>
        <w:drawing>
          <wp:inline distT="0" distB="0" distL="0" distR="0" wp14:anchorId="0BD78751" wp14:editId="666EED70">
            <wp:extent cx="5731510" cy="3137634"/>
            <wp:effectExtent l="0" t="0" r="2540" b="5715"/>
            <wp:docPr id="588" name="Imagen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313763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                         </w:t>
      </w:r>
      <w:r w:rsidRPr="00E924E9">
        <w:rPr>
          <w:rFonts w:ascii="Times New Roman" w:hAnsi="Times New Roman" w:cs="Times New Roman"/>
          <w:noProof/>
          <w:color w:val="000000"/>
          <w:sz w:val="24"/>
          <w:szCs w:val="24"/>
          <w:lang w:eastAsia="es-ES"/>
        </w:rPr>
        <w:drawing>
          <wp:inline distT="0" distB="0" distL="0" distR="0" wp14:anchorId="04602969" wp14:editId="78215C56">
            <wp:extent cx="3930047" cy="2774950"/>
            <wp:effectExtent l="0" t="0" r="0" b="6350"/>
            <wp:docPr id="589" name="Imagen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3934374" cy="2778005"/>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                          </w:t>
      </w:r>
      <w:r w:rsidRPr="00E924E9">
        <w:rPr>
          <w:rFonts w:ascii="Times New Roman" w:hAnsi="Times New Roman" w:cs="Times New Roman"/>
          <w:noProof/>
          <w:color w:val="000000"/>
          <w:sz w:val="24"/>
          <w:szCs w:val="24"/>
          <w:lang w:eastAsia="es-ES"/>
        </w:rPr>
        <w:drawing>
          <wp:inline distT="0" distB="0" distL="0" distR="0" wp14:anchorId="5F6EFB86" wp14:editId="3FB43F76">
            <wp:extent cx="3911600" cy="2647950"/>
            <wp:effectExtent l="0" t="0" r="0" b="0"/>
            <wp:docPr id="590" name="Imagen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3915321" cy="2650469"/>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lastRenderedPageBreak/>
        <w:t xml:space="preserve">                                    </w:t>
      </w:r>
      <w:r w:rsidRPr="00E924E9">
        <w:rPr>
          <w:rFonts w:ascii="Times New Roman" w:hAnsi="Times New Roman" w:cs="Times New Roman"/>
          <w:noProof/>
          <w:color w:val="000000"/>
          <w:sz w:val="24"/>
          <w:szCs w:val="24"/>
          <w:lang w:eastAsia="es-ES"/>
        </w:rPr>
        <w:drawing>
          <wp:inline distT="0" distB="0" distL="0" distR="0" wp14:anchorId="326AA30E" wp14:editId="3FFE10F0">
            <wp:extent cx="3181350" cy="4533900"/>
            <wp:effectExtent l="0" t="0" r="0" b="0"/>
            <wp:docPr id="591" name="Imagen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181794" cy="4534533"/>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                           </w:t>
      </w:r>
      <w:r w:rsidRPr="00E924E9">
        <w:rPr>
          <w:rFonts w:ascii="Times New Roman" w:hAnsi="Times New Roman" w:cs="Times New Roman"/>
          <w:noProof/>
          <w:color w:val="000000"/>
          <w:sz w:val="24"/>
          <w:szCs w:val="24"/>
          <w:lang w:eastAsia="es-ES"/>
        </w:rPr>
        <w:drawing>
          <wp:inline distT="0" distB="0" distL="0" distR="0" wp14:anchorId="796F7E74" wp14:editId="4553298B">
            <wp:extent cx="3371850" cy="3987800"/>
            <wp:effectExtent l="0" t="0" r="0" b="0"/>
            <wp:docPr id="592" name="Imagen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3372321" cy="3988357"/>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E023DE">
        <w:rPr>
          <w:rFonts w:ascii="Times New Roman" w:hAnsi="Times New Roman" w:cs="Times New Roman"/>
          <w:noProof/>
          <w:color w:val="000000"/>
          <w:sz w:val="24"/>
          <w:szCs w:val="24"/>
          <w:lang w:eastAsia="es-ES"/>
        </w:rPr>
        <w:drawing>
          <wp:inline distT="0" distB="0" distL="0" distR="0" wp14:anchorId="6DCDF458" wp14:editId="1123BE38">
            <wp:extent cx="2825750" cy="2362200"/>
            <wp:effectExtent l="0" t="0" r="0" b="0"/>
            <wp:docPr id="593" name="Imagen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2828848" cy="2364789"/>
                    </a:xfrm>
                    <a:prstGeom prst="rect">
                      <a:avLst/>
                    </a:prstGeom>
                  </pic:spPr>
                </pic:pic>
              </a:graphicData>
            </a:graphic>
          </wp:inline>
        </w:drawing>
      </w:r>
      <w:r w:rsidRPr="00E023DE">
        <w:rPr>
          <w:rFonts w:ascii="Times New Roman" w:hAnsi="Times New Roman" w:cs="Times New Roman"/>
          <w:noProof/>
          <w:color w:val="000000"/>
          <w:sz w:val="24"/>
          <w:szCs w:val="24"/>
          <w:lang w:eastAsia="es-ES"/>
        </w:rPr>
        <w:drawing>
          <wp:inline distT="0" distB="0" distL="0" distR="0" wp14:anchorId="234533B3" wp14:editId="30DD2D33">
            <wp:extent cx="2743200" cy="3009899"/>
            <wp:effectExtent l="0" t="0" r="0" b="635"/>
            <wp:docPr id="594" name="Imagen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2743583" cy="301032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E023DE">
        <w:rPr>
          <w:rFonts w:ascii="Times New Roman" w:hAnsi="Times New Roman" w:cs="Times New Roman"/>
          <w:noProof/>
          <w:color w:val="000000"/>
          <w:sz w:val="24"/>
          <w:szCs w:val="24"/>
          <w:lang w:eastAsia="es-ES"/>
        </w:rPr>
        <w:drawing>
          <wp:inline distT="0" distB="0" distL="0" distR="0" wp14:anchorId="7F92BEDA" wp14:editId="3BB0AB41">
            <wp:extent cx="2762250" cy="2622550"/>
            <wp:effectExtent l="0" t="0" r="0" b="6350"/>
            <wp:docPr id="595" name="Imagen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769325" cy="2629267"/>
                    </a:xfrm>
                    <a:prstGeom prst="rect">
                      <a:avLst/>
                    </a:prstGeom>
                  </pic:spPr>
                </pic:pic>
              </a:graphicData>
            </a:graphic>
          </wp:inline>
        </w:drawing>
      </w:r>
      <w:r w:rsidRPr="00E023DE">
        <w:rPr>
          <w:rFonts w:ascii="Times New Roman" w:hAnsi="Times New Roman" w:cs="Times New Roman"/>
          <w:noProof/>
          <w:color w:val="000000"/>
          <w:sz w:val="24"/>
          <w:szCs w:val="24"/>
          <w:lang w:eastAsia="es-ES"/>
        </w:rPr>
        <w:drawing>
          <wp:inline distT="0" distB="0" distL="0" distR="0" wp14:anchorId="03A6B269" wp14:editId="2D1718CC">
            <wp:extent cx="2806700" cy="3003550"/>
            <wp:effectExtent l="0" t="0" r="0" b="6350"/>
            <wp:docPr id="596" name="Imagen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2813027" cy="301032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E023DE">
        <w:rPr>
          <w:rFonts w:ascii="Times New Roman" w:hAnsi="Times New Roman" w:cs="Times New Roman"/>
          <w:noProof/>
          <w:color w:val="000000"/>
          <w:sz w:val="24"/>
          <w:szCs w:val="24"/>
          <w:lang w:eastAsia="es-ES"/>
        </w:rPr>
        <w:lastRenderedPageBreak/>
        <w:drawing>
          <wp:inline distT="0" distB="0" distL="0" distR="0" wp14:anchorId="316A817A" wp14:editId="5DF5F172">
            <wp:extent cx="3105150" cy="5060950"/>
            <wp:effectExtent l="0" t="0" r="0" b="6350"/>
            <wp:docPr id="597" name="Imagen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3109480" cy="5068007"/>
                    </a:xfrm>
                    <a:prstGeom prst="rect">
                      <a:avLst/>
                    </a:prstGeom>
                  </pic:spPr>
                </pic:pic>
              </a:graphicData>
            </a:graphic>
          </wp:inline>
        </w:drawing>
      </w:r>
      <w:r w:rsidRPr="00E023DE">
        <w:rPr>
          <w:rFonts w:ascii="Times New Roman" w:hAnsi="Times New Roman" w:cs="Times New Roman"/>
          <w:noProof/>
          <w:color w:val="000000"/>
          <w:sz w:val="24"/>
          <w:szCs w:val="24"/>
          <w:lang w:eastAsia="es-ES"/>
        </w:rPr>
        <w:drawing>
          <wp:inline distT="0" distB="0" distL="0" distR="0" wp14:anchorId="3F3C913C" wp14:editId="119C7714">
            <wp:extent cx="2374900" cy="2762250"/>
            <wp:effectExtent l="0" t="0" r="6350" b="0"/>
            <wp:docPr id="598" name="Imagen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2377122" cy="2764835"/>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5E49A7">
        <w:rPr>
          <w:rFonts w:ascii="Times New Roman" w:hAnsi="Times New Roman" w:cs="Times New Roman"/>
          <w:noProof/>
          <w:color w:val="000000"/>
          <w:sz w:val="24"/>
          <w:szCs w:val="24"/>
          <w:lang w:eastAsia="es-ES"/>
        </w:rPr>
        <w:drawing>
          <wp:inline distT="0" distB="0" distL="0" distR="0" wp14:anchorId="78A1E6FB" wp14:editId="762725D7">
            <wp:extent cx="2666999" cy="2362200"/>
            <wp:effectExtent l="0" t="0" r="635" b="0"/>
            <wp:docPr id="599" name="Imagen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2667372" cy="2362530"/>
                    </a:xfrm>
                    <a:prstGeom prst="rect">
                      <a:avLst/>
                    </a:prstGeom>
                  </pic:spPr>
                </pic:pic>
              </a:graphicData>
            </a:graphic>
          </wp:inline>
        </w:drawing>
      </w:r>
      <w:r w:rsidRPr="005E49A7">
        <w:rPr>
          <w:rFonts w:ascii="Times New Roman" w:hAnsi="Times New Roman" w:cs="Times New Roman"/>
          <w:noProof/>
          <w:color w:val="000000"/>
          <w:sz w:val="24"/>
          <w:szCs w:val="24"/>
          <w:lang w:eastAsia="es-ES"/>
        </w:rPr>
        <w:drawing>
          <wp:inline distT="0" distB="0" distL="0" distR="0" wp14:anchorId="56E39048" wp14:editId="7322F8A3">
            <wp:extent cx="2914649" cy="2419350"/>
            <wp:effectExtent l="0" t="0" r="635" b="0"/>
            <wp:docPr id="600" name="Imagen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2914649" cy="241935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5E49A7">
        <w:rPr>
          <w:rFonts w:ascii="Times New Roman" w:hAnsi="Times New Roman" w:cs="Times New Roman"/>
          <w:noProof/>
          <w:color w:val="000000"/>
          <w:sz w:val="24"/>
          <w:szCs w:val="24"/>
          <w:lang w:eastAsia="es-ES"/>
        </w:rPr>
        <w:drawing>
          <wp:inline distT="0" distB="0" distL="0" distR="0" wp14:anchorId="700C0742" wp14:editId="187F65AA">
            <wp:extent cx="2730500" cy="2940050"/>
            <wp:effectExtent l="0" t="0" r="0" b="0"/>
            <wp:docPr id="601" name="Imagen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733553" cy="2943337"/>
                    </a:xfrm>
                    <a:prstGeom prst="rect">
                      <a:avLst/>
                    </a:prstGeom>
                  </pic:spPr>
                </pic:pic>
              </a:graphicData>
            </a:graphic>
          </wp:inline>
        </w:drawing>
      </w:r>
      <w:r w:rsidRPr="005E49A7">
        <w:rPr>
          <w:rFonts w:ascii="Times New Roman" w:hAnsi="Times New Roman" w:cs="Times New Roman"/>
          <w:noProof/>
          <w:color w:val="000000"/>
          <w:sz w:val="24"/>
          <w:szCs w:val="24"/>
          <w:lang w:eastAsia="es-ES"/>
        </w:rPr>
        <w:drawing>
          <wp:inline distT="0" distB="0" distL="0" distR="0" wp14:anchorId="6A6BF9CE" wp14:editId="4B5B45E0">
            <wp:extent cx="2940050" cy="2806700"/>
            <wp:effectExtent l="0" t="0" r="0" b="0"/>
            <wp:docPr id="602" name="Imagen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2943786" cy="2810267"/>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5E49A7">
        <w:rPr>
          <w:rFonts w:ascii="Times New Roman" w:hAnsi="Times New Roman" w:cs="Times New Roman"/>
          <w:noProof/>
          <w:color w:val="000000"/>
          <w:sz w:val="24"/>
          <w:szCs w:val="24"/>
          <w:lang w:eastAsia="es-ES"/>
        </w:rPr>
        <w:drawing>
          <wp:inline distT="0" distB="0" distL="0" distR="0" wp14:anchorId="67ECB518" wp14:editId="7EEC3FD8">
            <wp:extent cx="5731510" cy="3402778"/>
            <wp:effectExtent l="0" t="0" r="2540" b="7620"/>
            <wp:docPr id="603" name="Imagen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340277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93B34">
        <w:rPr>
          <w:rFonts w:ascii="Times New Roman" w:hAnsi="Times New Roman" w:cs="Times New Roman"/>
          <w:noProof/>
          <w:color w:val="000000"/>
          <w:sz w:val="24"/>
          <w:szCs w:val="24"/>
          <w:lang w:eastAsia="es-ES"/>
        </w:rPr>
        <w:lastRenderedPageBreak/>
        <w:drawing>
          <wp:inline distT="0" distB="0" distL="0" distR="0" wp14:anchorId="04DFBBBF" wp14:editId="16323175">
            <wp:extent cx="2901950" cy="5683249"/>
            <wp:effectExtent l="0" t="0" r="0" b="0"/>
            <wp:docPr id="604" name="Imagen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2902356" cy="5684044"/>
                    </a:xfrm>
                    <a:prstGeom prst="rect">
                      <a:avLst/>
                    </a:prstGeom>
                  </pic:spPr>
                </pic:pic>
              </a:graphicData>
            </a:graphic>
          </wp:inline>
        </w:drawing>
      </w:r>
      <w:r w:rsidRPr="00F93B34">
        <w:rPr>
          <w:rFonts w:ascii="Times New Roman" w:hAnsi="Times New Roman" w:cs="Times New Roman"/>
          <w:noProof/>
          <w:color w:val="000000"/>
          <w:sz w:val="24"/>
          <w:szCs w:val="24"/>
          <w:lang w:eastAsia="es-ES"/>
        </w:rPr>
        <w:drawing>
          <wp:inline distT="0" distB="0" distL="0" distR="0" wp14:anchorId="1EA00948" wp14:editId="7C90D656">
            <wp:extent cx="2800350" cy="3314700"/>
            <wp:effectExtent l="0" t="0" r="0" b="0"/>
            <wp:docPr id="605" name="Imagen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2803466" cy="331838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93B34">
        <w:rPr>
          <w:rFonts w:ascii="Times New Roman" w:hAnsi="Times New Roman" w:cs="Times New Roman"/>
          <w:noProof/>
          <w:color w:val="000000"/>
          <w:sz w:val="24"/>
          <w:szCs w:val="24"/>
          <w:lang w:eastAsia="es-ES"/>
        </w:rPr>
        <w:drawing>
          <wp:inline distT="0" distB="0" distL="0" distR="0" wp14:anchorId="2E63C164" wp14:editId="43FEDDF6">
            <wp:extent cx="5726635" cy="3054350"/>
            <wp:effectExtent l="0" t="0" r="7620" b="0"/>
            <wp:docPr id="606" name="Imagen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305695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93B34">
        <w:rPr>
          <w:rFonts w:ascii="Times New Roman" w:hAnsi="Times New Roman" w:cs="Times New Roman"/>
          <w:noProof/>
          <w:color w:val="000000"/>
          <w:sz w:val="24"/>
          <w:szCs w:val="24"/>
          <w:lang w:eastAsia="es-ES"/>
        </w:rPr>
        <w:lastRenderedPageBreak/>
        <w:drawing>
          <wp:inline distT="0" distB="0" distL="0" distR="0" wp14:anchorId="4EC62994" wp14:editId="2335EA0F">
            <wp:extent cx="2813050" cy="3028950"/>
            <wp:effectExtent l="0" t="0" r="6350" b="0"/>
            <wp:docPr id="607" name="Imagen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2815831" cy="3031944"/>
                    </a:xfrm>
                    <a:prstGeom prst="rect">
                      <a:avLst/>
                    </a:prstGeom>
                  </pic:spPr>
                </pic:pic>
              </a:graphicData>
            </a:graphic>
          </wp:inline>
        </w:drawing>
      </w:r>
      <w:r w:rsidRPr="00F93B34">
        <w:rPr>
          <w:rFonts w:ascii="Times New Roman" w:hAnsi="Times New Roman" w:cs="Times New Roman"/>
          <w:noProof/>
          <w:color w:val="000000"/>
          <w:sz w:val="24"/>
          <w:szCs w:val="24"/>
          <w:lang w:eastAsia="es-ES"/>
        </w:rPr>
        <w:drawing>
          <wp:inline distT="0" distB="0" distL="0" distR="0" wp14:anchorId="66610C60" wp14:editId="3424B14B">
            <wp:extent cx="2628900" cy="2819400"/>
            <wp:effectExtent l="0" t="0" r="0" b="0"/>
            <wp:docPr id="608" name="Imagen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2629268" cy="281979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F93B34">
        <w:rPr>
          <w:rFonts w:ascii="Times New Roman" w:hAnsi="Times New Roman" w:cs="Times New Roman"/>
          <w:noProof/>
          <w:color w:val="000000"/>
          <w:sz w:val="24"/>
          <w:szCs w:val="24"/>
          <w:lang w:eastAsia="es-ES"/>
        </w:rPr>
        <w:drawing>
          <wp:inline distT="0" distB="0" distL="0" distR="0" wp14:anchorId="19103BB3" wp14:editId="1ECEF1C2">
            <wp:extent cx="2819400" cy="2921000"/>
            <wp:effectExtent l="0" t="0" r="0" b="0"/>
            <wp:docPr id="609" name="Imagen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2822858" cy="2924583"/>
                    </a:xfrm>
                    <a:prstGeom prst="rect">
                      <a:avLst/>
                    </a:prstGeom>
                  </pic:spPr>
                </pic:pic>
              </a:graphicData>
            </a:graphic>
          </wp:inline>
        </w:drawing>
      </w:r>
      <w:r w:rsidRPr="00F93B34">
        <w:rPr>
          <w:rFonts w:ascii="Times New Roman" w:hAnsi="Times New Roman" w:cs="Times New Roman"/>
          <w:noProof/>
          <w:color w:val="000000"/>
          <w:sz w:val="24"/>
          <w:szCs w:val="24"/>
          <w:lang w:eastAsia="es-ES"/>
        </w:rPr>
        <w:drawing>
          <wp:inline distT="0" distB="0" distL="0" distR="0" wp14:anchorId="041D6E01" wp14:editId="7811DD9F">
            <wp:extent cx="2844800" cy="2806700"/>
            <wp:effectExtent l="0" t="0" r="0" b="0"/>
            <wp:docPr id="610" name="Imagen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2845197" cy="280709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81295D">
        <w:rPr>
          <w:rFonts w:ascii="Times New Roman" w:hAnsi="Times New Roman" w:cs="Times New Roman"/>
          <w:noProof/>
          <w:color w:val="000000"/>
          <w:sz w:val="24"/>
          <w:szCs w:val="24"/>
          <w:lang w:eastAsia="es-ES"/>
        </w:rPr>
        <w:drawing>
          <wp:inline distT="0" distB="0" distL="0" distR="0" wp14:anchorId="59FAA7D9" wp14:editId="00061DE8">
            <wp:extent cx="3048000" cy="2527300"/>
            <wp:effectExtent l="0" t="0" r="0" b="6350"/>
            <wp:docPr id="611" name="Imagen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3050743" cy="2529574"/>
                    </a:xfrm>
                    <a:prstGeom prst="rect">
                      <a:avLst/>
                    </a:prstGeom>
                  </pic:spPr>
                </pic:pic>
              </a:graphicData>
            </a:graphic>
          </wp:inline>
        </w:drawing>
      </w:r>
      <w:r w:rsidRPr="0081295D">
        <w:rPr>
          <w:rFonts w:ascii="Times New Roman" w:hAnsi="Times New Roman" w:cs="Times New Roman"/>
          <w:noProof/>
          <w:color w:val="000000"/>
          <w:sz w:val="24"/>
          <w:szCs w:val="24"/>
          <w:lang w:eastAsia="es-ES"/>
        </w:rPr>
        <w:drawing>
          <wp:inline distT="0" distB="0" distL="0" distR="0" wp14:anchorId="05B5FA3E" wp14:editId="314DCF67">
            <wp:extent cx="2603500" cy="2571750"/>
            <wp:effectExtent l="0" t="0" r="6350" b="0"/>
            <wp:docPr id="612" name="Imagen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2608189" cy="257638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lastRenderedPageBreak/>
        <w:drawing>
          <wp:inline distT="0" distB="0" distL="0" distR="0" wp14:anchorId="3E556E29" wp14:editId="6E6FF495">
            <wp:extent cx="2895600" cy="2984500"/>
            <wp:effectExtent l="0" t="0" r="0" b="6350"/>
            <wp:docPr id="613" name="Imagen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2898651" cy="2987645"/>
                    </a:xfrm>
                    <a:prstGeom prst="rect">
                      <a:avLst/>
                    </a:prstGeom>
                  </pic:spPr>
                </pic:pic>
              </a:graphicData>
            </a:graphic>
          </wp:inline>
        </w:drawing>
      </w:r>
      <w:r w:rsidRPr="0067451A">
        <w:rPr>
          <w:rFonts w:ascii="Times New Roman" w:hAnsi="Times New Roman" w:cs="Times New Roman"/>
          <w:noProof/>
          <w:color w:val="000000"/>
          <w:sz w:val="24"/>
          <w:szCs w:val="24"/>
          <w:lang w:eastAsia="es-ES"/>
        </w:rPr>
        <w:drawing>
          <wp:inline distT="0" distB="0" distL="0" distR="0" wp14:anchorId="5806E23A" wp14:editId="1B21ACB4">
            <wp:extent cx="2730500" cy="2698750"/>
            <wp:effectExtent l="0" t="0" r="0" b="6350"/>
            <wp:docPr id="614" name="Imagen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2733311" cy="270152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drawing>
          <wp:inline distT="0" distB="0" distL="0" distR="0" wp14:anchorId="5D711171" wp14:editId="55B71150">
            <wp:extent cx="2794000" cy="2724150"/>
            <wp:effectExtent l="0" t="0" r="6350" b="0"/>
            <wp:docPr id="615" name="Imagen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2794390" cy="2724530"/>
                    </a:xfrm>
                    <a:prstGeom prst="rect">
                      <a:avLst/>
                    </a:prstGeom>
                  </pic:spPr>
                </pic:pic>
              </a:graphicData>
            </a:graphic>
          </wp:inline>
        </w:drawing>
      </w:r>
      <w:r w:rsidRPr="0067451A">
        <w:rPr>
          <w:rFonts w:ascii="Times New Roman" w:hAnsi="Times New Roman" w:cs="Times New Roman"/>
          <w:noProof/>
          <w:color w:val="000000"/>
          <w:sz w:val="24"/>
          <w:szCs w:val="24"/>
          <w:lang w:eastAsia="es-ES"/>
        </w:rPr>
        <w:drawing>
          <wp:inline distT="0" distB="0" distL="0" distR="0" wp14:anchorId="6B200E2A" wp14:editId="47CC54DF">
            <wp:extent cx="2635250" cy="2762250"/>
            <wp:effectExtent l="0" t="0" r="0" b="0"/>
            <wp:docPr id="616" name="Imagen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2637649" cy="2764765"/>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drawing>
          <wp:inline distT="0" distB="0" distL="0" distR="0" wp14:anchorId="401892C3" wp14:editId="09C31ABC">
            <wp:extent cx="2800350" cy="2940050"/>
            <wp:effectExtent l="0" t="0" r="0" b="0"/>
            <wp:docPr id="617" name="Imagen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2800350" cy="2940050"/>
                    </a:xfrm>
                    <a:prstGeom prst="rect">
                      <a:avLst/>
                    </a:prstGeom>
                  </pic:spPr>
                </pic:pic>
              </a:graphicData>
            </a:graphic>
          </wp:inline>
        </w:drawing>
      </w:r>
      <w:r w:rsidRPr="0067451A">
        <w:rPr>
          <w:rFonts w:ascii="Times New Roman" w:hAnsi="Times New Roman" w:cs="Times New Roman"/>
          <w:noProof/>
          <w:color w:val="000000"/>
          <w:sz w:val="24"/>
          <w:szCs w:val="24"/>
          <w:lang w:eastAsia="es-ES"/>
        </w:rPr>
        <w:drawing>
          <wp:inline distT="0" distB="0" distL="0" distR="0" wp14:anchorId="1CE5543F" wp14:editId="24DDC656">
            <wp:extent cx="2686050" cy="2787650"/>
            <wp:effectExtent l="0" t="0" r="0" b="0"/>
            <wp:docPr id="618" name="Imagen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2688266" cy="2789949"/>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lastRenderedPageBreak/>
        <w:drawing>
          <wp:inline distT="0" distB="0" distL="0" distR="0" wp14:anchorId="2992DB29" wp14:editId="01EE7E9A">
            <wp:extent cx="5731510" cy="2581629"/>
            <wp:effectExtent l="0" t="0" r="2540" b="9525"/>
            <wp:docPr id="619" name="Imagen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31510" cy="2581629"/>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drawing>
          <wp:inline distT="0" distB="0" distL="0" distR="0" wp14:anchorId="464DAE51" wp14:editId="2D2530F2">
            <wp:extent cx="2844800" cy="2774950"/>
            <wp:effectExtent l="0" t="0" r="0" b="6350"/>
            <wp:docPr id="620" name="Imagen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2849878" cy="2779903"/>
                    </a:xfrm>
                    <a:prstGeom prst="rect">
                      <a:avLst/>
                    </a:prstGeom>
                  </pic:spPr>
                </pic:pic>
              </a:graphicData>
            </a:graphic>
          </wp:inline>
        </w:drawing>
      </w:r>
      <w:r w:rsidRPr="000824E8">
        <w:rPr>
          <w:rFonts w:ascii="Times New Roman" w:hAnsi="Times New Roman" w:cs="Times New Roman"/>
          <w:noProof/>
          <w:color w:val="000000"/>
          <w:sz w:val="24"/>
          <w:szCs w:val="24"/>
          <w:lang w:eastAsia="es-ES"/>
        </w:rPr>
        <w:drawing>
          <wp:inline distT="0" distB="0" distL="0" distR="0" wp14:anchorId="06D36D63" wp14:editId="78182EA7">
            <wp:extent cx="2844800" cy="2774950"/>
            <wp:effectExtent l="0" t="0" r="0" b="6350"/>
            <wp:docPr id="621" name="Imagen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2845198" cy="277533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0824E8">
        <w:rPr>
          <w:rFonts w:ascii="Times New Roman" w:hAnsi="Times New Roman" w:cs="Times New Roman"/>
          <w:noProof/>
          <w:color w:val="000000"/>
          <w:sz w:val="24"/>
          <w:szCs w:val="24"/>
          <w:lang w:eastAsia="es-ES"/>
        </w:rPr>
        <w:drawing>
          <wp:inline distT="0" distB="0" distL="0" distR="0" wp14:anchorId="524B20BA" wp14:editId="27336EFE">
            <wp:extent cx="2952750" cy="2895600"/>
            <wp:effectExtent l="0" t="0" r="0" b="0"/>
            <wp:docPr id="622" name="Imagen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2952750" cy="2895600"/>
                    </a:xfrm>
                    <a:prstGeom prst="rect">
                      <a:avLst/>
                    </a:prstGeom>
                  </pic:spPr>
                </pic:pic>
              </a:graphicData>
            </a:graphic>
          </wp:inline>
        </w:drawing>
      </w:r>
      <w:r w:rsidRPr="000824E8">
        <w:rPr>
          <w:rFonts w:ascii="Times New Roman" w:hAnsi="Times New Roman" w:cs="Times New Roman"/>
          <w:noProof/>
          <w:color w:val="000000"/>
          <w:sz w:val="24"/>
          <w:szCs w:val="24"/>
          <w:lang w:eastAsia="es-ES"/>
        </w:rPr>
        <w:drawing>
          <wp:inline distT="0" distB="0" distL="0" distR="0" wp14:anchorId="7B35BD91" wp14:editId="57B665D3">
            <wp:extent cx="2749550" cy="3086100"/>
            <wp:effectExtent l="0" t="0" r="0" b="0"/>
            <wp:docPr id="623" name="Imagen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2749934" cy="3086531"/>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0824E8">
        <w:rPr>
          <w:rFonts w:ascii="Times New Roman" w:hAnsi="Times New Roman" w:cs="Times New Roman"/>
          <w:noProof/>
          <w:color w:val="000000"/>
          <w:sz w:val="24"/>
          <w:szCs w:val="24"/>
          <w:lang w:eastAsia="es-ES"/>
        </w:rPr>
        <w:lastRenderedPageBreak/>
        <w:drawing>
          <wp:inline distT="0" distB="0" distL="0" distR="0" wp14:anchorId="78CEB68F" wp14:editId="2D3E8629">
            <wp:extent cx="5731510" cy="3212952"/>
            <wp:effectExtent l="0" t="0" r="2540" b="6985"/>
            <wp:docPr id="624" name="Imagen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731510" cy="321295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drawing>
          <wp:inline distT="0" distB="0" distL="0" distR="0" wp14:anchorId="67842B1C" wp14:editId="5476CA08">
            <wp:extent cx="2832100" cy="2667000"/>
            <wp:effectExtent l="0" t="0" r="6350" b="0"/>
            <wp:docPr id="629" name="Imagen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2834740" cy="2669486"/>
                    </a:xfrm>
                    <a:prstGeom prst="rect">
                      <a:avLst/>
                    </a:prstGeom>
                  </pic:spPr>
                </pic:pic>
              </a:graphicData>
            </a:graphic>
          </wp:inline>
        </w:drawing>
      </w:r>
      <w:r w:rsidRPr="000824E8">
        <w:rPr>
          <w:rFonts w:ascii="Times New Roman" w:hAnsi="Times New Roman" w:cs="Times New Roman"/>
          <w:noProof/>
          <w:color w:val="000000"/>
          <w:sz w:val="24"/>
          <w:szCs w:val="24"/>
          <w:lang w:eastAsia="es-ES"/>
        </w:rPr>
        <w:drawing>
          <wp:inline distT="0" distB="0" distL="0" distR="0" wp14:anchorId="6C316E38" wp14:editId="3F5E47F7">
            <wp:extent cx="2832100" cy="2641599"/>
            <wp:effectExtent l="0" t="0" r="6350" b="6985"/>
            <wp:docPr id="625" name="Imagen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2834853" cy="2644167"/>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1E427D">
        <w:rPr>
          <w:rFonts w:ascii="Times New Roman" w:hAnsi="Times New Roman" w:cs="Times New Roman"/>
          <w:noProof/>
          <w:color w:val="000000"/>
          <w:sz w:val="24"/>
          <w:szCs w:val="24"/>
          <w:lang w:eastAsia="es-ES"/>
        </w:rPr>
        <w:drawing>
          <wp:inline distT="0" distB="0" distL="0" distR="0" wp14:anchorId="36034BC8" wp14:editId="377F17F1">
            <wp:extent cx="2768600" cy="2647950"/>
            <wp:effectExtent l="0" t="0" r="0" b="0"/>
            <wp:docPr id="626" name="Imagen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2768987" cy="2648320"/>
                    </a:xfrm>
                    <a:prstGeom prst="rect">
                      <a:avLst/>
                    </a:prstGeom>
                  </pic:spPr>
                </pic:pic>
              </a:graphicData>
            </a:graphic>
          </wp:inline>
        </w:drawing>
      </w:r>
      <w:r w:rsidRPr="001E427D">
        <w:rPr>
          <w:rFonts w:ascii="Times New Roman" w:hAnsi="Times New Roman" w:cs="Times New Roman"/>
          <w:noProof/>
          <w:color w:val="000000"/>
          <w:sz w:val="24"/>
          <w:szCs w:val="24"/>
          <w:lang w:eastAsia="es-ES"/>
        </w:rPr>
        <w:drawing>
          <wp:inline distT="0" distB="0" distL="0" distR="0" wp14:anchorId="21C63BB0" wp14:editId="4CEC9F2F">
            <wp:extent cx="2622550" cy="2667000"/>
            <wp:effectExtent l="0" t="0" r="6350" b="0"/>
            <wp:docPr id="627" name="Imagen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2625314" cy="2669811"/>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lastRenderedPageBreak/>
        <w:drawing>
          <wp:inline distT="0" distB="0" distL="0" distR="0" wp14:anchorId="0484E589" wp14:editId="79667AEE">
            <wp:extent cx="5873750" cy="5670550"/>
            <wp:effectExtent l="0" t="0" r="0" b="6350"/>
            <wp:docPr id="628" name="Imagen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5872223" cy="5669076"/>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drawing>
          <wp:inline distT="0" distB="0" distL="0" distR="0" wp14:anchorId="3114200F" wp14:editId="6C1EB863">
            <wp:extent cx="5727700" cy="3124200"/>
            <wp:effectExtent l="0" t="0" r="6350" b="0"/>
            <wp:docPr id="630" name="Imagen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727700" cy="3124200"/>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lastRenderedPageBreak/>
        <w:drawing>
          <wp:inline distT="0" distB="0" distL="0" distR="0" wp14:anchorId="6DA8B36F" wp14:editId="7BF8A76D">
            <wp:extent cx="5731510" cy="4038388"/>
            <wp:effectExtent l="0" t="0" r="2540" b="635"/>
            <wp:docPr id="631" name="Imagen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731510" cy="403838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drawing>
          <wp:inline distT="0" distB="0" distL="0" distR="0" wp14:anchorId="50429DE0" wp14:editId="26AF8753">
            <wp:extent cx="5731510" cy="4013894"/>
            <wp:effectExtent l="0" t="0" r="2540" b="5715"/>
            <wp:docPr id="632" name="Imagen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731510" cy="401389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lastRenderedPageBreak/>
        <w:drawing>
          <wp:inline distT="0" distB="0" distL="0" distR="0" wp14:anchorId="5E8FE12D" wp14:editId="50BE5C61">
            <wp:extent cx="5731510" cy="4072679"/>
            <wp:effectExtent l="0" t="0" r="2540" b="4445"/>
            <wp:docPr id="633" name="Imagen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731510" cy="4072679"/>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drawing>
          <wp:inline distT="0" distB="0" distL="0" distR="0" wp14:anchorId="19619511" wp14:editId="4FA07901">
            <wp:extent cx="5731510" cy="3968581"/>
            <wp:effectExtent l="0" t="0" r="2540" b="0"/>
            <wp:docPr id="634" name="Imagen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731510" cy="3968581"/>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lastRenderedPageBreak/>
        <w:drawing>
          <wp:inline distT="0" distB="0" distL="0" distR="0" wp14:anchorId="21192976" wp14:editId="5D5868C2">
            <wp:extent cx="5731510" cy="3964907"/>
            <wp:effectExtent l="0" t="0" r="2540" b="0"/>
            <wp:docPr id="635" name="Imagen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731510" cy="3964907"/>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drawing>
          <wp:inline distT="0" distB="0" distL="0" distR="0" wp14:anchorId="5E250434" wp14:editId="4D1F1AC1">
            <wp:extent cx="5731510" cy="3988788"/>
            <wp:effectExtent l="0" t="0" r="2540" b="0"/>
            <wp:docPr id="636" name="Imagen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31510" cy="3988788"/>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lastRenderedPageBreak/>
        <w:drawing>
          <wp:inline distT="0" distB="0" distL="0" distR="0" wp14:anchorId="147331C0" wp14:editId="224844BB">
            <wp:extent cx="5731510" cy="4031652"/>
            <wp:effectExtent l="0" t="0" r="2540" b="6985"/>
            <wp:docPr id="637" name="Imagen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731510" cy="403165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drawing>
          <wp:inline distT="0" distB="0" distL="0" distR="0" wp14:anchorId="06323C9A" wp14:editId="504BA6AD">
            <wp:extent cx="5731510" cy="4061044"/>
            <wp:effectExtent l="0" t="0" r="2540" b="0"/>
            <wp:docPr id="638" name="Imagen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731510" cy="4061044"/>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lastRenderedPageBreak/>
        <w:drawing>
          <wp:inline distT="0" distB="0" distL="0" distR="0" wp14:anchorId="7B465691" wp14:editId="547400D2">
            <wp:extent cx="5731510" cy="3997973"/>
            <wp:effectExtent l="0" t="0" r="2540" b="2540"/>
            <wp:docPr id="639" name="Imagen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731510" cy="3997973"/>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drawing>
          <wp:inline distT="0" distB="0" distL="0" distR="0" wp14:anchorId="036576E7" wp14:editId="668F328A">
            <wp:extent cx="5731510" cy="4215966"/>
            <wp:effectExtent l="0" t="0" r="2540" b="0"/>
            <wp:docPr id="640" name="Imagen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731510" cy="4215966"/>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Pr="008140A2" w:rsidRDefault="00CE087C" w:rsidP="00CE087C">
      <w:pPr>
        <w:autoSpaceDE w:val="0"/>
        <w:autoSpaceDN w:val="0"/>
        <w:adjustRightInd w:val="0"/>
        <w:spacing w:after="0" w:line="240" w:lineRule="auto"/>
        <w:jc w:val="both"/>
        <w:rPr>
          <w:rFonts w:ascii="Times New Roman" w:hAnsi="Times New Roman" w:cs="Times New Roman"/>
          <w:b/>
          <w:color w:val="000000"/>
          <w:sz w:val="24"/>
          <w:szCs w:val="24"/>
          <w:lang w:val="en-GB"/>
        </w:rPr>
      </w:pPr>
      <w:r w:rsidRPr="008140A2">
        <w:rPr>
          <w:rFonts w:ascii="Times New Roman" w:hAnsi="Times New Roman" w:cs="Times New Roman"/>
          <w:b/>
          <w:color w:val="000000"/>
          <w:sz w:val="24"/>
          <w:szCs w:val="24"/>
          <w:lang w:val="en-GB"/>
        </w:rPr>
        <w:lastRenderedPageBreak/>
        <w:t>- Informe Over-qualification rate by economic activity - Eurostat 2006 - 2016</w:t>
      </w:r>
    </w:p>
    <w:p w:rsidR="00CE087C" w:rsidRPr="009D63CE" w:rsidRDefault="00CE087C" w:rsidP="00CE087C">
      <w:pPr>
        <w:pStyle w:val="Prrafodelista"/>
        <w:autoSpaceDE w:val="0"/>
        <w:autoSpaceDN w:val="0"/>
        <w:adjustRightInd w:val="0"/>
        <w:spacing w:after="0" w:line="240" w:lineRule="auto"/>
        <w:jc w:val="both"/>
        <w:rPr>
          <w:rFonts w:ascii="Times New Roman" w:hAnsi="Times New Roman" w:cs="Times New Roman"/>
          <w:color w:val="000000"/>
          <w:sz w:val="24"/>
          <w:szCs w:val="24"/>
          <w:lang w:val="en-GB"/>
        </w:rPr>
      </w:pPr>
    </w:p>
    <w:tbl>
      <w:tblPr>
        <w:tblW w:w="17311" w:type="dxa"/>
        <w:tblInd w:w="70" w:type="dxa"/>
        <w:tblCellMar>
          <w:left w:w="70" w:type="dxa"/>
          <w:right w:w="70" w:type="dxa"/>
        </w:tblCellMar>
        <w:tblLook w:val="04A0" w:firstRow="1" w:lastRow="0" w:firstColumn="1" w:lastColumn="0" w:noHBand="0" w:noVBand="1"/>
      </w:tblPr>
      <w:tblGrid>
        <w:gridCol w:w="10071"/>
        <w:gridCol w:w="1576"/>
        <w:gridCol w:w="784"/>
        <w:gridCol w:w="836"/>
        <w:gridCol w:w="836"/>
        <w:gridCol w:w="1256"/>
        <w:gridCol w:w="976"/>
        <w:gridCol w:w="976"/>
      </w:tblGrid>
      <w:tr w:rsidR="00CE087C" w:rsidRPr="00AE4A30" w:rsidTr="00CE087C">
        <w:trPr>
          <w:trHeight w:val="240"/>
        </w:trPr>
        <w:tc>
          <w:tcPr>
            <w:tcW w:w="12431" w:type="dxa"/>
            <w:gridSpan w:val="3"/>
            <w:tcBorders>
              <w:top w:val="nil"/>
              <w:left w:val="nil"/>
              <w:bottom w:val="nil"/>
              <w:right w:val="nil"/>
            </w:tcBorders>
            <w:shd w:val="clear" w:color="auto" w:fill="auto"/>
            <w:noWrap/>
            <w:vAlign w:val="bottom"/>
          </w:tcPr>
          <w:p w:rsidR="00CE087C" w:rsidRPr="001B47DA" w:rsidRDefault="00CE087C" w:rsidP="00CE087C">
            <w:pPr>
              <w:spacing w:after="0" w:line="240" w:lineRule="auto"/>
              <w:rPr>
                <w:rFonts w:ascii="Arial" w:eastAsia="Times New Roman" w:hAnsi="Arial" w:cs="Arial"/>
                <w:b/>
                <w:bCs/>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007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5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8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1647" w:type="dxa"/>
            <w:gridSpan w:val="2"/>
            <w:tcBorders>
              <w:top w:val="nil"/>
              <w:left w:val="nil"/>
              <w:bottom w:val="nil"/>
              <w:right w:val="nil"/>
            </w:tcBorders>
            <w:shd w:val="clear" w:color="auto" w:fill="auto"/>
            <w:noWrap/>
            <w:vAlign w:val="bottom"/>
            <w:hideMark/>
          </w:tcPr>
          <w:p w:rsidR="00CE087C" w:rsidRDefault="00CE087C" w:rsidP="00CE087C">
            <w:pPr>
              <w:spacing w:after="0" w:line="240" w:lineRule="auto"/>
              <w:rPr>
                <w:rFonts w:ascii="Arial" w:eastAsia="Times New Roman" w:hAnsi="Arial" w:cs="Arial"/>
                <w:color w:val="000000"/>
                <w:sz w:val="18"/>
                <w:szCs w:val="18"/>
                <w:lang w:val="en-GB" w:eastAsia="es-ES"/>
              </w:rPr>
            </w:pPr>
          </w:p>
          <w:tbl>
            <w:tblPr>
              <w:tblW w:w="11488" w:type="dxa"/>
              <w:tblCellMar>
                <w:left w:w="70" w:type="dxa"/>
                <w:right w:w="70" w:type="dxa"/>
              </w:tblCellMar>
              <w:tblLook w:val="04A0" w:firstRow="1" w:lastRow="0" w:firstColumn="1" w:lastColumn="0" w:noHBand="0" w:noVBand="1"/>
            </w:tblPr>
            <w:tblGrid>
              <w:gridCol w:w="1065"/>
              <w:gridCol w:w="783"/>
              <w:gridCol w:w="772"/>
              <w:gridCol w:w="772"/>
              <w:gridCol w:w="772"/>
              <w:gridCol w:w="772"/>
              <w:gridCol w:w="836"/>
              <w:gridCol w:w="836"/>
              <w:gridCol w:w="836"/>
              <w:gridCol w:w="836"/>
              <w:gridCol w:w="1256"/>
              <w:gridCol w:w="976"/>
              <w:gridCol w:w="976"/>
            </w:tblGrid>
            <w:tr w:rsidR="00CE087C" w:rsidRPr="001B47DA" w:rsidTr="00CE087C">
              <w:trPr>
                <w:trHeight w:val="240"/>
              </w:trPr>
              <w:tc>
                <w:tcPr>
                  <w:tcW w:w="4936" w:type="dxa"/>
                  <w:gridSpan w:val="6"/>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Manufacturing: over-qualification rates 2008-2016</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848" w:type="dxa"/>
                  <w:gridSpan w:val="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480"/>
              </w:trPr>
              <w:tc>
                <w:tcPr>
                  <w:tcW w:w="1065" w:type="dxa"/>
                  <w:tcBorders>
                    <w:top w:val="single" w:sz="4" w:space="0" w:color="000000"/>
                    <w:left w:val="nil"/>
                    <w:bottom w:val="single" w:sz="4" w:space="0" w:color="000000"/>
                    <w:right w:val="nil"/>
                  </w:tcBorders>
                  <w:shd w:val="clear" w:color="000000" w:fill="FEEDCF"/>
                  <w:vAlign w:val="center"/>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83" w:type="dxa"/>
                  <w:tcBorders>
                    <w:top w:val="single" w:sz="4" w:space="0" w:color="000000"/>
                    <w:left w:val="single" w:sz="4" w:space="0" w:color="A6A6A6"/>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7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7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7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7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83"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25,7 </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22,7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1256"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83"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7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77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24,2 </w:t>
                  </w:r>
                </w:p>
              </w:tc>
              <w:tc>
                <w:tcPr>
                  <w:tcW w:w="77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24,8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28,0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single" w:sz="4" w:space="0" w:color="00000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83"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83"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29,3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25,5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26,2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22,3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22,4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23,3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21,0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83"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36,4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37,3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41,6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AE4A30" w:rsidTr="00CE087C">
              <w:trPr>
                <w:trHeight w:val="240"/>
              </w:trPr>
              <w:tc>
                <w:tcPr>
                  <w:tcW w:w="7444" w:type="dxa"/>
                  <w:gridSpan w:val="9"/>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1488" w:type="dxa"/>
                  <w:gridSpan w:val="13"/>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roofErr w:type="gramStart"/>
                  <w:r w:rsidRPr="001B47DA">
                    <w:rPr>
                      <w:rFonts w:ascii="Arial" w:eastAsia="Times New Roman" w:hAnsi="Arial" w:cs="Arial"/>
                      <w:color w:val="000000"/>
                      <w:sz w:val="18"/>
                      <w:szCs w:val="18"/>
                      <w:lang w:val="en-GB" w:eastAsia="es-ES"/>
                    </w:rPr>
                    <w:t>mainly</w:t>
                  </w:r>
                  <w:proofErr w:type="gramEnd"/>
                  <w:r w:rsidRPr="001B47DA">
                    <w:rPr>
                      <w:rFonts w:ascii="Arial" w:eastAsia="Times New Roman" w:hAnsi="Arial" w:cs="Arial"/>
                      <w:color w:val="000000"/>
                      <w:sz w:val="18"/>
                      <w:szCs w:val="18"/>
                      <w:lang w:val="en-GB" w:eastAsia="es-ES"/>
                    </w:rPr>
                    <w:t xml:space="preserve"> Luxembourg and Malta, but also Croatia - as regards human health and social work activities - and Slovakia - education.</w:t>
                  </w:r>
                </w:p>
              </w:tc>
            </w:tr>
            <w:tr w:rsidR="00CE087C" w:rsidRPr="00AE4A30" w:rsidTr="00CE087C">
              <w:trPr>
                <w:trHeight w:val="240"/>
              </w:trPr>
              <w:tc>
                <w:tcPr>
                  <w:tcW w:w="10512" w:type="dxa"/>
                  <w:gridSpan w:val="1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bl>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tbl>
            <w:tblPr>
              <w:tblW w:w="11488" w:type="dxa"/>
              <w:tblCellMar>
                <w:left w:w="70" w:type="dxa"/>
                <w:right w:w="70" w:type="dxa"/>
              </w:tblCellMar>
              <w:tblLook w:val="04A0" w:firstRow="1" w:lastRow="0" w:firstColumn="1" w:lastColumn="0" w:noHBand="0" w:noVBand="1"/>
            </w:tblPr>
            <w:tblGrid>
              <w:gridCol w:w="1065"/>
              <w:gridCol w:w="783"/>
              <w:gridCol w:w="772"/>
              <w:gridCol w:w="772"/>
              <w:gridCol w:w="772"/>
              <w:gridCol w:w="772"/>
              <w:gridCol w:w="836"/>
              <w:gridCol w:w="836"/>
              <w:gridCol w:w="836"/>
              <w:gridCol w:w="836"/>
              <w:gridCol w:w="1256"/>
              <w:gridCol w:w="976"/>
              <w:gridCol w:w="976"/>
            </w:tblGrid>
            <w:tr w:rsidR="00CE087C" w:rsidRPr="001B47DA" w:rsidTr="00CE087C">
              <w:trPr>
                <w:trHeight w:val="240"/>
              </w:trPr>
              <w:tc>
                <w:tcPr>
                  <w:tcW w:w="4936" w:type="dxa"/>
                  <w:gridSpan w:val="6"/>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Construction: over-qualification rates 2008-2016</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848" w:type="dxa"/>
                  <w:gridSpan w:val="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480"/>
              </w:trPr>
              <w:tc>
                <w:tcPr>
                  <w:tcW w:w="1065" w:type="dxa"/>
                  <w:tcBorders>
                    <w:top w:val="single" w:sz="4" w:space="0" w:color="000000"/>
                    <w:left w:val="nil"/>
                    <w:bottom w:val="single" w:sz="4" w:space="0" w:color="000000"/>
                    <w:right w:val="nil"/>
                  </w:tcBorders>
                  <w:shd w:val="clear" w:color="000000" w:fill="FEEDCF"/>
                  <w:vAlign w:val="center"/>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83" w:type="dxa"/>
                  <w:tcBorders>
                    <w:top w:val="single" w:sz="4" w:space="0" w:color="000000"/>
                    <w:left w:val="single" w:sz="4" w:space="0" w:color="A6A6A6"/>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7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7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7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7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single" w:sz="4" w:space="0" w:color="C0C0C0"/>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9,7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20,0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83"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37,3 </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37,6 </w:t>
                  </w: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36,1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35,6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35,8 </w:t>
                  </w:r>
                </w:p>
              </w:tc>
              <w:tc>
                <w:tcPr>
                  <w:tcW w:w="1256"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83"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30,7 </w:t>
                  </w:r>
                </w:p>
              </w:tc>
              <w:tc>
                <w:tcPr>
                  <w:tcW w:w="77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31,2 </w:t>
                  </w:r>
                </w:p>
              </w:tc>
              <w:tc>
                <w:tcPr>
                  <w:tcW w:w="77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31,0 </w:t>
                  </w:r>
                </w:p>
              </w:tc>
              <w:tc>
                <w:tcPr>
                  <w:tcW w:w="77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77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29,7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29,7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single" w:sz="4" w:space="0" w:color="00000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83"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single" w:sz="4" w:space="0" w:color="C0C0C0"/>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8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83"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65,0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54,0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40,3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43,6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45,1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83"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7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33,3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83" w:type="dxa"/>
                  <w:tcBorders>
                    <w:top w:val="nil"/>
                    <w:left w:val="single" w:sz="4" w:space="0" w:color="A6A6A6"/>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26,8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29,3 </w:t>
                  </w:r>
                </w:p>
              </w:tc>
              <w:tc>
                <w:tcPr>
                  <w:tcW w:w="77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29,7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34,5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32,6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34,9 </w:t>
                  </w:r>
                </w:p>
              </w:tc>
              <w:tc>
                <w:tcPr>
                  <w:tcW w:w="1256" w:type="dxa"/>
                  <w:tcBorders>
                    <w:top w:val="nil"/>
                    <w:left w:val="single" w:sz="4" w:space="0" w:color="A6A6A6"/>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6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AE4A30" w:rsidTr="00CE087C">
              <w:trPr>
                <w:trHeight w:val="240"/>
              </w:trPr>
              <w:tc>
                <w:tcPr>
                  <w:tcW w:w="7444" w:type="dxa"/>
                  <w:gridSpan w:val="9"/>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1488" w:type="dxa"/>
                  <w:gridSpan w:val="13"/>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roofErr w:type="gramStart"/>
                  <w:r w:rsidRPr="001B47DA">
                    <w:rPr>
                      <w:rFonts w:ascii="Arial" w:eastAsia="Times New Roman" w:hAnsi="Arial" w:cs="Arial"/>
                      <w:color w:val="000000"/>
                      <w:sz w:val="18"/>
                      <w:szCs w:val="18"/>
                      <w:lang w:val="en-GB" w:eastAsia="es-ES"/>
                    </w:rPr>
                    <w:t>mainly</w:t>
                  </w:r>
                  <w:proofErr w:type="gramEnd"/>
                  <w:r w:rsidRPr="001B47DA">
                    <w:rPr>
                      <w:rFonts w:ascii="Arial" w:eastAsia="Times New Roman" w:hAnsi="Arial" w:cs="Arial"/>
                      <w:color w:val="000000"/>
                      <w:sz w:val="18"/>
                      <w:szCs w:val="18"/>
                      <w:lang w:val="en-GB" w:eastAsia="es-ES"/>
                    </w:rPr>
                    <w:t xml:space="preserve"> Luxembourg and Malta, but also Croatia - as regards human health and social work activities - and Slovakia - education.</w:t>
                  </w:r>
                </w:p>
              </w:tc>
            </w:tr>
            <w:tr w:rsidR="00CE087C" w:rsidRPr="00AE4A30" w:rsidTr="00CE087C">
              <w:trPr>
                <w:trHeight w:val="240"/>
              </w:trPr>
              <w:tc>
                <w:tcPr>
                  <w:tcW w:w="10512" w:type="dxa"/>
                  <w:gridSpan w:val="1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06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8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bl>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tbl>
            <w:tblPr>
              <w:tblW w:w="11408" w:type="dxa"/>
              <w:tblCellMar>
                <w:left w:w="70" w:type="dxa"/>
                <w:right w:w="70" w:type="dxa"/>
              </w:tblCellMar>
              <w:tblLook w:val="04A0" w:firstRow="1" w:lastRow="0" w:firstColumn="1" w:lastColumn="0" w:noHBand="0" w:noVBand="1"/>
            </w:tblPr>
            <w:tblGrid>
              <w:gridCol w:w="1023"/>
              <w:gridCol w:w="752"/>
              <w:gridCol w:w="742"/>
              <w:gridCol w:w="742"/>
              <w:gridCol w:w="742"/>
              <w:gridCol w:w="742"/>
              <w:gridCol w:w="742"/>
              <w:gridCol w:w="742"/>
              <w:gridCol w:w="742"/>
              <w:gridCol w:w="751"/>
              <w:gridCol w:w="1736"/>
              <w:gridCol w:w="976"/>
              <w:gridCol w:w="976"/>
            </w:tblGrid>
            <w:tr w:rsidR="00CE087C" w:rsidRPr="00AE4A30" w:rsidTr="00CE087C">
              <w:trPr>
                <w:trHeight w:val="240"/>
              </w:trPr>
              <w:tc>
                <w:tcPr>
                  <w:tcW w:w="9456" w:type="dxa"/>
                  <w:gridSpan w:val="11"/>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Wholesale and retail trade; repair of motor vehicles and motorcycles: over-qualification rates 2008-2016</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1B47DA" w:rsidTr="00CE087C">
              <w:trPr>
                <w:trHeight w:val="240"/>
              </w:trPr>
              <w:tc>
                <w:tcPr>
                  <w:tcW w:w="1775" w:type="dxa"/>
                  <w:gridSpan w:val="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 </w:t>
                  </w:r>
                  <w:proofErr w:type="spellStart"/>
                  <w:r w:rsidRPr="001B47DA">
                    <w:rPr>
                      <w:rFonts w:ascii="Arial" w:eastAsia="Times New Roman" w:hAnsi="Arial" w:cs="Arial"/>
                      <w:color w:val="000000"/>
                      <w:sz w:val="18"/>
                      <w:szCs w:val="18"/>
                      <w:lang w:eastAsia="es-ES"/>
                    </w:rPr>
                    <w:t>points</w:t>
                  </w:r>
                  <w:proofErr w:type="spellEnd"/>
                  <w:r w:rsidRPr="001B47DA">
                    <w:rPr>
                      <w:rFonts w:ascii="Arial" w:eastAsia="Times New Roman" w:hAnsi="Arial" w:cs="Arial"/>
                      <w:color w:val="000000"/>
                      <w:sz w:val="18"/>
                      <w:szCs w:val="18"/>
                      <w:lang w:eastAsia="es-ES"/>
                    </w:rPr>
                    <w:t>)</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480"/>
              </w:trPr>
              <w:tc>
                <w:tcPr>
                  <w:tcW w:w="1023" w:type="dxa"/>
                  <w:tcBorders>
                    <w:top w:val="single" w:sz="4" w:space="0" w:color="000000"/>
                    <w:left w:val="nil"/>
                    <w:bottom w:val="single" w:sz="4" w:space="0" w:color="000000"/>
                    <w:right w:val="nil"/>
                  </w:tcBorders>
                  <w:shd w:val="clear" w:color="000000" w:fill="FEEDCF"/>
                  <w:vAlign w:val="center"/>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52" w:type="dxa"/>
                  <w:tcBorders>
                    <w:top w:val="single" w:sz="4" w:space="0" w:color="000000"/>
                    <w:left w:val="single" w:sz="4" w:space="0" w:color="A6A6A6"/>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751"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736" w:type="dxa"/>
                  <w:tcBorders>
                    <w:top w:val="single" w:sz="4" w:space="0" w:color="000000"/>
                    <w:left w:val="single" w:sz="4" w:space="0" w:color="A6A6A6"/>
                    <w:bottom w:val="single" w:sz="4" w:space="0" w:color="000000"/>
                    <w:right w:val="nil"/>
                  </w:tcBorders>
                  <w:shd w:val="clear" w:color="000000" w:fill="FEEDCF"/>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40,8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38,6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49,9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49,0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29,8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35,0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38,4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55,7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53,2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64,0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66,2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64,1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64,0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42,0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37,7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62,1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66,5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40,5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41,2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37,4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nil"/>
                    <w:left w:val="nil"/>
                    <w:bottom w:val="single" w:sz="4" w:space="0" w:color="C0C0C0"/>
                    <w:right w:val="single" w:sz="4" w:space="0" w:color="C0C0C0"/>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nil"/>
                    <w:left w:val="nil"/>
                    <w:bottom w:val="single" w:sz="4" w:space="0" w:color="C0C0C0"/>
                    <w:right w:val="single" w:sz="4" w:space="0" w:color="C0C0C0"/>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41,2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49,4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47,0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46,0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29,5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41,1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37,6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45,5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46,2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41,2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52" w:type="dxa"/>
                  <w:tcBorders>
                    <w:top w:val="nil"/>
                    <w:left w:val="single" w:sz="4" w:space="0" w:color="A6A6A6"/>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42" w:type="dxa"/>
                  <w:tcBorders>
                    <w:top w:val="nil"/>
                    <w:left w:val="nil"/>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42" w:type="dxa"/>
                  <w:tcBorders>
                    <w:top w:val="nil"/>
                    <w:left w:val="nil"/>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42" w:type="dxa"/>
                  <w:tcBorders>
                    <w:top w:val="nil"/>
                    <w:left w:val="nil"/>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51,5 </w:t>
                  </w:r>
                </w:p>
              </w:tc>
              <w:tc>
                <w:tcPr>
                  <w:tcW w:w="742" w:type="dxa"/>
                  <w:tcBorders>
                    <w:top w:val="nil"/>
                    <w:left w:val="nil"/>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52,3 </w:t>
                  </w:r>
                </w:p>
              </w:tc>
              <w:tc>
                <w:tcPr>
                  <w:tcW w:w="742" w:type="dxa"/>
                  <w:tcBorders>
                    <w:top w:val="nil"/>
                    <w:left w:val="nil"/>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52,6 </w:t>
                  </w:r>
                </w:p>
              </w:tc>
              <w:tc>
                <w:tcPr>
                  <w:tcW w:w="742" w:type="dxa"/>
                  <w:tcBorders>
                    <w:top w:val="nil"/>
                    <w:left w:val="nil"/>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52,5 </w:t>
                  </w:r>
                </w:p>
              </w:tc>
              <w:tc>
                <w:tcPr>
                  <w:tcW w:w="742" w:type="dxa"/>
                  <w:tcBorders>
                    <w:top w:val="nil"/>
                    <w:left w:val="nil"/>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53,2 </w:t>
                  </w:r>
                </w:p>
              </w:tc>
              <w:tc>
                <w:tcPr>
                  <w:tcW w:w="751" w:type="dxa"/>
                  <w:tcBorders>
                    <w:top w:val="nil"/>
                    <w:left w:val="nil"/>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1736" w:type="dxa"/>
                  <w:tcBorders>
                    <w:top w:val="nil"/>
                    <w:left w:val="single" w:sz="4" w:space="0" w:color="A6A6A6"/>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single" w:sz="4" w:space="0" w:color="00000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52"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29,2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26,0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751"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173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52"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33,0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35,2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30,9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30,9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751"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29,6 </w:t>
                  </w:r>
                </w:p>
              </w:tc>
              <w:tc>
                <w:tcPr>
                  <w:tcW w:w="173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52"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50,5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44,8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52" w:type="dxa"/>
                  <w:tcBorders>
                    <w:top w:val="nil"/>
                    <w:left w:val="single" w:sz="4" w:space="0" w:color="A6A6A6"/>
                    <w:bottom w:val="single" w:sz="4" w:space="0" w:color="auto"/>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38,7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53,3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49,7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57,2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60,5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60,7 </w:t>
                  </w:r>
                </w:p>
              </w:tc>
              <w:tc>
                <w:tcPr>
                  <w:tcW w:w="751"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61,9 </w:t>
                  </w:r>
                </w:p>
              </w:tc>
              <w:tc>
                <w:tcPr>
                  <w:tcW w:w="173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22,9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AE4A30" w:rsidTr="00CE087C">
              <w:trPr>
                <w:trHeight w:val="240"/>
              </w:trPr>
              <w:tc>
                <w:tcPr>
                  <w:tcW w:w="6969" w:type="dxa"/>
                  <w:gridSpan w:val="9"/>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1408" w:type="dxa"/>
                  <w:gridSpan w:val="13"/>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roofErr w:type="gramStart"/>
                  <w:r w:rsidRPr="001B47DA">
                    <w:rPr>
                      <w:rFonts w:ascii="Arial" w:eastAsia="Times New Roman" w:hAnsi="Arial" w:cs="Arial"/>
                      <w:color w:val="000000"/>
                      <w:sz w:val="18"/>
                      <w:szCs w:val="18"/>
                      <w:lang w:val="en-GB" w:eastAsia="es-ES"/>
                    </w:rPr>
                    <w:t>mainly</w:t>
                  </w:r>
                  <w:proofErr w:type="gramEnd"/>
                  <w:r w:rsidRPr="001B47DA">
                    <w:rPr>
                      <w:rFonts w:ascii="Arial" w:eastAsia="Times New Roman" w:hAnsi="Arial" w:cs="Arial"/>
                      <w:color w:val="000000"/>
                      <w:sz w:val="18"/>
                      <w:szCs w:val="18"/>
                      <w:lang w:val="en-GB" w:eastAsia="es-ES"/>
                    </w:rPr>
                    <w:t xml:space="preserve"> Luxembourg and Malta, but also Croatia - as regards human health and social work activities - and Slovakia - education.</w:t>
                  </w:r>
                </w:p>
              </w:tc>
            </w:tr>
            <w:tr w:rsidR="00CE087C" w:rsidRPr="00AE4A30" w:rsidTr="00CE087C">
              <w:trPr>
                <w:trHeight w:val="240"/>
              </w:trPr>
              <w:tc>
                <w:tcPr>
                  <w:tcW w:w="10432" w:type="dxa"/>
                  <w:gridSpan w:val="1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02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bl>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tbl>
            <w:tblPr>
              <w:tblW w:w="11473" w:type="dxa"/>
              <w:tblCellMar>
                <w:left w:w="70" w:type="dxa"/>
                <w:right w:w="70" w:type="dxa"/>
              </w:tblCellMar>
              <w:tblLook w:val="04A0" w:firstRow="1" w:lastRow="0" w:firstColumn="1" w:lastColumn="0" w:noHBand="0" w:noVBand="1"/>
            </w:tblPr>
            <w:tblGrid>
              <w:gridCol w:w="1073"/>
              <w:gridCol w:w="789"/>
              <w:gridCol w:w="779"/>
              <w:gridCol w:w="779"/>
              <w:gridCol w:w="779"/>
              <w:gridCol w:w="779"/>
              <w:gridCol w:w="779"/>
              <w:gridCol w:w="836"/>
              <w:gridCol w:w="836"/>
              <w:gridCol w:w="836"/>
              <w:gridCol w:w="1256"/>
              <w:gridCol w:w="976"/>
              <w:gridCol w:w="976"/>
            </w:tblGrid>
            <w:tr w:rsidR="00CE087C" w:rsidRPr="00AE4A30" w:rsidTr="00CE087C">
              <w:trPr>
                <w:trHeight w:val="240"/>
              </w:trPr>
              <w:tc>
                <w:tcPr>
                  <w:tcW w:w="5757" w:type="dxa"/>
                  <w:gridSpan w:val="7"/>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Transportation and storage: over-qualification rates 2008-2016</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1B47DA" w:rsidTr="00CE087C">
              <w:trPr>
                <w:trHeight w:val="240"/>
              </w:trPr>
              <w:tc>
                <w:tcPr>
                  <w:tcW w:w="1862" w:type="dxa"/>
                  <w:gridSpan w:val="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 </w:t>
                  </w:r>
                  <w:proofErr w:type="spellStart"/>
                  <w:r w:rsidRPr="001B47DA">
                    <w:rPr>
                      <w:rFonts w:ascii="Arial" w:eastAsia="Times New Roman" w:hAnsi="Arial" w:cs="Arial"/>
                      <w:color w:val="000000"/>
                      <w:sz w:val="18"/>
                      <w:szCs w:val="18"/>
                      <w:lang w:eastAsia="es-ES"/>
                    </w:rPr>
                    <w:t>points</w:t>
                  </w:r>
                  <w:proofErr w:type="spellEnd"/>
                  <w:r w:rsidRPr="001B47DA">
                    <w:rPr>
                      <w:rFonts w:ascii="Arial" w:eastAsia="Times New Roman" w:hAnsi="Arial" w:cs="Arial"/>
                      <w:color w:val="000000"/>
                      <w:sz w:val="18"/>
                      <w:szCs w:val="18"/>
                      <w:lang w:eastAsia="es-ES"/>
                    </w:rPr>
                    <w:t>)</w:t>
                  </w: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8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480"/>
              </w:trPr>
              <w:tc>
                <w:tcPr>
                  <w:tcW w:w="1073" w:type="dxa"/>
                  <w:tcBorders>
                    <w:top w:val="single" w:sz="4" w:space="0" w:color="000000"/>
                    <w:left w:val="nil"/>
                    <w:bottom w:val="single" w:sz="4" w:space="0" w:color="000000"/>
                    <w:right w:val="nil"/>
                  </w:tcBorders>
                  <w:shd w:val="clear" w:color="000000" w:fill="FEEDCF"/>
                  <w:vAlign w:val="center"/>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89" w:type="dxa"/>
                  <w:tcBorders>
                    <w:top w:val="single" w:sz="4" w:space="0" w:color="000000"/>
                    <w:left w:val="single" w:sz="4" w:space="0" w:color="A6A6A6"/>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79"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79"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79"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79"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79"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24,0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45,0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42,0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24,0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836" w:type="dxa"/>
                  <w:tcBorders>
                    <w:top w:val="nil"/>
                    <w:left w:val="nil"/>
                    <w:bottom w:val="single" w:sz="4" w:space="0" w:color="C0C0C0"/>
                    <w:right w:val="single" w:sz="4" w:space="0" w:color="C0C0C0"/>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125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38,8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779"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20,8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26,6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46,2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42,0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58,5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89"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53,2 </w:t>
                  </w: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56,4 </w:t>
                  </w: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57,2 </w:t>
                  </w: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59,7 </w:t>
                  </w: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58,0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57,7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61,4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58,4 </w:t>
                  </w:r>
                </w:p>
              </w:tc>
              <w:tc>
                <w:tcPr>
                  <w:tcW w:w="1256"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89"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47,4 </w:t>
                  </w:r>
                </w:p>
              </w:tc>
              <w:tc>
                <w:tcPr>
                  <w:tcW w:w="779"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53,4 </w:t>
                  </w:r>
                </w:p>
              </w:tc>
              <w:tc>
                <w:tcPr>
                  <w:tcW w:w="779"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52,3 </w:t>
                  </w:r>
                </w:p>
              </w:tc>
              <w:tc>
                <w:tcPr>
                  <w:tcW w:w="779"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79"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58,1 </w:t>
                  </w:r>
                </w:p>
              </w:tc>
              <w:tc>
                <w:tcPr>
                  <w:tcW w:w="779"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54,2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54,4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60,3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59,0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single" w:sz="4" w:space="0" w:color="00000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89"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89"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43,3 </w:t>
                  </w:r>
                </w:p>
              </w:tc>
              <w:tc>
                <w:tcPr>
                  <w:tcW w:w="779"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9"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779"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41,1 </w:t>
                  </w:r>
                </w:p>
              </w:tc>
              <w:tc>
                <w:tcPr>
                  <w:tcW w:w="779"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9"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89"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89"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79"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89"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54,5 </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55,1 </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53,6 </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55,2 </w:t>
                  </w:r>
                </w:p>
              </w:tc>
              <w:tc>
                <w:tcPr>
                  <w:tcW w:w="779"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60,9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65,4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64,8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66,5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7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8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AE4A30" w:rsidTr="00CE087C">
              <w:trPr>
                <w:trHeight w:val="240"/>
              </w:trPr>
              <w:tc>
                <w:tcPr>
                  <w:tcW w:w="7429" w:type="dxa"/>
                  <w:gridSpan w:val="9"/>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1473" w:type="dxa"/>
                  <w:gridSpan w:val="13"/>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roofErr w:type="gramStart"/>
                  <w:r w:rsidRPr="001B47DA">
                    <w:rPr>
                      <w:rFonts w:ascii="Arial" w:eastAsia="Times New Roman" w:hAnsi="Arial" w:cs="Arial"/>
                      <w:color w:val="000000"/>
                      <w:sz w:val="18"/>
                      <w:szCs w:val="18"/>
                      <w:lang w:val="en-GB" w:eastAsia="es-ES"/>
                    </w:rPr>
                    <w:t>mainly</w:t>
                  </w:r>
                  <w:proofErr w:type="gramEnd"/>
                  <w:r w:rsidRPr="001B47DA">
                    <w:rPr>
                      <w:rFonts w:ascii="Arial" w:eastAsia="Times New Roman" w:hAnsi="Arial" w:cs="Arial"/>
                      <w:color w:val="000000"/>
                      <w:sz w:val="18"/>
                      <w:szCs w:val="18"/>
                      <w:lang w:val="en-GB" w:eastAsia="es-ES"/>
                    </w:rPr>
                    <w:t xml:space="preserve"> Luxembourg and Malta, but also Croatia - as regards human health and social work activities - and Slovakia - education.</w:t>
                  </w:r>
                </w:p>
              </w:tc>
            </w:tr>
            <w:tr w:rsidR="00CE087C" w:rsidRPr="00AE4A30" w:rsidTr="00CE087C">
              <w:trPr>
                <w:trHeight w:val="240"/>
              </w:trPr>
              <w:tc>
                <w:tcPr>
                  <w:tcW w:w="10497" w:type="dxa"/>
                  <w:gridSpan w:val="1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07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8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bl>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tbl>
            <w:tblPr>
              <w:tblW w:w="11442" w:type="dxa"/>
              <w:tblCellMar>
                <w:left w:w="70" w:type="dxa"/>
                <w:right w:w="70" w:type="dxa"/>
              </w:tblCellMar>
              <w:tblLook w:val="04A0" w:firstRow="1" w:lastRow="0" w:firstColumn="1" w:lastColumn="0" w:noHBand="0" w:noVBand="1"/>
            </w:tblPr>
            <w:tblGrid>
              <w:gridCol w:w="1085"/>
              <w:gridCol w:w="797"/>
              <w:gridCol w:w="788"/>
              <w:gridCol w:w="788"/>
              <w:gridCol w:w="788"/>
              <w:gridCol w:w="788"/>
              <w:gridCol w:w="788"/>
              <w:gridCol w:w="788"/>
              <w:gridCol w:w="788"/>
              <w:gridCol w:w="836"/>
              <w:gridCol w:w="1256"/>
              <w:gridCol w:w="976"/>
              <w:gridCol w:w="976"/>
            </w:tblGrid>
            <w:tr w:rsidR="00CE087C" w:rsidRPr="00AE4A30" w:rsidTr="00CE087C">
              <w:trPr>
                <w:trHeight w:val="240"/>
              </w:trPr>
              <w:tc>
                <w:tcPr>
                  <w:tcW w:w="7398" w:type="dxa"/>
                  <w:gridSpan w:val="9"/>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Professional, scientific and technical activities: over-qualification rates 2008-2016</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1B47DA" w:rsidTr="00CE087C">
              <w:trPr>
                <w:trHeight w:val="240"/>
              </w:trPr>
              <w:tc>
                <w:tcPr>
                  <w:tcW w:w="1882" w:type="dxa"/>
                  <w:gridSpan w:val="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 </w:t>
                  </w:r>
                  <w:proofErr w:type="spellStart"/>
                  <w:r w:rsidRPr="001B47DA">
                    <w:rPr>
                      <w:rFonts w:ascii="Arial" w:eastAsia="Times New Roman" w:hAnsi="Arial" w:cs="Arial"/>
                      <w:color w:val="000000"/>
                      <w:sz w:val="18"/>
                      <w:szCs w:val="18"/>
                      <w:lang w:eastAsia="es-ES"/>
                    </w:rPr>
                    <w:t>points</w:t>
                  </w:r>
                  <w:proofErr w:type="spellEnd"/>
                  <w:r w:rsidRPr="001B47DA">
                    <w:rPr>
                      <w:rFonts w:ascii="Arial" w:eastAsia="Times New Roman" w:hAnsi="Arial" w:cs="Arial"/>
                      <w:color w:val="000000"/>
                      <w:sz w:val="18"/>
                      <w:szCs w:val="18"/>
                      <w:lang w:eastAsia="es-ES"/>
                    </w:rPr>
                    <w:t>)</w:t>
                  </w: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97"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480"/>
              </w:trPr>
              <w:tc>
                <w:tcPr>
                  <w:tcW w:w="1085" w:type="dxa"/>
                  <w:tcBorders>
                    <w:top w:val="single" w:sz="4" w:space="0" w:color="000000"/>
                    <w:left w:val="nil"/>
                    <w:bottom w:val="single" w:sz="4" w:space="0" w:color="000000"/>
                    <w:right w:val="nil"/>
                  </w:tcBorders>
                  <w:shd w:val="clear" w:color="000000" w:fill="FEEDCF"/>
                  <w:vAlign w:val="center"/>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97" w:type="dxa"/>
                  <w:tcBorders>
                    <w:top w:val="single" w:sz="4" w:space="0" w:color="000000"/>
                    <w:left w:val="single" w:sz="4" w:space="0" w:color="A6A6A6"/>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88"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88"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88"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88"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88"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788"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788"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single" w:sz="4" w:space="0" w:color="A6A6A6"/>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1256" w:type="dxa"/>
                  <w:tcBorders>
                    <w:top w:val="nil"/>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9,0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88"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97"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97"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97"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10,3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10,1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10,9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single" w:sz="4" w:space="0" w:color="00000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97"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97"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88"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88"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97"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788"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88"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788"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97"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0,7 </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88"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1256"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97"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16,8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18,1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20,5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16,6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18,0 </w:t>
                  </w:r>
                </w:p>
              </w:tc>
              <w:tc>
                <w:tcPr>
                  <w:tcW w:w="788"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15,6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85"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97"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AE4A30" w:rsidTr="00CE087C">
              <w:trPr>
                <w:trHeight w:val="240"/>
              </w:trPr>
              <w:tc>
                <w:tcPr>
                  <w:tcW w:w="7398" w:type="dxa"/>
                  <w:gridSpan w:val="9"/>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1442" w:type="dxa"/>
                  <w:gridSpan w:val="13"/>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roofErr w:type="gramStart"/>
                  <w:r w:rsidRPr="001B47DA">
                    <w:rPr>
                      <w:rFonts w:ascii="Arial" w:eastAsia="Times New Roman" w:hAnsi="Arial" w:cs="Arial"/>
                      <w:color w:val="000000"/>
                      <w:sz w:val="18"/>
                      <w:szCs w:val="18"/>
                      <w:lang w:val="en-GB" w:eastAsia="es-ES"/>
                    </w:rPr>
                    <w:t>mainly</w:t>
                  </w:r>
                  <w:proofErr w:type="gramEnd"/>
                  <w:r w:rsidRPr="001B47DA">
                    <w:rPr>
                      <w:rFonts w:ascii="Arial" w:eastAsia="Times New Roman" w:hAnsi="Arial" w:cs="Arial"/>
                      <w:color w:val="000000"/>
                      <w:sz w:val="18"/>
                      <w:szCs w:val="18"/>
                      <w:lang w:val="en-GB" w:eastAsia="es-ES"/>
                    </w:rPr>
                    <w:t xml:space="preserve"> Luxembourg and Malta, but also Croatia - as regards human health and social work activities - and Slovakia - education.</w:t>
                  </w:r>
                </w:p>
              </w:tc>
            </w:tr>
            <w:tr w:rsidR="00CE087C" w:rsidRPr="00AE4A30" w:rsidTr="00CE087C">
              <w:trPr>
                <w:trHeight w:val="240"/>
              </w:trPr>
              <w:tc>
                <w:tcPr>
                  <w:tcW w:w="10466" w:type="dxa"/>
                  <w:gridSpan w:val="1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bl>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tbl>
            <w:tblPr>
              <w:tblW w:w="11408" w:type="dxa"/>
              <w:tblCellMar>
                <w:left w:w="70" w:type="dxa"/>
                <w:right w:w="70" w:type="dxa"/>
              </w:tblCellMar>
              <w:tblLook w:val="04A0" w:firstRow="1" w:lastRow="0" w:firstColumn="1" w:lastColumn="0" w:noHBand="0" w:noVBand="1"/>
            </w:tblPr>
            <w:tblGrid>
              <w:gridCol w:w="1023"/>
              <w:gridCol w:w="752"/>
              <w:gridCol w:w="742"/>
              <w:gridCol w:w="742"/>
              <w:gridCol w:w="742"/>
              <w:gridCol w:w="742"/>
              <w:gridCol w:w="742"/>
              <w:gridCol w:w="742"/>
              <w:gridCol w:w="742"/>
              <w:gridCol w:w="751"/>
              <w:gridCol w:w="1736"/>
              <w:gridCol w:w="976"/>
              <w:gridCol w:w="976"/>
            </w:tblGrid>
            <w:tr w:rsidR="00CE087C" w:rsidRPr="00AE4A30" w:rsidTr="00CE087C">
              <w:trPr>
                <w:trHeight w:val="240"/>
              </w:trPr>
              <w:tc>
                <w:tcPr>
                  <w:tcW w:w="9456" w:type="dxa"/>
                  <w:gridSpan w:val="11"/>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Public administration and defence; compulsory social security: over-qualification rates 2008-2016</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1B47DA" w:rsidTr="00CE087C">
              <w:trPr>
                <w:trHeight w:val="240"/>
              </w:trPr>
              <w:tc>
                <w:tcPr>
                  <w:tcW w:w="1775" w:type="dxa"/>
                  <w:gridSpan w:val="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 </w:t>
                  </w:r>
                  <w:proofErr w:type="spellStart"/>
                  <w:r w:rsidRPr="001B47DA">
                    <w:rPr>
                      <w:rFonts w:ascii="Arial" w:eastAsia="Times New Roman" w:hAnsi="Arial" w:cs="Arial"/>
                      <w:color w:val="000000"/>
                      <w:sz w:val="18"/>
                      <w:szCs w:val="18"/>
                      <w:lang w:eastAsia="es-ES"/>
                    </w:rPr>
                    <w:t>points</w:t>
                  </w:r>
                  <w:proofErr w:type="spellEnd"/>
                  <w:r w:rsidRPr="001B47DA">
                    <w:rPr>
                      <w:rFonts w:ascii="Arial" w:eastAsia="Times New Roman" w:hAnsi="Arial" w:cs="Arial"/>
                      <w:color w:val="000000"/>
                      <w:sz w:val="18"/>
                      <w:szCs w:val="18"/>
                      <w:lang w:eastAsia="es-ES"/>
                    </w:rPr>
                    <w:t>)</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480"/>
              </w:trPr>
              <w:tc>
                <w:tcPr>
                  <w:tcW w:w="1023" w:type="dxa"/>
                  <w:tcBorders>
                    <w:top w:val="single" w:sz="4" w:space="0" w:color="000000"/>
                    <w:left w:val="nil"/>
                    <w:bottom w:val="single" w:sz="4" w:space="0" w:color="000000"/>
                    <w:right w:val="nil"/>
                  </w:tcBorders>
                  <w:shd w:val="clear" w:color="000000" w:fill="FEEDCF"/>
                  <w:vAlign w:val="center"/>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52" w:type="dxa"/>
                  <w:tcBorders>
                    <w:top w:val="single" w:sz="4" w:space="0" w:color="000000"/>
                    <w:left w:val="single" w:sz="4" w:space="0" w:color="A6A6A6"/>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742"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751"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736" w:type="dxa"/>
                  <w:tcBorders>
                    <w:top w:val="single" w:sz="4" w:space="0" w:color="000000"/>
                    <w:left w:val="single" w:sz="4" w:space="0" w:color="A6A6A6"/>
                    <w:bottom w:val="single" w:sz="4" w:space="0" w:color="000000"/>
                    <w:right w:val="nil"/>
                  </w:tcBorders>
                  <w:shd w:val="clear" w:color="000000" w:fill="FEEDCF"/>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21,5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25,5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17,4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15,9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12,1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15,2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38,3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-22,3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38,0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20,8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8,4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42,7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52"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12,9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14,4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52" w:type="dxa"/>
                  <w:tcBorders>
                    <w:top w:val="single" w:sz="4" w:space="0" w:color="A6A6A6"/>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single" w:sz="4" w:space="0" w:color="A6A6A6"/>
                    <w:left w:val="nil"/>
                    <w:bottom w:val="nil"/>
                    <w:right w:val="single" w:sz="4" w:space="0" w:color="A6A6A6"/>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52" w:type="dxa"/>
                  <w:tcBorders>
                    <w:top w:val="single" w:sz="4" w:space="0" w:color="A6A6A6"/>
                    <w:left w:val="single" w:sz="4" w:space="0" w:color="A6A6A6"/>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42" w:type="dxa"/>
                  <w:tcBorders>
                    <w:top w:val="single" w:sz="4" w:space="0" w:color="A6A6A6"/>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8,4 </w:t>
                  </w:r>
                </w:p>
              </w:tc>
              <w:tc>
                <w:tcPr>
                  <w:tcW w:w="742" w:type="dxa"/>
                  <w:tcBorders>
                    <w:top w:val="single" w:sz="4" w:space="0" w:color="A6A6A6"/>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42" w:type="dxa"/>
                  <w:tcBorders>
                    <w:top w:val="single" w:sz="4" w:space="0" w:color="A6A6A6"/>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42" w:type="dxa"/>
                  <w:tcBorders>
                    <w:top w:val="single" w:sz="4" w:space="0" w:color="A6A6A6"/>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15,8 </w:t>
                  </w:r>
                </w:p>
              </w:tc>
              <w:tc>
                <w:tcPr>
                  <w:tcW w:w="742" w:type="dxa"/>
                  <w:tcBorders>
                    <w:top w:val="single" w:sz="4" w:space="0" w:color="A6A6A6"/>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12,6 </w:t>
                  </w:r>
                </w:p>
              </w:tc>
              <w:tc>
                <w:tcPr>
                  <w:tcW w:w="742" w:type="dxa"/>
                  <w:tcBorders>
                    <w:top w:val="single" w:sz="4" w:space="0" w:color="A6A6A6"/>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42" w:type="dxa"/>
                  <w:tcBorders>
                    <w:top w:val="single" w:sz="4" w:space="0" w:color="A6A6A6"/>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751" w:type="dxa"/>
                  <w:tcBorders>
                    <w:top w:val="single" w:sz="4" w:space="0" w:color="A6A6A6"/>
                    <w:left w:val="nil"/>
                    <w:bottom w:val="single" w:sz="4" w:space="0" w:color="A6A6A6"/>
                    <w:right w:val="single" w:sz="4" w:space="0" w:color="A6A6A6"/>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17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52" w:type="dxa"/>
                  <w:tcBorders>
                    <w:top w:val="nil"/>
                    <w:left w:val="single" w:sz="4" w:space="0" w:color="A6A6A6"/>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nil"/>
                    <w:left w:val="nil"/>
                    <w:bottom w:val="single" w:sz="4" w:space="0" w:color="A6A6A6"/>
                    <w:right w:val="single" w:sz="4" w:space="0" w:color="A6A6A6"/>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single" w:sz="4" w:space="0" w:color="A6A6A6"/>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10,7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9,9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16,8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18,3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14,4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8,4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19,6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14,7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30,4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30,1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15,5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14,2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13,9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52"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13,9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12,3 </w:t>
                  </w: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1736"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52"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4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33,2 </w:t>
                  </w:r>
                </w:p>
              </w:tc>
              <w:tc>
                <w:tcPr>
                  <w:tcW w:w="74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4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25,0 </w:t>
                  </w:r>
                </w:p>
              </w:tc>
              <w:tc>
                <w:tcPr>
                  <w:tcW w:w="74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25,0 </w:t>
                  </w:r>
                </w:p>
              </w:tc>
              <w:tc>
                <w:tcPr>
                  <w:tcW w:w="74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42"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51"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1736"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single" w:sz="4" w:space="0" w:color="00000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52"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52"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42"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51"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173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52"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19,6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18,7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18,4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19,6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22,4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51"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19,1 </w:t>
                  </w:r>
                </w:p>
              </w:tc>
              <w:tc>
                <w:tcPr>
                  <w:tcW w:w="173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52"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21,8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14,4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19,1 </w:t>
                  </w:r>
                </w:p>
              </w:tc>
              <w:tc>
                <w:tcPr>
                  <w:tcW w:w="74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26,7 </w:t>
                  </w:r>
                </w:p>
              </w:tc>
              <w:tc>
                <w:tcPr>
                  <w:tcW w:w="751"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173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52"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43,2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43,2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43,7 </w:t>
                  </w:r>
                </w:p>
              </w:tc>
              <w:tc>
                <w:tcPr>
                  <w:tcW w:w="74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44,6 </w:t>
                  </w:r>
                </w:p>
              </w:tc>
              <w:tc>
                <w:tcPr>
                  <w:tcW w:w="751"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173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2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AE4A30" w:rsidTr="00CE087C">
              <w:trPr>
                <w:trHeight w:val="240"/>
              </w:trPr>
              <w:tc>
                <w:tcPr>
                  <w:tcW w:w="6969" w:type="dxa"/>
                  <w:gridSpan w:val="9"/>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1408" w:type="dxa"/>
                  <w:gridSpan w:val="13"/>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roofErr w:type="gramStart"/>
                  <w:r w:rsidRPr="001B47DA">
                    <w:rPr>
                      <w:rFonts w:ascii="Arial" w:eastAsia="Times New Roman" w:hAnsi="Arial" w:cs="Arial"/>
                      <w:color w:val="000000"/>
                      <w:sz w:val="18"/>
                      <w:szCs w:val="18"/>
                      <w:lang w:val="en-GB" w:eastAsia="es-ES"/>
                    </w:rPr>
                    <w:t>mainly</w:t>
                  </w:r>
                  <w:proofErr w:type="gramEnd"/>
                  <w:r w:rsidRPr="001B47DA">
                    <w:rPr>
                      <w:rFonts w:ascii="Arial" w:eastAsia="Times New Roman" w:hAnsi="Arial" w:cs="Arial"/>
                      <w:color w:val="000000"/>
                      <w:sz w:val="18"/>
                      <w:szCs w:val="18"/>
                      <w:lang w:val="en-GB" w:eastAsia="es-ES"/>
                    </w:rPr>
                    <w:t xml:space="preserve"> Luxembourg and Malta, but also Croatia - as regards human health and social work activities - and Slovakia - education.</w:t>
                  </w:r>
                </w:p>
              </w:tc>
            </w:tr>
            <w:tr w:rsidR="00CE087C" w:rsidRPr="00AE4A30" w:rsidTr="00CE087C">
              <w:trPr>
                <w:trHeight w:val="240"/>
              </w:trPr>
              <w:tc>
                <w:tcPr>
                  <w:tcW w:w="10432" w:type="dxa"/>
                  <w:gridSpan w:val="1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02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51"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bl>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tbl>
            <w:tblPr>
              <w:tblW w:w="11505" w:type="dxa"/>
              <w:tblCellMar>
                <w:left w:w="70" w:type="dxa"/>
                <w:right w:w="70" w:type="dxa"/>
              </w:tblCellMar>
              <w:tblLook w:val="04A0" w:firstRow="1" w:lastRow="0" w:firstColumn="1" w:lastColumn="0" w:noHBand="0" w:noVBand="1"/>
            </w:tblPr>
            <w:tblGrid>
              <w:gridCol w:w="1052"/>
              <w:gridCol w:w="773"/>
              <w:gridCol w:w="764"/>
              <w:gridCol w:w="764"/>
              <w:gridCol w:w="764"/>
              <w:gridCol w:w="836"/>
              <w:gridCol w:w="836"/>
              <w:gridCol w:w="836"/>
              <w:gridCol w:w="836"/>
              <w:gridCol w:w="836"/>
              <w:gridCol w:w="1256"/>
              <w:gridCol w:w="976"/>
              <w:gridCol w:w="976"/>
            </w:tblGrid>
            <w:tr w:rsidR="00CE087C" w:rsidRPr="001B47DA" w:rsidTr="00CE087C">
              <w:trPr>
                <w:trHeight w:val="240"/>
              </w:trPr>
              <w:tc>
                <w:tcPr>
                  <w:tcW w:w="4117" w:type="dxa"/>
                  <w:gridSpan w:val="5"/>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Education: over-qualification rates 2008-2016</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825" w:type="dxa"/>
                  <w:gridSpan w:val="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7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480"/>
              </w:trPr>
              <w:tc>
                <w:tcPr>
                  <w:tcW w:w="1052" w:type="dxa"/>
                  <w:tcBorders>
                    <w:top w:val="single" w:sz="4" w:space="0" w:color="000000"/>
                    <w:left w:val="nil"/>
                    <w:bottom w:val="single" w:sz="4" w:space="0" w:color="000000"/>
                    <w:right w:val="nil"/>
                  </w:tcBorders>
                  <w:shd w:val="clear" w:color="000000" w:fill="FEEDCF"/>
                  <w:vAlign w:val="center"/>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73" w:type="dxa"/>
                  <w:tcBorders>
                    <w:top w:val="single" w:sz="4" w:space="0" w:color="000000"/>
                    <w:left w:val="single" w:sz="4" w:space="0" w:color="A6A6A6"/>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64"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64"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64"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E087C" w:rsidRPr="001B47DA" w:rsidRDefault="00CE087C" w:rsidP="00CE087C">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0,8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0,6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10,1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8,2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73"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73"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 </w:t>
                  </w:r>
                </w:p>
              </w:tc>
              <w:tc>
                <w:tcPr>
                  <w:tcW w:w="764"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764"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 </w:t>
                  </w:r>
                </w:p>
              </w:tc>
              <w:tc>
                <w:tcPr>
                  <w:tcW w:w="764"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73"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0,8 </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10,1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14,6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73"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64"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0,7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73"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1256" w:type="dxa"/>
                  <w:tcBorders>
                    <w:top w:val="nil"/>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73"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64"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64"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15,6 </w:t>
                  </w:r>
                </w:p>
              </w:tc>
              <w:tc>
                <w:tcPr>
                  <w:tcW w:w="764"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14,2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16,7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17,5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3,1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single" w:sz="4" w:space="0" w:color="00000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73"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73"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64"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764"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73"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64"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73"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836" w:type="dxa"/>
                  <w:tcBorders>
                    <w:top w:val="nil"/>
                    <w:left w:val="nil"/>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-2,2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73"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764"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1B47DA" w:rsidRDefault="00CE087C" w:rsidP="00CE087C">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2,0 </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1B47DA" w:rsidTr="00CE087C">
              <w:trPr>
                <w:trHeight w:val="240"/>
              </w:trPr>
              <w:tc>
                <w:tcPr>
                  <w:tcW w:w="10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b/>
                      <w:bCs/>
                      <w:color w:val="000000"/>
                      <w:sz w:val="18"/>
                      <w:szCs w:val="18"/>
                      <w:lang w:eastAsia="es-ES"/>
                    </w:rPr>
                  </w:pPr>
                </w:p>
              </w:tc>
              <w:tc>
                <w:tcPr>
                  <w:tcW w:w="77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eastAsia="es-ES"/>
                    </w:rPr>
                  </w:pPr>
                </w:p>
              </w:tc>
            </w:tr>
            <w:tr w:rsidR="00CE087C" w:rsidRPr="00AE4A30" w:rsidTr="00CE087C">
              <w:trPr>
                <w:trHeight w:val="240"/>
              </w:trPr>
              <w:tc>
                <w:tcPr>
                  <w:tcW w:w="7461" w:type="dxa"/>
                  <w:gridSpan w:val="9"/>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1505" w:type="dxa"/>
                  <w:gridSpan w:val="13"/>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roofErr w:type="gramStart"/>
                  <w:r w:rsidRPr="001B47DA">
                    <w:rPr>
                      <w:rFonts w:ascii="Arial" w:eastAsia="Times New Roman" w:hAnsi="Arial" w:cs="Arial"/>
                      <w:color w:val="000000"/>
                      <w:sz w:val="18"/>
                      <w:szCs w:val="18"/>
                      <w:lang w:val="en-GB" w:eastAsia="es-ES"/>
                    </w:rPr>
                    <w:t>mainly</w:t>
                  </w:r>
                  <w:proofErr w:type="gramEnd"/>
                  <w:r w:rsidRPr="001B47DA">
                    <w:rPr>
                      <w:rFonts w:ascii="Arial" w:eastAsia="Times New Roman" w:hAnsi="Arial" w:cs="Arial"/>
                      <w:color w:val="000000"/>
                      <w:sz w:val="18"/>
                      <w:szCs w:val="18"/>
                      <w:lang w:val="en-GB" w:eastAsia="es-ES"/>
                    </w:rPr>
                    <w:t xml:space="preserve"> Luxembourg and Malta, but also Croatia - as regards human health and social work activities - and Slovakia - education.</w:t>
                  </w:r>
                </w:p>
              </w:tc>
            </w:tr>
            <w:tr w:rsidR="00CE087C" w:rsidRPr="00AE4A30" w:rsidTr="00CE087C">
              <w:trPr>
                <w:trHeight w:val="240"/>
              </w:trPr>
              <w:tc>
                <w:tcPr>
                  <w:tcW w:w="10529" w:type="dxa"/>
                  <w:gridSpan w:val="12"/>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052"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73"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6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4953" w:type="dxa"/>
                  <w:gridSpan w:val="6"/>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 xml:space="preserve">First available data is 2011 for Fyrom and 2009 for Turkey: </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5789" w:type="dxa"/>
                  <w:gridSpan w:val="7"/>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roofErr w:type="gramStart"/>
                  <w:r w:rsidRPr="001B47DA">
                    <w:rPr>
                      <w:rFonts w:ascii="Arial" w:eastAsia="Times New Roman" w:hAnsi="Arial" w:cs="Arial"/>
                      <w:color w:val="000000"/>
                      <w:sz w:val="18"/>
                      <w:szCs w:val="18"/>
                      <w:lang w:val="en-GB" w:eastAsia="es-ES"/>
                    </w:rPr>
                    <w:t>figures</w:t>
                  </w:r>
                  <w:proofErr w:type="gramEnd"/>
                  <w:r w:rsidRPr="001B47DA">
                    <w:rPr>
                      <w:rFonts w:ascii="Arial" w:eastAsia="Times New Roman" w:hAnsi="Arial" w:cs="Arial"/>
                      <w:color w:val="000000"/>
                      <w:sz w:val="18"/>
                      <w:szCs w:val="18"/>
                      <w:lang w:val="en-GB" w:eastAsia="es-ES"/>
                    </w:rPr>
                    <w:t xml:space="preserve"> in "2008 to 2016 change" column are calculated accordingly.</w:t>
                  </w: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bl>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p w:rsidR="00CE087C" w:rsidRDefault="00CE087C" w:rsidP="00CE087C">
            <w:pPr>
              <w:spacing w:after="0" w:line="240" w:lineRule="auto"/>
              <w:rPr>
                <w:rFonts w:ascii="Arial" w:eastAsia="Times New Roman" w:hAnsi="Arial" w:cs="Arial"/>
                <w:color w:val="000000"/>
                <w:sz w:val="18"/>
                <w:szCs w:val="18"/>
                <w:lang w:val="en-GB" w:eastAsia="es-ES"/>
              </w:rPr>
            </w:pPr>
          </w:p>
          <w:tbl>
            <w:tblPr>
              <w:tblW w:w="11458" w:type="dxa"/>
              <w:tblCellMar>
                <w:left w:w="70" w:type="dxa"/>
                <w:right w:w="70" w:type="dxa"/>
              </w:tblCellMar>
              <w:tblLook w:val="04A0" w:firstRow="1" w:lastRow="0" w:firstColumn="1" w:lastColumn="0" w:noHBand="0" w:noVBand="1"/>
            </w:tblPr>
            <w:tblGrid>
              <w:gridCol w:w="1080"/>
              <w:gridCol w:w="794"/>
              <w:gridCol w:w="784"/>
              <w:gridCol w:w="784"/>
              <w:gridCol w:w="784"/>
              <w:gridCol w:w="784"/>
              <w:gridCol w:w="784"/>
              <w:gridCol w:w="784"/>
              <w:gridCol w:w="836"/>
              <w:gridCol w:w="836"/>
              <w:gridCol w:w="1256"/>
              <w:gridCol w:w="976"/>
              <w:gridCol w:w="976"/>
            </w:tblGrid>
            <w:tr w:rsidR="00CE087C" w:rsidRPr="00AE4A30" w:rsidTr="00CE087C">
              <w:trPr>
                <w:trHeight w:val="240"/>
              </w:trPr>
              <w:tc>
                <w:tcPr>
                  <w:tcW w:w="6578" w:type="dxa"/>
                  <w:gridSpan w:val="8"/>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val="en-GB" w:eastAsia="es-ES"/>
                    </w:rPr>
                  </w:pPr>
                  <w:r w:rsidRPr="009D63CE">
                    <w:rPr>
                      <w:rFonts w:ascii="Arial" w:eastAsia="Times New Roman" w:hAnsi="Arial" w:cs="Arial"/>
                      <w:b/>
                      <w:bCs/>
                      <w:color w:val="000000"/>
                      <w:sz w:val="18"/>
                      <w:szCs w:val="18"/>
                      <w:lang w:val="en-GB" w:eastAsia="es-ES"/>
                    </w:rPr>
                    <w:t>Human health and social work activities: over-qualification rates 2008-2016</w:t>
                  </w: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r>
            <w:tr w:rsidR="00CE087C" w:rsidRPr="009D63CE" w:rsidTr="00CE087C">
              <w:trPr>
                <w:trHeight w:val="240"/>
              </w:trPr>
              <w:tc>
                <w:tcPr>
                  <w:tcW w:w="1874" w:type="dxa"/>
                  <w:gridSpan w:val="2"/>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 </w:t>
                  </w:r>
                  <w:proofErr w:type="spellStart"/>
                  <w:r w:rsidRPr="009D63CE">
                    <w:rPr>
                      <w:rFonts w:ascii="Arial" w:eastAsia="Times New Roman" w:hAnsi="Arial" w:cs="Arial"/>
                      <w:color w:val="000000"/>
                      <w:sz w:val="18"/>
                      <w:szCs w:val="18"/>
                      <w:lang w:eastAsia="es-ES"/>
                    </w:rPr>
                    <w:t>points</w:t>
                  </w:r>
                  <w:proofErr w:type="spellEnd"/>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p>
              </w:tc>
              <w:tc>
                <w:tcPr>
                  <w:tcW w:w="79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480"/>
              </w:trPr>
              <w:tc>
                <w:tcPr>
                  <w:tcW w:w="1080" w:type="dxa"/>
                  <w:tcBorders>
                    <w:top w:val="single" w:sz="4" w:space="0" w:color="000000"/>
                    <w:left w:val="nil"/>
                    <w:bottom w:val="single" w:sz="4" w:space="0" w:color="000000"/>
                    <w:right w:val="nil"/>
                  </w:tcBorders>
                  <w:shd w:val="clear" w:color="000000" w:fill="FEEDCF"/>
                  <w:vAlign w:val="center"/>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w:t>
                  </w:r>
                </w:p>
              </w:tc>
              <w:tc>
                <w:tcPr>
                  <w:tcW w:w="794" w:type="dxa"/>
                  <w:tcBorders>
                    <w:top w:val="single" w:sz="4" w:space="0" w:color="000000"/>
                    <w:left w:val="single" w:sz="4" w:space="0" w:color="A6A6A6"/>
                    <w:bottom w:val="single" w:sz="4" w:space="0" w:color="000000"/>
                    <w:right w:val="nil"/>
                  </w:tcBorders>
                  <w:shd w:val="clear" w:color="000000" w:fill="FEEDCF"/>
                  <w:noWrap/>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2008</w:t>
                  </w:r>
                </w:p>
              </w:tc>
              <w:tc>
                <w:tcPr>
                  <w:tcW w:w="784" w:type="dxa"/>
                  <w:tcBorders>
                    <w:top w:val="single" w:sz="4" w:space="0" w:color="000000"/>
                    <w:left w:val="nil"/>
                    <w:bottom w:val="single" w:sz="4" w:space="0" w:color="000000"/>
                    <w:right w:val="nil"/>
                  </w:tcBorders>
                  <w:shd w:val="clear" w:color="000000" w:fill="FEEDCF"/>
                  <w:noWrap/>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2009</w:t>
                  </w:r>
                </w:p>
              </w:tc>
              <w:tc>
                <w:tcPr>
                  <w:tcW w:w="784" w:type="dxa"/>
                  <w:tcBorders>
                    <w:top w:val="single" w:sz="4" w:space="0" w:color="000000"/>
                    <w:left w:val="nil"/>
                    <w:bottom w:val="single" w:sz="4" w:space="0" w:color="000000"/>
                    <w:right w:val="nil"/>
                  </w:tcBorders>
                  <w:shd w:val="clear" w:color="000000" w:fill="FEEDCF"/>
                  <w:noWrap/>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2010</w:t>
                  </w:r>
                </w:p>
              </w:tc>
              <w:tc>
                <w:tcPr>
                  <w:tcW w:w="784" w:type="dxa"/>
                  <w:tcBorders>
                    <w:top w:val="single" w:sz="4" w:space="0" w:color="000000"/>
                    <w:left w:val="nil"/>
                    <w:bottom w:val="single" w:sz="4" w:space="0" w:color="000000"/>
                    <w:right w:val="nil"/>
                  </w:tcBorders>
                  <w:shd w:val="clear" w:color="000000" w:fill="FEEDCF"/>
                  <w:noWrap/>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2011</w:t>
                  </w:r>
                </w:p>
              </w:tc>
              <w:tc>
                <w:tcPr>
                  <w:tcW w:w="784" w:type="dxa"/>
                  <w:tcBorders>
                    <w:top w:val="single" w:sz="4" w:space="0" w:color="000000"/>
                    <w:left w:val="nil"/>
                    <w:bottom w:val="single" w:sz="4" w:space="0" w:color="000000"/>
                    <w:right w:val="nil"/>
                  </w:tcBorders>
                  <w:shd w:val="clear" w:color="000000" w:fill="FEEDCF"/>
                  <w:noWrap/>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2012</w:t>
                  </w:r>
                </w:p>
              </w:tc>
              <w:tc>
                <w:tcPr>
                  <w:tcW w:w="784" w:type="dxa"/>
                  <w:tcBorders>
                    <w:top w:val="single" w:sz="4" w:space="0" w:color="000000"/>
                    <w:left w:val="nil"/>
                    <w:bottom w:val="single" w:sz="4" w:space="0" w:color="000000"/>
                    <w:right w:val="nil"/>
                  </w:tcBorders>
                  <w:shd w:val="clear" w:color="000000" w:fill="FEEDCF"/>
                  <w:noWrap/>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2013</w:t>
                  </w:r>
                </w:p>
              </w:tc>
              <w:tc>
                <w:tcPr>
                  <w:tcW w:w="784" w:type="dxa"/>
                  <w:tcBorders>
                    <w:top w:val="single" w:sz="4" w:space="0" w:color="000000"/>
                    <w:left w:val="nil"/>
                    <w:bottom w:val="single" w:sz="4" w:space="0" w:color="000000"/>
                    <w:right w:val="nil"/>
                  </w:tcBorders>
                  <w:shd w:val="clear" w:color="000000" w:fill="FEEDCF"/>
                  <w:noWrap/>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E087C" w:rsidRPr="009D63CE" w:rsidRDefault="00CE087C" w:rsidP="00CE087C">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BE</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10,5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10,7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9,3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BG</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CZ</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4,4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DK</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10,6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DE</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5,5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7,8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8,0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EE</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20,0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15,6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IE</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22,1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22,9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23,8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23,9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25,2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26,3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8,6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EL</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6,8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3,6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ES</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19,4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19,6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FR</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10,5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11,4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HR</w:t>
                  </w:r>
                </w:p>
              </w:tc>
              <w:tc>
                <w:tcPr>
                  <w:tcW w:w="794" w:type="dxa"/>
                  <w:tcBorders>
                    <w:top w:val="nil"/>
                    <w:left w:val="single" w:sz="4" w:space="0" w:color="A6A6A6"/>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1256" w:type="dxa"/>
                  <w:tcBorders>
                    <w:top w:val="nil"/>
                    <w:left w:val="single" w:sz="4" w:space="0" w:color="A6A6A6"/>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IT</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5,3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6,9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6,4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6,7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6,6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6,9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7,2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2,3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CY</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11,7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13,2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13,3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LV</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9,5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7,7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10,8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LT</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LU</w:t>
                  </w:r>
                </w:p>
              </w:tc>
              <w:tc>
                <w:tcPr>
                  <w:tcW w:w="794" w:type="dxa"/>
                  <w:tcBorders>
                    <w:top w:val="nil"/>
                    <w:left w:val="single" w:sz="4" w:space="0" w:color="A6A6A6"/>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3,2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3,7 </w:t>
                  </w: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4,1 </w:t>
                  </w:r>
                </w:p>
              </w:tc>
              <w:tc>
                <w:tcPr>
                  <w:tcW w:w="1256" w:type="dxa"/>
                  <w:tcBorders>
                    <w:top w:val="nil"/>
                    <w:left w:val="single" w:sz="4" w:space="0" w:color="A6A6A6"/>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-1,0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HU</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7,2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7,8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6,8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4,1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7,2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3,9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MT</w:t>
                  </w:r>
                </w:p>
              </w:tc>
              <w:tc>
                <w:tcPr>
                  <w:tcW w:w="794" w:type="dxa"/>
                  <w:tcBorders>
                    <w:top w:val="nil"/>
                    <w:left w:val="single" w:sz="4" w:space="0" w:color="A6A6A6"/>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2,0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3,6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3,2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3,3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7,0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5,0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NL</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11,3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10,6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11,0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AT</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8,5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15,4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13,2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4,5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PL</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6,1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PT</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RO</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3,0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5,8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5,6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SI</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2,9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1,7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SK</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8,8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14,8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13,1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FI</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10,3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9,7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SE</w:t>
                  </w:r>
                </w:p>
              </w:tc>
              <w:tc>
                <w:tcPr>
                  <w:tcW w:w="794" w:type="dxa"/>
                  <w:tcBorders>
                    <w:top w:val="nil"/>
                    <w:left w:val="single" w:sz="4" w:space="0" w:color="A6A6A6"/>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14,8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15,5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15,3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14,9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15,8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16,8 </w:t>
                  </w: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16,6 </w:t>
                  </w: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16,5 </w:t>
                  </w: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16,5 </w:t>
                  </w:r>
                </w:p>
              </w:tc>
              <w:tc>
                <w:tcPr>
                  <w:tcW w:w="1256" w:type="dxa"/>
                  <w:tcBorders>
                    <w:top w:val="nil"/>
                    <w:left w:val="single" w:sz="4" w:space="0" w:color="A6A6A6"/>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1,7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UK</w:t>
                  </w:r>
                </w:p>
              </w:tc>
              <w:tc>
                <w:tcPr>
                  <w:tcW w:w="794"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18,7 </w:t>
                  </w:r>
                </w:p>
              </w:tc>
              <w:tc>
                <w:tcPr>
                  <w:tcW w:w="784" w:type="dxa"/>
                  <w:tcBorders>
                    <w:top w:val="single" w:sz="4" w:space="0" w:color="C0C0C0"/>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19,6 </w:t>
                  </w:r>
                </w:p>
              </w:tc>
              <w:tc>
                <w:tcPr>
                  <w:tcW w:w="784" w:type="dxa"/>
                  <w:tcBorders>
                    <w:top w:val="single" w:sz="4" w:space="0" w:color="C0C0C0"/>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21,4 </w:t>
                  </w:r>
                </w:p>
              </w:tc>
              <w:tc>
                <w:tcPr>
                  <w:tcW w:w="784" w:type="dxa"/>
                  <w:tcBorders>
                    <w:top w:val="single" w:sz="4" w:space="0" w:color="C0C0C0"/>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18,9 </w:t>
                  </w:r>
                </w:p>
              </w:tc>
              <w:tc>
                <w:tcPr>
                  <w:tcW w:w="784" w:type="dxa"/>
                  <w:tcBorders>
                    <w:top w:val="single" w:sz="4" w:space="0" w:color="C0C0C0"/>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19,7 </w:t>
                  </w:r>
                </w:p>
              </w:tc>
              <w:tc>
                <w:tcPr>
                  <w:tcW w:w="784" w:type="dxa"/>
                  <w:tcBorders>
                    <w:top w:val="single" w:sz="4" w:space="0" w:color="C0C0C0"/>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21,0 </w:t>
                  </w:r>
                </w:p>
              </w:tc>
              <w:tc>
                <w:tcPr>
                  <w:tcW w:w="784" w:type="dxa"/>
                  <w:tcBorders>
                    <w:top w:val="single" w:sz="4" w:space="0" w:color="C0C0C0"/>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21,1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21,6 </w:t>
                  </w:r>
                </w:p>
              </w:tc>
              <w:tc>
                <w:tcPr>
                  <w:tcW w:w="836" w:type="dxa"/>
                  <w:tcBorders>
                    <w:top w:val="single" w:sz="4" w:space="0" w:color="C0C0C0"/>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21,3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single" w:sz="4" w:space="0" w:color="00000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IS</w:t>
                  </w:r>
                </w:p>
              </w:tc>
              <w:tc>
                <w:tcPr>
                  <w:tcW w:w="794" w:type="dxa"/>
                  <w:tcBorders>
                    <w:top w:val="single" w:sz="4" w:space="0" w:color="C0C0C0"/>
                    <w:left w:val="single" w:sz="4" w:space="0" w:color="A6A6A6"/>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NO</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9,5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10,5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11,3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784"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13,5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12,7 </w:t>
                  </w:r>
                </w:p>
              </w:tc>
              <w:tc>
                <w:tcPr>
                  <w:tcW w:w="836" w:type="dxa"/>
                  <w:tcBorders>
                    <w:top w:val="single" w:sz="4" w:space="0" w:color="C0C0C0"/>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12,0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CH</w:t>
                  </w:r>
                </w:p>
              </w:tc>
              <w:tc>
                <w:tcPr>
                  <w:tcW w:w="794" w:type="dxa"/>
                  <w:tcBorders>
                    <w:top w:val="nil"/>
                    <w:left w:val="single" w:sz="4" w:space="0" w:color="A6A6A6"/>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15,1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13,9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13,2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11,5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11,4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836"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836"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10,8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-4,3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MK</w:t>
                  </w:r>
                </w:p>
              </w:tc>
              <w:tc>
                <w:tcPr>
                  <w:tcW w:w="794"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4,6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784"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7,4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836" w:type="dxa"/>
                  <w:tcBorders>
                    <w:top w:val="nil"/>
                    <w:left w:val="nil"/>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4,7 </w:t>
                  </w:r>
                </w:p>
              </w:tc>
              <w:tc>
                <w:tcPr>
                  <w:tcW w:w="1256" w:type="dxa"/>
                  <w:tcBorders>
                    <w:top w:val="nil"/>
                    <w:left w:val="single" w:sz="4" w:space="0" w:color="A6A6A6"/>
                    <w:bottom w:val="single" w:sz="4" w:space="0" w:color="C0C0C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TR</w:t>
                  </w:r>
                </w:p>
              </w:tc>
              <w:tc>
                <w:tcPr>
                  <w:tcW w:w="794" w:type="dxa"/>
                  <w:tcBorders>
                    <w:top w:val="nil"/>
                    <w:left w:val="single" w:sz="4" w:space="0" w:color="A6A6A6"/>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8,1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8,5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9,9 </w:t>
                  </w:r>
                </w:p>
              </w:tc>
              <w:tc>
                <w:tcPr>
                  <w:tcW w:w="784"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9,4 </w:t>
                  </w:r>
                </w:p>
              </w:tc>
              <w:tc>
                <w:tcPr>
                  <w:tcW w:w="836"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9,8 </w:t>
                  </w:r>
                </w:p>
              </w:tc>
              <w:tc>
                <w:tcPr>
                  <w:tcW w:w="836" w:type="dxa"/>
                  <w:tcBorders>
                    <w:top w:val="nil"/>
                    <w:left w:val="nil"/>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8,9 </w:t>
                  </w:r>
                </w:p>
              </w:tc>
              <w:tc>
                <w:tcPr>
                  <w:tcW w:w="1256" w:type="dxa"/>
                  <w:tcBorders>
                    <w:top w:val="nil"/>
                    <w:left w:val="single" w:sz="4" w:space="0" w:color="A6A6A6"/>
                    <w:bottom w:val="single" w:sz="4" w:space="0" w:color="000000"/>
                    <w:right w:val="nil"/>
                  </w:tcBorders>
                  <w:shd w:val="clear" w:color="auto" w:fill="auto"/>
                  <w:noWrap/>
                  <w:vAlign w:val="bottom"/>
                  <w:hideMark/>
                </w:tcPr>
                <w:p w:rsidR="00CE087C" w:rsidRPr="009D63CE" w:rsidRDefault="00CE087C" w:rsidP="00CE087C">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9D63CE" w:rsidTr="00CE087C">
              <w:trPr>
                <w:trHeight w:val="240"/>
              </w:trPr>
              <w:tc>
                <w:tcPr>
                  <w:tcW w:w="1080"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b/>
                      <w:bCs/>
                      <w:color w:val="000000"/>
                      <w:sz w:val="18"/>
                      <w:szCs w:val="18"/>
                      <w:lang w:eastAsia="es-ES"/>
                    </w:rPr>
                  </w:pPr>
                </w:p>
              </w:tc>
              <w:tc>
                <w:tcPr>
                  <w:tcW w:w="79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eastAsia="es-ES"/>
                    </w:rPr>
                  </w:pPr>
                </w:p>
              </w:tc>
            </w:tr>
            <w:tr w:rsidR="00CE087C" w:rsidRPr="00AE4A30" w:rsidTr="00CE087C">
              <w:trPr>
                <w:trHeight w:val="240"/>
              </w:trPr>
              <w:tc>
                <w:tcPr>
                  <w:tcW w:w="7414" w:type="dxa"/>
                  <w:gridSpan w:val="9"/>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r w:rsidRPr="009D63CE">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r>
            <w:tr w:rsidR="00CE087C" w:rsidRPr="00AE4A30" w:rsidTr="00CE087C">
              <w:trPr>
                <w:trHeight w:val="240"/>
              </w:trPr>
              <w:tc>
                <w:tcPr>
                  <w:tcW w:w="11458" w:type="dxa"/>
                  <w:gridSpan w:val="13"/>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roofErr w:type="gramStart"/>
                  <w:r w:rsidRPr="009D63CE">
                    <w:rPr>
                      <w:rFonts w:ascii="Arial" w:eastAsia="Times New Roman" w:hAnsi="Arial" w:cs="Arial"/>
                      <w:color w:val="000000"/>
                      <w:sz w:val="18"/>
                      <w:szCs w:val="18"/>
                      <w:lang w:val="en-GB" w:eastAsia="es-ES"/>
                    </w:rPr>
                    <w:t>mainly</w:t>
                  </w:r>
                  <w:proofErr w:type="gramEnd"/>
                  <w:r w:rsidRPr="009D63CE">
                    <w:rPr>
                      <w:rFonts w:ascii="Arial" w:eastAsia="Times New Roman" w:hAnsi="Arial" w:cs="Arial"/>
                      <w:color w:val="000000"/>
                      <w:sz w:val="18"/>
                      <w:szCs w:val="18"/>
                      <w:lang w:val="en-GB" w:eastAsia="es-ES"/>
                    </w:rPr>
                    <w:t xml:space="preserve"> Luxembourg and Malta, but also Croatia - as regards human health and social work activities - and Slovakia - education.</w:t>
                  </w:r>
                </w:p>
              </w:tc>
            </w:tr>
            <w:tr w:rsidR="00CE087C" w:rsidRPr="00AE4A30" w:rsidTr="00CE087C">
              <w:trPr>
                <w:trHeight w:val="240"/>
              </w:trPr>
              <w:tc>
                <w:tcPr>
                  <w:tcW w:w="10482" w:type="dxa"/>
                  <w:gridSpan w:val="12"/>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r w:rsidRPr="009D63CE">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E087C" w:rsidRPr="009D63CE" w:rsidRDefault="00CE087C" w:rsidP="00CE087C">
                  <w:pPr>
                    <w:spacing w:after="0" w:line="240" w:lineRule="auto"/>
                    <w:rPr>
                      <w:rFonts w:ascii="Arial" w:eastAsia="Times New Roman" w:hAnsi="Arial" w:cs="Arial"/>
                      <w:color w:val="000000"/>
                      <w:sz w:val="18"/>
                      <w:szCs w:val="18"/>
                      <w:lang w:val="en-GB" w:eastAsia="es-ES"/>
                    </w:rPr>
                  </w:pPr>
                </w:p>
              </w:tc>
            </w:tr>
          </w:tbl>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784"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E087C" w:rsidRPr="001B47DA" w:rsidRDefault="00CE087C" w:rsidP="00CE087C">
            <w:pPr>
              <w:spacing w:after="0" w:line="240" w:lineRule="auto"/>
              <w:rPr>
                <w:rFonts w:ascii="Arial" w:eastAsia="Times New Roman" w:hAnsi="Arial" w:cs="Arial"/>
                <w:color w:val="000000"/>
                <w:sz w:val="18"/>
                <w:szCs w:val="18"/>
                <w:lang w:val="en-GB" w:eastAsia="es-ES"/>
              </w:rPr>
            </w:pPr>
          </w:p>
        </w:tc>
      </w:tr>
    </w:tbl>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rFonts w:ascii="Times New Roman" w:hAnsi="Times New Roman" w:cs="Times New Roman"/>
          <w:noProof/>
          <w:color w:val="000000"/>
          <w:sz w:val="24"/>
          <w:szCs w:val="24"/>
          <w:lang w:eastAsia="es-ES"/>
        </w:rPr>
        <w:lastRenderedPageBreak/>
        <w:drawing>
          <wp:inline distT="0" distB="0" distL="0" distR="0" wp14:anchorId="048D3DFE" wp14:editId="398FF764">
            <wp:extent cx="5731510" cy="4039612"/>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31510" cy="403961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rFonts w:ascii="Times New Roman" w:hAnsi="Times New Roman" w:cs="Times New Roman"/>
          <w:noProof/>
          <w:color w:val="000000"/>
          <w:sz w:val="24"/>
          <w:szCs w:val="24"/>
          <w:lang w:eastAsia="es-ES"/>
        </w:rPr>
        <w:drawing>
          <wp:inline distT="0" distB="0" distL="0" distR="0" wp14:anchorId="2C4D4DD9" wp14:editId="2CB03F79">
            <wp:extent cx="5731510" cy="4039612"/>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731510" cy="403961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rFonts w:ascii="Times New Roman" w:hAnsi="Times New Roman" w:cs="Times New Roman"/>
          <w:noProof/>
          <w:color w:val="000000"/>
          <w:sz w:val="24"/>
          <w:szCs w:val="24"/>
          <w:lang w:eastAsia="es-ES"/>
        </w:rPr>
        <w:lastRenderedPageBreak/>
        <w:drawing>
          <wp:inline distT="0" distB="0" distL="0" distR="0" wp14:anchorId="1E226567" wp14:editId="2898D0AC">
            <wp:extent cx="5731510" cy="3906122"/>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731510" cy="3906122"/>
                    </a:xfrm>
                    <a:prstGeom prst="rect">
                      <a:avLst/>
                    </a:prstGeom>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drawing>
          <wp:inline distT="0" distB="0" distL="0" distR="0" wp14:anchorId="2FED0F08" wp14:editId="346682F8">
            <wp:extent cx="5731510" cy="4190880"/>
            <wp:effectExtent l="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31510" cy="4190880"/>
                    </a:xfrm>
                    <a:prstGeom prst="rect">
                      <a:avLst/>
                    </a:prstGeom>
                    <a:noFill/>
                    <a:ln>
                      <a:noFill/>
                    </a:ln>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lastRenderedPageBreak/>
        <w:drawing>
          <wp:inline distT="0" distB="0" distL="0" distR="0" wp14:anchorId="3C396B0D" wp14:editId="01CC9F81">
            <wp:extent cx="5731510" cy="4039304"/>
            <wp:effectExtent l="0" t="0" r="254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drawing>
          <wp:inline distT="0" distB="0" distL="0" distR="0" wp14:anchorId="03BE5527" wp14:editId="37D571D1">
            <wp:extent cx="5731510" cy="4080835"/>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31510" cy="4080835"/>
                    </a:xfrm>
                    <a:prstGeom prst="rect">
                      <a:avLst/>
                    </a:prstGeom>
                    <a:noFill/>
                    <a:ln>
                      <a:noFill/>
                    </a:ln>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lastRenderedPageBreak/>
        <w:drawing>
          <wp:inline distT="0" distB="0" distL="0" distR="0" wp14:anchorId="3CC270DE" wp14:editId="0A70BE4E">
            <wp:extent cx="5731510" cy="4039304"/>
            <wp:effectExtent l="0" t="0" r="254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drawing>
          <wp:inline distT="0" distB="0" distL="0" distR="0" wp14:anchorId="37EB760C" wp14:editId="5F1C7702">
            <wp:extent cx="5731510" cy="4039304"/>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r w:rsidRPr="009D63CE">
        <w:rPr>
          <w:noProof/>
          <w:lang w:eastAsia="es-ES"/>
        </w:rPr>
        <w:lastRenderedPageBreak/>
        <w:drawing>
          <wp:inline distT="0" distB="0" distL="0" distR="0" wp14:anchorId="1918B065" wp14:editId="6333CCAF">
            <wp:extent cx="5731510" cy="4039304"/>
            <wp:effectExtent l="0" t="0" r="254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lang w:val="en-GB"/>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p w:rsidR="00CE087C" w:rsidRDefault="00CE087C" w:rsidP="00CE087C">
      <w:pPr>
        <w:autoSpaceDE w:val="0"/>
        <w:autoSpaceDN w:val="0"/>
        <w:adjustRightInd w:val="0"/>
        <w:spacing w:after="0" w:line="240" w:lineRule="auto"/>
        <w:jc w:val="both"/>
        <w:rPr>
          <w:rFonts w:ascii="Times New Roman" w:hAnsi="Times New Roman" w:cs="Times New Roman"/>
          <w:color w:val="000000"/>
          <w:sz w:val="24"/>
          <w:szCs w:val="24"/>
        </w:rPr>
      </w:pPr>
    </w:p>
    <w:sectPr w:rsidR="00CE087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ZapfDingbatsStd">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Proxima Nova Light">
    <w:altName w:val="Proxima Nova Light"/>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41FCF"/>
    <w:multiLevelType w:val="multilevel"/>
    <w:tmpl w:val="F2648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4648E4"/>
    <w:multiLevelType w:val="hybridMultilevel"/>
    <w:tmpl w:val="3D067CC0"/>
    <w:lvl w:ilvl="0" w:tplc="557AA40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E835D24"/>
    <w:multiLevelType w:val="hybridMultilevel"/>
    <w:tmpl w:val="38569D70"/>
    <w:lvl w:ilvl="0" w:tplc="4BEE572A">
      <w:numFmt w:val="bullet"/>
      <w:lvlText w:val="-"/>
      <w:lvlJc w:val="left"/>
      <w:pPr>
        <w:ind w:left="720" w:hanging="360"/>
      </w:pPr>
      <w:rPr>
        <w:rFonts w:ascii="Times New Roman" w:eastAsia="ZapfDingbatsStd"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8D60995"/>
    <w:multiLevelType w:val="hybridMultilevel"/>
    <w:tmpl w:val="027EE58A"/>
    <w:lvl w:ilvl="0" w:tplc="5442C3D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91E3DF7"/>
    <w:multiLevelType w:val="multilevel"/>
    <w:tmpl w:val="D4568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CD661C2"/>
    <w:multiLevelType w:val="hybridMultilevel"/>
    <w:tmpl w:val="FF02B06E"/>
    <w:lvl w:ilvl="0" w:tplc="37447E5C">
      <w:numFmt w:val="bullet"/>
      <w:lvlText w:val="-"/>
      <w:lvlJc w:val="left"/>
      <w:pPr>
        <w:ind w:left="720" w:hanging="360"/>
      </w:pPr>
      <w:rPr>
        <w:rFonts w:ascii="Times New Roman" w:eastAsia="ZapfDingbatsStd"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8494212"/>
    <w:multiLevelType w:val="hybridMultilevel"/>
    <w:tmpl w:val="929E2540"/>
    <w:lvl w:ilvl="0" w:tplc="9DDCA35C">
      <w:numFmt w:val="bullet"/>
      <w:lvlText w:val="-"/>
      <w:lvlJc w:val="left"/>
      <w:pPr>
        <w:ind w:left="720" w:hanging="360"/>
      </w:pPr>
      <w:rPr>
        <w:rFonts w:ascii="Times New Roman" w:eastAsia="Times New Roman" w:hAnsi="Times New Roman" w:cs="Times New Roman"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A302CEB"/>
    <w:multiLevelType w:val="hybridMultilevel"/>
    <w:tmpl w:val="3AA8B9F6"/>
    <w:lvl w:ilvl="0" w:tplc="58FE70D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3051582C"/>
    <w:multiLevelType w:val="hybridMultilevel"/>
    <w:tmpl w:val="6DFCF124"/>
    <w:lvl w:ilvl="0" w:tplc="5758293C">
      <w:numFmt w:val="bullet"/>
      <w:lvlText w:val="-"/>
      <w:lvlJc w:val="left"/>
      <w:pPr>
        <w:ind w:left="720" w:hanging="360"/>
      </w:pPr>
      <w:rPr>
        <w:rFonts w:ascii="Times New Roman" w:eastAsia="ZapfDingbatsStd"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3E1D2895"/>
    <w:multiLevelType w:val="hybridMultilevel"/>
    <w:tmpl w:val="12162598"/>
    <w:lvl w:ilvl="0" w:tplc="2F0AF79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49EA52D5"/>
    <w:multiLevelType w:val="hybridMultilevel"/>
    <w:tmpl w:val="973A139A"/>
    <w:lvl w:ilvl="0" w:tplc="42F07E58">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553F09A1"/>
    <w:multiLevelType w:val="hybridMultilevel"/>
    <w:tmpl w:val="69A20BC0"/>
    <w:lvl w:ilvl="0" w:tplc="D1CE6C2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5D1A7FA5"/>
    <w:multiLevelType w:val="hybridMultilevel"/>
    <w:tmpl w:val="7672761C"/>
    <w:lvl w:ilvl="0" w:tplc="25C67412">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7DA919C8"/>
    <w:multiLevelType w:val="hybridMultilevel"/>
    <w:tmpl w:val="2570927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3"/>
  </w:num>
  <w:num w:numId="2">
    <w:abstractNumId w:val="7"/>
  </w:num>
  <w:num w:numId="3">
    <w:abstractNumId w:val="6"/>
  </w:num>
  <w:num w:numId="4">
    <w:abstractNumId w:val="4"/>
  </w:num>
  <w:num w:numId="5">
    <w:abstractNumId w:val="9"/>
  </w:num>
  <w:num w:numId="6">
    <w:abstractNumId w:val="12"/>
  </w:num>
  <w:num w:numId="7">
    <w:abstractNumId w:val="10"/>
  </w:num>
  <w:num w:numId="8">
    <w:abstractNumId w:val="11"/>
  </w:num>
  <w:num w:numId="9">
    <w:abstractNumId w:val="0"/>
  </w:num>
  <w:num w:numId="10">
    <w:abstractNumId w:val="8"/>
  </w:num>
  <w:num w:numId="11">
    <w:abstractNumId w:val="5"/>
  </w:num>
  <w:num w:numId="12">
    <w:abstractNumId w:val="2"/>
  </w:num>
  <w:num w:numId="13">
    <w:abstractNumId w:val="13"/>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5CCF"/>
    <w:rsid w:val="00003D7C"/>
    <w:rsid w:val="00004C32"/>
    <w:rsid w:val="00034871"/>
    <w:rsid w:val="00044C28"/>
    <w:rsid w:val="000E11A5"/>
    <w:rsid w:val="000E2D8B"/>
    <w:rsid w:val="000F20D4"/>
    <w:rsid w:val="00112E78"/>
    <w:rsid w:val="001156ED"/>
    <w:rsid w:val="00115DBC"/>
    <w:rsid w:val="0012673F"/>
    <w:rsid w:val="001927CE"/>
    <w:rsid w:val="00197BCF"/>
    <w:rsid w:val="00197CFB"/>
    <w:rsid w:val="001E0CCE"/>
    <w:rsid w:val="001F190E"/>
    <w:rsid w:val="001F556A"/>
    <w:rsid w:val="00243444"/>
    <w:rsid w:val="002531E2"/>
    <w:rsid w:val="00260FC6"/>
    <w:rsid w:val="002755D6"/>
    <w:rsid w:val="0028244F"/>
    <w:rsid w:val="002D3B01"/>
    <w:rsid w:val="002E6C87"/>
    <w:rsid w:val="003054D3"/>
    <w:rsid w:val="003071B3"/>
    <w:rsid w:val="00346209"/>
    <w:rsid w:val="00413D4E"/>
    <w:rsid w:val="00442FA0"/>
    <w:rsid w:val="00480817"/>
    <w:rsid w:val="00493DA3"/>
    <w:rsid w:val="004C136B"/>
    <w:rsid w:val="004D7F48"/>
    <w:rsid w:val="005002CB"/>
    <w:rsid w:val="00506D34"/>
    <w:rsid w:val="005211CD"/>
    <w:rsid w:val="00557386"/>
    <w:rsid w:val="00563905"/>
    <w:rsid w:val="00564905"/>
    <w:rsid w:val="00564F58"/>
    <w:rsid w:val="005717B6"/>
    <w:rsid w:val="005C18A9"/>
    <w:rsid w:val="00660240"/>
    <w:rsid w:val="0066457B"/>
    <w:rsid w:val="00691E08"/>
    <w:rsid w:val="006C4115"/>
    <w:rsid w:val="006F1361"/>
    <w:rsid w:val="00704693"/>
    <w:rsid w:val="00754EC9"/>
    <w:rsid w:val="0077263E"/>
    <w:rsid w:val="007732BE"/>
    <w:rsid w:val="007B181F"/>
    <w:rsid w:val="007E70F6"/>
    <w:rsid w:val="007F6651"/>
    <w:rsid w:val="00801352"/>
    <w:rsid w:val="008140A2"/>
    <w:rsid w:val="00827021"/>
    <w:rsid w:val="008661ED"/>
    <w:rsid w:val="008724C2"/>
    <w:rsid w:val="0087381A"/>
    <w:rsid w:val="008A2EFE"/>
    <w:rsid w:val="008D763F"/>
    <w:rsid w:val="008F25BC"/>
    <w:rsid w:val="0093279F"/>
    <w:rsid w:val="00945AD1"/>
    <w:rsid w:val="00996E70"/>
    <w:rsid w:val="009B17C8"/>
    <w:rsid w:val="009B21AA"/>
    <w:rsid w:val="009C2E92"/>
    <w:rsid w:val="009D164F"/>
    <w:rsid w:val="00A0289A"/>
    <w:rsid w:val="00A13C97"/>
    <w:rsid w:val="00A55A83"/>
    <w:rsid w:val="00A70C16"/>
    <w:rsid w:val="00AB1D8C"/>
    <w:rsid w:val="00AD12F6"/>
    <w:rsid w:val="00AE4A30"/>
    <w:rsid w:val="00AF7EFD"/>
    <w:rsid w:val="00B11D70"/>
    <w:rsid w:val="00B12D51"/>
    <w:rsid w:val="00B819F3"/>
    <w:rsid w:val="00B94AB8"/>
    <w:rsid w:val="00B978EF"/>
    <w:rsid w:val="00BB1872"/>
    <w:rsid w:val="00BB2A3F"/>
    <w:rsid w:val="00BC0ACD"/>
    <w:rsid w:val="00BD4909"/>
    <w:rsid w:val="00BD5CCF"/>
    <w:rsid w:val="00BE061B"/>
    <w:rsid w:val="00BF5291"/>
    <w:rsid w:val="00C03B79"/>
    <w:rsid w:val="00C3620D"/>
    <w:rsid w:val="00C56983"/>
    <w:rsid w:val="00CE087C"/>
    <w:rsid w:val="00D12B2D"/>
    <w:rsid w:val="00D36BD5"/>
    <w:rsid w:val="00D555BC"/>
    <w:rsid w:val="00D72510"/>
    <w:rsid w:val="00D8427C"/>
    <w:rsid w:val="00DA41E1"/>
    <w:rsid w:val="00DC4DC7"/>
    <w:rsid w:val="00DC73AB"/>
    <w:rsid w:val="00E02699"/>
    <w:rsid w:val="00E06373"/>
    <w:rsid w:val="00E13C47"/>
    <w:rsid w:val="00E15861"/>
    <w:rsid w:val="00E41D1F"/>
    <w:rsid w:val="00E544AD"/>
    <w:rsid w:val="00E60D7E"/>
    <w:rsid w:val="00EA2EC8"/>
    <w:rsid w:val="00ED0C38"/>
    <w:rsid w:val="00ED7FAB"/>
    <w:rsid w:val="00EF2B71"/>
    <w:rsid w:val="00EF3F2D"/>
    <w:rsid w:val="00EF5A1F"/>
    <w:rsid w:val="00EF6F87"/>
    <w:rsid w:val="00F201EB"/>
    <w:rsid w:val="00F26A6F"/>
    <w:rsid w:val="00F45063"/>
    <w:rsid w:val="00F61327"/>
    <w:rsid w:val="00F721D1"/>
    <w:rsid w:val="00F77BC5"/>
    <w:rsid w:val="00FB5A59"/>
    <w:rsid w:val="00FF281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E0269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6C411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CE087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2E6C8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6C411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D5CC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5CCF"/>
    <w:rPr>
      <w:rFonts w:ascii="Tahoma" w:hAnsi="Tahoma" w:cs="Tahoma"/>
      <w:sz w:val="16"/>
      <w:szCs w:val="16"/>
    </w:rPr>
  </w:style>
  <w:style w:type="paragraph" w:styleId="Prrafodelista">
    <w:name w:val="List Paragraph"/>
    <w:basedOn w:val="Normal"/>
    <w:uiPriority w:val="34"/>
    <w:qFormat/>
    <w:rsid w:val="00BD5CCF"/>
    <w:pPr>
      <w:ind w:left="720"/>
      <w:contextualSpacing/>
    </w:pPr>
  </w:style>
  <w:style w:type="paragraph" w:styleId="NormalWeb">
    <w:name w:val="Normal (Web)"/>
    <w:basedOn w:val="Normal"/>
    <w:uiPriority w:val="99"/>
    <w:unhideWhenUsed/>
    <w:rsid w:val="00691E0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semiHidden/>
    <w:rsid w:val="006C4115"/>
    <w:rPr>
      <w:rFonts w:asciiTheme="majorHAnsi" w:eastAsiaTheme="majorEastAsia" w:hAnsiTheme="majorHAnsi" w:cstheme="majorBidi"/>
      <w:b/>
      <w:bCs/>
      <w:color w:val="4F81BD" w:themeColor="accent1"/>
      <w:sz w:val="26"/>
      <w:szCs w:val="26"/>
    </w:rPr>
  </w:style>
  <w:style w:type="character" w:customStyle="1" w:styleId="Ttulo5Car">
    <w:name w:val="Título 5 Car"/>
    <w:basedOn w:val="Fuentedeprrafopredeter"/>
    <w:link w:val="Ttulo5"/>
    <w:uiPriority w:val="9"/>
    <w:semiHidden/>
    <w:rsid w:val="006C4115"/>
    <w:rPr>
      <w:rFonts w:asciiTheme="majorHAnsi" w:eastAsiaTheme="majorEastAsia" w:hAnsiTheme="majorHAnsi" w:cstheme="majorBidi"/>
      <w:color w:val="243F60" w:themeColor="accent1" w:themeShade="7F"/>
    </w:rPr>
  </w:style>
  <w:style w:type="character" w:styleId="Hipervnculo">
    <w:name w:val="Hyperlink"/>
    <w:basedOn w:val="Fuentedeprrafopredeter"/>
    <w:uiPriority w:val="99"/>
    <w:unhideWhenUsed/>
    <w:rsid w:val="006C4115"/>
    <w:rPr>
      <w:color w:val="0000FF"/>
      <w:u w:val="single"/>
    </w:rPr>
  </w:style>
  <w:style w:type="paragraph" w:customStyle="1" w:styleId="selectionshareable">
    <w:name w:val="selectionshareable"/>
    <w:basedOn w:val="Normal"/>
    <w:rsid w:val="006C411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754EC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E02699"/>
    <w:rPr>
      <w:rFonts w:asciiTheme="majorHAnsi" w:eastAsiaTheme="majorEastAsia" w:hAnsiTheme="majorHAnsi" w:cstheme="majorBidi"/>
      <w:b/>
      <w:bCs/>
      <w:color w:val="365F91" w:themeColor="accent1" w:themeShade="BF"/>
      <w:sz w:val="28"/>
      <w:szCs w:val="28"/>
    </w:rPr>
  </w:style>
  <w:style w:type="paragraph" w:customStyle="1" w:styleId="Fecha1">
    <w:name w:val="Fecha1"/>
    <w:basedOn w:val="Normal"/>
    <w:rsid w:val="00E0269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02699"/>
    <w:rPr>
      <w:b/>
      <w:bCs/>
    </w:rPr>
  </w:style>
  <w:style w:type="character" w:styleId="nfasis">
    <w:name w:val="Emphasis"/>
    <w:basedOn w:val="Fuentedeprrafopredeter"/>
    <w:uiPriority w:val="20"/>
    <w:qFormat/>
    <w:rsid w:val="00E02699"/>
    <w:rPr>
      <w:i/>
      <w:iCs/>
    </w:rPr>
  </w:style>
  <w:style w:type="character" w:customStyle="1" w:styleId="Ttulo4Car">
    <w:name w:val="Título 4 Car"/>
    <w:basedOn w:val="Fuentedeprrafopredeter"/>
    <w:link w:val="Ttulo4"/>
    <w:uiPriority w:val="9"/>
    <w:rsid w:val="002E6C87"/>
    <w:rPr>
      <w:rFonts w:asciiTheme="majorHAnsi" w:eastAsiaTheme="majorEastAsia" w:hAnsiTheme="majorHAnsi" w:cstheme="majorBidi"/>
      <w:b/>
      <w:bCs/>
      <w:i/>
      <w:iCs/>
      <w:color w:val="4F81BD" w:themeColor="accent1"/>
    </w:rPr>
  </w:style>
  <w:style w:type="paragraph" w:customStyle="1" w:styleId="Default">
    <w:name w:val="Default"/>
    <w:rsid w:val="00BF5291"/>
    <w:pPr>
      <w:autoSpaceDE w:val="0"/>
      <w:autoSpaceDN w:val="0"/>
      <w:adjustRightInd w:val="0"/>
      <w:spacing w:after="0" w:line="240" w:lineRule="auto"/>
    </w:pPr>
    <w:rPr>
      <w:rFonts w:ascii="Franklin Gothic Book" w:hAnsi="Franklin Gothic Book" w:cs="Franklin Gothic Book"/>
      <w:color w:val="000000"/>
      <w:sz w:val="24"/>
      <w:szCs w:val="24"/>
    </w:rPr>
  </w:style>
  <w:style w:type="character" w:customStyle="1" w:styleId="Ttulo3Car">
    <w:name w:val="Título 3 Car"/>
    <w:basedOn w:val="Fuentedeprrafopredeter"/>
    <w:link w:val="Ttulo3"/>
    <w:uiPriority w:val="9"/>
    <w:rsid w:val="00CE087C"/>
    <w:rPr>
      <w:rFonts w:asciiTheme="majorHAnsi" w:eastAsiaTheme="majorEastAsia" w:hAnsiTheme="majorHAnsi" w:cstheme="majorBidi"/>
      <w:b/>
      <w:bCs/>
      <w:color w:val="4F81BD" w:themeColor="accent1"/>
    </w:rPr>
  </w:style>
  <w:style w:type="character" w:customStyle="1" w:styleId="fuente">
    <w:name w:val="fuente"/>
    <w:basedOn w:val="Fuentedeprrafopredeter"/>
    <w:rsid w:val="00CE087C"/>
  </w:style>
  <w:style w:type="character" w:customStyle="1" w:styleId="origen">
    <w:name w:val="origen"/>
    <w:basedOn w:val="Fuentedeprrafopredeter"/>
    <w:rsid w:val="00CE087C"/>
  </w:style>
  <w:style w:type="character" w:customStyle="1" w:styleId="fecha">
    <w:name w:val="fecha"/>
    <w:basedOn w:val="Fuentedeprrafopredeter"/>
    <w:rsid w:val="00CE087C"/>
  </w:style>
  <w:style w:type="character" w:customStyle="1" w:styleId="A12">
    <w:name w:val="A12"/>
    <w:uiPriority w:val="99"/>
    <w:rsid w:val="00CE087C"/>
    <w:rPr>
      <w:rFonts w:cs="Proxima Nova Light"/>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E0269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6C411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CE087C"/>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2E6C8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6C411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D5CC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5CCF"/>
    <w:rPr>
      <w:rFonts w:ascii="Tahoma" w:hAnsi="Tahoma" w:cs="Tahoma"/>
      <w:sz w:val="16"/>
      <w:szCs w:val="16"/>
    </w:rPr>
  </w:style>
  <w:style w:type="paragraph" w:styleId="Prrafodelista">
    <w:name w:val="List Paragraph"/>
    <w:basedOn w:val="Normal"/>
    <w:uiPriority w:val="34"/>
    <w:qFormat/>
    <w:rsid w:val="00BD5CCF"/>
    <w:pPr>
      <w:ind w:left="720"/>
      <w:contextualSpacing/>
    </w:pPr>
  </w:style>
  <w:style w:type="paragraph" w:styleId="NormalWeb">
    <w:name w:val="Normal (Web)"/>
    <w:basedOn w:val="Normal"/>
    <w:uiPriority w:val="99"/>
    <w:unhideWhenUsed/>
    <w:rsid w:val="00691E0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semiHidden/>
    <w:rsid w:val="006C4115"/>
    <w:rPr>
      <w:rFonts w:asciiTheme="majorHAnsi" w:eastAsiaTheme="majorEastAsia" w:hAnsiTheme="majorHAnsi" w:cstheme="majorBidi"/>
      <w:b/>
      <w:bCs/>
      <w:color w:val="4F81BD" w:themeColor="accent1"/>
      <w:sz w:val="26"/>
      <w:szCs w:val="26"/>
    </w:rPr>
  </w:style>
  <w:style w:type="character" w:customStyle="1" w:styleId="Ttulo5Car">
    <w:name w:val="Título 5 Car"/>
    <w:basedOn w:val="Fuentedeprrafopredeter"/>
    <w:link w:val="Ttulo5"/>
    <w:uiPriority w:val="9"/>
    <w:semiHidden/>
    <w:rsid w:val="006C4115"/>
    <w:rPr>
      <w:rFonts w:asciiTheme="majorHAnsi" w:eastAsiaTheme="majorEastAsia" w:hAnsiTheme="majorHAnsi" w:cstheme="majorBidi"/>
      <w:color w:val="243F60" w:themeColor="accent1" w:themeShade="7F"/>
    </w:rPr>
  </w:style>
  <w:style w:type="character" w:styleId="Hipervnculo">
    <w:name w:val="Hyperlink"/>
    <w:basedOn w:val="Fuentedeprrafopredeter"/>
    <w:uiPriority w:val="99"/>
    <w:unhideWhenUsed/>
    <w:rsid w:val="006C4115"/>
    <w:rPr>
      <w:color w:val="0000FF"/>
      <w:u w:val="single"/>
    </w:rPr>
  </w:style>
  <w:style w:type="paragraph" w:customStyle="1" w:styleId="selectionshareable">
    <w:name w:val="selectionshareable"/>
    <w:basedOn w:val="Normal"/>
    <w:rsid w:val="006C411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754EC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E02699"/>
    <w:rPr>
      <w:rFonts w:asciiTheme="majorHAnsi" w:eastAsiaTheme="majorEastAsia" w:hAnsiTheme="majorHAnsi" w:cstheme="majorBidi"/>
      <w:b/>
      <w:bCs/>
      <w:color w:val="365F91" w:themeColor="accent1" w:themeShade="BF"/>
      <w:sz w:val="28"/>
      <w:szCs w:val="28"/>
    </w:rPr>
  </w:style>
  <w:style w:type="paragraph" w:customStyle="1" w:styleId="Fecha1">
    <w:name w:val="Fecha1"/>
    <w:basedOn w:val="Normal"/>
    <w:rsid w:val="00E0269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02699"/>
    <w:rPr>
      <w:b/>
      <w:bCs/>
    </w:rPr>
  </w:style>
  <w:style w:type="character" w:styleId="nfasis">
    <w:name w:val="Emphasis"/>
    <w:basedOn w:val="Fuentedeprrafopredeter"/>
    <w:uiPriority w:val="20"/>
    <w:qFormat/>
    <w:rsid w:val="00E02699"/>
    <w:rPr>
      <w:i/>
      <w:iCs/>
    </w:rPr>
  </w:style>
  <w:style w:type="character" w:customStyle="1" w:styleId="Ttulo4Car">
    <w:name w:val="Título 4 Car"/>
    <w:basedOn w:val="Fuentedeprrafopredeter"/>
    <w:link w:val="Ttulo4"/>
    <w:uiPriority w:val="9"/>
    <w:rsid w:val="002E6C87"/>
    <w:rPr>
      <w:rFonts w:asciiTheme="majorHAnsi" w:eastAsiaTheme="majorEastAsia" w:hAnsiTheme="majorHAnsi" w:cstheme="majorBidi"/>
      <w:b/>
      <w:bCs/>
      <w:i/>
      <w:iCs/>
      <w:color w:val="4F81BD" w:themeColor="accent1"/>
    </w:rPr>
  </w:style>
  <w:style w:type="paragraph" w:customStyle="1" w:styleId="Default">
    <w:name w:val="Default"/>
    <w:rsid w:val="00BF5291"/>
    <w:pPr>
      <w:autoSpaceDE w:val="0"/>
      <w:autoSpaceDN w:val="0"/>
      <w:adjustRightInd w:val="0"/>
      <w:spacing w:after="0" w:line="240" w:lineRule="auto"/>
    </w:pPr>
    <w:rPr>
      <w:rFonts w:ascii="Franklin Gothic Book" w:hAnsi="Franklin Gothic Book" w:cs="Franklin Gothic Book"/>
      <w:color w:val="000000"/>
      <w:sz w:val="24"/>
      <w:szCs w:val="24"/>
    </w:rPr>
  </w:style>
  <w:style w:type="character" w:customStyle="1" w:styleId="Ttulo3Car">
    <w:name w:val="Título 3 Car"/>
    <w:basedOn w:val="Fuentedeprrafopredeter"/>
    <w:link w:val="Ttulo3"/>
    <w:uiPriority w:val="9"/>
    <w:rsid w:val="00CE087C"/>
    <w:rPr>
      <w:rFonts w:asciiTheme="majorHAnsi" w:eastAsiaTheme="majorEastAsia" w:hAnsiTheme="majorHAnsi" w:cstheme="majorBidi"/>
      <w:b/>
      <w:bCs/>
      <w:color w:val="4F81BD" w:themeColor="accent1"/>
    </w:rPr>
  </w:style>
  <w:style w:type="character" w:customStyle="1" w:styleId="fuente">
    <w:name w:val="fuente"/>
    <w:basedOn w:val="Fuentedeprrafopredeter"/>
    <w:rsid w:val="00CE087C"/>
  </w:style>
  <w:style w:type="character" w:customStyle="1" w:styleId="origen">
    <w:name w:val="origen"/>
    <w:basedOn w:val="Fuentedeprrafopredeter"/>
    <w:rsid w:val="00CE087C"/>
  </w:style>
  <w:style w:type="character" w:customStyle="1" w:styleId="fecha">
    <w:name w:val="fecha"/>
    <w:basedOn w:val="Fuentedeprrafopredeter"/>
    <w:rsid w:val="00CE087C"/>
  </w:style>
  <w:style w:type="character" w:customStyle="1" w:styleId="A12">
    <w:name w:val="A12"/>
    <w:uiPriority w:val="99"/>
    <w:rsid w:val="00CE087C"/>
    <w:rPr>
      <w:rFonts w:cs="Proxima Nova Light"/>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1168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png"/><Relationship Id="rId21" Type="http://schemas.openxmlformats.org/officeDocument/2006/relationships/hyperlink" Target="https://www.forbes.com/2007/08/09/goldman-sachs-alpha-markets-equity-cx_er_0809markets07.html" TargetMode="External"/><Relationship Id="rId42" Type="http://schemas.openxmlformats.org/officeDocument/2006/relationships/hyperlink" Target="https://www.elconfidencial.com/tags/temas/sueldos-6731/" TargetMode="External"/><Relationship Id="rId63" Type="http://schemas.openxmlformats.org/officeDocument/2006/relationships/image" Target="media/image26.jpeg"/><Relationship Id="rId84" Type="http://schemas.openxmlformats.org/officeDocument/2006/relationships/image" Target="media/image35.jpeg"/><Relationship Id="rId138" Type="http://schemas.openxmlformats.org/officeDocument/2006/relationships/image" Target="media/image86.png"/><Relationship Id="rId159" Type="http://schemas.openxmlformats.org/officeDocument/2006/relationships/image" Target="media/image106.png"/><Relationship Id="rId170" Type="http://schemas.openxmlformats.org/officeDocument/2006/relationships/image" Target="media/image117.png"/><Relationship Id="rId191" Type="http://schemas.openxmlformats.org/officeDocument/2006/relationships/image" Target="media/image138.png"/><Relationship Id="rId205" Type="http://schemas.openxmlformats.org/officeDocument/2006/relationships/image" Target="media/image152.png"/><Relationship Id="rId226" Type="http://schemas.openxmlformats.org/officeDocument/2006/relationships/image" Target="media/image173.png"/><Relationship Id="rId247" Type="http://schemas.openxmlformats.org/officeDocument/2006/relationships/image" Target="media/image194.png"/><Relationship Id="rId107" Type="http://schemas.openxmlformats.org/officeDocument/2006/relationships/image" Target="media/image55.png"/><Relationship Id="rId11" Type="http://schemas.openxmlformats.org/officeDocument/2006/relationships/hyperlink" Target="http://www.eleconomista.es/economia/noticias/8105119/01/17/El-mito-del-empleo-en-la-industria-de-EEUU-la-tecnologia-es-culpable-de-9-de-cada-10-trabajos-perdidos-.html" TargetMode="External"/><Relationship Id="rId32" Type="http://schemas.openxmlformats.org/officeDocument/2006/relationships/hyperlink" Target="https://blogs.elconfidencial.com/economia/monetae-mutatione/2015-09-23/la-burbuja-financiera-estrangula-el-crecimiento_1032049/" TargetMode="External"/><Relationship Id="rId53" Type="http://schemas.openxmlformats.org/officeDocument/2006/relationships/hyperlink" Target="http://documentos.fedea.net/pubs/eee/eee2016-32.pdf" TargetMode="External"/><Relationship Id="rId74" Type="http://schemas.openxmlformats.org/officeDocument/2006/relationships/hyperlink" Target="http://ec.europa.eu/eurostat/web/income-and-living-conditions/data/database" TargetMode="External"/><Relationship Id="rId128" Type="http://schemas.openxmlformats.org/officeDocument/2006/relationships/image" Target="media/image76.png"/><Relationship Id="rId149" Type="http://schemas.openxmlformats.org/officeDocument/2006/relationships/image" Target="media/image96.png"/><Relationship Id="rId5" Type="http://schemas.openxmlformats.org/officeDocument/2006/relationships/webSettings" Target="webSettings.xml"/><Relationship Id="rId95" Type="http://schemas.openxmlformats.org/officeDocument/2006/relationships/image" Target="media/image43.png"/><Relationship Id="rId160" Type="http://schemas.openxmlformats.org/officeDocument/2006/relationships/image" Target="media/image107.png"/><Relationship Id="rId181" Type="http://schemas.openxmlformats.org/officeDocument/2006/relationships/image" Target="media/image128.png"/><Relationship Id="rId216" Type="http://schemas.openxmlformats.org/officeDocument/2006/relationships/image" Target="media/image163.png"/><Relationship Id="rId237" Type="http://schemas.openxmlformats.org/officeDocument/2006/relationships/image" Target="media/image184.png"/><Relationship Id="rId258" Type="http://schemas.openxmlformats.org/officeDocument/2006/relationships/fontTable" Target="fontTable.xml"/><Relationship Id="rId22" Type="http://schemas.openxmlformats.org/officeDocument/2006/relationships/hyperlink" Target="https://www.wsj.com/articles/SB118670471880693703" TargetMode="External"/><Relationship Id="rId43" Type="http://schemas.openxmlformats.org/officeDocument/2006/relationships/image" Target="media/image19.png"/><Relationship Id="rId64" Type="http://schemas.openxmlformats.org/officeDocument/2006/relationships/hyperlink" Target="http://nadaesgratis.es/wp-content/uploads/Figure4_2.jpg" TargetMode="External"/><Relationship Id="rId118" Type="http://schemas.openxmlformats.org/officeDocument/2006/relationships/image" Target="media/image66.png"/><Relationship Id="rId139" Type="http://schemas.openxmlformats.org/officeDocument/2006/relationships/image" Target="media/image87.png"/><Relationship Id="rId85" Type="http://schemas.openxmlformats.org/officeDocument/2006/relationships/hyperlink" Target="http://adecco.es/_data/NotasPrensa/pdf/788.pdf" TargetMode="External"/><Relationship Id="rId150" Type="http://schemas.openxmlformats.org/officeDocument/2006/relationships/image" Target="media/image97.png"/><Relationship Id="rId171" Type="http://schemas.openxmlformats.org/officeDocument/2006/relationships/image" Target="media/image118.png"/><Relationship Id="rId192" Type="http://schemas.openxmlformats.org/officeDocument/2006/relationships/image" Target="media/image139.png"/><Relationship Id="rId206" Type="http://schemas.openxmlformats.org/officeDocument/2006/relationships/image" Target="media/image153.png"/><Relationship Id="rId227" Type="http://schemas.openxmlformats.org/officeDocument/2006/relationships/image" Target="media/image174.png"/><Relationship Id="rId248" Type="http://schemas.openxmlformats.org/officeDocument/2006/relationships/image" Target="media/image195.png"/><Relationship Id="rId12" Type="http://schemas.openxmlformats.org/officeDocument/2006/relationships/image" Target="media/image6.jpeg"/><Relationship Id="rId33" Type="http://schemas.openxmlformats.org/officeDocument/2006/relationships/hyperlink" Target="https://blogs.elconfidencial.com/economia/monetae-mutatione/2016-05-18/el-verdadero-origen-de-la-desigualdad_1201613/" TargetMode="External"/><Relationship Id="rId108" Type="http://schemas.openxmlformats.org/officeDocument/2006/relationships/image" Target="media/image56.png"/><Relationship Id="rId129" Type="http://schemas.openxmlformats.org/officeDocument/2006/relationships/image" Target="media/image77.png"/><Relationship Id="rId54" Type="http://schemas.openxmlformats.org/officeDocument/2006/relationships/hyperlink" Target="https://observatoriosociallacaixa.org/documents/22890/92302/Dossier+2017+Observatorio+Social+la+Caixa_CAS.pdf/72959be1-2a70-ff05-3888-8d8a53866204" TargetMode="External"/><Relationship Id="rId75" Type="http://schemas.openxmlformats.org/officeDocument/2006/relationships/hyperlink" Target="http://nadaesgratis.es/wp-content/uploads/2graphs.jpg" TargetMode="External"/><Relationship Id="rId96" Type="http://schemas.openxmlformats.org/officeDocument/2006/relationships/image" Target="media/image44.png"/><Relationship Id="rId140" Type="http://schemas.openxmlformats.org/officeDocument/2006/relationships/image" Target="media/image88.png"/><Relationship Id="rId161" Type="http://schemas.openxmlformats.org/officeDocument/2006/relationships/image" Target="media/image108.png"/><Relationship Id="rId182" Type="http://schemas.openxmlformats.org/officeDocument/2006/relationships/image" Target="media/image129.png"/><Relationship Id="rId217" Type="http://schemas.openxmlformats.org/officeDocument/2006/relationships/image" Target="media/image164.png"/><Relationship Id="rId1" Type="http://schemas.openxmlformats.org/officeDocument/2006/relationships/numbering" Target="numbering.xml"/><Relationship Id="rId6" Type="http://schemas.openxmlformats.org/officeDocument/2006/relationships/image" Target="media/image1.jpeg"/><Relationship Id="rId212" Type="http://schemas.openxmlformats.org/officeDocument/2006/relationships/image" Target="media/image159.png"/><Relationship Id="rId233" Type="http://schemas.openxmlformats.org/officeDocument/2006/relationships/image" Target="media/image180.png"/><Relationship Id="rId238" Type="http://schemas.openxmlformats.org/officeDocument/2006/relationships/image" Target="media/image185.png"/><Relationship Id="rId254" Type="http://schemas.openxmlformats.org/officeDocument/2006/relationships/image" Target="media/image201.emf"/><Relationship Id="rId259" Type="http://schemas.openxmlformats.org/officeDocument/2006/relationships/theme" Target="theme/theme1.xml"/><Relationship Id="rId23" Type="http://schemas.openxmlformats.org/officeDocument/2006/relationships/hyperlink" Target="https://www.elconfidencial.com/mercados/archivo/2007/08/10/54_anuncia_nueva_subasta_adicional_inyectar_liquidez.html" TargetMode="External"/><Relationship Id="rId28" Type="http://schemas.openxmlformats.org/officeDocument/2006/relationships/image" Target="media/image14.jpeg"/><Relationship Id="rId49" Type="http://schemas.openxmlformats.org/officeDocument/2006/relationships/hyperlink" Target="http://nadaesgratis.es/juan-francisco-jimeno/sobre-brechas-y-no-son-las-de-genero" TargetMode="External"/><Relationship Id="rId114" Type="http://schemas.openxmlformats.org/officeDocument/2006/relationships/image" Target="media/image62.png"/><Relationship Id="rId119" Type="http://schemas.openxmlformats.org/officeDocument/2006/relationships/image" Target="media/image67.png"/><Relationship Id="rId44" Type="http://schemas.openxmlformats.org/officeDocument/2006/relationships/hyperlink" Target="https://www.elconfidencial.com/economia/2017-07-22/becarios-empleo-juvenil-precariedad-salarios-ayudas-sindicatos-contrato-practicas_1419273/" TargetMode="External"/><Relationship Id="rId60" Type="http://schemas.openxmlformats.org/officeDocument/2006/relationships/hyperlink" Target="http://blogs.lse.ac.uk/politicsandpolicy/multiple-scarring-effects-of-youth-unemployment/" TargetMode="External"/><Relationship Id="rId65" Type="http://schemas.openxmlformats.org/officeDocument/2006/relationships/image" Target="media/image27.jpeg"/><Relationship Id="rId81" Type="http://schemas.openxmlformats.org/officeDocument/2006/relationships/image" Target="media/image34.jpeg"/><Relationship Id="rId86" Type="http://schemas.openxmlformats.org/officeDocument/2006/relationships/image" Target="media/image36.jpeg"/><Relationship Id="rId130" Type="http://schemas.openxmlformats.org/officeDocument/2006/relationships/image" Target="media/image78.png"/><Relationship Id="rId135" Type="http://schemas.openxmlformats.org/officeDocument/2006/relationships/image" Target="media/image83.png"/><Relationship Id="rId151" Type="http://schemas.openxmlformats.org/officeDocument/2006/relationships/image" Target="media/image98.png"/><Relationship Id="rId156" Type="http://schemas.openxmlformats.org/officeDocument/2006/relationships/image" Target="media/image103.png"/><Relationship Id="rId177" Type="http://schemas.openxmlformats.org/officeDocument/2006/relationships/image" Target="media/image124.png"/><Relationship Id="rId198" Type="http://schemas.openxmlformats.org/officeDocument/2006/relationships/image" Target="media/image145.png"/><Relationship Id="rId172" Type="http://schemas.openxmlformats.org/officeDocument/2006/relationships/image" Target="media/image119.png"/><Relationship Id="rId193" Type="http://schemas.openxmlformats.org/officeDocument/2006/relationships/image" Target="media/image140.png"/><Relationship Id="rId202" Type="http://schemas.openxmlformats.org/officeDocument/2006/relationships/image" Target="media/image149.png"/><Relationship Id="rId207" Type="http://schemas.openxmlformats.org/officeDocument/2006/relationships/image" Target="media/image154.png"/><Relationship Id="rId223" Type="http://schemas.openxmlformats.org/officeDocument/2006/relationships/image" Target="media/image170.png"/><Relationship Id="rId228" Type="http://schemas.openxmlformats.org/officeDocument/2006/relationships/image" Target="media/image175.png"/><Relationship Id="rId244" Type="http://schemas.openxmlformats.org/officeDocument/2006/relationships/image" Target="media/image191.png"/><Relationship Id="rId249" Type="http://schemas.openxmlformats.org/officeDocument/2006/relationships/image" Target="media/image196.png"/><Relationship Id="rId13" Type="http://schemas.openxmlformats.org/officeDocument/2006/relationships/hyperlink" Target="http://www.eleconomista.es/economia/noticias/8490463/07/17/Un-mercado-laboral-de-ricos-y-pobres-el-trabajador-medio-esta-desapareciendo-en-la-eurozona.html" TargetMode="External"/><Relationship Id="rId18" Type="http://schemas.openxmlformats.org/officeDocument/2006/relationships/hyperlink" Target="https://www.elconfidencial.com/mercados/2008-09-15/la-crisis-de-los-mercados-financieros_967103/" TargetMode="External"/><Relationship Id="rId39" Type="http://schemas.openxmlformats.org/officeDocument/2006/relationships/hyperlink" Target="http://ec.europa.eu/eurostat/web/skills/background/experimental-statistics" TargetMode="External"/><Relationship Id="rId109" Type="http://schemas.openxmlformats.org/officeDocument/2006/relationships/image" Target="media/image57.png"/><Relationship Id="rId34" Type="http://schemas.openxmlformats.org/officeDocument/2006/relationships/image" Target="media/image16.jpeg"/><Relationship Id="rId50" Type="http://schemas.openxmlformats.org/officeDocument/2006/relationships/hyperlink" Target="http://nadaesgratis.es/author/juanfran" TargetMode="External"/><Relationship Id="rId55" Type="http://schemas.openxmlformats.org/officeDocument/2006/relationships/hyperlink" Target="https://es.wikipedia.org/wiki/Desempleo_friccional" TargetMode="External"/><Relationship Id="rId76" Type="http://schemas.openxmlformats.org/officeDocument/2006/relationships/image" Target="media/image30.jpeg"/><Relationship Id="rId97" Type="http://schemas.openxmlformats.org/officeDocument/2006/relationships/image" Target="media/image45.png"/><Relationship Id="rId104" Type="http://schemas.openxmlformats.org/officeDocument/2006/relationships/image" Target="media/image52.png"/><Relationship Id="rId120" Type="http://schemas.openxmlformats.org/officeDocument/2006/relationships/image" Target="media/image68.png"/><Relationship Id="rId125" Type="http://schemas.openxmlformats.org/officeDocument/2006/relationships/image" Target="media/image73.png"/><Relationship Id="rId141" Type="http://schemas.openxmlformats.org/officeDocument/2006/relationships/image" Target="media/image89.png"/><Relationship Id="rId146" Type="http://schemas.openxmlformats.org/officeDocument/2006/relationships/hyperlink" Target="http://www.pewresearch.org" TargetMode="External"/><Relationship Id="rId167" Type="http://schemas.openxmlformats.org/officeDocument/2006/relationships/image" Target="media/image114.png"/><Relationship Id="rId188" Type="http://schemas.openxmlformats.org/officeDocument/2006/relationships/image" Target="media/image135.png"/><Relationship Id="rId7" Type="http://schemas.openxmlformats.org/officeDocument/2006/relationships/image" Target="media/image2.jpeg"/><Relationship Id="rId71" Type="http://schemas.openxmlformats.org/officeDocument/2006/relationships/hyperlink" Target="http://www.ine.es/dynt3/inebase/es/index.htm?padre=1927&amp;capsel=1922" TargetMode="External"/><Relationship Id="rId92" Type="http://schemas.openxmlformats.org/officeDocument/2006/relationships/image" Target="media/image40.png"/><Relationship Id="rId162" Type="http://schemas.openxmlformats.org/officeDocument/2006/relationships/image" Target="media/image109.png"/><Relationship Id="rId183" Type="http://schemas.openxmlformats.org/officeDocument/2006/relationships/image" Target="media/image130.png"/><Relationship Id="rId213" Type="http://schemas.openxmlformats.org/officeDocument/2006/relationships/image" Target="media/image160.png"/><Relationship Id="rId218" Type="http://schemas.openxmlformats.org/officeDocument/2006/relationships/image" Target="media/image165.png"/><Relationship Id="rId234" Type="http://schemas.openxmlformats.org/officeDocument/2006/relationships/image" Target="media/image181.png"/><Relationship Id="rId239" Type="http://schemas.openxmlformats.org/officeDocument/2006/relationships/image" Target="media/image186.png"/><Relationship Id="rId2" Type="http://schemas.openxmlformats.org/officeDocument/2006/relationships/styles" Target="styles.xml"/><Relationship Id="rId29" Type="http://schemas.openxmlformats.org/officeDocument/2006/relationships/hyperlink" Target="https://blogs.elconfidencial.com/economia/monetae-mutatione/2015-09-05/bancos-centrales-rehenes-de-su-propia-burbuja_1000042/" TargetMode="External"/><Relationship Id="rId250" Type="http://schemas.openxmlformats.org/officeDocument/2006/relationships/image" Target="media/image197.png"/><Relationship Id="rId255" Type="http://schemas.openxmlformats.org/officeDocument/2006/relationships/image" Target="media/image202.emf"/><Relationship Id="rId24" Type="http://schemas.openxmlformats.org/officeDocument/2006/relationships/image" Target="media/image10.jpeg"/><Relationship Id="rId40" Type="http://schemas.openxmlformats.org/officeDocument/2006/relationships/image" Target="media/image18.png"/><Relationship Id="rId45" Type="http://schemas.openxmlformats.org/officeDocument/2006/relationships/image" Target="media/image20.png"/><Relationship Id="rId66" Type="http://schemas.openxmlformats.org/officeDocument/2006/relationships/hyperlink" Target="http://nadaesgratis.es/sergi-jimenez/el-derrumbe-de-los-salarios-iniciales" TargetMode="External"/><Relationship Id="rId87" Type="http://schemas.openxmlformats.org/officeDocument/2006/relationships/image" Target="media/image37.jpeg"/><Relationship Id="rId110" Type="http://schemas.openxmlformats.org/officeDocument/2006/relationships/image" Target="media/image58.png"/><Relationship Id="rId115" Type="http://schemas.openxmlformats.org/officeDocument/2006/relationships/image" Target="media/image63.png"/><Relationship Id="rId131" Type="http://schemas.openxmlformats.org/officeDocument/2006/relationships/image" Target="media/image79.png"/><Relationship Id="rId136" Type="http://schemas.openxmlformats.org/officeDocument/2006/relationships/image" Target="media/image84.png"/><Relationship Id="rId157" Type="http://schemas.openxmlformats.org/officeDocument/2006/relationships/image" Target="media/image104.png"/><Relationship Id="rId178" Type="http://schemas.openxmlformats.org/officeDocument/2006/relationships/image" Target="media/image125.png"/><Relationship Id="rId61" Type="http://schemas.openxmlformats.org/officeDocument/2006/relationships/hyperlink" Target="http://nadaesgratis.es/marcel-jansen/la-garantia-juvenil-cronica-de-un-fracaso-anunciado" TargetMode="External"/><Relationship Id="rId82" Type="http://schemas.openxmlformats.org/officeDocument/2006/relationships/hyperlink" Target="https://www.elconfidencial.com/sociedad/2013-08-23/el-drama-de-los-jovenes-espanoles-sobrecualificados-pero-subocupados_20267/" TargetMode="External"/><Relationship Id="rId152" Type="http://schemas.openxmlformats.org/officeDocument/2006/relationships/image" Target="media/image99.png"/><Relationship Id="rId173" Type="http://schemas.openxmlformats.org/officeDocument/2006/relationships/image" Target="media/image120.png"/><Relationship Id="rId194" Type="http://schemas.openxmlformats.org/officeDocument/2006/relationships/image" Target="media/image141.png"/><Relationship Id="rId199" Type="http://schemas.openxmlformats.org/officeDocument/2006/relationships/image" Target="media/image146.png"/><Relationship Id="rId203" Type="http://schemas.openxmlformats.org/officeDocument/2006/relationships/image" Target="media/image150.png"/><Relationship Id="rId208" Type="http://schemas.openxmlformats.org/officeDocument/2006/relationships/image" Target="media/image155.png"/><Relationship Id="rId229" Type="http://schemas.openxmlformats.org/officeDocument/2006/relationships/image" Target="media/image176.png"/><Relationship Id="rId19" Type="http://schemas.openxmlformats.org/officeDocument/2006/relationships/hyperlink" Target="http://www.reuters.com/article/idUSN0639518120070806" TargetMode="External"/><Relationship Id="rId224" Type="http://schemas.openxmlformats.org/officeDocument/2006/relationships/image" Target="media/image171.png"/><Relationship Id="rId240" Type="http://schemas.openxmlformats.org/officeDocument/2006/relationships/image" Target="media/image187.png"/><Relationship Id="rId245" Type="http://schemas.openxmlformats.org/officeDocument/2006/relationships/image" Target="media/image192.png"/><Relationship Id="rId14" Type="http://schemas.openxmlformats.org/officeDocument/2006/relationships/hyperlink" Target="http://www.eleconomista.es/economia/noticias/8348852/05/17/El-BCE-reconoce-que-la-tasa-de-paro-engana-el-mercado-laboral-ya-no-es-el-mismo.html" TargetMode="External"/><Relationship Id="rId30" Type="http://schemas.openxmlformats.org/officeDocument/2006/relationships/hyperlink" Target="http://www.zerohedge.com/news/2017-06-29/global-debt-hits-new-record-high-217-trillion-327-gdp" TargetMode="External"/><Relationship Id="rId35" Type="http://schemas.openxmlformats.org/officeDocument/2006/relationships/hyperlink" Target="https://ec.europa.eu/commission/priorities/jobs-growth-and-investment/investment-plan_en" TargetMode="External"/><Relationship Id="rId56" Type="http://schemas.openxmlformats.org/officeDocument/2006/relationships/image" Target="media/image23.jpeg"/><Relationship Id="rId77" Type="http://schemas.openxmlformats.org/officeDocument/2006/relationships/hyperlink" Target="https://podemos.info/garantizar-un-sistema-de-pensiones-de-calidad-para-asegurar-a-las-y-los-pensionistas-una-renta-digna-y-suficiente-es-una-prioridad-de-nuestra-politica-economica/" TargetMode="External"/><Relationship Id="rId100" Type="http://schemas.openxmlformats.org/officeDocument/2006/relationships/image" Target="media/image48.png"/><Relationship Id="rId105" Type="http://schemas.openxmlformats.org/officeDocument/2006/relationships/image" Target="media/image53.png"/><Relationship Id="rId126" Type="http://schemas.openxmlformats.org/officeDocument/2006/relationships/image" Target="media/image74.png"/><Relationship Id="rId147" Type="http://schemas.openxmlformats.org/officeDocument/2006/relationships/image" Target="media/image94.png"/><Relationship Id="rId168" Type="http://schemas.openxmlformats.org/officeDocument/2006/relationships/image" Target="media/image115.png"/><Relationship Id="rId8" Type="http://schemas.openxmlformats.org/officeDocument/2006/relationships/image" Target="media/image3.jpeg"/><Relationship Id="rId51" Type="http://schemas.openxmlformats.org/officeDocument/2006/relationships/hyperlink" Target="http://nadaesgratis.es/?s=brecha+de+genero" TargetMode="External"/><Relationship Id="rId72" Type="http://schemas.openxmlformats.org/officeDocument/2006/relationships/hyperlink" Target="http://nadaesgratis.es/wp-content/uploads/Tabke3.jpg" TargetMode="External"/><Relationship Id="rId93" Type="http://schemas.openxmlformats.org/officeDocument/2006/relationships/image" Target="media/image41.png"/><Relationship Id="rId98" Type="http://schemas.openxmlformats.org/officeDocument/2006/relationships/image" Target="media/image46.png"/><Relationship Id="rId121" Type="http://schemas.openxmlformats.org/officeDocument/2006/relationships/image" Target="media/image69.png"/><Relationship Id="rId142" Type="http://schemas.openxmlformats.org/officeDocument/2006/relationships/image" Target="media/image90.png"/><Relationship Id="rId163" Type="http://schemas.openxmlformats.org/officeDocument/2006/relationships/image" Target="media/image110.png"/><Relationship Id="rId184" Type="http://schemas.openxmlformats.org/officeDocument/2006/relationships/image" Target="media/image131.png"/><Relationship Id="rId189" Type="http://schemas.openxmlformats.org/officeDocument/2006/relationships/image" Target="media/image136.png"/><Relationship Id="rId219" Type="http://schemas.openxmlformats.org/officeDocument/2006/relationships/image" Target="media/image166.png"/><Relationship Id="rId3" Type="http://schemas.microsoft.com/office/2007/relationships/stylesWithEffects" Target="stylesWithEffects.xml"/><Relationship Id="rId214" Type="http://schemas.openxmlformats.org/officeDocument/2006/relationships/image" Target="media/image161.png"/><Relationship Id="rId230" Type="http://schemas.openxmlformats.org/officeDocument/2006/relationships/image" Target="media/image177.png"/><Relationship Id="rId235" Type="http://schemas.openxmlformats.org/officeDocument/2006/relationships/image" Target="media/image182.png"/><Relationship Id="rId251" Type="http://schemas.openxmlformats.org/officeDocument/2006/relationships/image" Target="media/image198.png"/><Relationship Id="rId256" Type="http://schemas.openxmlformats.org/officeDocument/2006/relationships/image" Target="media/image203.emf"/><Relationship Id="rId25" Type="http://schemas.openxmlformats.org/officeDocument/2006/relationships/image" Target="media/image11.jpeg"/><Relationship Id="rId46" Type="http://schemas.openxmlformats.org/officeDocument/2006/relationships/hyperlink" Target="http://www.ine.es/dyngs/INEbase/es/operacion.htm?c=Estadistica_C&amp;cid=1254736176918&amp;menu=resultados&amp;secc=1254736195129&amp;idp=1254735976595" TargetMode="External"/><Relationship Id="rId67" Type="http://schemas.openxmlformats.org/officeDocument/2006/relationships/hyperlink" Target="http://www.agenciatributaria.es/AEAT.internet/datosabiertos/catalogo/hacienda/Mercado_de_Trabajo_y_Pensiones_en_las_Fuentes_Tributarias.shtml" TargetMode="External"/><Relationship Id="rId116" Type="http://schemas.openxmlformats.org/officeDocument/2006/relationships/image" Target="media/image64.png"/><Relationship Id="rId137" Type="http://schemas.openxmlformats.org/officeDocument/2006/relationships/image" Target="media/image85.png"/><Relationship Id="rId158" Type="http://schemas.openxmlformats.org/officeDocument/2006/relationships/image" Target="media/image105.png"/><Relationship Id="rId20" Type="http://schemas.openxmlformats.org/officeDocument/2006/relationships/hyperlink" Target="https://www.elconfidencial.com/economia/2007-08-09/efecto-subprime-bnp-suspende-tres-fondos-y-un-rumor-sobre-otro-de-goldman-casi-tumba-a-wall-street_796531/" TargetMode="External"/><Relationship Id="rId41" Type="http://schemas.openxmlformats.org/officeDocument/2006/relationships/hyperlink" Target="https://www.elconfidencial.com/tags/economia/empleo-juvenil-8156/" TargetMode="External"/><Relationship Id="rId62" Type="http://schemas.openxmlformats.org/officeDocument/2006/relationships/hyperlink" Target="http://nadaesgratis.es/wp-content/uploads/Figure4_1.jpg" TargetMode="External"/><Relationship Id="rId83" Type="http://schemas.openxmlformats.org/officeDocument/2006/relationships/hyperlink" Target="https://www.ecestaticos.com/file/f6440484294f33d52cee679277ed40e2/1504796781-molina1.png" TargetMode="External"/><Relationship Id="rId88" Type="http://schemas.openxmlformats.org/officeDocument/2006/relationships/image" Target="media/image38.jpeg"/><Relationship Id="rId111" Type="http://schemas.openxmlformats.org/officeDocument/2006/relationships/image" Target="media/image59.png"/><Relationship Id="rId132" Type="http://schemas.openxmlformats.org/officeDocument/2006/relationships/image" Target="media/image80.png"/><Relationship Id="rId153" Type="http://schemas.openxmlformats.org/officeDocument/2006/relationships/image" Target="media/image100.png"/><Relationship Id="rId174" Type="http://schemas.openxmlformats.org/officeDocument/2006/relationships/image" Target="media/image121.png"/><Relationship Id="rId179" Type="http://schemas.openxmlformats.org/officeDocument/2006/relationships/image" Target="media/image126.png"/><Relationship Id="rId195" Type="http://schemas.openxmlformats.org/officeDocument/2006/relationships/image" Target="media/image142.png"/><Relationship Id="rId209" Type="http://schemas.openxmlformats.org/officeDocument/2006/relationships/image" Target="media/image156.png"/><Relationship Id="rId190" Type="http://schemas.openxmlformats.org/officeDocument/2006/relationships/image" Target="media/image137.png"/><Relationship Id="rId204" Type="http://schemas.openxmlformats.org/officeDocument/2006/relationships/image" Target="media/image151.png"/><Relationship Id="rId220" Type="http://schemas.openxmlformats.org/officeDocument/2006/relationships/image" Target="media/image167.png"/><Relationship Id="rId225" Type="http://schemas.openxmlformats.org/officeDocument/2006/relationships/image" Target="media/image172.png"/><Relationship Id="rId241" Type="http://schemas.openxmlformats.org/officeDocument/2006/relationships/image" Target="media/image188.png"/><Relationship Id="rId246" Type="http://schemas.openxmlformats.org/officeDocument/2006/relationships/image" Target="media/image193.png"/><Relationship Id="rId15" Type="http://schemas.openxmlformats.org/officeDocument/2006/relationships/image" Target="media/image7.jpeg"/><Relationship Id="rId36" Type="http://schemas.openxmlformats.org/officeDocument/2006/relationships/image" Target="media/image17.jpeg"/><Relationship Id="rId57" Type="http://schemas.openxmlformats.org/officeDocument/2006/relationships/hyperlink" Target="http://nadaesgratis.es/wp-content/uploads/u_gaps.tiff" TargetMode="External"/><Relationship Id="rId106" Type="http://schemas.openxmlformats.org/officeDocument/2006/relationships/image" Target="media/image54.png"/><Relationship Id="rId127" Type="http://schemas.openxmlformats.org/officeDocument/2006/relationships/image" Target="media/image75.png"/><Relationship Id="rId10" Type="http://schemas.openxmlformats.org/officeDocument/2006/relationships/image" Target="media/image5.jpeg"/><Relationship Id="rId31" Type="http://schemas.openxmlformats.org/officeDocument/2006/relationships/image" Target="media/image15.jpeg"/><Relationship Id="rId52" Type="http://schemas.openxmlformats.org/officeDocument/2006/relationships/hyperlink" Target="http://documentos.fedea.net/pubs/eee/eee2016-32.pdf" TargetMode="External"/><Relationship Id="rId73" Type="http://schemas.openxmlformats.org/officeDocument/2006/relationships/image" Target="media/image29.jpeg"/><Relationship Id="rId78" Type="http://schemas.openxmlformats.org/officeDocument/2006/relationships/image" Target="media/image31.jpeg"/><Relationship Id="rId94" Type="http://schemas.openxmlformats.org/officeDocument/2006/relationships/image" Target="media/image42.png"/><Relationship Id="rId99" Type="http://schemas.openxmlformats.org/officeDocument/2006/relationships/image" Target="media/image47.png"/><Relationship Id="rId101" Type="http://schemas.openxmlformats.org/officeDocument/2006/relationships/image" Target="media/image49.png"/><Relationship Id="rId122" Type="http://schemas.openxmlformats.org/officeDocument/2006/relationships/image" Target="media/image70.png"/><Relationship Id="rId143" Type="http://schemas.openxmlformats.org/officeDocument/2006/relationships/image" Target="media/image91.png"/><Relationship Id="rId148" Type="http://schemas.openxmlformats.org/officeDocument/2006/relationships/image" Target="media/image95.png"/><Relationship Id="rId164" Type="http://schemas.openxmlformats.org/officeDocument/2006/relationships/image" Target="media/image111.png"/><Relationship Id="rId169" Type="http://schemas.openxmlformats.org/officeDocument/2006/relationships/image" Target="media/image116.png"/><Relationship Id="rId185" Type="http://schemas.openxmlformats.org/officeDocument/2006/relationships/image" Target="media/image132.png"/><Relationship Id="rId4" Type="http://schemas.openxmlformats.org/officeDocument/2006/relationships/settings" Target="settings.xml"/><Relationship Id="rId9" Type="http://schemas.openxmlformats.org/officeDocument/2006/relationships/image" Target="media/image4.jpeg"/><Relationship Id="rId180" Type="http://schemas.openxmlformats.org/officeDocument/2006/relationships/image" Target="media/image127.png"/><Relationship Id="rId210" Type="http://schemas.openxmlformats.org/officeDocument/2006/relationships/image" Target="media/image157.png"/><Relationship Id="rId215" Type="http://schemas.openxmlformats.org/officeDocument/2006/relationships/image" Target="media/image162.png"/><Relationship Id="rId236" Type="http://schemas.openxmlformats.org/officeDocument/2006/relationships/image" Target="media/image183.png"/><Relationship Id="rId257" Type="http://schemas.openxmlformats.org/officeDocument/2006/relationships/image" Target="media/image204.emf"/><Relationship Id="rId26" Type="http://schemas.openxmlformats.org/officeDocument/2006/relationships/image" Target="media/image12.jpeg"/><Relationship Id="rId231" Type="http://schemas.openxmlformats.org/officeDocument/2006/relationships/image" Target="media/image178.png"/><Relationship Id="rId252" Type="http://schemas.openxmlformats.org/officeDocument/2006/relationships/image" Target="media/image199.emf"/><Relationship Id="rId47" Type="http://schemas.openxmlformats.org/officeDocument/2006/relationships/image" Target="media/image21.jpeg"/><Relationship Id="rId68" Type="http://schemas.openxmlformats.org/officeDocument/2006/relationships/hyperlink" Target="https://economia.elpais.com/economia/2017/08/12/actualidad/1502558374_206323.html" TargetMode="External"/><Relationship Id="rId89" Type="http://schemas.openxmlformats.org/officeDocument/2006/relationships/image" Target="media/image39.jpeg"/><Relationship Id="rId112" Type="http://schemas.openxmlformats.org/officeDocument/2006/relationships/image" Target="media/image60.png"/><Relationship Id="rId133" Type="http://schemas.openxmlformats.org/officeDocument/2006/relationships/image" Target="media/image81.png"/><Relationship Id="rId154" Type="http://schemas.openxmlformats.org/officeDocument/2006/relationships/image" Target="media/image101.png"/><Relationship Id="rId175" Type="http://schemas.openxmlformats.org/officeDocument/2006/relationships/image" Target="media/image122.png"/><Relationship Id="rId196" Type="http://schemas.openxmlformats.org/officeDocument/2006/relationships/image" Target="media/image143.png"/><Relationship Id="rId200" Type="http://schemas.openxmlformats.org/officeDocument/2006/relationships/image" Target="media/image147.png"/><Relationship Id="rId16" Type="http://schemas.openxmlformats.org/officeDocument/2006/relationships/image" Target="media/image8.jpeg"/><Relationship Id="rId221" Type="http://schemas.openxmlformats.org/officeDocument/2006/relationships/image" Target="media/image168.png"/><Relationship Id="rId242" Type="http://schemas.openxmlformats.org/officeDocument/2006/relationships/image" Target="media/image189.png"/><Relationship Id="rId37" Type="http://schemas.openxmlformats.org/officeDocument/2006/relationships/hyperlink" Target="https://www.elconfidencial.com/sociedad/2015-06-14/que-fue-de-la-generacion-perdida_881949/" TargetMode="External"/><Relationship Id="rId58" Type="http://schemas.openxmlformats.org/officeDocument/2006/relationships/image" Target="media/image24.png"/><Relationship Id="rId79" Type="http://schemas.openxmlformats.org/officeDocument/2006/relationships/image" Target="media/image32.png"/><Relationship Id="rId102" Type="http://schemas.openxmlformats.org/officeDocument/2006/relationships/image" Target="media/image50.png"/><Relationship Id="rId123" Type="http://schemas.openxmlformats.org/officeDocument/2006/relationships/image" Target="media/image71.png"/><Relationship Id="rId144" Type="http://schemas.openxmlformats.org/officeDocument/2006/relationships/image" Target="media/image92.png"/><Relationship Id="rId90" Type="http://schemas.openxmlformats.org/officeDocument/2006/relationships/hyperlink" Target="http://www.oecd.org/daf/fin/public-debt/Sovereign-Borrowing-Outlook-in-OECD-Countries-2017.pdf" TargetMode="External"/><Relationship Id="rId165" Type="http://schemas.openxmlformats.org/officeDocument/2006/relationships/image" Target="media/image112.png"/><Relationship Id="rId186" Type="http://schemas.openxmlformats.org/officeDocument/2006/relationships/image" Target="media/image133.png"/><Relationship Id="rId211" Type="http://schemas.openxmlformats.org/officeDocument/2006/relationships/image" Target="media/image158.png"/><Relationship Id="rId232" Type="http://schemas.openxmlformats.org/officeDocument/2006/relationships/image" Target="media/image179.png"/><Relationship Id="rId253" Type="http://schemas.openxmlformats.org/officeDocument/2006/relationships/image" Target="media/image200.emf"/><Relationship Id="rId27" Type="http://schemas.openxmlformats.org/officeDocument/2006/relationships/image" Target="media/image13.jpeg"/><Relationship Id="rId48" Type="http://schemas.openxmlformats.org/officeDocument/2006/relationships/image" Target="media/image22.jpeg"/><Relationship Id="rId69" Type="http://schemas.openxmlformats.org/officeDocument/2006/relationships/hyperlink" Target="http://nadaesgratis.es/wp-content/uploads/table2-1.jpg" TargetMode="External"/><Relationship Id="rId113" Type="http://schemas.openxmlformats.org/officeDocument/2006/relationships/image" Target="media/image61.png"/><Relationship Id="rId134" Type="http://schemas.openxmlformats.org/officeDocument/2006/relationships/image" Target="media/image82.png"/><Relationship Id="rId80" Type="http://schemas.openxmlformats.org/officeDocument/2006/relationships/image" Target="media/image33.png"/><Relationship Id="rId155" Type="http://schemas.openxmlformats.org/officeDocument/2006/relationships/image" Target="media/image102.png"/><Relationship Id="rId176" Type="http://schemas.openxmlformats.org/officeDocument/2006/relationships/image" Target="media/image123.png"/><Relationship Id="rId197" Type="http://schemas.openxmlformats.org/officeDocument/2006/relationships/image" Target="media/image144.png"/><Relationship Id="rId201" Type="http://schemas.openxmlformats.org/officeDocument/2006/relationships/image" Target="media/image148.png"/><Relationship Id="rId222" Type="http://schemas.openxmlformats.org/officeDocument/2006/relationships/image" Target="media/image169.png"/><Relationship Id="rId243" Type="http://schemas.openxmlformats.org/officeDocument/2006/relationships/image" Target="media/image190.png"/><Relationship Id="rId17" Type="http://schemas.openxmlformats.org/officeDocument/2006/relationships/image" Target="media/image9.jpeg"/><Relationship Id="rId38" Type="http://schemas.openxmlformats.org/officeDocument/2006/relationships/hyperlink" Target="https://www.elconfidencial.com/tags/temas/trabajo-5284/" TargetMode="External"/><Relationship Id="rId59" Type="http://schemas.openxmlformats.org/officeDocument/2006/relationships/image" Target="media/image25.tiff"/><Relationship Id="rId103" Type="http://schemas.openxmlformats.org/officeDocument/2006/relationships/image" Target="media/image51.png"/><Relationship Id="rId124" Type="http://schemas.openxmlformats.org/officeDocument/2006/relationships/image" Target="media/image72.png"/><Relationship Id="rId70" Type="http://schemas.openxmlformats.org/officeDocument/2006/relationships/image" Target="media/image28.jpeg"/><Relationship Id="rId91" Type="http://schemas.openxmlformats.org/officeDocument/2006/relationships/hyperlink" Target="http://www.oecd.org/daf/fin/public-debt/Sovereign-Borrowing-Outlook-in-OECD-Countries-2017.pdf" TargetMode="External"/><Relationship Id="rId145" Type="http://schemas.openxmlformats.org/officeDocument/2006/relationships/image" Target="media/image93.png"/><Relationship Id="rId166" Type="http://schemas.openxmlformats.org/officeDocument/2006/relationships/image" Target="media/image113.png"/><Relationship Id="rId187" Type="http://schemas.openxmlformats.org/officeDocument/2006/relationships/image" Target="media/image13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210</Pages>
  <Words>68459</Words>
  <Characters>376529</Characters>
  <Application>Microsoft Office Word</Application>
  <DocSecurity>0</DocSecurity>
  <Lines>3137</Lines>
  <Paragraphs>888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444100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2017-09-13T23:34:00Z</dcterms:created>
  <dcterms:modified xsi:type="dcterms:W3CDTF">2017-09-13T23:34:00Z</dcterms:modified>
</cp:coreProperties>
</file>